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693CC6" w14:textId="77777777" w:rsidR="00EA69AA" w:rsidRPr="00EA69AA" w:rsidRDefault="00EA69AA" w:rsidP="00B44564">
      <w:pPr>
        <w:pStyle w:val="ChapterHeading"/>
        <w:spacing w:after="120"/>
        <w:rPr>
          <w:rFonts w:asciiTheme="minorHAnsi" w:hAnsiTheme="minorHAnsi"/>
          <w:sz w:val="22"/>
          <w:szCs w:val="22"/>
        </w:rPr>
      </w:pPr>
      <w:r w:rsidRPr="00EA69AA">
        <w:rPr>
          <w:rFonts w:asciiTheme="minorHAnsi" w:hAnsiTheme="minorHAnsi"/>
          <w:sz w:val="22"/>
          <w:szCs w:val="22"/>
        </w:rPr>
        <w:t>SUPPLEMENTAL SECTION 1: References Included for Full-Text review (n=423)</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335"/>
        <w:gridCol w:w="36"/>
        <w:gridCol w:w="8973"/>
      </w:tblGrid>
      <w:tr w:rsidR="00B44564" w:rsidRPr="005762E6" w14:paraId="2809E96D"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E4D64E1" w14:textId="77777777" w:rsidR="00B44564" w:rsidRPr="005762E6" w:rsidRDefault="00B44564" w:rsidP="00EA69AA">
            <w:pPr>
              <w:spacing w:after="120" w:line="240" w:lineRule="auto"/>
              <w:contextualSpacing/>
              <w:rPr>
                <w:sz w:val="20"/>
                <w:szCs w:val="20"/>
              </w:rPr>
            </w:pPr>
            <w:r w:rsidRPr="005762E6">
              <w:rPr>
                <w:sz w:val="20"/>
                <w:szCs w:val="20"/>
              </w:rPr>
              <w:t>11</w:t>
            </w:r>
          </w:p>
        </w:tc>
        <w:tc>
          <w:tcPr>
            <w:tcW w:w="0" w:type="auto"/>
            <w:tcBorders>
              <w:top w:val="single" w:sz="6" w:space="0" w:color="auto"/>
              <w:left w:val="single" w:sz="6" w:space="0" w:color="auto"/>
              <w:bottom w:val="single" w:sz="6" w:space="0" w:color="auto"/>
              <w:right w:val="single" w:sz="6" w:space="0" w:color="auto"/>
            </w:tcBorders>
          </w:tcPr>
          <w:p w14:paraId="1A23CEBA"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ABE77E1" w14:textId="0E1AA33A" w:rsidR="00B44564" w:rsidRPr="005762E6" w:rsidRDefault="00B44564" w:rsidP="00EA69AA">
            <w:pPr>
              <w:spacing w:after="120" w:line="240" w:lineRule="auto"/>
              <w:contextualSpacing/>
              <w:rPr>
                <w:sz w:val="20"/>
                <w:szCs w:val="20"/>
              </w:rPr>
            </w:pPr>
            <w:r w:rsidRPr="005762E6">
              <w:rPr>
                <w:sz w:val="20"/>
                <w:szCs w:val="20"/>
              </w:rPr>
              <w:t>Centre for Reviews and Dissemination Aromatherapy: a systematic review (Structured abstract)</w:t>
            </w:r>
            <w:r w:rsidR="007F2F01">
              <w:rPr>
                <w:sz w:val="20"/>
                <w:szCs w:val="20"/>
              </w:rPr>
              <w:t>.</w:t>
            </w:r>
            <w:r w:rsidRPr="005762E6">
              <w:rPr>
                <w:sz w:val="20"/>
                <w:szCs w:val="20"/>
              </w:rPr>
              <w:t xml:space="preserve"> Database of Abstracts of Reviews of Effects; 2015</w:t>
            </w:r>
            <w:r w:rsidR="00171A24">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r>
            <w:proofErr w:type="gramStart"/>
            <w:r w:rsidRPr="005762E6">
              <w:rPr>
                <w:sz w:val="20"/>
                <w:szCs w:val="20"/>
              </w:rPr>
              <w:t>Humans,​</w:t>
            </w:r>
            <w:proofErr w:type="gramEnd"/>
            <w:r w:rsidRPr="005762E6">
              <w:rPr>
                <w:sz w:val="20"/>
                <w:szCs w:val="20"/>
              </w:rPr>
              <w:t>Anxiety/therapy,​Aromatherapy/methods,​Clinical Trials as Topic,​Massage/methods,​Oils,​ Volatile/therapeutic use,​Treatment Outcome</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7607C496"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F4CC9A6" w14:textId="77777777" w:rsidR="00B44564" w:rsidRPr="005762E6" w:rsidRDefault="00B44564" w:rsidP="00EA69AA">
            <w:pPr>
              <w:spacing w:after="120" w:line="240" w:lineRule="auto"/>
              <w:contextualSpacing/>
              <w:rPr>
                <w:sz w:val="20"/>
                <w:szCs w:val="20"/>
              </w:rPr>
            </w:pPr>
            <w:r w:rsidRPr="005762E6">
              <w:rPr>
                <w:sz w:val="20"/>
                <w:szCs w:val="20"/>
              </w:rPr>
              <w:t>13</w:t>
            </w:r>
          </w:p>
        </w:tc>
        <w:tc>
          <w:tcPr>
            <w:tcW w:w="0" w:type="auto"/>
            <w:tcBorders>
              <w:top w:val="single" w:sz="6" w:space="0" w:color="auto"/>
              <w:left w:val="single" w:sz="6" w:space="0" w:color="auto"/>
              <w:bottom w:val="single" w:sz="6" w:space="0" w:color="auto"/>
              <w:right w:val="single" w:sz="6" w:space="0" w:color="auto"/>
            </w:tcBorders>
          </w:tcPr>
          <w:p w14:paraId="5FE0B0FB"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9F2788E" w14:textId="77777777" w:rsidR="00B44564" w:rsidRPr="005762E6" w:rsidRDefault="00B44564" w:rsidP="00EA69AA">
            <w:pPr>
              <w:spacing w:after="120" w:line="240" w:lineRule="auto"/>
              <w:contextualSpacing/>
              <w:rPr>
                <w:sz w:val="20"/>
                <w:szCs w:val="20"/>
              </w:rPr>
            </w:pPr>
            <w:r w:rsidRPr="005762E6">
              <w:rPr>
                <w:sz w:val="20"/>
                <w:szCs w:val="20"/>
              </w:rPr>
              <w:t xml:space="preserve">Glantz </w:t>
            </w:r>
            <w:proofErr w:type="gramStart"/>
            <w:r w:rsidRPr="005762E6">
              <w:rPr>
                <w:sz w:val="20"/>
                <w:szCs w:val="20"/>
              </w:rPr>
              <w:t>S.A.,​</w:t>
            </w:r>
            <w:proofErr w:type="gramEnd"/>
            <w:r w:rsidRPr="005762E6">
              <w:rPr>
                <w:sz w:val="20"/>
                <w:szCs w:val="20"/>
              </w:rPr>
              <w:t xml:space="preserve">Gardiner P. Local movement to ban menthol tobacco products as a result of federal inaction. JAMA Internal Medicine; </w:t>
            </w:r>
            <w:proofErr w:type="gramStart"/>
            <w:r w:rsidRPr="005762E6">
              <w:rPr>
                <w:sz w:val="20"/>
                <w:szCs w:val="20"/>
              </w:rPr>
              <w:t>2018;178:711</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Canada,​food and drug administration,​government,​human,​letter,​priority journal,​*public health,​smoking,​*smoking ban,​smoking cessation,​*tobacco,​United States,​*menthol</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7E414F8E"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30DA901" w14:textId="77777777" w:rsidR="00B44564" w:rsidRPr="005762E6" w:rsidRDefault="00B44564" w:rsidP="00EA69AA">
            <w:pPr>
              <w:spacing w:after="120" w:line="240" w:lineRule="auto"/>
              <w:contextualSpacing/>
              <w:rPr>
                <w:sz w:val="20"/>
                <w:szCs w:val="20"/>
              </w:rPr>
            </w:pPr>
            <w:r w:rsidRPr="005762E6">
              <w:rPr>
                <w:sz w:val="20"/>
                <w:szCs w:val="20"/>
              </w:rPr>
              <w:t>14</w:t>
            </w:r>
          </w:p>
        </w:tc>
        <w:tc>
          <w:tcPr>
            <w:tcW w:w="0" w:type="auto"/>
            <w:tcBorders>
              <w:top w:val="single" w:sz="6" w:space="0" w:color="auto"/>
              <w:left w:val="single" w:sz="6" w:space="0" w:color="auto"/>
              <w:bottom w:val="single" w:sz="6" w:space="0" w:color="auto"/>
              <w:right w:val="single" w:sz="6" w:space="0" w:color="auto"/>
            </w:tcBorders>
          </w:tcPr>
          <w:p w14:paraId="5E193E3D"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97590D1" w14:textId="77777777" w:rsidR="00B44564" w:rsidRPr="005762E6" w:rsidRDefault="00B44564" w:rsidP="00EA69AA">
            <w:pPr>
              <w:spacing w:after="120" w:line="240" w:lineRule="auto"/>
              <w:contextualSpacing/>
              <w:rPr>
                <w:sz w:val="20"/>
                <w:szCs w:val="20"/>
              </w:rPr>
            </w:pPr>
            <w:r w:rsidRPr="005762E6">
              <w:rPr>
                <w:sz w:val="20"/>
                <w:szCs w:val="20"/>
              </w:rPr>
              <w:t xml:space="preserve">Printz C. US Food and Drug Administration considers comments on proposed nicotine product regulations: Some criticize the agency for not moving fast enough to stop youth e-cigarette use. Cancer; </w:t>
            </w:r>
            <w:proofErr w:type="gramStart"/>
            <w:r w:rsidRPr="005762E6">
              <w:rPr>
                <w:sz w:val="20"/>
                <w:szCs w:val="20"/>
              </w:rPr>
              <w:t>2018;124:3959</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adolescent smoking,​device approval,​flavor,​*food and drug administration,​note,​priority journal,​public health,​smoking cessation,​*tobacco,​tobacco dependence,​United States,​vaping,​menthol,​nicotine,​*electronic cigarette</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0065DA03"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A95EC2E" w14:textId="77777777" w:rsidR="00B44564" w:rsidRPr="005762E6" w:rsidRDefault="00B44564" w:rsidP="00EA69AA">
            <w:pPr>
              <w:spacing w:after="120" w:line="240" w:lineRule="auto"/>
              <w:contextualSpacing/>
              <w:rPr>
                <w:sz w:val="20"/>
                <w:szCs w:val="20"/>
              </w:rPr>
            </w:pPr>
            <w:r w:rsidRPr="005762E6">
              <w:rPr>
                <w:sz w:val="20"/>
                <w:szCs w:val="20"/>
              </w:rPr>
              <w:t>17</w:t>
            </w:r>
          </w:p>
        </w:tc>
        <w:tc>
          <w:tcPr>
            <w:tcW w:w="0" w:type="auto"/>
            <w:tcBorders>
              <w:top w:val="single" w:sz="6" w:space="0" w:color="auto"/>
              <w:left w:val="single" w:sz="6" w:space="0" w:color="auto"/>
              <w:bottom w:val="single" w:sz="6" w:space="0" w:color="auto"/>
              <w:right w:val="single" w:sz="6" w:space="0" w:color="auto"/>
            </w:tcBorders>
          </w:tcPr>
          <w:p w14:paraId="5492624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ED0EECD" w14:textId="77777777" w:rsidR="00B44564" w:rsidRPr="005762E6" w:rsidRDefault="00B44564" w:rsidP="00EA69AA">
            <w:pPr>
              <w:spacing w:after="120" w:line="240" w:lineRule="auto"/>
              <w:contextualSpacing/>
              <w:rPr>
                <w:sz w:val="20"/>
                <w:szCs w:val="20"/>
              </w:rPr>
            </w:pPr>
            <w:r w:rsidRPr="005762E6">
              <w:rPr>
                <w:sz w:val="20"/>
                <w:szCs w:val="20"/>
              </w:rPr>
              <w:t xml:space="preserve">Stanfill </w:t>
            </w:r>
            <w:proofErr w:type="gramStart"/>
            <w:r w:rsidRPr="005762E6">
              <w:rPr>
                <w:sz w:val="20"/>
                <w:szCs w:val="20"/>
              </w:rPr>
              <w:t>S.B.,​</w:t>
            </w:r>
            <w:proofErr w:type="gramEnd"/>
            <w:r w:rsidRPr="005762E6">
              <w:rPr>
                <w:sz w:val="20"/>
                <w:szCs w:val="20"/>
              </w:rPr>
              <w:t>Croucher R.E.,​Gupta P.C.,​Lisko J.G.,​Lawler T.S.,​Kuklenyik P.,​Dahiya M.,​Duncan B.,​Kimbrell J.B.,​Peuchen E.H.,​Watson C.H. Chemical characterization of smokeless tobacco products from South Asia: Nicotine,​ unprotonated nicotine,​ tobacco-specific N'-Nitrosamines,​ and flavor compounds. Food and Chemical Toxicology; 2018;118:626.</w:t>
            </w:r>
            <w:r w:rsidRPr="005762E6">
              <w:rPr>
                <w:sz w:val="20"/>
                <w:szCs w:val="20"/>
              </w:rPr>
              <w:br/>
            </w:r>
            <w:r w:rsidRPr="005762E6">
              <w:rPr>
                <w:sz w:val="20"/>
                <w:szCs w:val="20"/>
              </w:rPr>
              <w:br/>
            </w:r>
            <w:r w:rsidRPr="005762E6">
              <w:rPr>
                <w:b/>
                <w:bCs/>
                <w:sz w:val="20"/>
                <w:szCs w:val="20"/>
              </w:rPr>
              <w:t>Keywords:</w:t>
            </w:r>
            <w:r w:rsidRPr="005762E6">
              <w:rPr>
                <w:sz w:val="20"/>
                <w:szCs w:val="20"/>
              </w:rPr>
              <w:br/>
              <w:t>alkalinity,​areca nut,​article,​betel quid,​chemical composition,​controlled study,​mass fragmentography,​moisture,​Nicotiana,​Nicotiana tabacum,​pH,​*smokeless tobacco,​South Asia,​Southeast Asian,​tobacco,​arecaidine,​arecoline,​biphenyl,​camphor,​cineole,​cinnamaldehyde,​coumarin,​diphenyl ether,​eugenol,​*flavoring agent,​guvacine,​guvacoline,​magnesium carbonate,​menthol,​*nicotine,​*nicotine derivative,​*nitrosamine,​pulegone,​salicylic acid,​salicylic acid methyl ester,​unclassified drug,​Nicotiana glauca,​Nicotiana rustica,​*n' nitrosamine derivative</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34D94524"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E6946A8" w14:textId="77777777" w:rsidR="00B44564" w:rsidRPr="005762E6" w:rsidRDefault="00B44564" w:rsidP="00EA69AA">
            <w:pPr>
              <w:spacing w:after="120" w:line="240" w:lineRule="auto"/>
              <w:contextualSpacing/>
              <w:rPr>
                <w:sz w:val="20"/>
                <w:szCs w:val="20"/>
              </w:rPr>
            </w:pPr>
            <w:r w:rsidRPr="005762E6">
              <w:rPr>
                <w:sz w:val="20"/>
                <w:szCs w:val="20"/>
              </w:rPr>
              <w:t>20</w:t>
            </w:r>
          </w:p>
        </w:tc>
        <w:tc>
          <w:tcPr>
            <w:tcW w:w="0" w:type="auto"/>
            <w:tcBorders>
              <w:top w:val="single" w:sz="6" w:space="0" w:color="auto"/>
              <w:left w:val="single" w:sz="6" w:space="0" w:color="auto"/>
              <w:bottom w:val="single" w:sz="6" w:space="0" w:color="auto"/>
              <w:right w:val="single" w:sz="6" w:space="0" w:color="auto"/>
            </w:tcBorders>
          </w:tcPr>
          <w:p w14:paraId="07C88343"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260563E" w14:textId="77777777" w:rsidR="00B44564" w:rsidRPr="005762E6" w:rsidRDefault="00B44564" w:rsidP="00EA69AA">
            <w:pPr>
              <w:spacing w:after="120" w:line="240" w:lineRule="auto"/>
              <w:contextualSpacing/>
              <w:rPr>
                <w:sz w:val="20"/>
                <w:szCs w:val="20"/>
              </w:rPr>
            </w:pPr>
            <w:r w:rsidRPr="005762E6">
              <w:rPr>
                <w:sz w:val="20"/>
                <w:szCs w:val="20"/>
              </w:rPr>
              <w:t xml:space="preserve">Schneller </w:t>
            </w:r>
            <w:proofErr w:type="gramStart"/>
            <w:r w:rsidRPr="005762E6">
              <w:rPr>
                <w:sz w:val="20"/>
                <w:szCs w:val="20"/>
              </w:rPr>
              <w:t>L.M.,​</w:t>
            </w:r>
            <w:proofErr w:type="gramEnd"/>
            <w:r w:rsidRPr="005762E6">
              <w:rPr>
                <w:sz w:val="20"/>
                <w:szCs w:val="20"/>
              </w:rPr>
              <w:t>McIntosh S.,​Li D.,​Rahman I.,​Ossip D.,​Goniewicz M.,​O'Connor R.J. Tobacco use and chemosensory impairments among current adult tobacco users in the US: Data from NHANES 2013-2014. Tobacco Induced Diseases; 2018;16:94202.</w:t>
            </w:r>
            <w:r w:rsidRPr="005762E6">
              <w:rPr>
                <w:sz w:val="20"/>
                <w:szCs w:val="20"/>
              </w:rPr>
              <w:br/>
            </w:r>
            <w:r w:rsidRPr="005762E6">
              <w:rPr>
                <w:sz w:val="20"/>
                <w:szCs w:val="20"/>
              </w:rPr>
              <w:br/>
            </w:r>
            <w:r w:rsidRPr="005762E6">
              <w:rPr>
                <w:b/>
                <w:bCs/>
                <w:sz w:val="20"/>
                <w:szCs w:val="20"/>
              </w:rPr>
              <w:t>Keywords:</w:t>
            </w:r>
            <w:r w:rsidRPr="005762E6">
              <w:rPr>
                <w:sz w:val="20"/>
                <w:szCs w:val="20"/>
              </w:rPr>
              <w:br/>
              <w:t>adult,​age,​article,​bitter taste,​disease association,​ethnicity,​female,​gender,​health survey,​human,​major clinical study,​male,​middle aged,​odor,​priority journal,​race,​self-report,​*sensory dysfunction/di [Diagnosis],​*smelling disorder/di [Diagnosis],​*taste disorder/di [Diagnosis],​*tobacco use,​United States,​nicotine,​quinine,​*chemosensory impairment/di [Diagnosis]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Among US adults 40 years and older,​ about 23% report problems with their ability to smell,​ and 19% report problems with their ability to taste. Chemosenses are a first line of defense against </w:t>
            </w:r>
            <w:r w:rsidRPr="005762E6">
              <w:rPr>
                <w:sz w:val="20"/>
                <w:szCs w:val="20"/>
              </w:rPr>
              <w:lastRenderedPageBreak/>
              <w:t xml:space="preserve">environmental hazards (e.g. fires and leaking gas). A potential risk factor of chemosensory disorders includes nicotine product </w:t>
            </w:r>
            <w:proofErr w:type="gramStart"/>
            <w:r w:rsidRPr="005762E6">
              <w:rPr>
                <w:sz w:val="20"/>
                <w:szCs w:val="20"/>
              </w:rPr>
              <w:t>use,​</w:t>
            </w:r>
            <w:proofErr w:type="gramEnd"/>
            <w:r w:rsidRPr="005762E6">
              <w:rPr>
                <w:sz w:val="20"/>
                <w:szCs w:val="20"/>
              </w:rPr>
              <w:t xml:space="preserve"> such as cigarette use. This study aims to assess the relationship of taste and smell alterations with type of recent nicotine product use (e.g. inhaled versus smokeless</w:t>
            </w:r>
            <w:proofErr w:type="gramStart"/>
            <w:r w:rsidRPr="005762E6">
              <w:rPr>
                <w:sz w:val="20"/>
                <w:szCs w:val="20"/>
              </w:rPr>
              <w:t>),​</w:t>
            </w:r>
            <w:proofErr w:type="gramEnd"/>
            <w:r w:rsidRPr="005762E6">
              <w:rPr>
                <w:sz w:val="20"/>
                <w:szCs w:val="20"/>
              </w:rPr>
              <w:t xml:space="preserve"> recent cigarette use,​ and mentholation status based on data from NHANES 2013-2014. Methods: A total of 3186 men and </w:t>
            </w:r>
            <w:proofErr w:type="gramStart"/>
            <w:r w:rsidRPr="005762E6">
              <w:rPr>
                <w:sz w:val="20"/>
                <w:szCs w:val="20"/>
              </w:rPr>
              <w:t>women,​</w:t>
            </w:r>
            <w:proofErr w:type="gramEnd"/>
            <w:r w:rsidRPr="005762E6">
              <w:rPr>
                <w:sz w:val="20"/>
                <w:szCs w:val="20"/>
              </w:rPr>
              <w:t xml:space="preserve"> 40 years and older,​ from NHANES 2013-2014 were assessed for smell and taste impairment,​ according to their recent nicotine product use. Taste impairment was identified as inability to identify quinine as bitter in the whole-mouth taste test. Impairment of smell was defined as failing to identify six or more of eight specific odors. Logistic regression models were adjusted for </w:t>
            </w:r>
            <w:proofErr w:type="gramStart"/>
            <w:r w:rsidRPr="005762E6">
              <w:rPr>
                <w:sz w:val="20"/>
                <w:szCs w:val="20"/>
              </w:rPr>
              <w:t>age,​</w:t>
            </w:r>
            <w:proofErr w:type="gramEnd"/>
            <w:r w:rsidRPr="005762E6">
              <w:rPr>
                <w:sz w:val="20"/>
                <w:szCs w:val="20"/>
              </w:rPr>
              <w:t xml:space="preserve"> gender,​ and race/ethnicity. Results: Approximately 13% of participants failed the smell examination. No significant association between smell examination outcome and recent nicotine product use was </w:t>
            </w:r>
            <w:proofErr w:type="gramStart"/>
            <w:r w:rsidRPr="005762E6">
              <w:rPr>
                <w:sz w:val="20"/>
                <w:szCs w:val="20"/>
              </w:rPr>
              <w:t>found,​</w:t>
            </w:r>
            <w:proofErr w:type="gramEnd"/>
            <w:r w:rsidRPr="005762E6">
              <w:rPr>
                <w:sz w:val="20"/>
                <w:szCs w:val="20"/>
              </w:rPr>
              <w:t xml:space="preserve"> though recent cigarette use showed a trend toward positive association (OR=1.66,​ 95% CI: 0.76-3.63) and mentholation status showed a trend toward negative association (OR=0.57,​ 95% CI: 0.22-1.49) on smell examination results. About 17% of participants failed the taste </w:t>
            </w:r>
            <w:proofErr w:type="gramStart"/>
            <w:r w:rsidRPr="005762E6">
              <w:rPr>
                <w:sz w:val="20"/>
                <w:szCs w:val="20"/>
              </w:rPr>
              <w:t>examination,​</w:t>
            </w:r>
            <w:proofErr w:type="gramEnd"/>
            <w:r w:rsidRPr="005762E6">
              <w:rPr>
                <w:sz w:val="20"/>
                <w:szCs w:val="20"/>
              </w:rPr>
              <w:t xml:space="preserve"> and trends toward positive association were seen between taste examination outcomes and both recent nicotine product use (OR=1.28,​ 95% CI: 0.99-1.65) and recent cigarette use (OR=1.30,​ 95% CI: 0.50-3.40). Conclusions: Findings indicate that recent use of nicotine products has an inconsistent relationship to dysfunctions in taste and smell. </w:t>
            </w:r>
            <w:proofErr w:type="gramStart"/>
            <w:r w:rsidRPr="005762E6">
              <w:rPr>
                <w:sz w:val="20"/>
                <w:szCs w:val="20"/>
              </w:rPr>
              <w:t>However,​</w:t>
            </w:r>
            <w:proofErr w:type="gramEnd"/>
            <w:r w:rsidRPr="005762E6">
              <w:rPr>
                <w:sz w:val="20"/>
                <w:szCs w:val="20"/>
              </w:rPr>
              <w:t xml:space="preserve"> limiting the use of inhaled nicotine products,​ such as from cigarette use,​ could prove beneficial to a person's taste and smell ability. Copyright © 2018 Schneller L. M.</w:t>
            </w:r>
          </w:p>
        </w:tc>
      </w:tr>
      <w:tr w:rsidR="00B44564" w:rsidRPr="005762E6" w14:paraId="5578EDB7"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E3E4DE6" w14:textId="77777777" w:rsidR="00B44564" w:rsidRPr="005762E6" w:rsidRDefault="00B44564" w:rsidP="00EA69AA">
            <w:pPr>
              <w:spacing w:after="120" w:line="240" w:lineRule="auto"/>
              <w:contextualSpacing/>
              <w:rPr>
                <w:sz w:val="20"/>
                <w:szCs w:val="20"/>
              </w:rPr>
            </w:pPr>
            <w:r w:rsidRPr="005762E6">
              <w:rPr>
                <w:sz w:val="20"/>
                <w:szCs w:val="20"/>
              </w:rPr>
              <w:lastRenderedPageBreak/>
              <w:t>25</w:t>
            </w:r>
          </w:p>
        </w:tc>
        <w:tc>
          <w:tcPr>
            <w:tcW w:w="0" w:type="auto"/>
            <w:tcBorders>
              <w:top w:val="single" w:sz="6" w:space="0" w:color="auto"/>
              <w:left w:val="single" w:sz="6" w:space="0" w:color="auto"/>
              <w:bottom w:val="single" w:sz="6" w:space="0" w:color="auto"/>
              <w:right w:val="single" w:sz="6" w:space="0" w:color="auto"/>
            </w:tcBorders>
          </w:tcPr>
          <w:p w14:paraId="073F1F8A"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BA9A057" w14:textId="77777777" w:rsidR="00B44564" w:rsidRPr="005762E6" w:rsidRDefault="00B44564" w:rsidP="00EA69AA">
            <w:pPr>
              <w:spacing w:after="120" w:line="240" w:lineRule="auto"/>
              <w:contextualSpacing/>
              <w:rPr>
                <w:sz w:val="20"/>
                <w:szCs w:val="20"/>
              </w:rPr>
            </w:pPr>
            <w:r w:rsidRPr="005762E6">
              <w:rPr>
                <w:sz w:val="20"/>
                <w:szCs w:val="20"/>
              </w:rPr>
              <w:t xml:space="preserve">Kong </w:t>
            </w:r>
            <w:proofErr w:type="gramStart"/>
            <w:r w:rsidRPr="005762E6">
              <w:rPr>
                <w:sz w:val="20"/>
                <w:szCs w:val="20"/>
              </w:rPr>
              <w:t>A.Y.,​</w:t>
            </w:r>
            <w:proofErr w:type="gramEnd"/>
            <w:r w:rsidRPr="005762E6">
              <w:rPr>
                <w:sz w:val="20"/>
                <w:szCs w:val="20"/>
              </w:rPr>
              <w:t>Golden S.D.,​Berger M.T. An intersectional approach to the menthol cigarette problem: what's race(ism) got to do with it?. Critical Public Health; 2018;:1.</w:t>
            </w:r>
            <w:r w:rsidRPr="005762E6">
              <w:rPr>
                <w:sz w:val="20"/>
                <w:szCs w:val="20"/>
              </w:rPr>
              <w:br/>
            </w:r>
            <w:r w:rsidRPr="005762E6">
              <w:rPr>
                <w:sz w:val="20"/>
                <w:szCs w:val="20"/>
              </w:rPr>
              <w:br/>
            </w:r>
            <w:r w:rsidRPr="005762E6">
              <w:rPr>
                <w:b/>
                <w:bCs/>
                <w:sz w:val="20"/>
                <w:szCs w:val="20"/>
              </w:rPr>
              <w:t>Keywords:</w:t>
            </w:r>
            <w:r w:rsidRPr="005762E6">
              <w:rPr>
                <w:sz w:val="20"/>
                <w:szCs w:val="20"/>
              </w:rPr>
              <w:br/>
            </w:r>
            <w:proofErr w:type="gramStart"/>
            <w:r w:rsidRPr="005762E6">
              <w:rPr>
                <w:sz w:val="20"/>
                <w:szCs w:val="20"/>
              </w:rPr>
              <w:t>article,​</w:t>
            </w:r>
            <w:proofErr w:type="gramEnd"/>
            <w:r w:rsidRPr="005762E6">
              <w:rPr>
                <w:sz w:val="20"/>
                <w:szCs w:val="20"/>
              </w:rPr>
              <w:t>*cigarette,​death,​*health behavior,​human,​market,​public health,​*racism,​smoking,​smoking prevention,​social segregation,​tobacco industry,​United States,​*menthol</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Tobacco use remains the leading cause of preventable death in the United States. Tobacco industry reports document the systematic targeting of menthol cigarettes in Black </w:t>
            </w:r>
            <w:proofErr w:type="gramStart"/>
            <w:r w:rsidRPr="005762E6">
              <w:rPr>
                <w:sz w:val="20"/>
                <w:szCs w:val="20"/>
              </w:rPr>
              <w:t>communities,​</w:t>
            </w:r>
            <w:proofErr w:type="gramEnd"/>
            <w:r w:rsidRPr="005762E6">
              <w:rPr>
                <w:sz w:val="20"/>
                <w:szCs w:val="20"/>
              </w:rPr>
              <w:t xml:space="preserve"> and 84.6% of all Black smokers use menthol cigarettes. Despite evidence that menthol cigarettes are more addictive and </w:t>
            </w:r>
            <w:proofErr w:type="gramStart"/>
            <w:r w:rsidRPr="005762E6">
              <w:rPr>
                <w:sz w:val="20"/>
                <w:szCs w:val="20"/>
              </w:rPr>
              <w:t>harmful,​</w:t>
            </w:r>
            <w:proofErr w:type="gramEnd"/>
            <w:r w:rsidRPr="005762E6">
              <w:rPr>
                <w:sz w:val="20"/>
                <w:szCs w:val="20"/>
              </w:rPr>
              <w:t xml:space="preserve"> Congress chose not to ban the sales of menthol cigarettes,​ despite banning all other flavored cigarettes in the 2009 Family Smoking Prevention and Tobacco Control Act. In this </w:t>
            </w:r>
            <w:proofErr w:type="gramStart"/>
            <w:r w:rsidRPr="005762E6">
              <w:rPr>
                <w:sz w:val="20"/>
                <w:szCs w:val="20"/>
              </w:rPr>
              <w:t>commentary,​</w:t>
            </w:r>
            <w:proofErr w:type="gramEnd"/>
            <w:r w:rsidRPr="005762E6">
              <w:rPr>
                <w:sz w:val="20"/>
                <w:szCs w:val="20"/>
              </w:rPr>
              <w:t xml:space="preserve"> we employ an intersectional framework that discusses and analyzes how institutionalized racism through the form of residential segregation has perpetuated the menthol problem. Using an intersectional </w:t>
            </w:r>
            <w:proofErr w:type="gramStart"/>
            <w:r w:rsidRPr="005762E6">
              <w:rPr>
                <w:sz w:val="20"/>
                <w:szCs w:val="20"/>
              </w:rPr>
              <w:t>framework,​</w:t>
            </w:r>
            <w:proofErr w:type="gramEnd"/>
            <w:r w:rsidRPr="005762E6">
              <w:rPr>
                <w:sz w:val="20"/>
                <w:szCs w:val="20"/>
              </w:rPr>
              <w:t xml:space="preserve"> public health may be better able to understand and intervene on the menthol cigarette problems centering around: (1) why menthol cigarette rates are so high among Black smokers; and (2) why menthol cigarettes remain the only flavored cigarette left on the domestic market. Copyright © 2018 Informa UK </w:t>
            </w:r>
            <w:proofErr w:type="gramStart"/>
            <w:r w:rsidRPr="005762E6">
              <w:rPr>
                <w:sz w:val="20"/>
                <w:szCs w:val="20"/>
              </w:rPr>
              <w:t>Limited,​</w:t>
            </w:r>
            <w:proofErr w:type="gramEnd"/>
            <w:r w:rsidRPr="005762E6">
              <w:rPr>
                <w:sz w:val="20"/>
                <w:szCs w:val="20"/>
              </w:rPr>
              <w:t xml:space="preserve"> trading as Taylor &amp; Francis Group</w:t>
            </w:r>
          </w:p>
        </w:tc>
      </w:tr>
      <w:tr w:rsidR="00B44564" w:rsidRPr="005762E6" w14:paraId="6D8F03C2"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B446398" w14:textId="77777777" w:rsidR="00B44564" w:rsidRPr="005762E6" w:rsidRDefault="00B44564" w:rsidP="00EA69AA">
            <w:pPr>
              <w:spacing w:after="120" w:line="240" w:lineRule="auto"/>
              <w:contextualSpacing/>
              <w:rPr>
                <w:sz w:val="20"/>
                <w:szCs w:val="20"/>
              </w:rPr>
            </w:pPr>
            <w:r w:rsidRPr="005762E6">
              <w:rPr>
                <w:sz w:val="20"/>
                <w:szCs w:val="20"/>
              </w:rPr>
              <w:t>27</w:t>
            </w:r>
          </w:p>
        </w:tc>
        <w:tc>
          <w:tcPr>
            <w:tcW w:w="0" w:type="auto"/>
            <w:tcBorders>
              <w:top w:val="single" w:sz="6" w:space="0" w:color="auto"/>
              <w:left w:val="single" w:sz="6" w:space="0" w:color="auto"/>
              <w:bottom w:val="single" w:sz="6" w:space="0" w:color="auto"/>
              <w:right w:val="single" w:sz="6" w:space="0" w:color="auto"/>
            </w:tcBorders>
          </w:tcPr>
          <w:p w14:paraId="29AD7717"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EBE8205" w14:textId="79F9FB62" w:rsidR="00B44564" w:rsidRPr="005762E6" w:rsidRDefault="00B44564" w:rsidP="00EA69AA">
            <w:pPr>
              <w:spacing w:after="120" w:line="240" w:lineRule="auto"/>
              <w:contextualSpacing/>
              <w:rPr>
                <w:sz w:val="20"/>
                <w:szCs w:val="20"/>
              </w:rPr>
            </w:pPr>
            <w:r w:rsidRPr="005762E6">
              <w:rPr>
                <w:sz w:val="20"/>
                <w:szCs w:val="20"/>
              </w:rPr>
              <w:t xml:space="preserve">Rath </w:t>
            </w:r>
            <w:proofErr w:type="gramStart"/>
            <w:r w:rsidRPr="005762E6">
              <w:rPr>
                <w:sz w:val="20"/>
                <w:szCs w:val="20"/>
              </w:rPr>
              <w:t>J.M.,​</w:t>
            </w:r>
            <w:proofErr w:type="gramEnd"/>
            <w:r w:rsidRPr="005762E6">
              <w:rPr>
                <w:sz w:val="20"/>
                <w:szCs w:val="20"/>
              </w:rPr>
              <w:t xml:space="preserve">Greenberg M.,​Pitzer L.,​Emelle B.,​Green M.,​Liu S.,​Willett J.,​Rose S.W.,​Hair E.C.,​Vallone D. The association between menthol perceptions and support for a policy ban among US smokers. Ethnicity and Disease; </w:t>
            </w:r>
            <w:proofErr w:type="gramStart"/>
            <w:r w:rsidRPr="005762E6">
              <w:rPr>
                <w:sz w:val="20"/>
                <w:szCs w:val="20"/>
              </w:rPr>
              <w:t>2018;28:177</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adult,​African American,​age,​aged,​article,​*attitude to health,​Caucasian,​cigarette smoking,​controlled study,​cross-sectional study,​educational status,​ethnicity,​female,​Hispanic,​human,​male,​middle aged,​sex,​*smoking ban,​*social support,​young adult,​*menthol</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Objective: To examine the relationship between menthol perceptions and support for a national menthol ban. Design: Descriptive cross-sectional study. Participants: Data were collected from a nationally representative probability-based panel of adults aged =18 years during June </w:t>
            </w:r>
            <w:proofErr w:type="gramStart"/>
            <w:r w:rsidRPr="005762E6">
              <w:rPr>
                <w:sz w:val="20"/>
                <w:szCs w:val="20"/>
              </w:rPr>
              <w:t>21,​</w:t>
            </w:r>
            <w:proofErr w:type="gramEnd"/>
            <w:r w:rsidRPr="005762E6">
              <w:rPr>
                <w:sz w:val="20"/>
                <w:szCs w:val="20"/>
              </w:rPr>
              <w:t xml:space="preserve"> 2016 through July 18,​ 2016. A total of </w:t>
            </w:r>
            <w:proofErr w:type="gramStart"/>
            <w:r w:rsidRPr="005762E6">
              <w:rPr>
                <w:sz w:val="20"/>
                <w:szCs w:val="20"/>
              </w:rPr>
              <w:t>1,​</w:t>
            </w:r>
            <w:proofErr w:type="gramEnd"/>
            <w:r w:rsidRPr="005762E6">
              <w:rPr>
                <w:sz w:val="20"/>
                <w:szCs w:val="20"/>
              </w:rPr>
              <w:t xml:space="preserve"> 303 respondents,​ including an oversample of 300 African Americans,​ completed the survey. Main Outcome Measures: Weighted logistic regression models examined the relationship between menthol </w:t>
            </w:r>
            <w:proofErr w:type="gramStart"/>
            <w:r w:rsidRPr="005762E6">
              <w:rPr>
                <w:sz w:val="20"/>
                <w:szCs w:val="20"/>
              </w:rPr>
              <w:t>perceptions,​</w:t>
            </w:r>
            <w:proofErr w:type="gramEnd"/>
            <w:r w:rsidRPr="005762E6">
              <w:rPr>
                <w:sz w:val="20"/>
                <w:szCs w:val="20"/>
              </w:rPr>
              <w:t xml:space="preserve"> specifically related to health and addiction,​ and the outcome measure: support for a menthol ban,​ by menthol smoking status. All models controlled for </w:t>
            </w:r>
            <w:proofErr w:type="gramStart"/>
            <w:r w:rsidRPr="005762E6">
              <w:rPr>
                <w:sz w:val="20"/>
                <w:szCs w:val="20"/>
              </w:rPr>
              <w:t>age,​</w:t>
            </w:r>
            <w:proofErr w:type="gramEnd"/>
            <w:r w:rsidRPr="005762E6">
              <w:rPr>
                <w:sz w:val="20"/>
                <w:szCs w:val="20"/>
              </w:rPr>
              <w:t xml:space="preserve"> sex,​ education level,​ and race/ethnicity. Results: The association between reporting accurate menthol health perceptions differed by menthol </w:t>
            </w:r>
            <w:r w:rsidRPr="005762E6">
              <w:rPr>
                <w:sz w:val="20"/>
                <w:szCs w:val="20"/>
              </w:rPr>
              <w:lastRenderedPageBreak/>
              <w:t xml:space="preserve">preference. Among non-menthol </w:t>
            </w:r>
            <w:proofErr w:type="gramStart"/>
            <w:r w:rsidRPr="005762E6">
              <w:rPr>
                <w:sz w:val="20"/>
                <w:szCs w:val="20"/>
              </w:rPr>
              <w:t>smokers,​</w:t>
            </w:r>
            <w:proofErr w:type="gramEnd"/>
            <w:r w:rsidRPr="005762E6">
              <w:rPr>
                <w:sz w:val="20"/>
                <w:szCs w:val="20"/>
              </w:rPr>
              <w:t xml:space="preserve"> there was no association between accurate menthol health perceptions and support of a menthol ban while more accurate menthol perceptions of addiction were associated with greater support of a menthol ban (</w:t>
            </w:r>
            <w:r w:rsidR="00615483">
              <w:rPr>
                <w:sz w:val="20"/>
                <w:szCs w:val="20"/>
              </w:rPr>
              <w:t>AOR</w:t>
            </w:r>
            <w:r w:rsidRPr="005762E6">
              <w:rPr>
                <w:sz w:val="20"/>
                <w:szCs w:val="20"/>
              </w:rPr>
              <w:t xml:space="preserve">=2.83,​ CI=1.19-6.72). Among menthol </w:t>
            </w:r>
            <w:proofErr w:type="gramStart"/>
            <w:r w:rsidRPr="005762E6">
              <w:rPr>
                <w:sz w:val="20"/>
                <w:szCs w:val="20"/>
              </w:rPr>
              <w:t>smokers,​</w:t>
            </w:r>
            <w:proofErr w:type="gramEnd"/>
            <w:r w:rsidRPr="005762E6">
              <w:rPr>
                <w:sz w:val="20"/>
                <w:szCs w:val="20"/>
              </w:rPr>
              <w:t xml:space="preserve"> more accurate health-related menthol perceptions were associated with increased odds of supporting a menthol ban (</w:t>
            </w:r>
            <w:r w:rsidR="00615483">
              <w:rPr>
                <w:sz w:val="20"/>
                <w:szCs w:val="20"/>
              </w:rPr>
              <w:t>AOR</w:t>
            </w:r>
            <w:r w:rsidRPr="005762E6">
              <w:rPr>
                <w:sz w:val="20"/>
                <w:szCs w:val="20"/>
              </w:rPr>
              <w:t xml:space="preserve">=3.90,​ CI=1.02-14.79) while more accurate menthol addiction perceptions were not. Conclusions: Fewer current menthol smokers support a menthol ban than current non-menthol smokers given its effect on their preferred product. Given the large proportions of smokers who have misperceptions of the health consequences and addictive properties of </w:t>
            </w:r>
            <w:proofErr w:type="gramStart"/>
            <w:r w:rsidRPr="005762E6">
              <w:rPr>
                <w:sz w:val="20"/>
                <w:szCs w:val="20"/>
              </w:rPr>
              <w:t>menthol,​</w:t>
            </w:r>
            <w:proofErr w:type="gramEnd"/>
            <w:r w:rsidRPr="005762E6">
              <w:rPr>
                <w:sz w:val="20"/>
                <w:szCs w:val="20"/>
              </w:rPr>
              <w:t xml:space="preserve"> there is a moral imperative to inform those who use these products. Findings suggest the need for tailored messaging strategies targeted to reach menthol smokers who will be most impacted by a </w:t>
            </w:r>
            <w:proofErr w:type="gramStart"/>
            <w:r w:rsidRPr="005762E6">
              <w:rPr>
                <w:sz w:val="20"/>
                <w:szCs w:val="20"/>
              </w:rPr>
              <w:t>ban,​</w:t>
            </w:r>
            <w:proofErr w:type="gramEnd"/>
            <w:r w:rsidRPr="005762E6">
              <w:rPr>
                <w:sz w:val="20"/>
                <w:szCs w:val="20"/>
              </w:rPr>
              <w:t xml:space="preserve"> but also have the most to gain from such a policy change. Ethn Dis. 2018;28(3):177-186.Copyright © 2018 ISHIB. All rights reserved.</w:t>
            </w:r>
          </w:p>
        </w:tc>
      </w:tr>
      <w:tr w:rsidR="00B44564" w:rsidRPr="005762E6" w14:paraId="230687D8"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29012C1" w14:textId="77777777" w:rsidR="00B44564" w:rsidRPr="005762E6" w:rsidRDefault="00B44564" w:rsidP="00EA69AA">
            <w:pPr>
              <w:spacing w:after="120" w:line="240" w:lineRule="auto"/>
              <w:contextualSpacing/>
              <w:rPr>
                <w:sz w:val="20"/>
                <w:szCs w:val="20"/>
              </w:rPr>
            </w:pPr>
            <w:r w:rsidRPr="005762E6">
              <w:rPr>
                <w:sz w:val="20"/>
                <w:szCs w:val="20"/>
              </w:rPr>
              <w:lastRenderedPageBreak/>
              <w:t>36</w:t>
            </w:r>
          </w:p>
        </w:tc>
        <w:tc>
          <w:tcPr>
            <w:tcW w:w="0" w:type="auto"/>
            <w:tcBorders>
              <w:top w:val="single" w:sz="6" w:space="0" w:color="auto"/>
              <w:left w:val="single" w:sz="6" w:space="0" w:color="auto"/>
              <w:bottom w:val="single" w:sz="6" w:space="0" w:color="auto"/>
              <w:right w:val="single" w:sz="6" w:space="0" w:color="auto"/>
            </w:tcBorders>
          </w:tcPr>
          <w:p w14:paraId="0C2C3189"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67509D2" w14:textId="77777777" w:rsidR="00B44564" w:rsidRPr="005762E6" w:rsidRDefault="00B44564" w:rsidP="00EA69AA">
            <w:pPr>
              <w:spacing w:after="120" w:line="240" w:lineRule="auto"/>
              <w:contextualSpacing/>
              <w:rPr>
                <w:sz w:val="20"/>
                <w:szCs w:val="20"/>
              </w:rPr>
            </w:pPr>
            <w:r w:rsidRPr="005762E6">
              <w:rPr>
                <w:sz w:val="20"/>
                <w:szCs w:val="20"/>
              </w:rPr>
              <w:t>White W.B. Menthol cigarette use and subclinical cardiovascular disease in african americans in the jackson heart study. Circulation; 2018;137:</w:t>
            </w:r>
            <w:r w:rsidRPr="005762E6">
              <w:rPr>
                <w:sz w:val="20"/>
                <w:szCs w:val="20"/>
              </w:rPr>
              <w:br/>
            </w:r>
            <w:r w:rsidRPr="005762E6">
              <w:rPr>
                <w:sz w:val="20"/>
                <w:szCs w:val="20"/>
              </w:rPr>
              <w:br/>
            </w:r>
            <w:r w:rsidRPr="005762E6">
              <w:rPr>
                <w:b/>
                <w:bCs/>
                <w:sz w:val="20"/>
                <w:szCs w:val="20"/>
              </w:rPr>
              <w:t>Keywords:</w:t>
            </w:r>
            <w:r w:rsidRPr="005762E6">
              <w:rPr>
                <w:sz w:val="20"/>
                <w:szCs w:val="20"/>
              </w:rPr>
              <w:br/>
            </w:r>
            <w:proofErr w:type="gramStart"/>
            <w:r w:rsidRPr="005762E6">
              <w:rPr>
                <w:sz w:val="20"/>
                <w:szCs w:val="20"/>
              </w:rPr>
              <w:t>adult,​</w:t>
            </w:r>
            <w:proofErr w:type="gramEnd"/>
            <w:r w:rsidRPr="005762E6">
              <w:rPr>
                <w:sz w:val="20"/>
                <w:szCs w:val="20"/>
              </w:rPr>
              <w:t>*African American,​arterial wall thickness,​*carotid atherosclerosis,​*cigarette smoking,​computer assisted tomography,​*coronary artery,​death,​disease course,​female,​human,​iliac bone,​linear regression analysis,​major clinical study,​male,​calcium,​*menthol,​conference abstract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African Americans smoke menthol cigarettes at higher rates than other races and have a disproportionate burden of cardiovascular disease (CVD). Whereas smoking is a well described risk factor for </w:t>
            </w:r>
            <w:proofErr w:type="gramStart"/>
            <w:r w:rsidRPr="005762E6">
              <w:rPr>
                <w:sz w:val="20"/>
                <w:szCs w:val="20"/>
              </w:rPr>
              <w:t>CVD,​</w:t>
            </w:r>
            <w:proofErr w:type="gramEnd"/>
            <w:r w:rsidRPr="005762E6">
              <w:rPr>
                <w:sz w:val="20"/>
                <w:szCs w:val="20"/>
              </w:rPr>
              <w:t xml:space="preserve"> it is unclear if menthol cigarettes are associated with more or less risk. </w:t>
            </w:r>
            <w:proofErr w:type="gramStart"/>
            <w:r w:rsidRPr="005762E6">
              <w:rPr>
                <w:sz w:val="20"/>
                <w:szCs w:val="20"/>
              </w:rPr>
              <w:t>Therefore,​</w:t>
            </w:r>
            <w:proofErr w:type="gramEnd"/>
            <w:r w:rsidRPr="005762E6">
              <w:rPr>
                <w:sz w:val="20"/>
                <w:szCs w:val="20"/>
              </w:rPr>
              <w:t xml:space="preserve"> our aim was to evaluate the association between menthol cigarette use and subclinical atherosclerosis in the Jackson Heart Study (JHS). Methods: JHS participants (n=</w:t>
            </w:r>
            <w:proofErr w:type="gramStart"/>
            <w:r w:rsidRPr="005762E6">
              <w:rPr>
                <w:sz w:val="20"/>
                <w:szCs w:val="20"/>
              </w:rPr>
              <w:t>5,​</w:t>
            </w:r>
            <w:proofErr w:type="gramEnd"/>
            <w:r w:rsidRPr="005762E6">
              <w:rPr>
                <w:sz w:val="20"/>
                <w:szCs w:val="20"/>
              </w:rPr>
              <w:t>301) were classified by self-reported smoking status as current,​ past (smoked &gt;=400 cigarettes/life),​ or never smokers at Visit 1 (V1,​ 2000-2004). Menthol cigarette use data were captured at Visit 3 (V</w:t>
            </w:r>
            <w:proofErr w:type="gramStart"/>
            <w:r w:rsidRPr="005762E6">
              <w:rPr>
                <w:sz w:val="20"/>
                <w:szCs w:val="20"/>
              </w:rPr>
              <w:t>3,​</w:t>
            </w:r>
            <w:proofErr w:type="gramEnd"/>
            <w:r w:rsidRPr="005762E6">
              <w:rPr>
                <w:sz w:val="20"/>
                <w:szCs w:val="20"/>
              </w:rPr>
              <w:t xml:space="preserve"> 2009-2013). We used multivariable logistic and robust linear regression models to examine the associations between cigarette type and measures of subclinical atherosclerosis [carotid intimal medial thickness (</w:t>
            </w:r>
            <w:proofErr w:type="gramStart"/>
            <w:r w:rsidRPr="005762E6">
              <w:rPr>
                <w:sz w:val="20"/>
                <w:szCs w:val="20"/>
              </w:rPr>
              <w:t>CIMT,​</w:t>
            </w:r>
            <w:proofErr w:type="gramEnd"/>
            <w:r w:rsidRPr="005762E6">
              <w:rPr>
                <w:sz w:val="20"/>
                <w:szCs w:val="20"/>
              </w:rPr>
              <w:t xml:space="preserve"> Visit 1) and coronary artery calcium (CAC) or aorto-iliac calcium (AIC) by computed tomography (Visit 2,​ V2,​ 2005-2008)] to estimate beta-coefficients (adjusted differences) comparing menthol to non-menthol (reference group) smoking. Results: There were 401 current smokers with available data on cigarette preference including 326 menthol (81%) and 75 non-menthol (19%) smokers at V3. Menthol cigarette preference in current smokers was not associated with significant differences in measures of subclinical atherosclerosis: CIMT (beta-0.</w:t>
            </w:r>
            <w:proofErr w:type="gramStart"/>
            <w:r w:rsidRPr="005762E6">
              <w:rPr>
                <w:sz w:val="20"/>
                <w:szCs w:val="20"/>
              </w:rPr>
              <w:t>003,​</w:t>
            </w:r>
            <w:proofErr w:type="gramEnd"/>
            <w:r w:rsidRPr="005762E6">
              <w:rPr>
                <w:sz w:val="20"/>
                <w:szCs w:val="20"/>
              </w:rPr>
              <w:t xml:space="preserve"> 95% CI-0.053,​ 0.046,​ p=0.90); CAC (beta-0.20,​ 95% CI-1.09,​ 0.69,​ p=0.66) or AIC (beta-0.32,​ 95% CI-1.23,​ 0.59,​ p=0.48). Conclusion: Our study provides no evidence for an association of menthol cigarette use with subclinical atherosclerosis in African Americans. These findings warrant replication by studies that address the limitations of this </w:t>
            </w:r>
            <w:proofErr w:type="gramStart"/>
            <w:r w:rsidRPr="005762E6">
              <w:rPr>
                <w:sz w:val="20"/>
                <w:szCs w:val="20"/>
              </w:rPr>
              <w:t>study,​</w:t>
            </w:r>
            <w:proofErr w:type="gramEnd"/>
            <w:r w:rsidRPr="005762E6">
              <w:rPr>
                <w:sz w:val="20"/>
                <w:szCs w:val="20"/>
              </w:rPr>
              <w:t xml:space="preserve"> including the assumption that menthol smokers in V3 were long-term menthol smokers before V1 and V2,​ potential selection by exclusions of deaths related to smoking and CVD among participants at V3 and lack of longitudinal data on outcomes after the collection of menthol use data at V3.</w:t>
            </w:r>
          </w:p>
        </w:tc>
      </w:tr>
      <w:tr w:rsidR="00B44564" w:rsidRPr="005762E6" w14:paraId="23F8585E"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C96390B" w14:textId="77777777" w:rsidR="00B44564" w:rsidRPr="005762E6" w:rsidRDefault="00B44564" w:rsidP="00EA69AA">
            <w:pPr>
              <w:spacing w:after="120" w:line="240" w:lineRule="auto"/>
              <w:contextualSpacing/>
              <w:rPr>
                <w:sz w:val="20"/>
                <w:szCs w:val="20"/>
              </w:rPr>
            </w:pPr>
            <w:r w:rsidRPr="005762E6">
              <w:rPr>
                <w:sz w:val="20"/>
                <w:szCs w:val="20"/>
              </w:rPr>
              <w:t>37</w:t>
            </w:r>
          </w:p>
        </w:tc>
        <w:tc>
          <w:tcPr>
            <w:tcW w:w="0" w:type="auto"/>
            <w:tcBorders>
              <w:top w:val="single" w:sz="6" w:space="0" w:color="auto"/>
              <w:left w:val="single" w:sz="6" w:space="0" w:color="auto"/>
              <w:bottom w:val="single" w:sz="6" w:space="0" w:color="auto"/>
              <w:right w:val="single" w:sz="6" w:space="0" w:color="auto"/>
            </w:tcBorders>
          </w:tcPr>
          <w:p w14:paraId="3A173117"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6C30DE2" w14:textId="77777777" w:rsidR="00B44564" w:rsidRPr="005762E6" w:rsidRDefault="00B44564" w:rsidP="00EA69AA">
            <w:pPr>
              <w:spacing w:after="120" w:line="240" w:lineRule="auto"/>
              <w:contextualSpacing/>
              <w:rPr>
                <w:sz w:val="20"/>
                <w:szCs w:val="20"/>
              </w:rPr>
            </w:pPr>
            <w:r w:rsidRPr="005762E6">
              <w:rPr>
                <w:sz w:val="20"/>
                <w:szCs w:val="20"/>
              </w:rPr>
              <w:t xml:space="preserve">McKelvey </w:t>
            </w:r>
            <w:proofErr w:type="gramStart"/>
            <w:r w:rsidRPr="005762E6">
              <w:rPr>
                <w:sz w:val="20"/>
                <w:szCs w:val="20"/>
              </w:rPr>
              <w:t>K.,​</w:t>
            </w:r>
            <w:proofErr w:type="gramEnd"/>
            <w:r w:rsidRPr="005762E6">
              <w:rPr>
                <w:sz w:val="20"/>
                <w:szCs w:val="20"/>
              </w:rPr>
              <w:t>Halpern-Felsher B.,​Lazaro A. Youth-ascribed cigarette pack color meaning: Correct perceptions of green menthol flavor color,​ yet confusion over other colors. Journal of Adolescent Health; 2018;</w:t>
            </w:r>
            <w:proofErr w:type="gramStart"/>
            <w:r w:rsidRPr="005762E6">
              <w:rPr>
                <w:sz w:val="20"/>
                <w:szCs w:val="20"/>
              </w:rPr>
              <w:t>62:S</w:t>
            </w:r>
            <w:proofErr w:type="gramEnd"/>
            <w:r w:rsidRPr="005762E6">
              <w:rPr>
                <w:sz w:val="20"/>
                <w:szCs w:val="20"/>
              </w:rPr>
              <w:t>137.</w:t>
            </w:r>
            <w:r w:rsidRPr="005762E6">
              <w:rPr>
                <w:sz w:val="20"/>
                <w:szCs w:val="20"/>
              </w:rPr>
              <w:br/>
            </w:r>
            <w:r w:rsidRPr="005762E6">
              <w:rPr>
                <w:sz w:val="20"/>
                <w:szCs w:val="20"/>
              </w:rPr>
              <w:br/>
            </w:r>
            <w:r w:rsidRPr="005762E6">
              <w:rPr>
                <w:b/>
                <w:bCs/>
                <w:sz w:val="20"/>
                <w:szCs w:val="20"/>
              </w:rPr>
              <w:t>Keywords:</w:t>
            </w:r>
            <w:r w:rsidRPr="005762E6">
              <w:rPr>
                <w:sz w:val="20"/>
                <w:szCs w:val="20"/>
              </w:rPr>
              <w:br/>
              <w:t>adolescent,​*cigarette,​female,​*flavor,​food and drug administration,​human,​human experiment,​*juvenile,​major clinical study,​male,​marketing,​national health organization,​*perception,​tobacco industry,​menthol,​conference abstract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Purpose: Recent tobacco-advertising regulations greatly restrict the number and type of descriptors allowed on cigarette packages. </w:t>
            </w:r>
            <w:proofErr w:type="gramStart"/>
            <w:r w:rsidRPr="005762E6">
              <w:rPr>
                <w:sz w:val="20"/>
                <w:szCs w:val="20"/>
              </w:rPr>
              <w:t>Hence,​</w:t>
            </w:r>
            <w:proofErr w:type="gramEnd"/>
            <w:r w:rsidRPr="005762E6">
              <w:rPr>
                <w:sz w:val="20"/>
                <w:szCs w:val="20"/>
              </w:rPr>
              <w:t xml:space="preserve"> tobacco companies rely heavily on unregulated use of colors on cigarette packages to influence consumer perceptions of product attributes,​ including reduced health risks and specific flavor qualities. We endeavored to determine whether and what attributes youth attribute to colored cigarette packs. Methods: We showed 508 study participants (65.2% female; mean age 17.5) five </w:t>
            </w:r>
            <w:r w:rsidRPr="005762E6">
              <w:rPr>
                <w:sz w:val="20"/>
                <w:szCs w:val="20"/>
              </w:rPr>
              <w:lastRenderedPageBreak/>
              <w:t>Marlboro packs in colors commonly used by Philip Morris in the U.S. and abroad and a list of 12 cigarette-attributes also used by Philip Morris. We asked them to assign attributes to the cigarettes contained in the packages based solely on the pack color. Results: Participants demonstrated little agreement with industry and each other on cigarette-attributes associated with pack-</w:t>
            </w:r>
            <w:proofErr w:type="gramStart"/>
            <w:r w:rsidRPr="005762E6">
              <w:rPr>
                <w:sz w:val="20"/>
                <w:szCs w:val="20"/>
              </w:rPr>
              <w:t>colors,​</w:t>
            </w:r>
            <w:proofErr w:type="gramEnd"/>
            <w:r w:rsidRPr="005762E6">
              <w:rPr>
                <w:sz w:val="20"/>
                <w:szCs w:val="20"/>
              </w:rPr>
              <w:t xml:space="preserve"> with the exception of "menthol" with green. "Low tar" and "</w:t>
            </w:r>
            <w:proofErr w:type="spellStart"/>
            <w:r w:rsidRPr="005762E6">
              <w:rPr>
                <w:sz w:val="20"/>
                <w:szCs w:val="20"/>
              </w:rPr>
              <w:t>ultra light</w:t>
            </w:r>
            <w:proofErr w:type="spellEnd"/>
            <w:r w:rsidRPr="005762E6">
              <w:rPr>
                <w:sz w:val="20"/>
                <w:szCs w:val="20"/>
              </w:rPr>
              <w:t xml:space="preserve">" were most often chosen to describe the silver blue package. The correct interpretation of green as "menthol" could be due to tobacco-industry marketing of menthol to youth and youth being more likely to smoke menthol. Conclusions: Participants were likely too young to remember when cigarette packs included descriptors like "light" and "low tar;" thus the lack of association with pack-colors. The 2009 ban of descriptive words on cigarette packs may have been effective for youth. </w:t>
            </w:r>
            <w:proofErr w:type="gramStart"/>
            <w:r w:rsidRPr="005762E6">
              <w:rPr>
                <w:sz w:val="20"/>
                <w:szCs w:val="20"/>
              </w:rPr>
              <w:t>However,​</w:t>
            </w:r>
            <w:proofErr w:type="gramEnd"/>
            <w:r w:rsidRPr="005762E6">
              <w:rPr>
                <w:sz w:val="20"/>
                <w:szCs w:val="20"/>
              </w:rPr>
              <w:t xml:space="preserve"> since youth associated "light" with the "whitest" color and menthol with green suggests further regulation of packaging may be needed. Plain packaging and unflavored cigarettes may reduce uptake among youth. Sources of Support: Grant number 1P50CA180890 from the National Cancer Institute (NCI) and the Food and Drug Administration Center for Tobacco Products. Dr. McKelvey was supported by NCI grant number T32 CA113710-11.</w:t>
            </w:r>
          </w:p>
        </w:tc>
      </w:tr>
      <w:tr w:rsidR="00B44564" w:rsidRPr="005762E6" w14:paraId="2425896C"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962C9A5" w14:textId="77777777" w:rsidR="00B44564" w:rsidRPr="005762E6" w:rsidRDefault="00B44564" w:rsidP="00EA69AA">
            <w:pPr>
              <w:spacing w:after="120" w:line="240" w:lineRule="auto"/>
              <w:contextualSpacing/>
              <w:rPr>
                <w:sz w:val="20"/>
                <w:szCs w:val="20"/>
              </w:rPr>
            </w:pPr>
            <w:r w:rsidRPr="005762E6">
              <w:rPr>
                <w:sz w:val="20"/>
                <w:szCs w:val="20"/>
              </w:rPr>
              <w:lastRenderedPageBreak/>
              <w:t>42</w:t>
            </w:r>
          </w:p>
        </w:tc>
        <w:tc>
          <w:tcPr>
            <w:tcW w:w="0" w:type="auto"/>
            <w:tcBorders>
              <w:top w:val="single" w:sz="6" w:space="0" w:color="auto"/>
              <w:left w:val="single" w:sz="6" w:space="0" w:color="auto"/>
              <w:bottom w:val="single" w:sz="6" w:space="0" w:color="auto"/>
              <w:right w:val="single" w:sz="6" w:space="0" w:color="auto"/>
            </w:tcBorders>
          </w:tcPr>
          <w:p w14:paraId="2DDE7AF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B1FF5CD" w14:textId="77777777" w:rsidR="00B44564" w:rsidRPr="005762E6" w:rsidRDefault="00B44564" w:rsidP="00EA69AA">
            <w:pPr>
              <w:spacing w:after="120" w:line="240" w:lineRule="auto"/>
              <w:contextualSpacing/>
              <w:rPr>
                <w:sz w:val="20"/>
                <w:szCs w:val="20"/>
              </w:rPr>
            </w:pPr>
            <w:r w:rsidRPr="005762E6">
              <w:rPr>
                <w:sz w:val="20"/>
                <w:szCs w:val="20"/>
              </w:rPr>
              <w:t xml:space="preserve">Folan </w:t>
            </w:r>
            <w:proofErr w:type="gramStart"/>
            <w:r w:rsidRPr="005762E6">
              <w:rPr>
                <w:sz w:val="20"/>
                <w:szCs w:val="20"/>
              </w:rPr>
              <w:t>P.,​</w:t>
            </w:r>
            <w:proofErr w:type="gramEnd"/>
            <w:r w:rsidRPr="005762E6">
              <w:rPr>
                <w:sz w:val="20"/>
                <w:szCs w:val="20"/>
              </w:rPr>
              <w:t>Abramova R.,​Fardellone C.,​Neptune E.,​Sockrider M. Atient education ,​ Information series: What is menthol?. American Journal of Respiratory and Critical Care Medicine; 2017;</w:t>
            </w:r>
            <w:proofErr w:type="gramStart"/>
            <w:r w:rsidRPr="005762E6">
              <w:rPr>
                <w:sz w:val="20"/>
                <w:szCs w:val="20"/>
              </w:rPr>
              <w:t>196:P</w:t>
            </w:r>
            <w:proofErr w:type="gramEnd"/>
            <w:r w:rsidRPr="005762E6">
              <w:rPr>
                <w:sz w:val="20"/>
                <w:szCs w:val="20"/>
              </w:rPr>
              <w:t>9.</w:t>
            </w:r>
            <w:r w:rsidRPr="005762E6">
              <w:rPr>
                <w:sz w:val="20"/>
                <w:szCs w:val="20"/>
              </w:rPr>
              <w:br/>
            </w:r>
            <w:r w:rsidRPr="005762E6">
              <w:rPr>
                <w:sz w:val="20"/>
                <w:szCs w:val="20"/>
              </w:rPr>
              <w:br/>
            </w:r>
            <w:r w:rsidRPr="005762E6">
              <w:rPr>
                <w:b/>
                <w:bCs/>
                <w:sz w:val="20"/>
                <w:szCs w:val="20"/>
              </w:rPr>
              <w:t>Keywords:</w:t>
            </w:r>
            <w:r w:rsidRPr="005762E6">
              <w:rPr>
                <w:sz w:val="20"/>
                <w:szCs w:val="20"/>
              </w:rPr>
              <w:br/>
              <w:t>African American,​health hazard,​human,​population,​priority journal,​short survey,​smoking,​smoking cessation,​*tobacco,​tobacco dependence,​tobacco industry,​cigarette smoke,​*menthol,​peppermint</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6857B64D"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F15C6CE" w14:textId="77777777" w:rsidR="00B44564" w:rsidRPr="005762E6" w:rsidRDefault="00B44564" w:rsidP="00EA69AA">
            <w:pPr>
              <w:spacing w:after="120" w:line="240" w:lineRule="auto"/>
              <w:contextualSpacing/>
              <w:rPr>
                <w:sz w:val="20"/>
                <w:szCs w:val="20"/>
              </w:rPr>
            </w:pPr>
            <w:r w:rsidRPr="005762E6">
              <w:rPr>
                <w:sz w:val="20"/>
                <w:szCs w:val="20"/>
              </w:rPr>
              <w:t>43</w:t>
            </w:r>
          </w:p>
        </w:tc>
        <w:tc>
          <w:tcPr>
            <w:tcW w:w="0" w:type="auto"/>
            <w:tcBorders>
              <w:top w:val="single" w:sz="6" w:space="0" w:color="auto"/>
              <w:left w:val="single" w:sz="6" w:space="0" w:color="auto"/>
              <w:bottom w:val="single" w:sz="6" w:space="0" w:color="auto"/>
              <w:right w:val="single" w:sz="6" w:space="0" w:color="auto"/>
            </w:tcBorders>
          </w:tcPr>
          <w:p w14:paraId="1178AD1F"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D964165" w14:textId="77777777" w:rsidR="00B44564" w:rsidRPr="005762E6" w:rsidRDefault="00B44564" w:rsidP="00EA69AA">
            <w:pPr>
              <w:spacing w:after="120" w:line="240" w:lineRule="auto"/>
              <w:contextualSpacing/>
              <w:rPr>
                <w:sz w:val="20"/>
                <w:szCs w:val="20"/>
              </w:rPr>
            </w:pPr>
            <w:r w:rsidRPr="005762E6">
              <w:rPr>
                <w:sz w:val="20"/>
                <w:szCs w:val="20"/>
              </w:rPr>
              <w:t xml:space="preserve">Farber </w:t>
            </w:r>
            <w:proofErr w:type="gramStart"/>
            <w:r w:rsidRPr="005762E6">
              <w:rPr>
                <w:sz w:val="20"/>
                <w:szCs w:val="20"/>
              </w:rPr>
              <w:t>H.J.,​</w:t>
            </w:r>
            <w:proofErr w:type="gramEnd"/>
            <w:r w:rsidRPr="005762E6">
              <w:rPr>
                <w:sz w:val="20"/>
                <w:szCs w:val="20"/>
              </w:rPr>
              <w:t xml:space="preserve">Folan P. The tobacco industry targets youth. American Journal of Respiratory and Critical Care Medicine; </w:t>
            </w:r>
            <w:proofErr w:type="gramStart"/>
            <w:r w:rsidRPr="005762E6">
              <w:rPr>
                <w:sz w:val="20"/>
                <w:szCs w:val="20"/>
              </w:rPr>
              <w:t>2017;196:11</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advertising,​electronic cigarette,​flavor,​human,​law suit,​note,​priority journal,​smoking,​tax,​tobacco,​tobacco dependence,​*tobacco industry,​United States,​menthol,​nicotine</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34E16C6D"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7F9966C" w14:textId="77777777" w:rsidR="00B44564" w:rsidRPr="005762E6" w:rsidRDefault="00B44564" w:rsidP="00EA69AA">
            <w:pPr>
              <w:spacing w:after="120" w:line="240" w:lineRule="auto"/>
              <w:contextualSpacing/>
              <w:rPr>
                <w:sz w:val="20"/>
                <w:szCs w:val="20"/>
              </w:rPr>
            </w:pPr>
            <w:r w:rsidRPr="005762E6">
              <w:rPr>
                <w:sz w:val="20"/>
                <w:szCs w:val="20"/>
              </w:rPr>
              <w:t>44</w:t>
            </w:r>
          </w:p>
        </w:tc>
        <w:tc>
          <w:tcPr>
            <w:tcW w:w="0" w:type="auto"/>
            <w:tcBorders>
              <w:top w:val="single" w:sz="6" w:space="0" w:color="auto"/>
              <w:left w:val="single" w:sz="6" w:space="0" w:color="auto"/>
              <w:bottom w:val="single" w:sz="6" w:space="0" w:color="auto"/>
              <w:right w:val="single" w:sz="6" w:space="0" w:color="auto"/>
            </w:tcBorders>
          </w:tcPr>
          <w:p w14:paraId="0D0C56AC"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D65C91F" w14:textId="77777777" w:rsidR="00B44564" w:rsidRPr="005762E6" w:rsidRDefault="00B44564" w:rsidP="00EA69AA">
            <w:pPr>
              <w:spacing w:after="120" w:line="240" w:lineRule="auto"/>
              <w:contextualSpacing/>
              <w:rPr>
                <w:sz w:val="20"/>
                <w:szCs w:val="20"/>
              </w:rPr>
            </w:pPr>
            <w:r w:rsidRPr="005762E6">
              <w:rPr>
                <w:sz w:val="20"/>
                <w:szCs w:val="20"/>
              </w:rPr>
              <w:t xml:space="preserve">Munafo M. Understanding the role of additives in tobacco products. Nicotine and Tobacco Research; </w:t>
            </w:r>
            <w:proofErr w:type="gramStart"/>
            <w:r w:rsidRPr="005762E6">
              <w:rPr>
                <w:sz w:val="20"/>
                <w:szCs w:val="20"/>
              </w:rPr>
              <w:t>2016;18:1545</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drug self-administration,​editorial,​human,​nonhuman,​practice guideline,​priority journal,​risk assessment,​*smoking,​tobacco dependence,​tobacco use,​ammonia,​menthol,​nicotine,​tobacco smoke</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5A4DC552"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70953FC" w14:textId="77777777" w:rsidR="00B44564" w:rsidRPr="005762E6" w:rsidRDefault="00B44564" w:rsidP="00EA69AA">
            <w:pPr>
              <w:spacing w:after="120" w:line="240" w:lineRule="auto"/>
              <w:contextualSpacing/>
              <w:rPr>
                <w:sz w:val="20"/>
                <w:szCs w:val="20"/>
              </w:rPr>
            </w:pPr>
            <w:r w:rsidRPr="005762E6">
              <w:rPr>
                <w:sz w:val="20"/>
                <w:szCs w:val="20"/>
              </w:rPr>
              <w:t>45</w:t>
            </w:r>
          </w:p>
        </w:tc>
        <w:tc>
          <w:tcPr>
            <w:tcW w:w="0" w:type="auto"/>
            <w:tcBorders>
              <w:top w:val="single" w:sz="6" w:space="0" w:color="auto"/>
              <w:left w:val="single" w:sz="6" w:space="0" w:color="auto"/>
              <w:bottom w:val="single" w:sz="6" w:space="0" w:color="auto"/>
              <w:right w:val="single" w:sz="6" w:space="0" w:color="auto"/>
            </w:tcBorders>
          </w:tcPr>
          <w:p w14:paraId="4BE7C1D7"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5042009" w14:textId="77777777" w:rsidR="00B44564" w:rsidRPr="005762E6" w:rsidRDefault="00B44564" w:rsidP="00EA69AA">
            <w:pPr>
              <w:spacing w:after="120" w:line="240" w:lineRule="auto"/>
              <w:contextualSpacing/>
              <w:rPr>
                <w:sz w:val="20"/>
                <w:szCs w:val="20"/>
              </w:rPr>
            </w:pPr>
            <w:r w:rsidRPr="005762E6">
              <w:rPr>
                <w:sz w:val="20"/>
                <w:szCs w:val="20"/>
              </w:rPr>
              <w:t xml:space="preserve">Warner </w:t>
            </w:r>
            <w:proofErr w:type="gramStart"/>
            <w:r w:rsidRPr="005762E6">
              <w:rPr>
                <w:sz w:val="20"/>
                <w:szCs w:val="20"/>
              </w:rPr>
              <w:t>K.E.,​</w:t>
            </w:r>
            <w:proofErr w:type="gramEnd"/>
            <w:r w:rsidRPr="005762E6">
              <w:rPr>
                <w:sz w:val="20"/>
                <w:szCs w:val="20"/>
              </w:rPr>
              <w:t xml:space="preserve">Schroeder S.A. FDA's innovative plan to address the enormous toll of smoking. JAMA - Journal of the American Medical Association; </w:t>
            </w:r>
            <w:proofErr w:type="gramStart"/>
            <w:r w:rsidRPr="005762E6">
              <w:rPr>
                <w:sz w:val="20"/>
                <w:szCs w:val="20"/>
              </w:rPr>
              <w:t>2017;318:1755</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addiction,​disease burden,​*food and drug administration,​government regulation,​harm reduction,​*health care planning,​health care policy,​human,​priority journal,​product development,​product safety,​risk reduction,​short survey,​*smoking,​smoking cessation,​tobacco dependence,​tobacco use,​vaping,​menthol,​nicotine,​tobacco smoke</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77B6009B"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497C2A3" w14:textId="77777777" w:rsidR="00B44564" w:rsidRPr="005762E6" w:rsidRDefault="00B44564" w:rsidP="00EA69AA">
            <w:pPr>
              <w:spacing w:after="120" w:line="240" w:lineRule="auto"/>
              <w:contextualSpacing/>
              <w:rPr>
                <w:sz w:val="20"/>
                <w:szCs w:val="20"/>
              </w:rPr>
            </w:pPr>
            <w:r w:rsidRPr="005762E6">
              <w:rPr>
                <w:sz w:val="20"/>
                <w:szCs w:val="20"/>
              </w:rPr>
              <w:t>49</w:t>
            </w:r>
          </w:p>
        </w:tc>
        <w:tc>
          <w:tcPr>
            <w:tcW w:w="0" w:type="auto"/>
            <w:tcBorders>
              <w:top w:val="single" w:sz="6" w:space="0" w:color="auto"/>
              <w:left w:val="single" w:sz="6" w:space="0" w:color="auto"/>
              <w:bottom w:val="single" w:sz="6" w:space="0" w:color="auto"/>
              <w:right w:val="single" w:sz="6" w:space="0" w:color="auto"/>
            </w:tcBorders>
          </w:tcPr>
          <w:p w14:paraId="7D12DDF9"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7DA95E9" w14:textId="77777777" w:rsidR="00B44564" w:rsidRPr="005762E6" w:rsidRDefault="00B44564" w:rsidP="00EA69AA">
            <w:pPr>
              <w:spacing w:after="120" w:line="240" w:lineRule="auto"/>
              <w:contextualSpacing/>
              <w:rPr>
                <w:sz w:val="20"/>
                <w:szCs w:val="20"/>
              </w:rPr>
            </w:pPr>
            <w:r w:rsidRPr="005762E6">
              <w:rPr>
                <w:sz w:val="20"/>
                <w:szCs w:val="20"/>
              </w:rPr>
              <w:t>Montgomery L.T. Mentholated cigarette use among African American women and men: What's blunt smoking got to do with it?. Drug and Alcohol Dependence; 2017;</w:t>
            </w:r>
            <w:proofErr w:type="gramStart"/>
            <w:r w:rsidRPr="005762E6">
              <w:rPr>
                <w:sz w:val="20"/>
                <w:szCs w:val="20"/>
              </w:rPr>
              <w:t>171:e</w:t>
            </w:r>
            <w:proofErr w:type="gramEnd"/>
            <w:r w:rsidRPr="005762E6">
              <w:rPr>
                <w:sz w:val="20"/>
                <w:szCs w:val="20"/>
              </w:rPr>
              <w:t>148.</w:t>
            </w:r>
            <w:r w:rsidRPr="005762E6">
              <w:rPr>
                <w:sz w:val="20"/>
                <w:szCs w:val="20"/>
              </w:rPr>
              <w:br/>
            </w:r>
            <w:r w:rsidRPr="005762E6">
              <w:rPr>
                <w:sz w:val="20"/>
                <w:szCs w:val="20"/>
              </w:rPr>
              <w:br/>
            </w:r>
            <w:r w:rsidRPr="005762E6">
              <w:rPr>
                <w:b/>
                <w:bCs/>
                <w:sz w:val="20"/>
                <w:szCs w:val="20"/>
              </w:rPr>
              <w:lastRenderedPageBreak/>
              <w:t>Keywords:</w:t>
            </w:r>
            <w:r w:rsidRPr="005762E6">
              <w:rPr>
                <w:sz w:val="20"/>
                <w:szCs w:val="20"/>
              </w:rPr>
              <w:br/>
              <w:t>adult,​*African American,​female,​human,​major clinical study,​male,​onset age,​probability,​public health problem,​secondary analysis,​*smoking,​menthol</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Aims: The present study was designed to examine the relationship between two significant public health problems,​ blunt and mentholated cigarette use,​ among African American women and men. Methods: A secondary analysis of data from the 2013 National Survey on Drug Use and Health was conducted to examine if past month blunt use and age of onset of first blunt use predicted past month mentholated cigarette use among African American women (n = 320) and men (n = 447). Results: Approximately 43% of past month menthol cigarette smokers reported smoking blunts in the past month. Logistic regression analyses revealed that past month blunt use did not predict past month mentholated cigarette use among women or men. </w:t>
            </w:r>
            <w:proofErr w:type="gramStart"/>
            <w:r w:rsidRPr="005762E6">
              <w:rPr>
                <w:sz w:val="20"/>
                <w:szCs w:val="20"/>
              </w:rPr>
              <w:t>Further,​</w:t>
            </w:r>
            <w:proofErr w:type="gramEnd"/>
            <w:r w:rsidRPr="005762E6">
              <w:rPr>
                <w:sz w:val="20"/>
                <w:szCs w:val="20"/>
              </w:rPr>
              <w:t xml:space="preserve"> the age of blunt use onset did not predict past month mentholated cigarette use among men. </w:t>
            </w:r>
            <w:proofErr w:type="gramStart"/>
            <w:r w:rsidRPr="005762E6">
              <w:rPr>
                <w:sz w:val="20"/>
                <w:szCs w:val="20"/>
              </w:rPr>
              <w:t>However,​</w:t>
            </w:r>
            <w:proofErr w:type="gramEnd"/>
            <w:r w:rsidRPr="005762E6">
              <w:rPr>
                <w:sz w:val="20"/>
                <w:szCs w:val="20"/>
              </w:rPr>
              <w:t xml:space="preserve"> late onset of blunt use among women was associated with a greater probability of past month mentholated cigarette use (AOR = 1.19,​ 95% CI = 1.10-1.29,​ p &lt; 0.01). Conclusions: More research is needed to examine the relationship between blunts and menthol </w:t>
            </w:r>
            <w:proofErr w:type="gramStart"/>
            <w:r w:rsidRPr="005762E6">
              <w:rPr>
                <w:sz w:val="20"/>
                <w:szCs w:val="20"/>
              </w:rPr>
              <w:t>cigarettes,​</w:t>
            </w:r>
            <w:proofErr w:type="gramEnd"/>
            <w:r w:rsidRPr="005762E6">
              <w:rPr>
                <w:sz w:val="20"/>
                <w:szCs w:val="20"/>
              </w:rPr>
              <w:t xml:space="preserve"> especially among African American women who initiate blunt use as an adult.</w:t>
            </w:r>
          </w:p>
        </w:tc>
      </w:tr>
      <w:tr w:rsidR="00B44564" w:rsidRPr="005762E6" w14:paraId="781A1881"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C4228E8" w14:textId="77777777" w:rsidR="00B44564" w:rsidRPr="005762E6" w:rsidRDefault="00B44564" w:rsidP="00EA69AA">
            <w:pPr>
              <w:spacing w:after="120" w:line="240" w:lineRule="auto"/>
              <w:contextualSpacing/>
              <w:rPr>
                <w:sz w:val="20"/>
                <w:szCs w:val="20"/>
              </w:rPr>
            </w:pPr>
            <w:r w:rsidRPr="005762E6">
              <w:rPr>
                <w:sz w:val="20"/>
                <w:szCs w:val="20"/>
              </w:rPr>
              <w:lastRenderedPageBreak/>
              <w:t>59</w:t>
            </w:r>
          </w:p>
        </w:tc>
        <w:tc>
          <w:tcPr>
            <w:tcW w:w="0" w:type="auto"/>
            <w:tcBorders>
              <w:top w:val="single" w:sz="6" w:space="0" w:color="auto"/>
              <w:left w:val="single" w:sz="6" w:space="0" w:color="auto"/>
              <w:bottom w:val="single" w:sz="6" w:space="0" w:color="auto"/>
              <w:right w:val="single" w:sz="6" w:space="0" w:color="auto"/>
            </w:tcBorders>
          </w:tcPr>
          <w:p w14:paraId="312803A8"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721006C" w14:textId="77777777" w:rsidR="00B44564" w:rsidRPr="005762E6" w:rsidRDefault="00B44564" w:rsidP="00EA69AA">
            <w:pPr>
              <w:spacing w:after="120" w:line="240" w:lineRule="auto"/>
              <w:contextualSpacing/>
              <w:rPr>
                <w:sz w:val="20"/>
                <w:szCs w:val="20"/>
              </w:rPr>
            </w:pPr>
            <w:r w:rsidRPr="005762E6">
              <w:rPr>
                <w:sz w:val="20"/>
                <w:szCs w:val="20"/>
              </w:rPr>
              <w:t xml:space="preserve">Anonymous. A growing gulf in the terrain of tobacco control. The Lancet; </w:t>
            </w:r>
            <w:proofErr w:type="gramStart"/>
            <w:r w:rsidRPr="005762E6">
              <w:rPr>
                <w:sz w:val="20"/>
                <w:szCs w:val="20"/>
              </w:rPr>
              <w:t>2016;387:2163</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advertising,​Australia,​Canada,​editorial,​England,​Europe,​France,​human,​India,​Ireland,​law suit,​lowest income group,​New Zealand,​</w:t>
            </w:r>
            <w:proofErr w:type="spellStart"/>
            <w:r w:rsidRPr="005762E6">
              <w:rPr>
                <w:sz w:val="20"/>
                <w:szCs w:val="20"/>
              </w:rPr>
              <w:t>non communicable</w:t>
            </w:r>
            <w:proofErr w:type="spellEnd"/>
            <w:r w:rsidRPr="005762E6">
              <w:rPr>
                <w:sz w:val="20"/>
                <w:szCs w:val="20"/>
              </w:rPr>
              <w:t xml:space="preserve"> disease,​*packaging,​patent,​priority journal,​smoking,​*smoking ban,​South Africa,​sustainable development,​tax,​United Kingdom,​world health organization,​menthol</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7089AA38"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C2B14F0" w14:textId="77777777" w:rsidR="00B44564" w:rsidRPr="005762E6" w:rsidRDefault="00B44564" w:rsidP="00EA69AA">
            <w:pPr>
              <w:spacing w:after="120" w:line="240" w:lineRule="auto"/>
              <w:contextualSpacing/>
              <w:rPr>
                <w:sz w:val="20"/>
                <w:szCs w:val="20"/>
              </w:rPr>
            </w:pPr>
            <w:r w:rsidRPr="005762E6">
              <w:rPr>
                <w:sz w:val="20"/>
                <w:szCs w:val="20"/>
              </w:rPr>
              <w:t>60</w:t>
            </w:r>
          </w:p>
        </w:tc>
        <w:tc>
          <w:tcPr>
            <w:tcW w:w="0" w:type="auto"/>
            <w:tcBorders>
              <w:top w:val="single" w:sz="6" w:space="0" w:color="auto"/>
              <w:left w:val="single" w:sz="6" w:space="0" w:color="auto"/>
              <w:bottom w:val="single" w:sz="6" w:space="0" w:color="auto"/>
              <w:right w:val="single" w:sz="6" w:space="0" w:color="auto"/>
            </w:tcBorders>
          </w:tcPr>
          <w:p w14:paraId="3BCEE945"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BD7CABF" w14:textId="77777777" w:rsidR="00B44564" w:rsidRPr="005762E6" w:rsidRDefault="00B44564" w:rsidP="00EA69AA">
            <w:pPr>
              <w:spacing w:after="120" w:line="240" w:lineRule="auto"/>
              <w:contextualSpacing/>
              <w:rPr>
                <w:sz w:val="20"/>
                <w:szCs w:val="20"/>
              </w:rPr>
            </w:pPr>
            <w:r w:rsidRPr="005762E6">
              <w:rPr>
                <w:sz w:val="20"/>
                <w:szCs w:val="20"/>
              </w:rPr>
              <w:t xml:space="preserve">Meier </w:t>
            </w:r>
            <w:proofErr w:type="gramStart"/>
            <w:r w:rsidRPr="005762E6">
              <w:rPr>
                <w:sz w:val="20"/>
                <w:szCs w:val="20"/>
              </w:rPr>
              <w:t>E.,​</w:t>
            </w:r>
            <w:proofErr w:type="gramEnd"/>
            <w:r w:rsidRPr="005762E6">
              <w:rPr>
                <w:sz w:val="20"/>
                <w:szCs w:val="20"/>
              </w:rPr>
              <w:t>Vogel R.I.,​O'Connor R.J.,​Severson H.H.,​Shields P.G.,​Hatsukami D.K. Preference for flavored noncombustible nicotine products among smokers motivated to switch from cigarettes. Nicotine and Tobacco Research; 2016;18:892.</w:t>
            </w:r>
            <w:r w:rsidRPr="005762E6">
              <w:rPr>
                <w:sz w:val="20"/>
                <w:szCs w:val="20"/>
              </w:rPr>
              <w:br/>
            </w:r>
            <w:r w:rsidRPr="005762E6">
              <w:rPr>
                <w:sz w:val="20"/>
                <w:szCs w:val="20"/>
              </w:rPr>
              <w:br/>
            </w:r>
            <w:r w:rsidRPr="005762E6">
              <w:rPr>
                <w:b/>
                <w:bCs/>
                <w:sz w:val="20"/>
                <w:szCs w:val="20"/>
              </w:rPr>
              <w:t>Keywords:</w:t>
            </w:r>
            <w:r w:rsidRPr="005762E6">
              <w:rPr>
                <w:sz w:val="20"/>
                <w:szCs w:val="20"/>
              </w:rPr>
              <w:br/>
              <w:t>adult,​*attitude to health,​Caucasian,​commercial phenomena,​comparative study,​controlled study,​demography,​female,​human,​letter,​male,​motivation,​onset age,​parameters,​priority journal,​questionnaire,​randomized controlled trial (topic),​smokeless tobacco,​*smoking,​*smoking and smoking related phenomena,​*nicotine derivative,​nicotine gum,​unclassified drug,​*cigarette switch,​cigarettes per day,​cinnamon flavor,​fruit flavor,​mint flavor,​</w:t>
            </w:r>
            <w:proofErr w:type="spellStart"/>
            <w:r w:rsidRPr="005762E6">
              <w:rPr>
                <w:sz w:val="20"/>
                <w:szCs w:val="20"/>
              </w:rPr>
              <w:t>non menthol</w:t>
            </w:r>
            <w:proofErr w:type="spellEnd"/>
            <w:r w:rsidRPr="005762E6">
              <w:rPr>
                <w:sz w:val="20"/>
                <w:szCs w:val="20"/>
              </w:rPr>
              <w:t xml:space="preserve"> cigarette,​*flavored noncombustible nicotine product</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7D714BAB"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C542652" w14:textId="77777777" w:rsidR="00B44564" w:rsidRPr="005762E6" w:rsidRDefault="00B44564" w:rsidP="00EA69AA">
            <w:pPr>
              <w:spacing w:after="120" w:line="240" w:lineRule="auto"/>
              <w:contextualSpacing/>
              <w:rPr>
                <w:sz w:val="20"/>
                <w:szCs w:val="20"/>
              </w:rPr>
            </w:pPr>
            <w:r w:rsidRPr="005762E6">
              <w:rPr>
                <w:sz w:val="20"/>
                <w:szCs w:val="20"/>
              </w:rPr>
              <w:t>62</w:t>
            </w:r>
          </w:p>
        </w:tc>
        <w:tc>
          <w:tcPr>
            <w:tcW w:w="0" w:type="auto"/>
            <w:tcBorders>
              <w:top w:val="single" w:sz="6" w:space="0" w:color="auto"/>
              <w:left w:val="single" w:sz="6" w:space="0" w:color="auto"/>
              <w:bottom w:val="single" w:sz="6" w:space="0" w:color="auto"/>
              <w:right w:val="single" w:sz="6" w:space="0" w:color="auto"/>
            </w:tcBorders>
          </w:tcPr>
          <w:p w14:paraId="734EFAEB"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7FCEF33" w14:textId="77777777" w:rsidR="00B44564" w:rsidRPr="005762E6" w:rsidRDefault="00B44564" w:rsidP="00EA69AA">
            <w:pPr>
              <w:spacing w:after="120" w:line="240" w:lineRule="auto"/>
              <w:contextualSpacing/>
              <w:rPr>
                <w:sz w:val="20"/>
                <w:szCs w:val="20"/>
              </w:rPr>
            </w:pPr>
            <w:r w:rsidRPr="005762E6">
              <w:rPr>
                <w:sz w:val="20"/>
                <w:szCs w:val="20"/>
              </w:rPr>
              <w:t xml:space="preserve">Munro </w:t>
            </w:r>
            <w:proofErr w:type="gramStart"/>
            <w:r w:rsidRPr="005762E6">
              <w:rPr>
                <w:sz w:val="20"/>
                <w:szCs w:val="20"/>
              </w:rPr>
              <w:t>H.M.,​</w:t>
            </w:r>
            <w:proofErr w:type="gramEnd"/>
            <w:r w:rsidRPr="005762E6">
              <w:rPr>
                <w:sz w:val="20"/>
                <w:szCs w:val="20"/>
              </w:rPr>
              <w:t>Tarone R.E.,​Wang T.J.,​Blot W.J. Menthol and nonmenthol cigarette smoking. Circulation; 2016;133:1861.</w:t>
            </w:r>
            <w:r w:rsidRPr="005762E6">
              <w:rPr>
                <w:sz w:val="20"/>
                <w:szCs w:val="20"/>
              </w:rPr>
              <w:br/>
            </w:r>
            <w:r w:rsidRPr="005762E6">
              <w:rPr>
                <w:sz w:val="20"/>
                <w:szCs w:val="20"/>
              </w:rPr>
              <w:br/>
            </w:r>
            <w:r w:rsidRPr="005762E6">
              <w:rPr>
                <w:b/>
                <w:bCs/>
                <w:sz w:val="20"/>
                <w:szCs w:val="20"/>
              </w:rPr>
              <w:t>Keywords:</w:t>
            </w:r>
            <w:r w:rsidRPr="005762E6">
              <w:rPr>
                <w:sz w:val="20"/>
                <w:szCs w:val="20"/>
              </w:rPr>
              <w:br/>
              <w:t>article,​Black person,​body mass,​*cardiovascular disease,​Caucasian,​cause of death,​cerebrovascular accident,​chronic obstructive lung disease,​cohort analysis,​disease association,​female,​follow up,​heart disease,​human,​lung cancer,​major clinical study,​male,​mortality,​priority journal,​prospective study,​*smoking,​*menthol</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 In contrast to whites,​ black smokers prefer menthol cigarettes over nonmenthol cigarettes by a large margin and tend to have higher mortality from several smoking-related diseases than whites,​ raising the possibility that menthol cigarettes contribute to racial disparities in risk. Evidence for differential associations between menthol and nonmenthol cigarettes indicates lower cancer risk for menthol </w:t>
            </w:r>
            <w:proofErr w:type="gramStart"/>
            <w:r w:rsidRPr="005762E6">
              <w:rPr>
                <w:sz w:val="20"/>
                <w:szCs w:val="20"/>
              </w:rPr>
              <w:t>smokers,​</w:t>
            </w:r>
            <w:proofErr w:type="gramEnd"/>
            <w:r w:rsidRPr="005762E6">
              <w:rPr>
                <w:sz w:val="20"/>
                <w:szCs w:val="20"/>
              </w:rPr>
              <w:t xml:space="preserve"> but for cardiovascular disease (CVD) mortality,​ evidence has been inconsistent. Methods and Results - Cox proportional hazards models were used to compute hazard ratios and accompanying 95% confidence intervals for all-cause and CVD mortality for menthol compared with nonmenthol cigarette smokers among 65 600 participants in the Southern Community Cohort </w:t>
            </w:r>
            <w:proofErr w:type="gramStart"/>
            <w:r w:rsidRPr="005762E6">
              <w:rPr>
                <w:sz w:val="20"/>
                <w:szCs w:val="20"/>
              </w:rPr>
              <w:t>Study,​</w:t>
            </w:r>
            <w:proofErr w:type="gramEnd"/>
            <w:r w:rsidRPr="005762E6">
              <w:rPr>
                <w:sz w:val="20"/>
                <w:szCs w:val="20"/>
              </w:rPr>
              <w:t xml:space="preserve"> an ongoing community-based </w:t>
            </w:r>
            <w:r w:rsidRPr="005762E6">
              <w:rPr>
                <w:sz w:val="20"/>
                <w:szCs w:val="20"/>
              </w:rPr>
              <w:lastRenderedPageBreak/>
              <w:t xml:space="preserve">cohort with the largest number of menthol smokers being traced. Among the 27 619 current cigarette </w:t>
            </w:r>
            <w:proofErr w:type="gramStart"/>
            <w:r w:rsidRPr="005762E6">
              <w:rPr>
                <w:sz w:val="20"/>
                <w:szCs w:val="20"/>
              </w:rPr>
              <w:t>smokers,​</w:t>
            </w:r>
            <w:proofErr w:type="gramEnd"/>
            <w:r w:rsidRPr="005762E6">
              <w:rPr>
                <w:sz w:val="20"/>
                <w:szCs w:val="20"/>
              </w:rPr>
              <w:t xml:space="preserve"> 4224 died during follow-up,​ with 1130 deaths attributed to CVD. Both all-cause (hazard ratio=0.93; 95% confidence interval=0.86-1.01; P=0.10) and CVD (hazard ratio=0.88; 95% confidence interval=0.76-1.03; P=0.10) mortality risks were similar in menthol compared with nonmenthol cigarette smokers. Conclusions - Smoking regardless of cigarette type is hazardous to </w:t>
            </w:r>
            <w:proofErr w:type="gramStart"/>
            <w:r w:rsidRPr="005762E6">
              <w:rPr>
                <w:sz w:val="20"/>
                <w:szCs w:val="20"/>
              </w:rPr>
              <w:t>health,​</w:t>
            </w:r>
            <w:proofErr w:type="gramEnd"/>
            <w:r w:rsidRPr="005762E6">
              <w:rPr>
                <w:sz w:val="20"/>
                <w:szCs w:val="20"/>
              </w:rPr>
              <w:t xml:space="preserve"> but these results do not indicate that menthol cigarettes are associated with greater CVD risks than nonmenthol cigarettes. Copyright © 2016 American Heart </w:t>
            </w:r>
            <w:proofErr w:type="gramStart"/>
            <w:r w:rsidRPr="005762E6">
              <w:rPr>
                <w:sz w:val="20"/>
                <w:szCs w:val="20"/>
              </w:rPr>
              <w:t>Association,​</w:t>
            </w:r>
            <w:proofErr w:type="gramEnd"/>
            <w:r w:rsidRPr="005762E6">
              <w:rPr>
                <w:sz w:val="20"/>
                <w:szCs w:val="20"/>
              </w:rPr>
              <w:t xml:space="preserve"> Inc.</w:t>
            </w:r>
          </w:p>
        </w:tc>
      </w:tr>
      <w:tr w:rsidR="00B44564" w:rsidRPr="005762E6" w14:paraId="3124520D"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E70DEA5" w14:textId="77777777" w:rsidR="00B44564" w:rsidRPr="005762E6" w:rsidRDefault="00B44564" w:rsidP="00EA69AA">
            <w:pPr>
              <w:spacing w:after="120" w:line="240" w:lineRule="auto"/>
              <w:contextualSpacing/>
              <w:rPr>
                <w:sz w:val="20"/>
                <w:szCs w:val="20"/>
              </w:rPr>
            </w:pPr>
            <w:r w:rsidRPr="005762E6">
              <w:rPr>
                <w:sz w:val="20"/>
                <w:szCs w:val="20"/>
              </w:rPr>
              <w:lastRenderedPageBreak/>
              <w:t>69</w:t>
            </w:r>
          </w:p>
        </w:tc>
        <w:tc>
          <w:tcPr>
            <w:tcW w:w="0" w:type="auto"/>
            <w:tcBorders>
              <w:top w:val="single" w:sz="6" w:space="0" w:color="auto"/>
              <w:left w:val="single" w:sz="6" w:space="0" w:color="auto"/>
              <w:bottom w:val="single" w:sz="6" w:space="0" w:color="auto"/>
              <w:right w:val="single" w:sz="6" w:space="0" w:color="auto"/>
            </w:tcBorders>
          </w:tcPr>
          <w:p w14:paraId="4B1A6623"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ECD32D7" w14:textId="77777777" w:rsidR="00B44564" w:rsidRPr="005762E6" w:rsidRDefault="00B44564" w:rsidP="00EA69AA">
            <w:pPr>
              <w:spacing w:after="120" w:line="240" w:lineRule="auto"/>
              <w:contextualSpacing/>
              <w:rPr>
                <w:sz w:val="20"/>
                <w:szCs w:val="20"/>
              </w:rPr>
            </w:pPr>
            <w:r w:rsidRPr="005762E6">
              <w:rPr>
                <w:sz w:val="20"/>
                <w:szCs w:val="20"/>
              </w:rPr>
              <w:t xml:space="preserve">Mitchell </w:t>
            </w:r>
            <w:proofErr w:type="gramStart"/>
            <w:r w:rsidRPr="005762E6">
              <w:rPr>
                <w:sz w:val="20"/>
                <w:szCs w:val="20"/>
              </w:rPr>
              <w:t>K.A.,​</w:t>
            </w:r>
            <w:proofErr w:type="gramEnd"/>
            <w:r w:rsidRPr="005762E6">
              <w:rPr>
                <w:sz w:val="20"/>
                <w:szCs w:val="20"/>
              </w:rPr>
              <w:t>Zingone A.,​Ryan B. Lung cancer in African Americans is characterized by histone modifying enzyme gene signatures. Cancer Epidemiology Biomarkers and Prevention; 2016;25:</w:t>
            </w:r>
            <w:r w:rsidRPr="005762E6">
              <w:rPr>
                <w:sz w:val="20"/>
                <w:szCs w:val="20"/>
              </w:rPr>
              <w:br/>
            </w:r>
            <w:r w:rsidRPr="005762E6">
              <w:rPr>
                <w:sz w:val="20"/>
                <w:szCs w:val="20"/>
              </w:rPr>
              <w:br/>
            </w:r>
            <w:r w:rsidRPr="005762E6">
              <w:rPr>
                <w:b/>
                <w:bCs/>
                <w:sz w:val="20"/>
                <w:szCs w:val="20"/>
              </w:rPr>
              <w:t>Keywords:</w:t>
            </w:r>
            <w:r w:rsidRPr="005762E6">
              <w:rPr>
                <w:sz w:val="20"/>
                <w:szCs w:val="20"/>
              </w:rPr>
              <w:br/>
              <w:t>*African American,​biology,​breast tumor,​cancer incidence,​cancer mortality,​cancer susceptibility,​case control study,​cell line,​controlled study,​disease course,​DNA transcription,​ethnic group,​European American,​female,​gene expression,​gene inactivation,​health disparity,​human,​human cell,​human tissue,​immune response gene,​landscape,​*lung cancer,​major clinical study,​male,​organ,​phenotype,​prediction,​prevalence,​prostate cancer,​race,​risk factor,​smoking,​endogenous compound,​*histone,​histone deacetylase,​histone deacetylase inhibitor,​hormone receptor,​menthol,​microRNA,​transcriptome</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Lung cancer is the second most common cancer in the US and the leading cause of cancer-related death. African Americans (AA) have the highest lung cancer incidence rates compared with any other population in the country. Smoking is the strongest risk factor for lung cancer development; </w:t>
            </w:r>
            <w:proofErr w:type="gramStart"/>
            <w:r w:rsidRPr="005762E6">
              <w:rPr>
                <w:sz w:val="20"/>
                <w:szCs w:val="20"/>
              </w:rPr>
              <w:t>however</w:t>
            </w:r>
            <w:proofErr w:type="gramEnd"/>
            <w:r w:rsidRPr="005762E6">
              <w:rPr>
                <w:sz w:val="20"/>
                <w:szCs w:val="20"/>
              </w:rPr>
              <w:t xml:space="preserve"> research to date does not fully explain the disparities in incidence. For </w:t>
            </w:r>
            <w:proofErr w:type="gramStart"/>
            <w:r w:rsidRPr="005762E6">
              <w:rPr>
                <w:sz w:val="20"/>
                <w:szCs w:val="20"/>
              </w:rPr>
              <w:t>example,​</w:t>
            </w:r>
            <w:proofErr w:type="gramEnd"/>
            <w:r w:rsidRPr="005762E6">
              <w:rPr>
                <w:sz w:val="20"/>
                <w:szCs w:val="20"/>
              </w:rPr>
              <w:t xml:space="preserve"> the prevalence of both smoking and heavy smoking is lower among AA. In </w:t>
            </w:r>
            <w:proofErr w:type="gramStart"/>
            <w:r w:rsidRPr="005762E6">
              <w:rPr>
                <w:sz w:val="20"/>
                <w:szCs w:val="20"/>
              </w:rPr>
              <w:t>addition,​</w:t>
            </w:r>
            <w:proofErr w:type="gramEnd"/>
            <w:r w:rsidRPr="005762E6">
              <w:rPr>
                <w:sz w:val="20"/>
                <w:szCs w:val="20"/>
              </w:rPr>
              <w:t xml:space="preserve"> although most AA choose menthol cigarettes,​ a recent study has shown there is no increased risk of lung cancer among menthol cigarette smokers compared with nonmenthol cigarette smokers. </w:t>
            </w:r>
            <w:proofErr w:type="gramStart"/>
            <w:r w:rsidRPr="005762E6">
              <w:rPr>
                <w:sz w:val="20"/>
                <w:szCs w:val="20"/>
              </w:rPr>
              <w:t>Furthermore,​</w:t>
            </w:r>
            <w:proofErr w:type="gramEnd"/>
            <w:r w:rsidRPr="005762E6">
              <w:rPr>
                <w:sz w:val="20"/>
                <w:szCs w:val="20"/>
              </w:rPr>
              <w:t xml:space="preserve"> a large study of never smokers demonstrated that AA still had a higher incidence of lung cancer and when matched for number of cigarettes smoked per day,​ AA still have a higher lung cancer incidence. </w:t>
            </w:r>
            <w:proofErr w:type="gramStart"/>
            <w:r w:rsidRPr="005762E6">
              <w:rPr>
                <w:sz w:val="20"/>
                <w:szCs w:val="20"/>
              </w:rPr>
              <w:t>Combined,​</w:t>
            </w:r>
            <w:proofErr w:type="gramEnd"/>
            <w:r w:rsidRPr="005762E6">
              <w:rPr>
                <w:sz w:val="20"/>
                <w:szCs w:val="20"/>
              </w:rPr>
              <w:t xml:space="preserve"> these data suggest that smoking behavior alone does not account for the lung cancer disparities observed among AA. While the different causes of lung cancer across ethnic groups have not been </w:t>
            </w:r>
            <w:proofErr w:type="gramStart"/>
            <w:r w:rsidRPr="005762E6">
              <w:rPr>
                <w:sz w:val="20"/>
                <w:szCs w:val="20"/>
              </w:rPr>
              <w:t>resolved,​</w:t>
            </w:r>
            <w:proofErr w:type="gramEnd"/>
            <w:r w:rsidRPr="005762E6">
              <w:rPr>
                <w:sz w:val="20"/>
                <w:szCs w:val="20"/>
              </w:rPr>
              <w:t xml:space="preserve"> few studies have examined whether there are differences in the tumor biology between AA and European American (EA) patients. </w:t>
            </w:r>
            <w:proofErr w:type="gramStart"/>
            <w:r w:rsidRPr="005762E6">
              <w:rPr>
                <w:sz w:val="20"/>
                <w:szCs w:val="20"/>
              </w:rPr>
              <w:t>Indeed,​</w:t>
            </w:r>
            <w:proofErr w:type="gramEnd"/>
            <w:r w:rsidRPr="005762E6">
              <w:rPr>
                <w:sz w:val="20"/>
                <w:szCs w:val="20"/>
              </w:rPr>
              <w:t xml:space="preserve"> numerous cancer disparities studies in other organ types report clear differences in tumor biology between AA and EA patients. For </w:t>
            </w:r>
            <w:proofErr w:type="gramStart"/>
            <w:r w:rsidRPr="005762E6">
              <w:rPr>
                <w:sz w:val="20"/>
                <w:szCs w:val="20"/>
              </w:rPr>
              <w:t>example,​</w:t>
            </w:r>
            <w:proofErr w:type="gramEnd"/>
            <w:r w:rsidRPr="005762E6">
              <w:rPr>
                <w:sz w:val="20"/>
                <w:szCs w:val="20"/>
              </w:rPr>
              <w:t xml:space="preserve"> immune response gene signatures can accurately differentiate between AA and EA prostate cancers,​ and AA breast tumors are more likely to lack hormone receptors linked with high survival than EA women. To </w:t>
            </w:r>
            <w:proofErr w:type="gramStart"/>
            <w:r w:rsidRPr="005762E6">
              <w:rPr>
                <w:sz w:val="20"/>
                <w:szCs w:val="20"/>
              </w:rPr>
              <w:t>date,​</w:t>
            </w:r>
            <w:proofErr w:type="gramEnd"/>
            <w:r w:rsidRPr="005762E6">
              <w:rPr>
                <w:sz w:val="20"/>
                <w:szCs w:val="20"/>
              </w:rPr>
              <w:t xml:space="preserve"> few studies have investigated molecular differences between lung cancer in AA and EA patients. We hypothesized AA and EA lung cancers have different tumor </w:t>
            </w:r>
            <w:proofErr w:type="gramStart"/>
            <w:r w:rsidRPr="005762E6">
              <w:rPr>
                <w:sz w:val="20"/>
                <w:szCs w:val="20"/>
              </w:rPr>
              <w:t>biology,​</w:t>
            </w:r>
            <w:proofErr w:type="gramEnd"/>
            <w:r w:rsidRPr="005762E6">
              <w:rPr>
                <w:sz w:val="20"/>
                <w:szCs w:val="20"/>
              </w:rPr>
              <w:t xml:space="preserve"> and that these differences can both inform disease etiology and be leveraged for translational means. Using the NCI-MD case control </w:t>
            </w:r>
            <w:proofErr w:type="gramStart"/>
            <w:r w:rsidRPr="005762E6">
              <w:rPr>
                <w:sz w:val="20"/>
                <w:szCs w:val="20"/>
              </w:rPr>
              <w:t>study,​</w:t>
            </w:r>
            <w:proofErr w:type="gramEnd"/>
            <w:r w:rsidRPr="005762E6">
              <w:rPr>
                <w:sz w:val="20"/>
                <w:szCs w:val="20"/>
              </w:rPr>
              <w:t xml:space="preserve"> we profiled the coding transcriptome of 66 matched lung tumor and normal tissues (n = 33 AA,​ n = 33 EA) and performed subsequent Gene Set Enrichment Analysis (GSEA) and Connectivity Mapping (CM). Here we demonstrated that AA lung tumors have distinct molecular phenotypes when compared with EA. Approximately </w:t>
            </w:r>
            <w:proofErr w:type="gramStart"/>
            <w:r w:rsidRPr="005762E6">
              <w:rPr>
                <w:sz w:val="20"/>
                <w:szCs w:val="20"/>
              </w:rPr>
              <w:t>1,​</w:t>
            </w:r>
            <w:proofErr w:type="gramEnd"/>
            <w:r w:rsidRPr="005762E6">
              <w:rPr>
                <w:sz w:val="20"/>
                <w:szCs w:val="20"/>
              </w:rPr>
              <w:t xml:space="preserve">000 genes were differentially expressed between cancer and normal tissue in AA tumors only. Genes specifically upregulated in prostate and breast tumors from AA compared with EA were also upregulated in lung tumors from </w:t>
            </w:r>
            <w:proofErr w:type="gramStart"/>
            <w:r w:rsidRPr="005762E6">
              <w:rPr>
                <w:sz w:val="20"/>
                <w:szCs w:val="20"/>
              </w:rPr>
              <w:t>AA,​</w:t>
            </w:r>
            <w:proofErr w:type="gramEnd"/>
            <w:r w:rsidRPr="005762E6">
              <w:rPr>
                <w:sz w:val="20"/>
                <w:szCs w:val="20"/>
              </w:rPr>
              <w:t xml:space="preserve"> suggesting some common differences in tumor biology by race. </w:t>
            </w:r>
            <w:proofErr w:type="gramStart"/>
            <w:r w:rsidRPr="005762E6">
              <w:rPr>
                <w:sz w:val="20"/>
                <w:szCs w:val="20"/>
              </w:rPr>
              <w:t>However,​</w:t>
            </w:r>
            <w:proofErr w:type="gramEnd"/>
            <w:r w:rsidRPr="005762E6">
              <w:rPr>
                <w:sz w:val="20"/>
                <w:szCs w:val="20"/>
              </w:rPr>
              <w:t xml:space="preserve"> GSEA revealed novel differences also: histone modifying enzyme signatures were positively enriched in lung tumors from AA and inversely enriched in EA. </w:t>
            </w:r>
            <w:proofErr w:type="gramStart"/>
            <w:r w:rsidRPr="005762E6">
              <w:rPr>
                <w:sz w:val="20"/>
                <w:szCs w:val="20"/>
              </w:rPr>
              <w:t>Furthermore,​</w:t>
            </w:r>
            <w:proofErr w:type="gramEnd"/>
            <w:r w:rsidRPr="005762E6">
              <w:rPr>
                <w:sz w:val="20"/>
                <w:szCs w:val="20"/>
              </w:rPr>
              <w:t xml:space="preserve"> CM strongly suggested that lung tumors from AA and EA would have varying sensitivities to histone deacetylase inhibitors (HDACi). Treatment of population-specific cell lines confirmed these CM predictions. HDACs were also found to be differentially regulated in AA </w:t>
            </w:r>
            <w:proofErr w:type="gramStart"/>
            <w:r w:rsidRPr="005762E6">
              <w:rPr>
                <w:sz w:val="20"/>
                <w:szCs w:val="20"/>
              </w:rPr>
              <w:t>tumors,​</w:t>
            </w:r>
            <w:proofErr w:type="gramEnd"/>
            <w:r w:rsidRPr="005762E6">
              <w:rPr>
                <w:sz w:val="20"/>
                <w:szCs w:val="20"/>
              </w:rPr>
              <w:t xml:space="preserve"> suggesting a mechanistic basis for differential responses to HDACi treatment. We also conducted non-coding transcriptome profiling of 199 individuals (n = 86 </w:t>
            </w:r>
            <w:proofErr w:type="gramStart"/>
            <w:r w:rsidRPr="005762E6">
              <w:rPr>
                <w:sz w:val="20"/>
                <w:szCs w:val="20"/>
              </w:rPr>
              <w:t>AA,​</w:t>
            </w:r>
            <w:proofErr w:type="gramEnd"/>
            <w:r w:rsidRPr="005762E6">
              <w:rPr>
                <w:sz w:val="20"/>
                <w:szCs w:val="20"/>
              </w:rPr>
              <w:t xml:space="preserve"> n = 113 EA). We found that there were 23 differentially expressed microRNAs in lung cancer tissues from AA. </w:t>
            </w:r>
            <w:proofErr w:type="gramStart"/>
            <w:r w:rsidRPr="005762E6">
              <w:rPr>
                <w:sz w:val="20"/>
                <w:szCs w:val="20"/>
              </w:rPr>
              <w:t>Moreover,​</w:t>
            </w:r>
            <w:proofErr w:type="gramEnd"/>
            <w:r w:rsidRPr="005762E6">
              <w:rPr>
                <w:sz w:val="20"/>
                <w:szCs w:val="20"/>
              </w:rPr>
              <w:t xml:space="preserve"> using a hypergeometric test we observed that differential expression of miRNAs within lung cancer from AA and EA does not drive differences in the observed gene expression signatures. Understanding the biological factors that contribute to cancer health disparities and exploring the causes and consequences of such can help to </w:t>
            </w:r>
            <w:r w:rsidRPr="005762E6">
              <w:rPr>
                <w:sz w:val="20"/>
                <w:szCs w:val="20"/>
              </w:rPr>
              <w:lastRenderedPageBreak/>
              <w:t xml:space="preserve">reduce or limit the outcomes of these disparities. To our </w:t>
            </w:r>
            <w:proofErr w:type="gramStart"/>
            <w:r w:rsidRPr="005762E6">
              <w:rPr>
                <w:sz w:val="20"/>
                <w:szCs w:val="20"/>
              </w:rPr>
              <w:t>knowledge,​</w:t>
            </w:r>
            <w:proofErr w:type="gramEnd"/>
            <w:r w:rsidRPr="005762E6">
              <w:rPr>
                <w:sz w:val="20"/>
                <w:szCs w:val="20"/>
              </w:rPr>
              <w:t xml:space="preserve"> this study is the first to profile the coding and non-coding landscape of lung cancer in AA and provides the first evidence that HDAC tumor biology differs in lung cancers from AA and EA. This may allow for more precise molecular targeting for responsive patients and improve cancer outcomes.</w:t>
            </w:r>
          </w:p>
        </w:tc>
      </w:tr>
      <w:tr w:rsidR="00B44564" w:rsidRPr="005762E6" w14:paraId="1D9FCB20"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96C7E6F" w14:textId="77777777" w:rsidR="00B44564" w:rsidRPr="005762E6" w:rsidRDefault="00B44564" w:rsidP="00EA69AA">
            <w:pPr>
              <w:spacing w:after="120" w:line="240" w:lineRule="auto"/>
              <w:contextualSpacing/>
              <w:rPr>
                <w:sz w:val="20"/>
                <w:szCs w:val="20"/>
              </w:rPr>
            </w:pPr>
            <w:r w:rsidRPr="005762E6">
              <w:rPr>
                <w:sz w:val="20"/>
                <w:szCs w:val="20"/>
              </w:rPr>
              <w:lastRenderedPageBreak/>
              <w:t>72</w:t>
            </w:r>
          </w:p>
        </w:tc>
        <w:tc>
          <w:tcPr>
            <w:tcW w:w="0" w:type="auto"/>
            <w:tcBorders>
              <w:top w:val="single" w:sz="6" w:space="0" w:color="auto"/>
              <w:left w:val="single" w:sz="6" w:space="0" w:color="auto"/>
              <w:bottom w:val="single" w:sz="6" w:space="0" w:color="auto"/>
              <w:right w:val="single" w:sz="6" w:space="0" w:color="auto"/>
            </w:tcBorders>
          </w:tcPr>
          <w:p w14:paraId="323B4DA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81DE325" w14:textId="77777777" w:rsidR="00B44564" w:rsidRPr="005762E6" w:rsidRDefault="00B44564" w:rsidP="00EA69AA">
            <w:pPr>
              <w:spacing w:after="120" w:line="240" w:lineRule="auto"/>
              <w:contextualSpacing/>
              <w:rPr>
                <w:sz w:val="20"/>
                <w:szCs w:val="20"/>
              </w:rPr>
            </w:pPr>
            <w:r w:rsidRPr="005762E6">
              <w:rPr>
                <w:sz w:val="20"/>
                <w:szCs w:val="20"/>
              </w:rPr>
              <w:t xml:space="preserve">Azagba </w:t>
            </w:r>
            <w:proofErr w:type="gramStart"/>
            <w:r w:rsidRPr="005762E6">
              <w:rPr>
                <w:sz w:val="20"/>
                <w:szCs w:val="20"/>
              </w:rPr>
              <w:t>S.,​</w:t>
            </w:r>
            <w:proofErr w:type="gramEnd"/>
            <w:r w:rsidRPr="005762E6">
              <w:rPr>
                <w:sz w:val="20"/>
                <w:szCs w:val="20"/>
              </w:rPr>
              <w:t xml:space="preserve">Minaker L.M.,​Hammond D.,​Manske S. Tobacco industry sponsored advocates have a different interpretation of science: a response to: Even anti-tobacco studies must be held to basic scientific standards. Cancer Causes and Control; </w:t>
            </w:r>
            <w:proofErr w:type="gramStart"/>
            <w:r w:rsidRPr="005762E6">
              <w:rPr>
                <w:sz w:val="20"/>
                <w:szCs w:val="20"/>
              </w:rPr>
              <w:t>2015;26:1363</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cancer mortality,​cardiovascular mortality,​cause of death,​chronic obstructive lung disease,​human,​letter,​marketing,​peripheral occlusive artery disease,​priority journal,​*smoking,​smoking cessation,​tobacco dependence,​tobacco industry,​*menthol</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209775FB"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6404572" w14:textId="77777777" w:rsidR="00B44564" w:rsidRPr="005762E6" w:rsidRDefault="00B44564" w:rsidP="00EA69AA">
            <w:pPr>
              <w:spacing w:after="120" w:line="240" w:lineRule="auto"/>
              <w:contextualSpacing/>
              <w:rPr>
                <w:sz w:val="20"/>
                <w:szCs w:val="20"/>
              </w:rPr>
            </w:pPr>
            <w:r w:rsidRPr="005762E6">
              <w:rPr>
                <w:sz w:val="20"/>
                <w:szCs w:val="20"/>
              </w:rPr>
              <w:t>77</w:t>
            </w:r>
          </w:p>
        </w:tc>
        <w:tc>
          <w:tcPr>
            <w:tcW w:w="0" w:type="auto"/>
            <w:tcBorders>
              <w:top w:val="single" w:sz="6" w:space="0" w:color="auto"/>
              <w:left w:val="single" w:sz="6" w:space="0" w:color="auto"/>
              <w:bottom w:val="single" w:sz="6" w:space="0" w:color="auto"/>
              <w:right w:val="single" w:sz="6" w:space="0" w:color="auto"/>
            </w:tcBorders>
          </w:tcPr>
          <w:p w14:paraId="3AB4F072"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A790A93" w14:textId="77777777" w:rsidR="00B44564" w:rsidRPr="005762E6" w:rsidRDefault="00B44564" w:rsidP="00EA69AA">
            <w:pPr>
              <w:spacing w:after="120" w:line="240" w:lineRule="auto"/>
              <w:contextualSpacing/>
              <w:rPr>
                <w:sz w:val="20"/>
                <w:szCs w:val="20"/>
              </w:rPr>
            </w:pPr>
            <w:r w:rsidRPr="005762E6">
              <w:rPr>
                <w:sz w:val="20"/>
                <w:szCs w:val="20"/>
              </w:rPr>
              <w:t xml:space="preserve">Sulsky </w:t>
            </w:r>
            <w:proofErr w:type="gramStart"/>
            <w:r w:rsidRPr="005762E6">
              <w:rPr>
                <w:sz w:val="20"/>
                <w:szCs w:val="20"/>
              </w:rPr>
              <w:t>S.I.,​</w:t>
            </w:r>
            <w:proofErr w:type="gramEnd"/>
            <w:r w:rsidRPr="005762E6">
              <w:rPr>
                <w:sz w:val="20"/>
                <w:szCs w:val="20"/>
              </w:rPr>
              <w:t xml:space="preserve">Fuller W.G.,​Van Landingham C.,​Ogden M.W.,​Swauger J.E.,​Curtin G.M. Corrigendum to "Evaluating the association between menthol cigarette use and the likelihood of being a former versus current smoker" [Regul. Toxicol. Pharmacol. 70/1 (2014) 231-241]. Regulatory Toxicology and Pharmacology; </w:t>
            </w:r>
            <w:proofErr w:type="gramStart"/>
            <w:r w:rsidRPr="005762E6">
              <w:rPr>
                <w:sz w:val="20"/>
                <w:szCs w:val="20"/>
              </w:rPr>
              <w:t>2015;73:114</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erratum,​*error,​priority journal</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735F7E00"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D95EA15" w14:textId="77777777" w:rsidR="00B44564" w:rsidRPr="005762E6" w:rsidRDefault="00B44564" w:rsidP="00EA69AA">
            <w:pPr>
              <w:spacing w:after="120" w:line="240" w:lineRule="auto"/>
              <w:contextualSpacing/>
              <w:rPr>
                <w:sz w:val="20"/>
                <w:szCs w:val="20"/>
              </w:rPr>
            </w:pPr>
            <w:r w:rsidRPr="005762E6">
              <w:rPr>
                <w:sz w:val="20"/>
                <w:szCs w:val="20"/>
              </w:rPr>
              <w:t>85</w:t>
            </w:r>
          </w:p>
        </w:tc>
        <w:tc>
          <w:tcPr>
            <w:tcW w:w="0" w:type="auto"/>
            <w:tcBorders>
              <w:top w:val="single" w:sz="6" w:space="0" w:color="auto"/>
              <w:left w:val="single" w:sz="6" w:space="0" w:color="auto"/>
              <w:bottom w:val="single" w:sz="6" w:space="0" w:color="auto"/>
              <w:right w:val="single" w:sz="6" w:space="0" w:color="auto"/>
            </w:tcBorders>
          </w:tcPr>
          <w:p w14:paraId="2B4227E8"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401C7EC" w14:textId="77777777" w:rsidR="00B44564" w:rsidRPr="005762E6" w:rsidRDefault="00B44564" w:rsidP="00EA69AA">
            <w:pPr>
              <w:spacing w:after="120" w:line="240" w:lineRule="auto"/>
              <w:contextualSpacing/>
              <w:rPr>
                <w:sz w:val="20"/>
                <w:szCs w:val="20"/>
              </w:rPr>
            </w:pPr>
            <w:r w:rsidRPr="005762E6">
              <w:rPr>
                <w:sz w:val="20"/>
                <w:szCs w:val="20"/>
              </w:rPr>
              <w:t xml:space="preserve">Chirila </w:t>
            </w:r>
            <w:proofErr w:type="gramStart"/>
            <w:r w:rsidRPr="005762E6">
              <w:rPr>
                <w:sz w:val="20"/>
                <w:szCs w:val="20"/>
              </w:rPr>
              <w:t>C.,​</w:t>
            </w:r>
            <w:proofErr w:type="gramEnd"/>
            <w:r w:rsidRPr="005762E6">
              <w:rPr>
                <w:sz w:val="20"/>
                <w:szCs w:val="20"/>
              </w:rPr>
              <w:t>Trofor L.,​Frunza A.,​Albu A.M.,​Gherghesanu R.,​Trofor A.C. The problem of low rate-smokers: Smoking pattern and cessation outcomes. European Respiratory Journal; 2015;46:</w:t>
            </w:r>
            <w:r w:rsidRPr="005762E6">
              <w:rPr>
                <w:sz w:val="20"/>
                <w:szCs w:val="20"/>
              </w:rPr>
              <w:br/>
            </w:r>
            <w:r w:rsidRPr="005762E6">
              <w:rPr>
                <w:sz w:val="20"/>
                <w:szCs w:val="20"/>
              </w:rPr>
              <w:br/>
            </w:r>
            <w:r w:rsidRPr="005762E6">
              <w:rPr>
                <w:b/>
                <w:bCs/>
                <w:sz w:val="20"/>
                <w:szCs w:val="20"/>
              </w:rPr>
              <w:t>Keywords:</w:t>
            </w:r>
            <w:r w:rsidRPr="005762E6">
              <w:rPr>
                <w:sz w:val="20"/>
                <w:szCs w:val="20"/>
              </w:rPr>
              <w:br/>
              <w:t>*</w:t>
            </w:r>
            <w:proofErr w:type="gramStart"/>
            <w:r w:rsidRPr="005762E6">
              <w:rPr>
                <w:sz w:val="20"/>
                <w:szCs w:val="20"/>
              </w:rPr>
              <w:t>smoking,​</w:t>
            </w:r>
            <w:proofErr w:type="gramEnd"/>
            <w:r w:rsidRPr="005762E6">
              <w:rPr>
                <w:sz w:val="20"/>
                <w:szCs w:val="20"/>
              </w:rPr>
              <w:t>*society,​*European,​human,​tobacco dependence,​smoking cessation,​abstinence,​patient,​physician,​gender,​counseling,​follow up,​morbidity,​female,​menthol</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Low-rate smokers,​ defined as no more than 5 cigarettes per day (CPD) or 1 - 5 CPD smokers are often a challenge to smoking cessation practitioners. Aim: To determine smoking cessation outcomes in low-rate smokers treated in our </w:t>
            </w:r>
            <w:proofErr w:type="gramStart"/>
            <w:r w:rsidRPr="005762E6">
              <w:rPr>
                <w:sz w:val="20"/>
                <w:szCs w:val="20"/>
              </w:rPr>
              <w:t>centre,​</w:t>
            </w:r>
            <w:proofErr w:type="gramEnd"/>
            <w:r w:rsidRPr="005762E6">
              <w:rPr>
                <w:sz w:val="20"/>
                <w:szCs w:val="20"/>
              </w:rPr>
              <w:t xml:space="preserve"> in relation with pattern of smoking in this particular category of patients. Material and methods: Low-rate smokers included in a tobacco dependence 3 months pharmacological and counselling treatment program were evaluated for </w:t>
            </w:r>
            <w:proofErr w:type="gramStart"/>
            <w:r w:rsidRPr="005762E6">
              <w:rPr>
                <w:sz w:val="20"/>
                <w:szCs w:val="20"/>
              </w:rPr>
              <w:t>age,​</w:t>
            </w:r>
            <w:proofErr w:type="gramEnd"/>
            <w:r w:rsidRPr="005762E6">
              <w:rPr>
                <w:sz w:val="20"/>
                <w:szCs w:val="20"/>
              </w:rPr>
              <w:t xml:space="preserve"> gender,​ smoking history,​ nicotine dependence score and co-morbidities. Abstinence rate was determined at 3 months end of treatment (3-EOT) and in 6 months follow-up (6 -FU). Results: We analyzed 180 </w:t>
            </w:r>
            <w:proofErr w:type="gramStart"/>
            <w:r w:rsidRPr="005762E6">
              <w:rPr>
                <w:sz w:val="20"/>
                <w:szCs w:val="20"/>
              </w:rPr>
              <w:t>subjects,​</w:t>
            </w:r>
            <w:proofErr w:type="gramEnd"/>
            <w:r w:rsidRPr="005762E6">
              <w:rPr>
                <w:sz w:val="20"/>
                <w:szCs w:val="20"/>
              </w:rPr>
              <w:t xml:space="preserve"> age average 35. 6 </w:t>
            </w:r>
            <w:proofErr w:type="gramStart"/>
            <w:r w:rsidRPr="005762E6">
              <w:rPr>
                <w:sz w:val="20"/>
                <w:szCs w:val="20"/>
              </w:rPr>
              <w:t>yrs,​</w:t>
            </w:r>
            <w:proofErr w:type="gramEnd"/>
            <w:r w:rsidRPr="005762E6">
              <w:rPr>
                <w:sz w:val="20"/>
                <w:szCs w:val="20"/>
              </w:rPr>
              <w:t xml:space="preserve"> in majority women (70%),​ with various comorbidities (psychiatric - 11 %,​ COPD- 5%,​ cardio-vascular - 4.2% ). At a CPD consumption &lt;= </w:t>
            </w:r>
            <w:proofErr w:type="gramStart"/>
            <w:r w:rsidRPr="005762E6">
              <w:rPr>
                <w:sz w:val="20"/>
                <w:szCs w:val="20"/>
              </w:rPr>
              <w:t>5,​</w:t>
            </w:r>
            <w:proofErr w:type="gramEnd"/>
            <w:r w:rsidRPr="005762E6">
              <w:rPr>
                <w:sz w:val="20"/>
                <w:szCs w:val="20"/>
              </w:rPr>
              <w:t xml:space="preserve"> paradoxically,​ we found a moderate-severe degree of nicotine dependence in majority of subjects ( only in 30.5% the nicotine dependence Fagerstrom score was &lt; 3). Nicotine withdrawal history was described in 15% of </w:t>
            </w:r>
            <w:proofErr w:type="gramStart"/>
            <w:r w:rsidRPr="005762E6">
              <w:rPr>
                <w:sz w:val="20"/>
                <w:szCs w:val="20"/>
              </w:rPr>
              <w:t>subjects,​</w:t>
            </w:r>
            <w:proofErr w:type="gramEnd"/>
            <w:r w:rsidRPr="005762E6">
              <w:rPr>
                <w:sz w:val="20"/>
                <w:szCs w:val="20"/>
              </w:rPr>
              <w:t xml:space="preserve"> also 23.3 % started smoking under the age of 14 and 26.1% declared they prefer nonfiltered or menthol cigarettes. Abstinence rate was 34.4% in 3-EOT versus 16.1% in 6-FU. Conclusions: Even if low-rate </w:t>
            </w:r>
            <w:proofErr w:type="gramStart"/>
            <w:r w:rsidRPr="005762E6">
              <w:rPr>
                <w:sz w:val="20"/>
                <w:szCs w:val="20"/>
              </w:rPr>
              <w:t>smokers,​</w:t>
            </w:r>
            <w:proofErr w:type="gramEnd"/>
            <w:r w:rsidRPr="005762E6">
              <w:rPr>
                <w:sz w:val="20"/>
                <w:szCs w:val="20"/>
              </w:rPr>
              <w:t xml:space="preserve"> quitting may be difficult in this category of patients,​ due to a particular smoking pattern and frequent moderate-severe nicotine dependence,​ resulting in lower than expected abstinence rates.</w:t>
            </w:r>
          </w:p>
        </w:tc>
      </w:tr>
      <w:tr w:rsidR="00B44564" w:rsidRPr="005762E6" w14:paraId="7CAA2617"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171BAF7" w14:textId="77777777" w:rsidR="00B44564" w:rsidRPr="005762E6" w:rsidRDefault="00B44564" w:rsidP="00EA69AA">
            <w:pPr>
              <w:spacing w:after="120" w:line="240" w:lineRule="auto"/>
              <w:contextualSpacing/>
              <w:rPr>
                <w:sz w:val="20"/>
                <w:szCs w:val="20"/>
              </w:rPr>
            </w:pPr>
            <w:r w:rsidRPr="005762E6">
              <w:rPr>
                <w:sz w:val="20"/>
                <w:szCs w:val="20"/>
              </w:rPr>
              <w:t>93</w:t>
            </w:r>
          </w:p>
        </w:tc>
        <w:tc>
          <w:tcPr>
            <w:tcW w:w="0" w:type="auto"/>
            <w:tcBorders>
              <w:top w:val="single" w:sz="6" w:space="0" w:color="auto"/>
              <w:left w:val="single" w:sz="6" w:space="0" w:color="auto"/>
              <w:bottom w:val="single" w:sz="6" w:space="0" w:color="auto"/>
              <w:right w:val="single" w:sz="6" w:space="0" w:color="auto"/>
            </w:tcBorders>
          </w:tcPr>
          <w:p w14:paraId="731E5E09"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F0A63F8" w14:textId="77777777" w:rsidR="00B44564" w:rsidRPr="005762E6" w:rsidRDefault="00B44564" w:rsidP="00EA69AA">
            <w:pPr>
              <w:spacing w:after="120" w:line="240" w:lineRule="auto"/>
              <w:contextualSpacing/>
              <w:rPr>
                <w:sz w:val="20"/>
                <w:szCs w:val="20"/>
              </w:rPr>
            </w:pPr>
            <w:r w:rsidRPr="005762E6">
              <w:rPr>
                <w:sz w:val="20"/>
                <w:szCs w:val="20"/>
              </w:rPr>
              <w:t xml:space="preserve">Suh </w:t>
            </w:r>
            <w:proofErr w:type="gramStart"/>
            <w:r w:rsidRPr="005762E6">
              <w:rPr>
                <w:sz w:val="20"/>
                <w:szCs w:val="20"/>
              </w:rPr>
              <w:t>Y.,​</w:t>
            </w:r>
            <w:proofErr w:type="gramEnd"/>
            <w:r w:rsidRPr="005762E6">
              <w:rPr>
                <w:sz w:val="20"/>
                <w:szCs w:val="20"/>
              </w:rPr>
              <w:t>Lee Y.,​Lee H.,​Kim S.,​Choe Y.,​Park S.,​Bowler R.P. Relationship of menthol cigarette smoking with COPD,​ comorbidities,​ and CT metrics. American Journal of Respiratory and Critical Care Medicine; 2015;191:</w:t>
            </w:r>
            <w:r w:rsidRPr="005762E6">
              <w:rPr>
                <w:sz w:val="20"/>
                <w:szCs w:val="20"/>
              </w:rPr>
              <w:br/>
            </w:r>
            <w:r w:rsidRPr="005762E6">
              <w:rPr>
                <w:sz w:val="20"/>
                <w:szCs w:val="20"/>
              </w:rPr>
              <w:br/>
            </w:r>
            <w:r w:rsidRPr="005762E6">
              <w:rPr>
                <w:b/>
                <w:bCs/>
                <w:sz w:val="20"/>
                <w:szCs w:val="20"/>
              </w:rPr>
              <w:t>Keywords:</w:t>
            </w:r>
            <w:r w:rsidRPr="005762E6">
              <w:rPr>
                <w:sz w:val="20"/>
                <w:szCs w:val="20"/>
              </w:rPr>
              <w:br/>
              <w:t>*smoking,​*American,​*society,​chronic obstructive lung disease,​risk,​lung function,​congestive heart failure,​coronary artery disease,​peripheral vascular disease,​cerebrovascular disease,​hypertension,​flavor,​sensation,​confidence interval,​regression analysis,​female,​gender,​African American,​follow up,​osteoporosis,​diabetes mellitus,​parameters,​cooling,​*menthol</w:t>
            </w:r>
            <w:r w:rsidRPr="005762E6">
              <w:rPr>
                <w:sz w:val="20"/>
                <w:szCs w:val="20"/>
              </w:rPr>
              <w:br/>
            </w:r>
            <w:r w:rsidRPr="005762E6">
              <w:rPr>
                <w:sz w:val="20"/>
                <w:szCs w:val="20"/>
              </w:rPr>
              <w:lastRenderedPageBreak/>
              <w:br/>
            </w:r>
            <w:r w:rsidRPr="005762E6">
              <w:rPr>
                <w:b/>
                <w:bCs/>
                <w:sz w:val="20"/>
                <w:szCs w:val="20"/>
              </w:rPr>
              <w:t xml:space="preserve">Abstract: </w:t>
            </w:r>
            <w:r w:rsidRPr="005762E6">
              <w:rPr>
                <w:sz w:val="20"/>
                <w:szCs w:val="20"/>
              </w:rPr>
              <w:t xml:space="preserve">Rationale: Menthol cigarettes contain higher levels of menthol to produce a characteristic mint flavor and cooling sensation. Compared to non-menthol </w:t>
            </w:r>
            <w:proofErr w:type="gramStart"/>
            <w:r w:rsidRPr="005762E6">
              <w:rPr>
                <w:sz w:val="20"/>
                <w:szCs w:val="20"/>
              </w:rPr>
              <w:t>cigarettes,​</w:t>
            </w:r>
            <w:proofErr w:type="gramEnd"/>
            <w:r w:rsidRPr="005762E6">
              <w:rPr>
                <w:sz w:val="20"/>
                <w:szCs w:val="20"/>
              </w:rPr>
              <w:t xml:space="preserve"> little information on the effects of menthol cigarette smoking on clinical and radiologic characteristics of chronic obstructive pulmonary disease (COPD). The main objective of the present study was to examine associations between menthol use and the risk of COPD and its characteristics such as </w:t>
            </w:r>
            <w:proofErr w:type="gramStart"/>
            <w:r w:rsidRPr="005762E6">
              <w:rPr>
                <w:sz w:val="20"/>
                <w:szCs w:val="20"/>
              </w:rPr>
              <w:t>exacerbation,​</w:t>
            </w:r>
            <w:proofErr w:type="gramEnd"/>
            <w:r w:rsidRPr="005762E6">
              <w:rPr>
                <w:sz w:val="20"/>
                <w:szCs w:val="20"/>
              </w:rPr>
              <w:t xml:space="preserve"> comorbidities,​ and CT abnormalities. Methods: We analyzed the data from </w:t>
            </w:r>
            <w:proofErr w:type="gramStart"/>
            <w:r w:rsidRPr="005762E6">
              <w:rPr>
                <w:sz w:val="20"/>
                <w:szCs w:val="20"/>
              </w:rPr>
              <w:t>5,​</w:t>
            </w:r>
            <w:proofErr w:type="gramEnd"/>
            <w:r w:rsidRPr="005762E6">
              <w:rPr>
                <w:sz w:val="20"/>
                <w:szCs w:val="20"/>
              </w:rPr>
              <w:t xml:space="preserve">699 current smokers in the COPDGene cohort to evaluate whether lung function,​ comorbidities,​ exacerbations,​ and CT parameters would be different between menthol and non-menthol cigarette smokers. Results: </w:t>
            </w:r>
            <w:proofErr w:type="gramStart"/>
            <w:r w:rsidRPr="005762E6">
              <w:rPr>
                <w:sz w:val="20"/>
                <w:szCs w:val="20"/>
              </w:rPr>
              <w:t>3,​</w:t>
            </w:r>
            <w:proofErr w:type="gramEnd"/>
            <w:r w:rsidRPr="005762E6">
              <w:rPr>
                <w:sz w:val="20"/>
                <w:szCs w:val="20"/>
              </w:rPr>
              <w:t xml:space="preserve">758 (65.9%) reported use of menthol cigarettes. Multivariable regression analysis revealed that younger </w:t>
            </w:r>
            <w:proofErr w:type="gramStart"/>
            <w:r w:rsidRPr="005762E6">
              <w:rPr>
                <w:sz w:val="20"/>
                <w:szCs w:val="20"/>
              </w:rPr>
              <w:t>age,​</w:t>
            </w:r>
            <w:proofErr w:type="gramEnd"/>
            <w:r w:rsidRPr="005762E6">
              <w:rPr>
                <w:sz w:val="20"/>
                <w:szCs w:val="20"/>
              </w:rPr>
              <w:t xml:space="preserve"> female gender,​ and African-American were significantly associated with smoking of menthol cigarettes. No significant associations were found between menthol cigarette use and COPD,​ major CT findings,​ or comorbidities such as coronary artery disease,​ congestive heart failure,​ peripheral vascular disease,​ cerebrovascular disease,​ hypertension,​ diabetes,​ gastroesophageal reflux,​ and osteoporosis; however,​ menthol smokers were more likely to experience a severe exacerbation of COPD during longitudinal follow-up (odds ratio 1.29: 95% confidence interval,​ 1.01-1.54) compared to the non-menthol smokers. Conclusions: These results confirm that menthol cigarettes are not safer than traditional cigarettes and suggest that menthol cigarette smokers may have more frequent severe exacerbations than non-menthol smokers.</w:t>
            </w:r>
          </w:p>
        </w:tc>
      </w:tr>
      <w:tr w:rsidR="00B44564" w:rsidRPr="005762E6" w14:paraId="63E7A374"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6842A15" w14:textId="77777777" w:rsidR="00B44564" w:rsidRPr="005762E6" w:rsidRDefault="00B44564" w:rsidP="00EA69AA">
            <w:pPr>
              <w:spacing w:after="120" w:line="240" w:lineRule="auto"/>
              <w:contextualSpacing/>
              <w:rPr>
                <w:sz w:val="20"/>
                <w:szCs w:val="20"/>
              </w:rPr>
            </w:pPr>
            <w:r w:rsidRPr="005762E6">
              <w:rPr>
                <w:sz w:val="20"/>
                <w:szCs w:val="20"/>
              </w:rPr>
              <w:lastRenderedPageBreak/>
              <w:t>94</w:t>
            </w:r>
          </w:p>
        </w:tc>
        <w:tc>
          <w:tcPr>
            <w:tcW w:w="0" w:type="auto"/>
            <w:tcBorders>
              <w:top w:val="single" w:sz="6" w:space="0" w:color="auto"/>
              <w:left w:val="single" w:sz="6" w:space="0" w:color="auto"/>
              <w:bottom w:val="single" w:sz="6" w:space="0" w:color="auto"/>
              <w:right w:val="single" w:sz="6" w:space="0" w:color="auto"/>
            </w:tcBorders>
          </w:tcPr>
          <w:p w14:paraId="374F267F"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28498D2" w14:textId="77777777" w:rsidR="00B44564" w:rsidRPr="005762E6" w:rsidRDefault="00B44564" w:rsidP="00EA69AA">
            <w:pPr>
              <w:spacing w:after="120" w:line="240" w:lineRule="auto"/>
              <w:contextualSpacing/>
              <w:rPr>
                <w:sz w:val="20"/>
                <w:szCs w:val="20"/>
              </w:rPr>
            </w:pPr>
            <w:r w:rsidRPr="005762E6">
              <w:rPr>
                <w:sz w:val="20"/>
                <w:szCs w:val="20"/>
              </w:rPr>
              <w:t xml:space="preserve">Pratt-Chapman </w:t>
            </w:r>
            <w:proofErr w:type="gramStart"/>
            <w:r w:rsidRPr="005762E6">
              <w:rPr>
                <w:sz w:val="20"/>
                <w:szCs w:val="20"/>
              </w:rPr>
              <w:t>M.,​</w:t>
            </w:r>
            <w:proofErr w:type="gramEnd"/>
            <w:r w:rsidRPr="005762E6">
              <w:rPr>
                <w:sz w:val="20"/>
                <w:szCs w:val="20"/>
              </w:rPr>
              <w:t>Hatcher E.,​Brooks J.,​Davies M. Tailoring tobacco cessation interventions for special populations served by federally qualified health centers. Psycho-Oncology; 2015;24:50.</w:t>
            </w:r>
            <w:r w:rsidRPr="005762E6">
              <w:rPr>
                <w:sz w:val="20"/>
                <w:szCs w:val="20"/>
              </w:rPr>
              <w:br/>
            </w:r>
            <w:r w:rsidRPr="005762E6">
              <w:rPr>
                <w:sz w:val="20"/>
                <w:szCs w:val="20"/>
              </w:rPr>
              <w:br/>
            </w:r>
            <w:r w:rsidRPr="005762E6">
              <w:rPr>
                <w:b/>
                <w:bCs/>
                <w:sz w:val="20"/>
                <w:szCs w:val="20"/>
              </w:rPr>
              <w:t>Keywords:</w:t>
            </w:r>
            <w:r w:rsidRPr="005762E6">
              <w:rPr>
                <w:sz w:val="20"/>
                <w:szCs w:val="20"/>
              </w:rPr>
              <w:br/>
              <w:t>*population,​*health center,​*oncology,​*tobacco,​human,​smoking,​African American,​feedback system,​information processing,​Human immunodeficiency virus,​counseling,​self-help,​Health Belief Model,​smoke,​community,​hygiene,​hypothesis,​money,​policy,​hospital,​parent,​lung,​American,​menthol</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BACKGROUND/PURPOSE: This evaluation was designed to assist a federally qualified health center (FQHC) translate evidence into practice improvements for tobacco cessation due to limited class retention and sustained quit attempts. METHODS: Methods included a review of existing evidence and a focus group with HIV</w:t>
            </w:r>
            <w:proofErr w:type="gramStart"/>
            <w:r w:rsidRPr="005762E6">
              <w:rPr>
                <w:sz w:val="20"/>
                <w:szCs w:val="20"/>
              </w:rPr>
              <w:t>+,​</w:t>
            </w:r>
            <w:proofErr w:type="gramEnd"/>
            <w:r w:rsidRPr="005762E6">
              <w:rPr>
                <w:sz w:val="20"/>
                <w:szCs w:val="20"/>
              </w:rPr>
              <w:t xml:space="preserve"> LGBT-Q,​ homeless and African American individuals who participated in the American Lung Association Freedom from Smoking intervention. A focus group guide was crafted from themes in the literature using the Health Belief Model. Data were transcribed and analyzed deductively using NVivo 10. Parent nodes were benefits of </w:t>
            </w:r>
            <w:proofErr w:type="gramStart"/>
            <w:r w:rsidRPr="005762E6">
              <w:rPr>
                <w:sz w:val="20"/>
                <w:szCs w:val="20"/>
              </w:rPr>
              <w:t>changing,​</w:t>
            </w:r>
            <w:proofErr w:type="gramEnd"/>
            <w:r w:rsidRPr="005762E6">
              <w:rPr>
                <w:sz w:val="20"/>
                <w:szCs w:val="20"/>
              </w:rPr>
              <w:t xml:space="preserve"> cost of smoking,​ cues to action,​ efficacy to quit,​ impact of no smoking policies,​ reasons to smoke,​ resources used to quit and feedback to improve intervention. RESULTS: Population-specific recommendations included need to (1) advocate for tobacco cessation to reduce HIV </w:t>
            </w:r>
            <w:proofErr w:type="gramStart"/>
            <w:r w:rsidRPr="005762E6">
              <w:rPr>
                <w:sz w:val="20"/>
                <w:szCs w:val="20"/>
              </w:rPr>
              <w:t>symptoms,​</w:t>
            </w:r>
            <w:proofErr w:type="gramEnd"/>
            <w:r w:rsidRPr="005762E6">
              <w:rPr>
                <w:sz w:val="20"/>
                <w:szCs w:val="20"/>
              </w:rPr>
              <w:t xml:space="preserve"> (2) address smoking in bars and incorporate culturally specific content for LGBT-Q clients,​ (3) engage homeless clients in person,​ (4) address the additive effect of menthol for African American smokers and (5) combine self-help,​ counseling and pharmacotherapies to increase effectiveness of quit attempts. Focus group findings supported the literature and conveyed rich feedback on additional cues to action for special </w:t>
            </w:r>
            <w:proofErr w:type="gramStart"/>
            <w:r w:rsidRPr="005762E6">
              <w:rPr>
                <w:sz w:val="20"/>
                <w:szCs w:val="20"/>
              </w:rPr>
              <w:t>populations,​</w:t>
            </w:r>
            <w:proofErr w:type="gramEnd"/>
            <w:r w:rsidRPr="005762E6">
              <w:rPr>
                <w:sz w:val="20"/>
                <w:szCs w:val="20"/>
              </w:rPr>
              <w:t xml:space="preserve"> including improved hygiene,​ money saved and a sense of accomplishment. Most participants indicated they had not heard of the tobacco cessation quit line. CONCLUSIONS: This evaluation supports findings in existing literature on special needs of these target populations and yields additional data regarding cues to </w:t>
            </w:r>
            <w:proofErr w:type="gramStart"/>
            <w:r w:rsidRPr="005762E6">
              <w:rPr>
                <w:sz w:val="20"/>
                <w:szCs w:val="20"/>
              </w:rPr>
              <w:t>action,​</w:t>
            </w:r>
            <w:proofErr w:type="gramEnd"/>
            <w:r w:rsidRPr="005762E6">
              <w:rPr>
                <w:sz w:val="20"/>
                <w:szCs w:val="20"/>
              </w:rPr>
              <w:t xml:space="preserve"> reasons for unsuccessful quit attempts and retention. Feedback from FQHC clients was critical to the evaluation. Research Implications: Next steps involve conducting matrix analyses across two additional cohorts. While not </w:t>
            </w:r>
            <w:proofErr w:type="gramStart"/>
            <w:r w:rsidRPr="005762E6">
              <w:rPr>
                <w:sz w:val="20"/>
                <w:szCs w:val="20"/>
              </w:rPr>
              <w:t>generalizable,​</w:t>
            </w:r>
            <w:proofErr w:type="gramEnd"/>
            <w:r w:rsidRPr="005762E6">
              <w:rPr>
                <w:sz w:val="20"/>
                <w:szCs w:val="20"/>
              </w:rPr>
              <w:t xml:space="preserve"> these data will add to the evidence base for tobacco cessation interventions for HIV+,​ LGBT-Q,​ homeless and African American populations-currently sparse in the literature. This evaluation provides rich data for hypothesis generation. Practice Implications: Given insufficient data in randomized control trials for tobacco cessation approaches that benefit HIV</w:t>
            </w:r>
            <w:proofErr w:type="gramStart"/>
            <w:r w:rsidRPr="005762E6">
              <w:rPr>
                <w:sz w:val="20"/>
                <w:szCs w:val="20"/>
              </w:rPr>
              <w:t>+,​</w:t>
            </w:r>
            <w:proofErr w:type="gramEnd"/>
            <w:r w:rsidRPr="005762E6">
              <w:rPr>
                <w:sz w:val="20"/>
                <w:szCs w:val="20"/>
              </w:rPr>
              <w:t xml:space="preserve"> LGBT-Q,​ homeless and African American smokers,​ this evaluation provides important data to directly inform practice change in community clinics serving these populations.</w:t>
            </w:r>
          </w:p>
        </w:tc>
      </w:tr>
      <w:tr w:rsidR="00B44564" w:rsidRPr="005762E6" w14:paraId="09380591"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8767A06" w14:textId="77777777" w:rsidR="00B44564" w:rsidRPr="005762E6" w:rsidRDefault="00B44564" w:rsidP="00EA69AA">
            <w:pPr>
              <w:spacing w:after="120" w:line="240" w:lineRule="auto"/>
              <w:contextualSpacing/>
              <w:rPr>
                <w:sz w:val="20"/>
                <w:szCs w:val="20"/>
              </w:rPr>
            </w:pPr>
            <w:r w:rsidRPr="005762E6">
              <w:rPr>
                <w:sz w:val="20"/>
                <w:szCs w:val="20"/>
              </w:rPr>
              <w:t>95</w:t>
            </w:r>
          </w:p>
        </w:tc>
        <w:tc>
          <w:tcPr>
            <w:tcW w:w="0" w:type="auto"/>
            <w:tcBorders>
              <w:top w:val="single" w:sz="6" w:space="0" w:color="auto"/>
              <w:left w:val="single" w:sz="6" w:space="0" w:color="auto"/>
              <w:bottom w:val="single" w:sz="6" w:space="0" w:color="auto"/>
              <w:right w:val="single" w:sz="6" w:space="0" w:color="auto"/>
            </w:tcBorders>
          </w:tcPr>
          <w:p w14:paraId="04340CB4"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BD804AB" w14:textId="77777777" w:rsidR="00B44564" w:rsidRPr="005762E6" w:rsidRDefault="00B44564" w:rsidP="00EA69AA">
            <w:pPr>
              <w:spacing w:after="120" w:line="240" w:lineRule="auto"/>
              <w:contextualSpacing/>
              <w:rPr>
                <w:sz w:val="20"/>
                <w:szCs w:val="20"/>
              </w:rPr>
            </w:pPr>
            <w:r w:rsidRPr="005762E6">
              <w:rPr>
                <w:sz w:val="20"/>
                <w:szCs w:val="20"/>
              </w:rPr>
              <w:t xml:space="preserve">Paschke </w:t>
            </w:r>
            <w:proofErr w:type="gramStart"/>
            <w:r w:rsidRPr="005762E6">
              <w:rPr>
                <w:sz w:val="20"/>
                <w:szCs w:val="20"/>
              </w:rPr>
              <w:t>M.,​</w:t>
            </w:r>
            <w:proofErr w:type="gramEnd"/>
            <w:r w:rsidRPr="005762E6">
              <w:rPr>
                <w:sz w:val="20"/>
                <w:szCs w:val="20"/>
              </w:rPr>
              <w:t>Hutzler C.,​Tkachenko A.,​Henkler F.,​Luch A. Effect of the menthol content of cigarettes on the cold-menthol receptor TRPM8. Naunyn-Schmiedeberg's Archives of Pharmacology; 2015;388:S78.</w:t>
            </w:r>
            <w:r w:rsidRPr="005762E6">
              <w:rPr>
                <w:sz w:val="20"/>
                <w:szCs w:val="20"/>
              </w:rPr>
              <w:br/>
            </w:r>
            <w:r w:rsidRPr="005762E6">
              <w:rPr>
                <w:sz w:val="20"/>
                <w:szCs w:val="20"/>
              </w:rPr>
              <w:lastRenderedPageBreak/>
              <w:br/>
            </w:r>
            <w:r w:rsidRPr="005762E6">
              <w:rPr>
                <w:b/>
                <w:bCs/>
                <w:sz w:val="20"/>
                <w:szCs w:val="20"/>
              </w:rPr>
              <w:t>Keywords:</w:t>
            </w:r>
            <w:r w:rsidRPr="005762E6">
              <w:rPr>
                <w:sz w:val="20"/>
                <w:szCs w:val="20"/>
              </w:rPr>
              <w:br/>
              <w:t>*smoking,​agonist,​fluorescence,​human,​inhalation,​solid phase microextraction,​European,​respiratory system,​sensation,​gas,​standard,​cardiac resynchronization therapy device,​plasmid,​tobacco,​cooling,​digestion,​receptor potential,​bioassay,​immunohistochemistry,​analytic method,​calcium transport,​fluorescence microscopy,​spectrometry,​flavor,​*menthol,​*receptor,​tobacco smoke,​nicotine,​calcium,​linalool,​flavoring agent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For cigarettes,​ more than 600 ingredients are used in manufacturing processes. Menthol is a widely used additive in cigarettes to modify the </w:t>
            </w:r>
            <w:proofErr w:type="gramStart"/>
            <w:r w:rsidRPr="005762E6">
              <w:rPr>
                <w:sz w:val="20"/>
                <w:szCs w:val="20"/>
              </w:rPr>
              <w:t>flavour,​</w:t>
            </w:r>
            <w:proofErr w:type="gramEnd"/>
            <w:r w:rsidRPr="005762E6">
              <w:rPr>
                <w:sz w:val="20"/>
                <w:szCs w:val="20"/>
              </w:rPr>
              <w:t xml:space="preserve"> but it has also physiological properties that might promote the inhalation of tobacco smoke. Menthol is a well-known agonist of the cold-menthol receptor "transient receptor potential melastatin 8" (TRPM8) resulting in a cooling sensation in the respiratory tract during smoking of mentholated cigarettes. </w:t>
            </w:r>
            <w:proofErr w:type="gramStart"/>
            <w:r w:rsidRPr="005762E6">
              <w:rPr>
                <w:sz w:val="20"/>
                <w:szCs w:val="20"/>
              </w:rPr>
              <w:t>Thus,​</w:t>
            </w:r>
            <w:proofErr w:type="gramEnd"/>
            <w:r w:rsidRPr="005762E6">
              <w:rPr>
                <w:sz w:val="20"/>
                <w:szCs w:val="20"/>
              </w:rPr>
              <w:t xml:space="preserve"> mentholated cigarettes are suspected to increase the depth of inhalation and concurrent nicotine uptake. With the revision of the European Tobacco Products Directive (2014/40/EU) mentholated cigarettes will be prohibited. </w:t>
            </w:r>
            <w:proofErr w:type="gramStart"/>
            <w:r w:rsidRPr="005762E6">
              <w:rPr>
                <w:sz w:val="20"/>
                <w:szCs w:val="20"/>
              </w:rPr>
              <w:t>However,​</w:t>
            </w:r>
            <w:proofErr w:type="gramEnd"/>
            <w:r w:rsidRPr="005762E6">
              <w:rPr>
                <w:sz w:val="20"/>
                <w:szCs w:val="20"/>
              </w:rPr>
              <w:t xml:space="preserve"> the TRPM8 can also be activated by other agonists,​ e.g. by the frequently used flavoring agent linalool. Product control will therefore require analytical methods to define and subsequently detect agonists of TRPM8. According to this background a bioassay was developed to characterize the effect of menthol and other agonists on TRPM8 in HEK293 cells using fluo-4 AM as calcium indicator. Human TRPM8 was inserted into pcDNA3 and controlled digestion of the generated plasmid was performed thereby confirming the expected sequence. The expression of TRPM8 in HEK293 cells was shown by immunohistochemistry. The increase of fluorescence in transfected HEK293 cells triggered by menthol-mediated calcium </w:t>
            </w:r>
            <w:proofErr w:type="gramStart"/>
            <w:r w:rsidRPr="005762E6">
              <w:rPr>
                <w:sz w:val="20"/>
                <w:szCs w:val="20"/>
              </w:rPr>
              <w:t>influx,​</w:t>
            </w:r>
            <w:proofErr w:type="gramEnd"/>
            <w:r w:rsidRPr="005762E6">
              <w:rPr>
                <w:sz w:val="20"/>
                <w:szCs w:val="20"/>
              </w:rPr>
              <w:t xml:space="preserve"> was visualized via confocal fluorescence microscopy and quantified for single cells. An increase in fluorescence through activation of TRPM8 was achieved with menthol at concentrations of 0.25 muM and higher. To quantify the menthol content in cigarettes a headspace-solid phase microextraction (HS-SPME) technique was developed and coupled to subsequent gas chromatography</w:t>
            </w:r>
            <w:r>
              <w:rPr>
                <w:sz w:val="20"/>
                <w:szCs w:val="20"/>
              </w:rPr>
              <w:t xml:space="preserve"> </w:t>
            </w:r>
            <w:r w:rsidRPr="005762E6">
              <w:rPr>
                <w:sz w:val="20"/>
                <w:szCs w:val="20"/>
              </w:rPr>
              <w:t>mass spectrometry (GC/MS). A standard addition method using isomenthol as internal standard was applied.</w:t>
            </w:r>
          </w:p>
        </w:tc>
      </w:tr>
      <w:tr w:rsidR="00B44564" w:rsidRPr="005762E6" w14:paraId="19648FC5"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53A3F4D" w14:textId="77777777" w:rsidR="00B44564" w:rsidRPr="005762E6" w:rsidRDefault="00B44564" w:rsidP="00EA69AA">
            <w:pPr>
              <w:spacing w:after="120" w:line="240" w:lineRule="auto"/>
              <w:contextualSpacing/>
              <w:rPr>
                <w:sz w:val="20"/>
                <w:szCs w:val="20"/>
              </w:rPr>
            </w:pPr>
            <w:r w:rsidRPr="005762E6">
              <w:rPr>
                <w:sz w:val="20"/>
                <w:szCs w:val="20"/>
              </w:rPr>
              <w:lastRenderedPageBreak/>
              <w:t>101</w:t>
            </w:r>
          </w:p>
        </w:tc>
        <w:tc>
          <w:tcPr>
            <w:tcW w:w="0" w:type="auto"/>
            <w:tcBorders>
              <w:top w:val="single" w:sz="6" w:space="0" w:color="auto"/>
              <w:left w:val="single" w:sz="6" w:space="0" w:color="auto"/>
              <w:bottom w:val="single" w:sz="6" w:space="0" w:color="auto"/>
              <w:right w:val="single" w:sz="6" w:space="0" w:color="auto"/>
            </w:tcBorders>
          </w:tcPr>
          <w:p w14:paraId="669B4C94"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ED5C146" w14:textId="77777777" w:rsidR="00B44564" w:rsidRPr="005762E6" w:rsidRDefault="00B44564" w:rsidP="00EA69AA">
            <w:pPr>
              <w:spacing w:after="120" w:line="240" w:lineRule="auto"/>
              <w:contextualSpacing/>
              <w:rPr>
                <w:sz w:val="20"/>
                <w:szCs w:val="20"/>
              </w:rPr>
            </w:pPr>
            <w:r w:rsidRPr="005762E6">
              <w:rPr>
                <w:sz w:val="20"/>
                <w:szCs w:val="20"/>
              </w:rPr>
              <w:t>Cunningham R. Prohibitions/restrictions on flavoured tobacco products: Updated overview of international developments. Asia-Pacific Journal of Clinical Oncology; 2014;10:182.</w:t>
            </w:r>
            <w:r w:rsidRPr="005762E6">
              <w:rPr>
                <w:sz w:val="20"/>
                <w:szCs w:val="20"/>
              </w:rPr>
              <w:br/>
            </w:r>
            <w:r w:rsidRPr="005762E6">
              <w:rPr>
                <w:sz w:val="20"/>
                <w:szCs w:val="20"/>
              </w:rPr>
              <w:br/>
            </w:r>
            <w:r w:rsidRPr="005762E6">
              <w:rPr>
                <w:b/>
                <w:bCs/>
                <w:sz w:val="20"/>
                <w:szCs w:val="20"/>
              </w:rPr>
              <w:t>Keywords:</w:t>
            </w:r>
            <w:r w:rsidRPr="005762E6">
              <w:rPr>
                <w:sz w:val="20"/>
                <w:szCs w:val="20"/>
              </w:rPr>
              <w:br/>
              <w:t>*neoplasm,​*tobacco,​flavor,​smoking,​government,​United States,​tobacco industry,​tube,​law,​Canadian,​Vanilla,​cherry,​cacao,​Germany,​European Union,​smoke,​politics,​herb,​Glycyrrhiza,​palatability,​spice,​tobacco use,​juvenile,​Brazil,​food and drug administration,​world health organization,​menthol,​water,​tobacco smoke,​sweetening agent,​sugar</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and Context: The tobacco industry has increasingly been using flavours to make tobacco products more attractive. Flavours such as </w:t>
            </w:r>
            <w:proofErr w:type="gramStart"/>
            <w:r w:rsidRPr="005762E6">
              <w:rPr>
                <w:sz w:val="20"/>
                <w:szCs w:val="20"/>
              </w:rPr>
              <w:t>chocolate,​</w:t>
            </w:r>
            <w:proofErr w:type="gramEnd"/>
            <w:r w:rsidRPr="005762E6">
              <w:rPr>
                <w:sz w:val="20"/>
                <w:szCs w:val="20"/>
              </w:rPr>
              <w:t xml:space="preserve"> sugar,​ licorice,​ cherry,​ vanilla,​ as well as other sweeteners,​ spices and herbs have been used,​ including menthol. Flavours make it easier to </w:t>
            </w:r>
            <w:proofErr w:type="gramStart"/>
            <w:r w:rsidRPr="005762E6">
              <w:rPr>
                <w:sz w:val="20"/>
                <w:szCs w:val="20"/>
              </w:rPr>
              <w:t>smoke,​</w:t>
            </w:r>
            <w:proofErr w:type="gramEnd"/>
            <w:r w:rsidRPr="005762E6">
              <w:rPr>
                <w:sz w:val="20"/>
                <w:szCs w:val="20"/>
              </w:rPr>
              <w:t xml:space="preserve"> can encourage youth initiation,​ and can discourage cessation. Flavoured products may also be perceived as less harmful. For water pipe </w:t>
            </w:r>
            <w:proofErr w:type="gramStart"/>
            <w:r w:rsidRPr="005762E6">
              <w:rPr>
                <w:sz w:val="20"/>
                <w:szCs w:val="20"/>
              </w:rPr>
              <w:t>tobacco,​</w:t>
            </w:r>
            <w:proofErr w:type="gramEnd"/>
            <w:r w:rsidRPr="005762E6">
              <w:rPr>
                <w:sz w:val="20"/>
                <w:szCs w:val="20"/>
              </w:rPr>
              <w:t xml:space="preserve"> the extensive use of flavours has contributed to increased water pipe smoking in many countries. International guidelines under the WHO Framework Convention on Tobacco Control recommend that governments "should </w:t>
            </w:r>
            <w:proofErr w:type="gramStart"/>
            <w:r w:rsidRPr="005762E6">
              <w:rPr>
                <w:sz w:val="20"/>
                <w:szCs w:val="20"/>
              </w:rPr>
              <w:t>regulate,​</w:t>
            </w:r>
            <w:proofErr w:type="gramEnd"/>
            <w:r w:rsidRPr="005762E6">
              <w:rPr>
                <w:sz w:val="20"/>
                <w:szCs w:val="20"/>
              </w:rPr>
              <w:t xml:space="preserve"> by prohibiting or restricting,​ ingredients that may be used to increase palatability in tobacco products." The guidelines recognize that "masking tobacco smoke harshness with flavours contributes to promoting and sustaining tobacco use." Aim: This presentation will provide an updated overview of international developments related to prohibitions/restrictions on flavoured tobacco products. Strategy/Tactics: In recent </w:t>
            </w:r>
            <w:proofErr w:type="gramStart"/>
            <w:r w:rsidRPr="005762E6">
              <w:rPr>
                <w:sz w:val="20"/>
                <w:szCs w:val="20"/>
              </w:rPr>
              <w:t>years,​</w:t>
            </w:r>
            <w:proofErr w:type="gramEnd"/>
            <w:r w:rsidRPr="005762E6">
              <w:rPr>
                <w:sz w:val="20"/>
                <w:szCs w:val="20"/>
              </w:rPr>
              <w:t xml:space="preserve"> a growing number of countries/ jurisdictions have adopted legislation to curb flavours. Programme/Policy Process: In April </w:t>
            </w:r>
            <w:proofErr w:type="gramStart"/>
            <w:r w:rsidRPr="005762E6">
              <w:rPr>
                <w:sz w:val="20"/>
                <w:szCs w:val="20"/>
              </w:rPr>
              <w:t>2014,​</w:t>
            </w:r>
            <w:proofErr w:type="gramEnd"/>
            <w:r w:rsidRPr="005762E6">
              <w:rPr>
                <w:sz w:val="20"/>
                <w:szCs w:val="20"/>
              </w:rPr>
              <w:t xml:space="preserve"> despite strong tobacco industry lobbying,​ the European Union adopted a new Directive that will ban menthol cigarettes in all 28 EU countries. Germany previously banned menthol capsules. The US has prohibited "characterizing" flavours in cigarettes and roll-your own tobacco (menthol excepted). In </w:t>
            </w:r>
            <w:proofErr w:type="gramStart"/>
            <w:r w:rsidRPr="005762E6">
              <w:rPr>
                <w:sz w:val="20"/>
                <w:szCs w:val="20"/>
              </w:rPr>
              <w:t>2013,​</w:t>
            </w:r>
            <w:proofErr w:type="gramEnd"/>
            <w:r w:rsidRPr="005762E6">
              <w:rPr>
                <w:sz w:val="20"/>
                <w:szCs w:val="20"/>
              </w:rPr>
              <w:t xml:space="preserve"> the US FDA has announced that it intends to regulate menthol. New York City and Providence (Rhode Island) have banned almost all characterizing flavours (menthol excepted) in all tobacco products. Canadian national legislation prohibits all flavours (except menthol) in </w:t>
            </w:r>
            <w:proofErr w:type="gramStart"/>
            <w:r w:rsidRPr="005762E6">
              <w:rPr>
                <w:sz w:val="20"/>
                <w:szCs w:val="20"/>
              </w:rPr>
              <w:t>cigarettes,​</w:t>
            </w:r>
            <w:proofErr w:type="gramEnd"/>
            <w:r w:rsidRPr="005762E6">
              <w:rPr>
                <w:sz w:val="20"/>
                <w:szCs w:val="20"/>
              </w:rPr>
              <w:t xml:space="preserve"> little cigars and blunt wraps. In 2013-</w:t>
            </w:r>
            <w:proofErr w:type="gramStart"/>
            <w:r w:rsidRPr="005762E6">
              <w:rPr>
                <w:sz w:val="20"/>
                <w:szCs w:val="20"/>
              </w:rPr>
              <w:t>2014,​</w:t>
            </w:r>
            <w:proofErr w:type="gramEnd"/>
            <w:r w:rsidRPr="005762E6">
              <w:rPr>
                <w:sz w:val="20"/>
                <w:szCs w:val="20"/>
              </w:rPr>
              <w:t xml:space="preserve"> some Canadian provinces adopted </w:t>
            </w:r>
            <w:r w:rsidRPr="005762E6">
              <w:rPr>
                <w:sz w:val="20"/>
                <w:szCs w:val="20"/>
              </w:rPr>
              <w:lastRenderedPageBreak/>
              <w:t xml:space="preserve">laws applying to other tobacco products. In </w:t>
            </w:r>
            <w:proofErr w:type="gramStart"/>
            <w:r w:rsidRPr="005762E6">
              <w:rPr>
                <w:sz w:val="20"/>
                <w:szCs w:val="20"/>
              </w:rPr>
              <w:t>Brazil,​</w:t>
            </w:r>
            <w:proofErr w:type="gramEnd"/>
            <w:r w:rsidRPr="005762E6">
              <w:rPr>
                <w:sz w:val="20"/>
                <w:szCs w:val="20"/>
              </w:rPr>
              <w:t xml:space="preserve"> a national regulation bans flavours (including menthol) in all tobacco products,​ but this has not yet been implemented. Outcomes/What was learned: Governments should ban flavours in all tobacco </w:t>
            </w:r>
            <w:proofErr w:type="gramStart"/>
            <w:r w:rsidRPr="005762E6">
              <w:rPr>
                <w:sz w:val="20"/>
                <w:szCs w:val="20"/>
              </w:rPr>
              <w:t>products,​</w:t>
            </w:r>
            <w:proofErr w:type="gramEnd"/>
            <w:r w:rsidRPr="005762E6">
              <w:rPr>
                <w:sz w:val="20"/>
                <w:szCs w:val="20"/>
              </w:rPr>
              <w:t xml:space="preserve"> continuing the international trend.</w:t>
            </w:r>
          </w:p>
        </w:tc>
      </w:tr>
      <w:tr w:rsidR="00B44564" w:rsidRPr="005762E6" w14:paraId="706C5EDB"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1EC3D6D" w14:textId="77777777" w:rsidR="00B44564" w:rsidRPr="005762E6" w:rsidRDefault="00B44564" w:rsidP="00EA69AA">
            <w:pPr>
              <w:spacing w:after="120" w:line="240" w:lineRule="auto"/>
              <w:contextualSpacing/>
              <w:rPr>
                <w:sz w:val="20"/>
                <w:szCs w:val="20"/>
              </w:rPr>
            </w:pPr>
            <w:r w:rsidRPr="005762E6">
              <w:rPr>
                <w:sz w:val="20"/>
                <w:szCs w:val="20"/>
              </w:rPr>
              <w:lastRenderedPageBreak/>
              <w:t>110</w:t>
            </w:r>
          </w:p>
        </w:tc>
        <w:tc>
          <w:tcPr>
            <w:tcW w:w="0" w:type="auto"/>
            <w:tcBorders>
              <w:top w:val="single" w:sz="6" w:space="0" w:color="auto"/>
              <w:left w:val="single" w:sz="6" w:space="0" w:color="auto"/>
              <w:bottom w:val="single" w:sz="6" w:space="0" w:color="auto"/>
              <w:right w:val="single" w:sz="6" w:space="0" w:color="auto"/>
            </w:tcBorders>
          </w:tcPr>
          <w:p w14:paraId="1EFD55AB"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7CC3724" w14:textId="77777777" w:rsidR="00B44564" w:rsidRPr="005762E6" w:rsidRDefault="00B44564" w:rsidP="00EA69AA">
            <w:pPr>
              <w:spacing w:after="120" w:line="240" w:lineRule="auto"/>
              <w:contextualSpacing/>
              <w:rPr>
                <w:sz w:val="20"/>
                <w:szCs w:val="20"/>
              </w:rPr>
            </w:pPr>
            <w:r w:rsidRPr="005762E6">
              <w:rPr>
                <w:sz w:val="20"/>
                <w:szCs w:val="20"/>
              </w:rPr>
              <w:t>Schneider M.E. ASCO issues to-do list on initiatives for tobacco control. Oncology Report; 2013;:15.</w:t>
            </w:r>
            <w:r w:rsidRPr="005762E6">
              <w:rPr>
                <w:sz w:val="20"/>
                <w:szCs w:val="20"/>
              </w:rPr>
              <w:br/>
            </w:r>
            <w:r w:rsidRPr="005762E6">
              <w:rPr>
                <w:sz w:val="20"/>
                <w:szCs w:val="20"/>
              </w:rPr>
              <w:br/>
            </w:r>
            <w:r w:rsidRPr="005762E6">
              <w:rPr>
                <w:b/>
                <w:bCs/>
                <w:sz w:val="20"/>
                <w:szCs w:val="20"/>
              </w:rPr>
              <w:t>Keywords:</w:t>
            </w:r>
            <w:r w:rsidRPr="005762E6">
              <w:rPr>
                <w:sz w:val="20"/>
                <w:szCs w:val="20"/>
              </w:rPr>
              <w:br/>
              <w:t xml:space="preserve">health care </w:t>
            </w:r>
            <w:proofErr w:type="gramStart"/>
            <w:r w:rsidRPr="005762E6">
              <w:rPr>
                <w:sz w:val="20"/>
                <w:szCs w:val="20"/>
              </w:rPr>
              <w:t>organization,​</w:t>
            </w:r>
            <w:proofErr w:type="gramEnd"/>
            <w:r w:rsidRPr="005762E6">
              <w:rPr>
                <w:sz w:val="20"/>
                <w:szCs w:val="20"/>
              </w:rPr>
              <w:t>health care policy,​health care survey,​human,​medical education,​medical fee,​note,​oncologist,​patient compliance,​physician,​*practice guideline,​smoking,​*smoking cessation,​menthol</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60E24F5B"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87FDE4A" w14:textId="77777777" w:rsidR="00B44564" w:rsidRPr="005762E6" w:rsidRDefault="00B44564" w:rsidP="00EA69AA">
            <w:pPr>
              <w:spacing w:after="120" w:line="240" w:lineRule="auto"/>
              <w:contextualSpacing/>
              <w:rPr>
                <w:sz w:val="20"/>
                <w:szCs w:val="20"/>
              </w:rPr>
            </w:pPr>
            <w:r w:rsidRPr="005762E6">
              <w:rPr>
                <w:sz w:val="20"/>
                <w:szCs w:val="20"/>
              </w:rPr>
              <w:t>113</w:t>
            </w:r>
          </w:p>
        </w:tc>
        <w:tc>
          <w:tcPr>
            <w:tcW w:w="0" w:type="auto"/>
            <w:tcBorders>
              <w:top w:val="single" w:sz="6" w:space="0" w:color="auto"/>
              <w:left w:val="single" w:sz="6" w:space="0" w:color="auto"/>
              <w:bottom w:val="single" w:sz="6" w:space="0" w:color="auto"/>
              <w:right w:val="single" w:sz="6" w:space="0" w:color="auto"/>
            </w:tcBorders>
          </w:tcPr>
          <w:p w14:paraId="2C7F718F"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0344907" w14:textId="77777777" w:rsidR="00B44564" w:rsidRPr="005762E6" w:rsidRDefault="00B44564" w:rsidP="00EA69AA">
            <w:pPr>
              <w:spacing w:after="120" w:line="240" w:lineRule="auto"/>
              <w:contextualSpacing/>
              <w:rPr>
                <w:sz w:val="20"/>
                <w:szCs w:val="20"/>
              </w:rPr>
            </w:pPr>
            <w:r w:rsidRPr="005762E6">
              <w:rPr>
                <w:sz w:val="20"/>
                <w:szCs w:val="20"/>
              </w:rPr>
              <w:t>Alabi T. Menthol cigarette use among African Americans. Drug Topics; 2013;:4.</w:t>
            </w:r>
            <w:r w:rsidRPr="005762E6">
              <w:rPr>
                <w:sz w:val="20"/>
                <w:szCs w:val="20"/>
              </w:rPr>
              <w:br/>
            </w:r>
            <w:r w:rsidRPr="005762E6">
              <w:rPr>
                <w:sz w:val="20"/>
                <w:szCs w:val="20"/>
              </w:rPr>
              <w:br/>
            </w:r>
            <w:r w:rsidRPr="005762E6">
              <w:rPr>
                <w:b/>
                <w:bCs/>
                <w:sz w:val="20"/>
                <w:szCs w:val="20"/>
              </w:rPr>
              <w:t>Keywords:</w:t>
            </w:r>
            <w:r w:rsidRPr="005762E6">
              <w:rPr>
                <w:sz w:val="20"/>
                <w:szCs w:val="20"/>
              </w:rPr>
              <w:br/>
              <w:t xml:space="preserve">adolescent </w:t>
            </w:r>
            <w:proofErr w:type="gramStart"/>
            <w:r w:rsidRPr="005762E6">
              <w:rPr>
                <w:sz w:val="20"/>
                <w:szCs w:val="20"/>
              </w:rPr>
              <w:t>smoking,​</w:t>
            </w:r>
            <w:proofErr w:type="gramEnd"/>
            <w:r w:rsidRPr="005762E6">
              <w:rPr>
                <w:sz w:val="20"/>
                <w:szCs w:val="20"/>
              </w:rPr>
              <w:t>advertising,​*African American,​health hazard,​health promotion,​high school student,​human,​marketing,​note,​*smoking,​smoking ban,​tobacco industry,​*menthol</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70A7C3D9"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50B50A4" w14:textId="77777777" w:rsidR="00B44564" w:rsidRPr="005762E6" w:rsidRDefault="00B44564" w:rsidP="00EA69AA">
            <w:pPr>
              <w:spacing w:after="120" w:line="240" w:lineRule="auto"/>
              <w:contextualSpacing/>
              <w:rPr>
                <w:sz w:val="20"/>
                <w:szCs w:val="20"/>
              </w:rPr>
            </w:pPr>
            <w:r w:rsidRPr="005762E6">
              <w:rPr>
                <w:sz w:val="20"/>
                <w:szCs w:val="20"/>
              </w:rPr>
              <w:t>114</w:t>
            </w:r>
          </w:p>
        </w:tc>
        <w:tc>
          <w:tcPr>
            <w:tcW w:w="0" w:type="auto"/>
            <w:tcBorders>
              <w:top w:val="single" w:sz="6" w:space="0" w:color="auto"/>
              <w:left w:val="single" w:sz="6" w:space="0" w:color="auto"/>
              <w:bottom w:val="single" w:sz="6" w:space="0" w:color="auto"/>
              <w:right w:val="single" w:sz="6" w:space="0" w:color="auto"/>
            </w:tcBorders>
          </w:tcPr>
          <w:p w14:paraId="7E2183B5"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6C6B8AD" w14:textId="77777777" w:rsidR="00B44564" w:rsidRPr="005762E6" w:rsidRDefault="00B44564" w:rsidP="00EA69AA">
            <w:pPr>
              <w:spacing w:after="120" w:line="240" w:lineRule="auto"/>
              <w:contextualSpacing/>
              <w:rPr>
                <w:sz w:val="20"/>
                <w:szCs w:val="20"/>
              </w:rPr>
            </w:pPr>
            <w:r w:rsidRPr="005762E6">
              <w:rPr>
                <w:sz w:val="20"/>
                <w:szCs w:val="20"/>
              </w:rPr>
              <w:t>McKee M. European Union's tobacco products directive: Many questions remain about the influence of industry. BMJ (Online); 2013;</w:t>
            </w:r>
            <w:proofErr w:type="gramStart"/>
            <w:r w:rsidRPr="005762E6">
              <w:rPr>
                <w:sz w:val="20"/>
                <w:szCs w:val="20"/>
              </w:rPr>
              <w:t>347:f</w:t>
            </w:r>
            <w:proofErr w:type="gramEnd"/>
            <w:r w:rsidRPr="005762E6">
              <w:rPr>
                <w:sz w:val="20"/>
                <w:szCs w:val="20"/>
              </w:rPr>
              <w:t>6196.</w:t>
            </w:r>
            <w:r w:rsidRPr="005762E6">
              <w:rPr>
                <w:sz w:val="20"/>
                <w:szCs w:val="20"/>
              </w:rPr>
              <w:br/>
            </w:r>
            <w:r w:rsidRPr="005762E6">
              <w:rPr>
                <w:sz w:val="20"/>
                <w:szCs w:val="20"/>
              </w:rPr>
              <w:br/>
            </w:r>
            <w:r w:rsidRPr="005762E6">
              <w:rPr>
                <w:b/>
                <w:bCs/>
                <w:sz w:val="20"/>
                <w:szCs w:val="20"/>
              </w:rPr>
              <w:t>Keywords:</w:t>
            </w:r>
            <w:r w:rsidRPr="005762E6">
              <w:rPr>
                <w:sz w:val="20"/>
                <w:szCs w:val="20"/>
              </w:rPr>
              <w:br/>
              <w:t>chemical composition,​chemical parameters,​*drug legislation,​editorial,​*European Union,​*government regulation,​health care policy,​information dissemination,​marketing,​packaging,​priority journal,​public health service,​smoking,​smoking cessation,​standardization,​*tobacco,​tobacco industry,​menthol,​nicotine</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6C36A70F"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F115776" w14:textId="77777777" w:rsidR="00B44564" w:rsidRPr="005762E6" w:rsidRDefault="00B44564" w:rsidP="00EA69AA">
            <w:pPr>
              <w:spacing w:after="120" w:line="240" w:lineRule="auto"/>
              <w:contextualSpacing/>
              <w:rPr>
                <w:sz w:val="20"/>
                <w:szCs w:val="20"/>
              </w:rPr>
            </w:pPr>
            <w:r w:rsidRPr="005762E6">
              <w:rPr>
                <w:sz w:val="20"/>
                <w:szCs w:val="20"/>
              </w:rPr>
              <w:t>121</w:t>
            </w:r>
          </w:p>
        </w:tc>
        <w:tc>
          <w:tcPr>
            <w:tcW w:w="0" w:type="auto"/>
            <w:tcBorders>
              <w:top w:val="single" w:sz="6" w:space="0" w:color="auto"/>
              <w:left w:val="single" w:sz="6" w:space="0" w:color="auto"/>
              <w:bottom w:val="single" w:sz="6" w:space="0" w:color="auto"/>
              <w:right w:val="single" w:sz="6" w:space="0" w:color="auto"/>
            </w:tcBorders>
          </w:tcPr>
          <w:p w14:paraId="07553EFC"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C5DF96C" w14:textId="77777777" w:rsidR="00B44564" w:rsidRPr="005762E6" w:rsidRDefault="00B44564" w:rsidP="00EA69AA">
            <w:pPr>
              <w:spacing w:after="120" w:line="240" w:lineRule="auto"/>
              <w:contextualSpacing/>
              <w:rPr>
                <w:sz w:val="20"/>
                <w:szCs w:val="20"/>
              </w:rPr>
            </w:pPr>
            <w:r w:rsidRPr="005762E6">
              <w:rPr>
                <w:sz w:val="20"/>
                <w:szCs w:val="20"/>
              </w:rPr>
              <w:t xml:space="preserve">Sarkar </w:t>
            </w:r>
            <w:proofErr w:type="gramStart"/>
            <w:r w:rsidRPr="005762E6">
              <w:rPr>
                <w:sz w:val="20"/>
                <w:szCs w:val="20"/>
              </w:rPr>
              <w:t>M.,​</w:t>
            </w:r>
            <w:proofErr w:type="gramEnd"/>
            <w:r w:rsidRPr="005762E6">
              <w:rPr>
                <w:sz w:val="20"/>
                <w:szCs w:val="20"/>
              </w:rPr>
              <w:t>Wang J.,​Liang Q. Metabolism of nicotine and 4-(methylnitrosamino)-l-(3-pyridyl)-l-butanone (NNK) in Menthol and Non-menthol Cigarette Smokers. Drug Metabolism Letters; 2012;6:198.</w:t>
            </w:r>
            <w:r w:rsidRPr="005762E6">
              <w:rPr>
                <w:sz w:val="20"/>
                <w:szCs w:val="20"/>
              </w:rPr>
              <w:br/>
            </w:r>
            <w:r w:rsidRPr="005762E6">
              <w:rPr>
                <w:sz w:val="20"/>
                <w:szCs w:val="20"/>
              </w:rPr>
              <w:br/>
            </w:r>
            <w:r w:rsidRPr="005762E6">
              <w:rPr>
                <w:b/>
                <w:bCs/>
                <w:sz w:val="20"/>
                <w:szCs w:val="20"/>
              </w:rPr>
              <w:t>Keywords:</w:t>
            </w:r>
            <w:r w:rsidRPr="005762E6">
              <w:rPr>
                <w:sz w:val="20"/>
                <w:szCs w:val="20"/>
              </w:rPr>
              <w:br/>
              <w:t>adult,​African American,​age distribution,​alcoholic beverage,​article,​Caucasian,​*drug metabolism,​female,​human,​liver function,​major clinical study,​male,​multicenter study,​observational study,​priority journal,​race difference,​*smoking,​statistical significance,​urinary excretion,​*3' hydroxycotinine,​*4 (methylnitrosamino) 1 (3 pyridyl) 1 butanone,​*cotinine,​glucuronide,​*menthol,​*nicotine</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Purpose: Menthol in cigarettes has been suggested to inhibit metabolism of nicotine and 4-(methylnitrosamino)-1-(3-pyridyl)-1-butanone (NNK). The objective of this study was to investigate the glucuronide metabolite ratios (MR) for nicotine (NICGLUC/NIC</w:t>
            </w:r>
            <w:proofErr w:type="gramStart"/>
            <w:r w:rsidRPr="005762E6">
              <w:rPr>
                <w:sz w:val="20"/>
                <w:szCs w:val="20"/>
              </w:rPr>
              <w:t>),​</w:t>
            </w:r>
            <w:proofErr w:type="gramEnd"/>
            <w:r w:rsidRPr="005762E6">
              <w:rPr>
                <w:sz w:val="20"/>
                <w:szCs w:val="20"/>
              </w:rPr>
              <w:t xml:space="preserve"> cotinine (COTGLUC/COT),​ trans 3'-hydroxy cotinine (3OHCOTGLUC/3OHCOT). 4-methylnitrosamino-1-(3-pyridyl)-1-butanol (NNAL - NNALGLUC/NNAL); and the ratio of trans 3'-hydroxy cotinine to cotinine (3OHCOT/COT) between adult menthol and non-menthol smokers (AS). Methods: The data was collected from the Total Exposure Study (TES</w:t>
            </w:r>
            <w:proofErr w:type="gramStart"/>
            <w:r w:rsidRPr="005762E6">
              <w:rPr>
                <w:sz w:val="20"/>
                <w:szCs w:val="20"/>
              </w:rPr>
              <w:t>),​</w:t>
            </w:r>
            <w:proofErr w:type="gramEnd"/>
            <w:r w:rsidRPr="005762E6">
              <w:rPr>
                <w:sz w:val="20"/>
                <w:szCs w:val="20"/>
              </w:rPr>
              <w:t xml:space="preserve"> a stratified,​ multi-center,​ cross-sectional study that included 3,​ 585 AS and 1,​ 077 non-smokers. Daily urinary excretion of nicotine and five </w:t>
            </w:r>
            <w:proofErr w:type="gramStart"/>
            <w:r w:rsidRPr="005762E6">
              <w:rPr>
                <w:sz w:val="20"/>
                <w:szCs w:val="20"/>
              </w:rPr>
              <w:t>metabolites,​</w:t>
            </w:r>
            <w:proofErr w:type="gramEnd"/>
            <w:r w:rsidRPr="005762E6">
              <w:rPr>
                <w:sz w:val="20"/>
                <w:szCs w:val="20"/>
              </w:rPr>
              <w:t xml:space="preserve"> NNAL and NNAL glucuronides,​ and serum cotinine were measured in the AS. The analysis included 1044 menthol (448 African-</w:t>
            </w:r>
            <w:proofErr w:type="gramStart"/>
            <w:r w:rsidRPr="005762E6">
              <w:rPr>
                <w:sz w:val="20"/>
                <w:szCs w:val="20"/>
              </w:rPr>
              <w:t>Americans,​</w:t>
            </w:r>
            <w:proofErr w:type="gramEnd"/>
            <w:r w:rsidRPr="005762E6">
              <w:rPr>
                <w:sz w:val="20"/>
                <w:szCs w:val="20"/>
              </w:rPr>
              <w:t xml:space="preserve"> AA) and 2297 non-menthol (161 AA) AS. Results: Smoking mentholated cigarettes did not decrease any of the MR. Race was the most important significant main effect for all the MRs. AAs exhibited statistically significantly lower NICGLUC/</w:t>
            </w:r>
            <w:proofErr w:type="gramStart"/>
            <w:r w:rsidRPr="005762E6">
              <w:rPr>
                <w:sz w:val="20"/>
                <w:szCs w:val="20"/>
              </w:rPr>
              <w:t>NIC,​</w:t>
            </w:r>
            <w:proofErr w:type="gramEnd"/>
            <w:r w:rsidRPr="005762E6">
              <w:rPr>
                <w:sz w:val="20"/>
                <w:szCs w:val="20"/>
              </w:rPr>
              <w:t xml:space="preserve"> COTGLUC/COT,​ NNALGLUC/ NNAL and 3OHCOT/COT,​ but higher 3OHCOTGLUC/3OHCOT compared to Whites. </w:t>
            </w:r>
            <w:proofErr w:type="gramStart"/>
            <w:r w:rsidRPr="005762E6">
              <w:rPr>
                <w:sz w:val="20"/>
                <w:szCs w:val="20"/>
              </w:rPr>
              <w:t>Age,​</w:t>
            </w:r>
            <w:proofErr w:type="gramEnd"/>
            <w:r w:rsidRPr="005762E6">
              <w:rPr>
                <w:sz w:val="20"/>
                <w:szCs w:val="20"/>
              </w:rPr>
              <w:t xml:space="preserve"> liver function,​ alcoholic beverages,​ etc.,​ were some of the other significant effects for some MRs. Menthol was not a statistically significant </w:t>
            </w:r>
            <w:proofErr w:type="gramStart"/>
            <w:r w:rsidRPr="005762E6">
              <w:rPr>
                <w:sz w:val="20"/>
                <w:szCs w:val="20"/>
              </w:rPr>
              <w:t>effect,​</w:t>
            </w:r>
            <w:proofErr w:type="gramEnd"/>
            <w:r w:rsidRPr="005762E6">
              <w:rPr>
                <w:sz w:val="20"/>
                <w:szCs w:val="20"/>
              </w:rPr>
              <w:t xml:space="preserve"> e.g. the adjusted mean NNALGLUC/NNAL between menthol and non-menthol AS was 2.93 vs. 2.80 (p&gt;0.05,​ AA) and 3.38 vs. 3.35 (p&gt;0.05,​ Whites). The models only explained 2.6-12.6% of the MR variability. Number of cigarettes was the most important factor affecting serum cotinine levels. Conclusions: Menthol does not inhibit the metabolism of nicotine or NNK. The daily exposure of related </w:t>
            </w:r>
            <w:r w:rsidRPr="005762E6">
              <w:rPr>
                <w:sz w:val="20"/>
                <w:szCs w:val="20"/>
              </w:rPr>
              <w:lastRenderedPageBreak/>
              <w:t>constituents is primarily influenced by number of cigarettes smoked per day. © 2012 Bentham Science Publishers.</w:t>
            </w:r>
          </w:p>
        </w:tc>
      </w:tr>
      <w:tr w:rsidR="00B44564" w:rsidRPr="005762E6" w14:paraId="17F61A59"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7B3C9FD" w14:textId="77777777" w:rsidR="00B44564" w:rsidRPr="005762E6" w:rsidRDefault="00B44564" w:rsidP="00EA69AA">
            <w:pPr>
              <w:spacing w:after="120" w:line="240" w:lineRule="auto"/>
              <w:contextualSpacing/>
              <w:rPr>
                <w:sz w:val="20"/>
                <w:szCs w:val="20"/>
              </w:rPr>
            </w:pPr>
            <w:r w:rsidRPr="005762E6">
              <w:rPr>
                <w:sz w:val="20"/>
                <w:szCs w:val="20"/>
              </w:rPr>
              <w:lastRenderedPageBreak/>
              <w:t>122</w:t>
            </w:r>
          </w:p>
        </w:tc>
        <w:tc>
          <w:tcPr>
            <w:tcW w:w="0" w:type="auto"/>
            <w:tcBorders>
              <w:top w:val="single" w:sz="6" w:space="0" w:color="auto"/>
              <w:left w:val="single" w:sz="6" w:space="0" w:color="auto"/>
              <w:bottom w:val="single" w:sz="6" w:space="0" w:color="auto"/>
              <w:right w:val="single" w:sz="6" w:space="0" w:color="auto"/>
            </w:tcBorders>
          </w:tcPr>
          <w:p w14:paraId="175892CE"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C049C89" w14:textId="77777777" w:rsidR="00B44564" w:rsidRPr="005762E6" w:rsidRDefault="00B44564" w:rsidP="00EA69AA">
            <w:pPr>
              <w:spacing w:after="120" w:line="240" w:lineRule="auto"/>
              <w:contextualSpacing/>
              <w:rPr>
                <w:sz w:val="20"/>
                <w:szCs w:val="20"/>
              </w:rPr>
            </w:pPr>
            <w:r w:rsidRPr="005762E6">
              <w:rPr>
                <w:sz w:val="20"/>
                <w:szCs w:val="20"/>
              </w:rPr>
              <w:t xml:space="preserve">King </w:t>
            </w:r>
            <w:proofErr w:type="gramStart"/>
            <w:r w:rsidRPr="005762E6">
              <w:rPr>
                <w:sz w:val="20"/>
                <w:szCs w:val="20"/>
              </w:rPr>
              <w:t>A.,​</w:t>
            </w:r>
            <w:proofErr w:type="gramEnd"/>
            <w:r w:rsidRPr="005762E6">
              <w:rPr>
                <w:sz w:val="20"/>
                <w:szCs w:val="20"/>
              </w:rPr>
              <w:t>Zhang L.,​Roche D.,​Cao D.,​Tyndale R. Nicotine metabolism: Sex differences in African-American and Caucasian smokers. Neuropsychopharmacology; 2012;38:S419.</w:t>
            </w:r>
            <w:r w:rsidRPr="005762E6">
              <w:rPr>
                <w:sz w:val="20"/>
                <w:szCs w:val="20"/>
              </w:rPr>
              <w:br/>
            </w:r>
            <w:r w:rsidRPr="005762E6">
              <w:rPr>
                <w:sz w:val="20"/>
                <w:szCs w:val="20"/>
              </w:rPr>
              <w:br/>
            </w:r>
            <w:r w:rsidRPr="005762E6">
              <w:rPr>
                <w:b/>
                <w:bCs/>
                <w:sz w:val="20"/>
                <w:szCs w:val="20"/>
              </w:rPr>
              <w:t>Keywords:</w:t>
            </w:r>
            <w:r w:rsidRPr="005762E6">
              <w:rPr>
                <w:sz w:val="20"/>
                <w:szCs w:val="20"/>
              </w:rPr>
              <w:br/>
              <w:t>*metabolism,​*African American,​*sex difference,​*smoking,​*Caucasian,​*psychopharmacology,​*college,​human,​female,​male,​smoking cessation,​ethnicity,​lung cancer,​biotransformation,​exposure,​pharmacokinetics,​extraction,​health,​tobacco dependence,​university,​saliva,​metabolite,​*nicotine,​*cotinine,​*3' hydroxycotinine,​menthol,​liver enzyme</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Nicotine undergoes rapid biotransformation by the genetically variable liver enzyme CYP2A6 into its main metabolite,​ cotinine (COT),​ which is further metabolized exclusively by CYP2A6 to 3-hydroxycotinine (3HC). The ratio of 3HC/COT is highly correlated with CYP2A6 activity and with the rate of nicotine metabolism. Genetic and environmental variation in the rates of CYP2A6-mediated nicotine metabolism importantly alter numerous smoking </w:t>
            </w:r>
            <w:proofErr w:type="gramStart"/>
            <w:r w:rsidRPr="005762E6">
              <w:rPr>
                <w:sz w:val="20"/>
                <w:szCs w:val="20"/>
              </w:rPr>
              <w:t>behaviors,​</w:t>
            </w:r>
            <w:proofErr w:type="gramEnd"/>
            <w:r w:rsidRPr="005762E6">
              <w:rPr>
                <w:sz w:val="20"/>
                <w:szCs w:val="20"/>
              </w:rPr>
              <w:t xml:space="preserve"> as tested primarily in heavy smoking Caucasians,​ including level of smoking,​ duration of smoking,​ ability to stop smoking,​ and health outcomes such as lung cancer. Previous studies in light smoking African American (AA) or heavy smoking Caucasians (C) have shown that the rate of nicotine </w:t>
            </w:r>
            <w:proofErr w:type="gramStart"/>
            <w:r w:rsidRPr="005762E6">
              <w:rPr>
                <w:sz w:val="20"/>
                <w:szCs w:val="20"/>
              </w:rPr>
              <w:t>metabolism,​</w:t>
            </w:r>
            <w:proofErr w:type="gramEnd"/>
            <w:r w:rsidRPr="005762E6">
              <w:rPr>
                <w:sz w:val="20"/>
                <w:szCs w:val="20"/>
              </w:rPr>
              <w:t xml:space="preserve"> proxied by 3HC/COT,​ contributes to differences in response to smoking cessation treatments. Level of </w:t>
            </w:r>
            <w:proofErr w:type="gramStart"/>
            <w:r w:rsidRPr="005762E6">
              <w:rPr>
                <w:sz w:val="20"/>
                <w:szCs w:val="20"/>
              </w:rPr>
              <w:t>smoking,​</w:t>
            </w:r>
            <w:proofErr w:type="gramEnd"/>
            <w:r w:rsidRPr="005762E6">
              <w:rPr>
                <w:sz w:val="20"/>
                <w:szCs w:val="20"/>
              </w:rPr>
              <w:t xml:space="preserve"> ethnicity and sex can all alter the rate of nicotine metabolism. Therefore a direct comparison of AA and </w:t>
            </w:r>
            <w:proofErr w:type="gramStart"/>
            <w:r w:rsidRPr="005762E6">
              <w:rPr>
                <w:sz w:val="20"/>
                <w:szCs w:val="20"/>
              </w:rPr>
              <w:t>C,​</w:t>
            </w:r>
            <w:proofErr w:type="gramEnd"/>
            <w:r w:rsidRPr="005762E6">
              <w:rPr>
                <w:sz w:val="20"/>
                <w:szCs w:val="20"/>
              </w:rPr>
              <w:t xml:space="preserve"> in males and females,​ using one recruitment strategy for smokers of similar intensity,​ has not been performed. Methods: This study directly compared levels of </w:t>
            </w:r>
            <w:proofErr w:type="gramStart"/>
            <w:r w:rsidRPr="005762E6">
              <w:rPr>
                <w:sz w:val="20"/>
                <w:szCs w:val="20"/>
              </w:rPr>
              <w:t>COT,​</w:t>
            </w:r>
            <w:proofErr w:type="gramEnd"/>
            <w:r w:rsidRPr="005762E6">
              <w:rPr>
                <w:sz w:val="20"/>
                <w:szCs w:val="20"/>
              </w:rPr>
              <w:t xml:space="preserve"> 3HC,​ and their ratio among 254 treatment-seeking,​ heavy smoking AA and C enrolled in a smoking cessation trial. The AA (n=</w:t>
            </w:r>
            <w:proofErr w:type="gramStart"/>
            <w:r w:rsidRPr="005762E6">
              <w:rPr>
                <w:sz w:val="20"/>
                <w:szCs w:val="20"/>
              </w:rPr>
              <w:t>95,​</w:t>
            </w:r>
            <w:proofErr w:type="gramEnd"/>
            <w:r w:rsidRPr="005762E6">
              <w:rPr>
                <w:sz w:val="20"/>
                <w:szCs w:val="20"/>
              </w:rPr>
              <w:t xml:space="preserve"> 58% women) and C (n=159,​ 51% women) smokers were enrolled concurrently in a cessation treatment trial and met the same inclusion eligibility,​ including smoking 12-40 cigarettes weekly for at least the past two years. During the week prior to the designated quit date they provided a saliva </w:t>
            </w:r>
            <w:proofErr w:type="gramStart"/>
            <w:r w:rsidRPr="005762E6">
              <w:rPr>
                <w:sz w:val="20"/>
                <w:szCs w:val="20"/>
              </w:rPr>
              <w:t>sample,​</w:t>
            </w:r>
            <w:proofErr w:type="gramEnd"/>
            <w:r w:rsidRPr="005762E6">
              <w:rPr>
                <w:sz w:val="20"/>
                <w:szCs w:val="20"/>
              </w:rPr>
              <w:t xml:space="preserve"> assayed by LCMS at the University of Toronto labs. Results: The AA and C smokers did not differ on number of cigarettes smoked per day (AA: 17.8+/-6.0 SD; C: 18.5+/-5.6). As African Americans were </w:t>
            </w:r>
            <w:proofErr w:type="gramStart"/>
            <w:r w:rsidRPr="005762E6">
              <w:rPr>
                <w:sz w:val="20"/>
                <w:szCs w:val="20"/>
              </w:rPr>
              <w:t>older,​</w:t>
            </w:r>
            <w:proofErr w:type="gramEnd"/>
            <w:r w:rsidRPr="005762E6">
              <w:rPr>
                <w:sz w:val="20"/>
                <w:szCs w:val="20"/>
              </w:rPr>
              <w:t xml:space="preserve"> had higher BMI,​ smoked menthol at higher rates (84 vs 25%),​ and had higher nicotine dependence scores than C (pso0.01),​ these were included as covariates in all analyses. There was a main effect of sex for 3HC (p&lt;.001) and the ratio of 3HC/COT ratio (p&lt;.001) with women having higher levels than men. There was also a race effect on the 3HC/COT ratio with C higher than AA (p&lt;.05). Race</w:t>
            </w:r>
            <w:r>
              <w:rPr>
                <w:sz w:val="20"/>
                <w:szCs w:val="20"/>
              </w:rPr>
              <w:t xml:space="preserve"> </w:t>
            </w:r>
            <w:r w:rsidRPr="005762E6">
              <w:rPr>
                <w:sz w:val="20"/>
                <w:szCs w:val="20"/>
              </w:rPr>
              <w:t>x</w:t>
            </w:r>
            <w:r>
              <w:rPr>
                <w:sz w:val="20"/>
                <w:szCs w:val="20"/>
              </w:rPr>
              <w:t xml:space="preserve"> </w:t>
            </w:r>
            <w:r w:rsidRPr="005762E6">
              <w:rPr>
                <w:sz w:val="20"/>
                <w:szCs w:val="20"/>
              </w:rPr>
              <w:t>sex interactions were observed for levels of COT (p=.02) and the sum of COT and 3HC (p=.03</w:t>
            </w:r>
            <w:proofErr w:type="gramStart"/>
            <w:r w:rsidRPr="005762E6">
              <w:rPr>
                <w:sz w:val="20"/>
                <w:szCs w:val="20"/>
              </w:rPr>
              <w:t>),​</w:t>
            </w:r>
            <w:proofErr w:type="gramEnd"/>
            <w:r w:rsidRPr="005762E6">
              <w:rPr>
                <w:sz w:val="20"/>
                <w:szCs w:val="20"/>
              </w:rPr>
              <w:t xml:space="preserve"> with AA females having higher levels than all others (pso0.05). Consistent with what has been demonstrated in studies of these variables </w:t>
            </w:r>
            <w:proofErr w:type="gramStart"/>
            <w:r w:rsidRPr="005762E6">
              <w:rPr>
                <w:sz w:val="20"/>
                <w:szCs w:val="20"/>
              </w:rPr>
              <w:t>separately,​</w:t>
            </w:r>
            <w:proofErr w:type="gramEnd"/>
            <w:r w:rsidRPr="005762E6">
              <w:rPr>
                <w:sz w:val="20"/>
                <w:szCs w:val="20"/>
              </w:rPr>
              <w:t xml:space="preserve"> and here examined directly,​ we found that: 1) women had higher 3HC/COT ratios than men,​ 2) C had higher ratios than AA,​ and 3) COT levels were higher among AA (particularly women) than C,​ despite similar smoking levels. Conclusions: The results provide support for differences in nicotine metabolism by race and sex in heavy smokers with faster metabolism in C and in women. Despite similar levels of reported </w:t>
            </w:r>
            <w:proofErr w:type="gramStart"/>
            <w:r w:rsidRPr="005762E6">
              <w:rPr>
                <w:sz w:val="20"/>
                <w:szCs w:val="20"/>
              </w:rPr>
              <w:t>smoking,​</w:t>
            </w:r>
            <w:proofErr w:type="gramEnd"/>
            <w:r w:rsidRPr="005762E6">
              <w:rPr>
                <w:sz w:val="20"/>
                <w:szCs w:val="20"/>
              </w:rPr>
              <w:t xml:space="preserve"> COT levels were higher in AA,​ particularly AA women. This may be a combination of greater nicotine intake (as usually interpreted) and reduced CYP2A6 activity. COT is both formed and removed by CYP2A</w:t>
            </w:r>
            <w:proofErr w:type="gramStart"/>
            <w:r w:rsidRPr="005762E6">
              <w:rPr>
                <w:sz w:val="20"/>
                <w:szCs w:val="20"/>
              </w:rPr>
              <w:t>6,​</w:t>
            </w:r>
            <w:proofErr w:type="gramEnd"/>
            <w:r w:rsidRPr="005762E6">
              <w:rPr>
                <w:sz w:val="20"/>
                <w:szCs w:val="20"/>
              </w:rPr>
              <w:t xml:space="preserve"> and due to differential extraction ratios,​ being slower (i.e.,​ in AA and/or men) will alter the second metabolic step (removal to 3HC) more than the first (formation from nicotine). This differential impact on COT's pharmacokinetics may lead to an accumulation of COT in those with slower CYP2A6 which may be reflective of differing rates of metabolism rather than differential nicotine intake. The difference in nicotine metabolism by race and </w:t>
            </w:r>
            <w:proofErr w:type="gramStart"/>
            <w:r w:rsidRPr="005762E6">
              <w:rPr>
                <w:sz w:val="20"/>
                <w:szCs w:val="20"/>
              </w:rPr>
              <w:t>sex,​</w:t>
            </w:r>
            <w:proofErr w:type="gramEnd"/>
            <w:r w:rsidRPr="005762E6">
              <w:rPr>
                <w:sz w:val="20"/>
                <w:szCs w:val="20"/>
              </w:rPr>
              <w:t xml:space="preserve"> and the resulting effects on COT levels,​ may alter interpretation of epidemiological smoking exposure data (an overestimation of intake in AA and in males relative to C and to females for the same nicotine intake). Differential rates of nicotine metabolism may also alter levels of smoking and response to smoking cessation and thus may play a critical role in disease burden.</w:t>
            </w:r>
          </w:p>
        </w:tc>
      </w:tr>
      <w:tr w:rsidR="00B44564" w:rsidRPr="005762E6" w14:paraId="37FE33CA"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75D955B" w14:textId="77777777" w:rsidR="00B44564" w:rsidRPr="005762E6" w:rsidRDefault="00B44564" w:rsidP="00EA69AA">
            <w:pPr>
              <w:spacing w:after="120" w:line="240" w:lineRule="auto"/>
              <w:contextualSpacing/>
              <w:rPr>
                <w:sz w:val="20"/>
                <w:szCs w:val="20"/>
              </w:rPr>
            </w:pPr>
            <w:r w:rsidRPr="005762E6">
              <w:rPr>
                <w:sz w:val="20"/>
                <w:szCs w:val="20"/>
              </w:rPr>
              <w:t>123</w:t>
            </w:r>
          </w:p>
        </w:tc>
        <w:tc>
          <w:tcPr>
            <w:tcW w:w="0" w:type="auto"/>
            <w:tcBorders>
              <w:top w:val="single" w:sz="6" w:space="0" w:color="auto"/>
              <w:left w:val="single" w:sz="6" w:space="0" w:color="auto"/>
              <w:bottom w:val="single" w:sz="6" w:space="0" w:color="auto"/>
              <w:right w:val="single" w:sz="6" w:space="0" w:color="auto"/>
            </w:tcBorders>
          </w:tcPr>
          <w:p w14:paraId="3C37B9C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0DEA21E" w14:textId="77777777" w:rsidR="00B44564" w:rsidRPr="005762E6" w:rsidRDefault="00B44564" w:rsidP="00EA69AA">
            <w:pPr>
              <w:spacing w:after="120" w:line="240" w:lineRule="auto"/>
              <w:contextualSpacing/>
              <w:rPr>
                <w:sz w:val="20"/>
                <w:szCs w:val="20"/>
              </w:rPr>
            </w:pPr>
            <w:r w:rsidRPr="005762E6">
              <w:rPr>
                <w:sz w:val="20"/>
                <w:szCs w:val="20"/>
              </w:rPr>
              <w:t xml:space="preserve">Uhl </w:t>
            </w:r>
            <w:proofErr w:type="gramStart"/>
            <w:r w:rsidRPr="005762E6">
              <w:rPr>
                <w:sz w:val="20"/>
                <w:szCs w:val="20"/>
              </w:rPr>
              <w:t>G.,​</w:t>
            </w:r>
            <w:proofErr w:type="gramEnd"/>
            <w:r w:rsidRPr="005762E6">
              <w:rPr>
                <w:sz w:val="20"/>
                <w:szCs w:val="20"/>
              </w:rPr>
              <w:t>Walther D.,​Behm F.,​Rose J. Trpa1 ''menthol preference'' haplotypes are associated with levels of trpa1 expression and smoking cessation success. Neuropsychopharmacology; 2012;38:S212.</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lastRenderedPageBreak/>
              <w:t>*smoking cessation,​*ethnic difference,​*college,​*haplotype,​*gene expression,​*psychopharmacology,​*genetics,​smoking,​allele,​human,​genotype,​European American,​species,​clinical trial,​risk,​clinical trial (topic),​abstinence,​gender,​African American,​gene linkage disequilibrium,​blood,​arm,​*menthol,​messenger RNA,​acrolein,​cigarette smoke,​DNA,​transient receptor potential channel</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Among smokers,​ there are substantial individual differences in preference for mentholated brands of cigarettes and abilities to quit smoking. Menthol exerts complex species specific actions at transient receptor potential (TRP) channels that include the TRPA1 channel that is likely to mediate many menthol effects in pulmonary afferents. Animals with reduced TRPA1 expression display substantially-reduced responses to noxious cigarette smoke and its constituents (eg acrolein). We have recently reported association of a TRPA1 haplotype with menthol preference in each of two independent samples of European-American smokers (Uhl et </w:t>
            </w:r>
            <w:proofErr w:type="gramStart"/>
            <w:r w:rsidRPr="005762E6">
              <w:rPr>
                <w:sz w:val="20"/>
                <w:szCs w:val="20"/>
              </w:rPr>
              <w:t>al,​</w:t>
            </w:r>
            <w:proofErr w:type="gramEnd"/>
            <w:r w:rsidRPr="005762E6">
              <w:rPr>
                <w:sz w:val="20"/>
                <w:szCs w:val="20"/>
              </w:rPr>
              <w:t xml:space="preserve"> 2011). This haplotype is defined by a missense SNP and 10 intronic SNPs whose minor alleles confer 4 1.3 odds ratio of menthol preference in heavier (4 15 cigarettes/day) </w:t>
            </w:r>
            <w:proofErr w:type="gramStart"/>
            <w:r w:rsidRPr="005762E6">
              <w:rPr>
                <w:sz w:val="20"/>
                <w:szCs w:val="20"/>
              </w:rPr>
              <w:t>smokers,​</w:t>
            </w:r>
            <w:proofErr w:type="gramEnd"/>
            <w:r w:rsidRPr="005762E6">
              <w:rPr>
                <w:sz w:val="20"/>
                <w:szCs w:val="20"/>
              </w:rPr>
              <w:t xml:space="preserve"> and more modest influences in lighter smokers. We now report association of tis haplotype with levels of expression of TRPA1 and with ability to quit smoking in two clinical trial samples. Methods: Genotypes from smokers who participated in each of two smoking cessation clinical trials and maintained continuous biochemically-verified abstinence for at least 11 weeks beyond the targeted quit date were compared to those of individuals who were abstinent at neither 4 nor 11 </w:t>
            </w:r>
            <w:proofErr w:type="gramStart"/>
            <w:r w:rsidRPr="005762E6">
              <w:rPr>
                <w:sz w:val="20"/>
                <w:szCs w:val="20"/>
              </w:rPr>
              <w:t>weeks,​</w:t>
            </w:r>
            <w:proofErr w:type="gramEnd"/>
            <w:r w:rsidRPr="005762E6">
              <w:rPr>
                <w:sz w:val="20"/>
                <w:szCs w:val="20"/>
              </w:rPr>
              <w:t xml:space="preserve"> but who were matched for European-American ancestry,​ gender,​ and arm of the study. Genotypes were performed using DNA extracted from blood using a mass spec/primer extension method. Allele specific expression was performed using RT PCR identification of allele-specific amplimers in mRNA extracted from 30 ventral medullary samples from heterozygous individuals. Results: mRNA from the major haplotype of TRPA1 was expressed at significantly higher levels than that expressed from the minor haplotype. Homozygous individuals thus differ by about 25% in TRPA1 expression. The TRPA1 menthol preference haplotype was present at significantly higher frequencies in successful quitters than in unsuccessful matched non-quitters. These differences were highly significant in the combined samples. Conclusions: These results improve our understanding of TRPA1 quit success haplotypes. They document influences on levels of expression. SNPs studied here are in strong linkage disequilibrium with other intronic and missense </w:t>
            </w:r>
            <w:proofErr w:type="gramStart"/>
            <w:r w:rsidRPr="005762E6">
              <w:rPr>
                <w:sz w:val="20"/>
                <w:szCs w:val="20"/>
              </w:rPr>
              <w:t>SNPs,​</w:t>
            </w:r>
            <w:proofErr w:type="gramEnd"/>
            <w:r w:rsidRPr="005762E6">
              <w:rPr>
                <w:sz w:val="20"/>
                <w:szCs w:val="20"/>
              </w:rPr>
              <w:t xml:space="preserve"> including those that have recently been shown to influence TRPA1 regulation by cold (May et al,​ 2012) and other missense SNPs. The data provide links between individual </w:t>
            </w:r>
            <w:proofErr w:type="gramStart"/>
            <w:r w:rsidRPr="005762E6">
              <w:rPr>
                <w:sz w:val="20"/>
                <w:szCs w:val="20"/>
              </w:rPr>
              <w:t>difference,​</w:t>
            </w:r>
            <w:proofErr w:type="gramEnd"/>
            <w:r w:rsidRPr="005762E6">
              <w:rPr>
                <w:sz w:val="20"/>
                <w:szCs w:val="20"/>
              </w:rPr>
              <w:t xml:space="preserve"> menthol preferences among smokers and ability to quit smoking that have both scientific and regulatory implications. Since menthol preference and frequencies of the ''menthol preference'' haplotypes are both higher in African </w:t>
            </w:r>
            <w:proofErr w:type="gramStart"/>
            <w:r w:rsidRPr="005762E6">
              <w:rPr>
                <w:sz w:val="20"/>
                <w:szCs w:val="20"/>
              </w:rPr>
              <w:t>Americans,​</w:t>
            </w:r>
            <w:proofErr w:type="gramEnd"/>
            <w:r w:rsidRPr="005762E6">
              <w:rPr>
                <w:sz w:val="20"/>
                <w:szCs w:val="20"/>
              </w:rPr>
              <w:t xml:space="preserve"> extension of this work will be important to understand such links in individuals from this racial/ethnic background.</w:t>
            </w:r>
          </w:p>
        </w:tc>
      </w:tr>
      <w:tr w:rsidR="00B44564" w:rsidRPr="005762E6" w14:paraId="68318D2A"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E158C86" w14:textId="77777777" w:rsidR="00B44564" w:rsidRPr="005762E6" w:rsidRDefault="00B44564" w:rsidP="00EA69AA">
            <w:pPr>
              <w:spacing w:after="120" w:line="240" w:lineRule="auto"/>
              <w:contextualSpacing/>
              <w:rPr>
                <w:sz w:val="20"/>
                <w:szCs w:val="20"/>
              </w:rPr>
            </w:pPr>
            <w:r w:rsidRPr="005762E6">
              <w:rPr>
                <w:sz w:val="20"/>
                <w:szCs w:val="20"/>
              </w:rPr>
              <w:lastRenderedPageBreak/>
              <w:t>125</w:t>
            </w:r>
          </w:p>
        </w:tc>
        <w:tc>
          <w:tcPr>
            <w:tcW w:w="0" w:type="auto"/>
            <w:tcBorders>
              <w:top w:val="single" w:sz="6" w:space="0" w:color="auto"/>
              <w:left w:val="single" w:sz="6" w:space="0" w:color="auto"/>
              <w:bottom w:val="single" w:sz="6" w:space="0" w:color="auto"/>
              <w:right w:val="single" w:sz="6" w:space="0" w:color="auto"/>
            </w:tcBorders>
          </w:tcPr>
          <w:p w14:paraId="0BBCB6BE"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1BB4421" w14:textId="77777777" w:rsidR="00B44564" w:rsidRPr="005762E6" w:rsidRDefault="00B44564" w:rsidP="00EA69AA">
            <w:pPr>
              <w:spacing w:after="120" w:line="240" w:lineRule="auto"/>
              <w:contextualSpacing/>
              <w:rPr>
                <w:sz w:val="20"/>
                <w:szCs w:val="20"/>
              </w:rPr>
            </w:pPr>
            <w:r w:rsidRPr="005762E6">
              <w:rPr>
                <w:sz w:val="20"/>
                <w:szCs w:val="20"/>
              </w:rPr>
              <w:t>Vozoris N.T. The association between mentholated cigarettes and cardiovascular and pulmonary diseases in the United States population. American Journal of Respiratory and Critical Care Medicine; 2012;185:</w:t>
            </w:r>
            <w:r w:rsidRPr="005762E6">
              <w:rPr>
                <w:sz w:val="20"/>
                <w:szCs w:val="20"/>
              </w:rPr>
              <w:br/>
            </w:r>
            <w:r w:rsidRPr="005762E6">
              <w:rPr>
                <w:sz w:val="20"/>
                <w:szCs w:val="20"/>
              </w:rPr>
              <w:br/>
            </w:r>
            <w:r w:rsidRPr="005762E6">
              <w:rPr>
                <w:b/>
                <w:bCs/>
                <w:sz w:val="20"/>
                <w:szCs w:val="20"/>
              </w:rPr>
              <w:t>Keywords:</w:t>
            </w:r>
            <w:r w:rsidRPr="005762E6">
              <w:rPr>
                <w:sz w:val="20"/>
                <w:szCs w:val="20"/>
              </w:rPr>
              <w:br/>
              <w:t>*smoking,​*lung disease,​*United States,​*population,​*American,​*society,​human,​cerebrovascular accident,​heart infarction,​hypertension,​public health,​congestive heart failure,​female,​examination,​chronic obstructive lung disease,​African American,​study design,​cross-sectional study,​health practitioner,​safety,​administrative personnel,​health status,​nutrition,​health,​North America,​menthol</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Rationale: Although mentholated cigarettes have been marketed for nearly a century in North America,​ the potential adverse health effects of added menthol to cigarettes is largely unknown. The purpose of this study was to determine if cardiovascular and pulmonary diseases were increased in smokers of mentholated cigarettes compared to smokers of non-mentholated cigarettes. Methods: A multi-year cross-sectional study design was used. Current smokers ages 20+ years were identified from the </w:t>
            </w:r>
            <w:proofErr w:type="gramStart"/>
            <w:r w:rsidRPr="005762E6">
              <w:rPr>
                <w:sz w:val="20"/>
                <w:szCs w:val="20"/>
              </w:rPr>
              <w:t>large,​</w:t>
            </w:r>
            <w:proofErr w:type="gramEnd"/>
            <w:r w:rsidRPr="005762E6">
              <w:rPr>
                <w:sz w:val="20"/>
                <w:szCs w:val="20"/>
              </w:rPr>
              <w:t xml:space="preserve"> nationally representative 2001-2008 United States National Health and Nutrition Examination Surveys (NHANES) (n=5,​028). Cigarette mentholation status was largely determined objectively by survey administrator examination of smokers' cigarette packages. Health professional diagnosed self-reported </w:t>
            </w:r>
            <w:proofErr w:type="gramStart"/>
            <w:r w:rsidRPr="005762E6">
              <w:rPr>
                <w:sz w:val="20"/>
                <w:szCs w:val="20"/>
              </w:rPr>
              <w:t>hypertension,​</w:t>
            </w:r>
            <w:proofErr w:type="gramEnd"/>
            <w:r w:rsidRPr="005762E6">
              <w:rPr>
                <w:sz w:val="20"/>
                <w:szCs w:val="20"/>
              </w:rPr>
              <w:t xml:space="preserve"> myocardial infarction,​ congestive heart failure,​ stroke,​ and chronic obstructive pulmonary disease (COPD) made at any point up to the time of survey administration were examined. Results: Among the </w:t>
            </w:r>
            <w:proofErr w:type="gramStart"/>
            <w:r w:rsidRPr="005762E6">
              <w:rPr>
                <w:sz w:val="20"/>
                <w:szCs w:val="20"/>
              </w:rPr>
              <w:t>5,​</w:t>
            </w:r>
            <w:proofErr w:type="gramEnd"/>
            <w:r w:rsidRPr="005762E6">
              <w:rPr>
                <w:sz w:val="20"/>
                <w:szCs w:val="20"/>
              </w:rPr>
              <w:t xml:space="preserve">028 current smokers </w:t>
            </w:r>
            <w:r w:rsidRPr="005762E6">
              <w:rPr>
                <w:sz w:val="20"/>
                <w:szCs w:val="20"/>
              </w:rPr>
              <w:lastRenderedPageBreak/>
              <w:t xml:space="preserve">identified,​ 1,​286 individuals (25.6%) usually smoked mentholated cigarettes,​ and 3,​742 individuals (74.4%) usually smoked non-mentholated cigarettes. After adjusting for multiple </w:t>
            </w:r>
            <w:proofErr w:type="gramStart"/>
            <w:r w:rsidRPr="005762E6">
              <w:rPr>
                <w:sz w:val="20"/>
                <w:szCs w:val="20"/>
              </w:rPr>
              <w:t>sociodemographic,​</w:t>
            </w:r>
            <w:proofErr w:type="gramEnd"/>
            <w:r w:rsidRPr="005762E6">
              <w:rPr>
                <w:sz w:val="20"/>
                <w:szCs w:val="20"/>
              </w:rPr>
              <w:t xml:space="preserve"> smoking behavior,​ and health status confounders,​ mentholated cigarette smokers were found to have significantly increased odds of stroke compared to non-mentholated cigarette smokers (OR 2.19,​ 95% CI 1.05-4.58),​ and this was particularly observed among women smokers (OR 3.54,​ 95% CI 1.60-7.84) and non-African American smokers (OR 3.02,​ 95% CI 1.24-7.34). After adjusting for </w:t>
            </w:r>
            <w:proofErr w:type="gramStart"/>
            <w:r w:rsidRPr="005762E6">
              <w:rPr>
                <w:sz w:val="20"/>
                <w:szCs w:val="20"/>
              </w:rPr>
              <w:t>confounders,​</w:t>
            </w:r>
            <w:proofErr w:type="gramEnd"/>
            <w:r w:rsidRPr="005762E6">
              <w:rPr>
                <w:sz w:val="20"/>
                <w:szCs w:val="20"/>
              </w:rPr>
              <w:t xml:space="preserve"> there were no significant associations between mentholated cigarette smoking and hypertension,​ myocardial infarction,​ congestive heart failure,​ and COPD. Conclusions: The significantly increased odds of stroke among mentholated cigarette smokers compared to non-mentholated cigarette smokers in the United States </w:t>
            </w:r>
            <w:proofErr w:type="gramStart"/>
            <w:r w:rsidRPr="005762E6">
              <w:rPr>
                <w:sz w:val="20"/>
                <w:szCs w:val="20"/>
              </w:rPr>
              <w:t>population,​</w:t>
            </w:r>
            <w:proofErr w:type="gramEnd"/>
            <w:r w:rsidRPr="005762E6">
              <w:rPr>
                <w:sz w:val="20"/>
                <w:szCs w:val="20"/>
              </w:rPr>
              <w:t xml:space="preserve"> and in particular among women and non-African American smokers,​ is a novel finding. Although potential causal links cannot be established in this study and further research is required to confirm the </w:t>
            </w:r>
            <w:proofErr w:type="gramStart"/>
            <w:r w:rsidRPr="005762E6">
              <w:rPr>
                <w:sz w:val="20"/>
                <w:szCs w:val="20"/>
              </w:rPr>
              <w:t>findings,​</w:t>
            </w:r>
            <w:proofErr w:type="gramEnd"/>
            <w:r w:rsidRPr="005762E6">
              <w:rPr>
                <w:sz w:val="20"/>
                <w:szCs w:val="20"/>
              </w:rPr>
              <w:t xml:space="preserve"> the strong independent association between mentholated cigarette smoking and stroke raises very important public health safety concerns regarding mentholated cigarettes.</w:t>
            </w:r>
          </w:p>
        </w:tc>
      </w:tr>
      <w:tr w:rsidR="00B44564" w:rsidRPr="005762E6" w14:paraId="7B81B674"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00162AB" w14:textId="77777777" w:rsidR="00B44564" w:rsidRPr="005762E6" w:rsidRDefault="00B44564" w:rsidP="00EA69AA">
            <w:pPr>
              <w:spacing w:after="120" w:line="240" w:lineRule="auto"/>
              <w:contextualSpacing/>
              <w:rPr>
                <w:sz w:val="20"/>
                <w:szCs w:val="20"/>
              </w:rPr>
            </w:pPr>
            <w:r w:rsidRPr="005762E6">
              <w:rPr>
                <w:sz w:val="20"/>
                <w:szCs w:val="20"/>
              </w:rPr>
              <w:lastRenderedPageBreak/>
              <w:t>128</w:t>
            </w:r>
          </w:p>
        </w:tc>
        <w:tc>
          <w:tcPr>
            <w:tcW w:w="0" w:type="auto"/>
            <w:tcBorders>
              <w:top w:val="single" w:sz="6" w:space="0" w:color="auto"/>
              <w:left w:val="single" w:sz="6" w:space="0" w:color="auto"/>
              <w:bottom w:val="single" w:sz="6" w:space="0" w:color="auto"/>
              <w:right w:val="single" w:sz="6" w:space="0" w:color="auto"/>
            </w:tcBorders>
          </w:tcPr>
          <w:p w14:paraId="60330EDD"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1CE1ED6" w14:textId="77777777" w:rsidR="00B44564" w:rsidRPr="005762E6" w:rsidRDefault="00B44564" w:rsidP="00EA69AA">
            <w:pPr>
              <w:spacing w:after="120" w:line="240" w:lineRule="auto"/>
              <w:contextualSpacing/>
              <w:rPr>
                <w:sz w:val="20"/>
                <w:szCs w:val="20"/>
              </w:rPr>
            </w:pPr>
            <w:r w:rsidRPr="005762E6">
              <w:rPr>
                <w:sz w:val="20"/>
                <w:szCs w:val="20"/>
              </w:rPr>
              <w:t xml:space="preserve">Bethea </w:t>
            </w:r>
            <w:proofErr w:type="gramStart"/>
            <w:r w:rsidRPr="005762E6">
              <w:rPr>
                <w:sz w:val="20"/>
                <w:szCs w:val="20"/>
              </w:rPr>
              <w:t>T.N.,​</w:t>
            </w:r>
            <w:proofErr w:type="gramEnd"/>
            <w:r w:rsidRPr="005762E6">
              <w:rPr>
                <w:sz w:val="20"/>
                <w:szCs w:val="20"/>
              </w:rPr>
              <w:t>Rosenberg L.,​Boggs D.A.,​Palmer J.R. Menthol cigarettes in relation to breast cancer incidence in African American women. Cancer Research; 2012;72:</w:t>
            </w:r>
            <w:r w:rsidRPr="005762E6">
              <w:rPr>
                <w:sz w:val="20"/>
                <w:szCs w:val="20"/>
              </w:rPr>
              <w:br/>
            </w:r>
            <w:r w:rsidRPr="005762E6">
              <w:rPr>
                <w:sz w:val="20"/>
                <w:szCs w:val="20"/>
              </w:rPr>
              <w:br/>
            </w:r>
            <w:r w:rsidRPr="005762E6">
              <w:rPr>
                <w:b/>
                <w:bCs/>
                <w:sz w:val="20"/>
                <w:szCs w:val="20"/>
              </w:rPr>
              <w:t>Keywords:</w:t>
            </w:r>
            <w:r w:rsidRPr="005762E6">
              <w:rPr>
                <w:sz w:val="20"/>
                <w:szCs w:val="20"/>
              </w:rPr>
              <w:br/>
              <w:t>*smoking,​*breast cancer,​*cancer incidence,​*African American,​*female,​*human,​*cancer research,​cancer risk,​follow up,​questionnaire,​health,​risk,​confidence interval,​passive smoking,​hazard ratio,​risk factor,​smoking cessation,​proportional hazards model,​advisory committee,​tobacco,​exposure,​*menthol</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The Tobacco Products Scientific Advisory Committee has found that smokers of menthol cigarettes have an earlier age at smoking initiation,​ less success in smoking cessation,​ and are more likely to be African American than smokers of non-menthol cigarettes. </w:t>
            </w:r>
            <w:proofErr w:type="gramStart"/>
            <w:r w:rsidRPr="005762E6">
              <w:rPr>
                <w:sz w:val="20"/>
                <w:szCs w:val="20"/>
              </w:rPr>
              <w:t>However,​</w:t>
            </w:r>
            <w:proofErr w:type="gramEnd"/>
            <w:r w:rsidRPr="005762E6">
              <w:rPr>
                <w:sz w:val="20"/>
                <w:szCs w:val="20"/>
              </w:rPr>
              <w:t xml:space="preserve"> whether menthol cigarettes are associated with higher cancer risk relative to non-menthol cigarettes is unclear. Recent studies of smoking and breast cancer suggest that long-term smoking may associated with a small increase in </w:t>
            </w:r>
            <w:proofErr w:type="gramStart"/>
            <w:r w:rsidRPr="005762E6">
              <w:rPr>
                <w:sz w:val="20"/>
                <w:szCs w:val="20"/>
              </w:rPr>
              <w:t>risk,​</w:t>
            </w:r>
            <w:proofErr w:type="gramEnd"/>
            <w:r w:rsidRPr="005762E6">
              <w:rPr>
                <w:sz w:val="20"/>
                <w:szCs w:val="20"/>
              </w:rPr>
              <w:t xml:space="preserve"> but no data are available on type of cigarette. We assessed the relative effects of menthol and non-menthol cigarettes on incidence of breast cancer in a large prospective cohort of African American women. The Black Women's Health Study has followed approximately </w:t>
            </w:r>
            <w:proofErr w:type="gramStart"/>
            <w:r w:rsidRPr="005762E6">
              <w:rPr>
                <w:sz w:val="20"/>
                <w:szCs w:val="20"/>
              </w:rPr>
              <w:t>59,​</w:t>
            </w:r>
            <w:proofErr w:type="gramEnd"/>
            <w:r w:rsidRPr="005762E6">
              <w:rPr>
                <w:sz w:val="20"/>
                <w:szCs w:val="20"/>
              </w:rPr>
              <w:t xml:space="preserve">000 women with biennial questionnaires since enrollment in 1995. Beginning in </w:t>
            </w:r>
            <w:proofErr w:type="gramStart"/>
            <w:r w:rsidRPr="005762E6">
              <w:rPr>
                <w:sz w:val="20"/>
                <w:szCs w:val="20"/>
              </w:rPr>
              <w:t>2003,​</w:t>
            </w:r>
            <w:proofErr w:type="gramEnd"/>
            <w:r w:rsidRPr="005762E6">
              <w:rPr>
                <w:sz w:val="20"/>
                <w:szCs w:val="20"/>
              </w:rPr>
              <w:t xml:space="preserve"> data has been collected on whether cigarettes smoked were menthol or non-menthol; menthol cigarettes were reported by 64.7% of smokers who provided information. During follow-up from 2003 through </w:t>
            </w:r>
            <w:proofErr w:type="gramStart"/>
            <w:r w:rsidRPr="005762E6">
              <w:rPr>
                <w:sz w:val="20"/>
                <w:szCs w:val="20"/>
              </w:rPr>
              <w:t>2010,​</w:t>
            </w:r>
            <w:proofErr w:type="gramEnd"/>
            <w:r w:rsidRPr="005762E6">
              <w:rPr>
                <w:sz w:val="20"/>
                <w:szCs w:val="20"/>
              </w:rPr>
              <w:t xml:space="preserve"> 739 incident breast cancer cases occurred. In proportional hazard models that controlled for age and numerous breast cancer risk </w:t>
            </w:r>
            <w:proofErr w:type="gramStart"/>
            <w:r w:rsidRPr="005762E6">
              <w:rPr>
                <w:sz w:val="20"/>
                <w:szCs w:val="20"/>
              </w:rPr>
              <w:t>factors,​</w:t>
            </w:r>
            <w:proofErr w:type="gramEnd"/>
            <w:r w:rsidRPr="005762E6">
              <w:rPr>
                <w:sz w:val="20"/>
                <w:szCs w:val="20"/>
              </w:rPr>
              <w:t xml:space="preserve"> hazard ratios (HR) were computed for categories of pack-years of smoking of the two types of cigarettes relative to a reference group of never-smokers who reported no regular exposure to second-hand smoke. The HR for &gt;=20 pack-years of smoking non-menthol cigarettes was 1.70 (95% confidence interval (CI) 1.04-2.76); for &gt;=20 pack-years of smoking menthol </w:t>
            </w:r>
            <w:proofErr w:type="gramStart"/>
            <w:r w:rsidRPr="005762E6">
              <w:rPr>
                <w:sz w:val="20"/>
                <w:szCs w:val="20"/>
              </w:rPr>
              <w:t>cigarettes,​</w:t>
            </w:r>
            <w:proofErr w:type="gramEnd"/>
            <w:r w:rsidRPr="005762E6">
              <w:rPr>
                <w:sz w:val="20"/>
                <w:szCs w:val="20"/>
              </w:rPr>
              <w:t xml:space="preserve"> the HR was 1.14 (95% CI,​ 0.72-1.82). Our findings suggest </w:t>
            </w:r>
            <w:proofErr w:type="gramStart"/>
            <w:r w:rsidRPr="005762E6">
              <w:rPr>
                <w:sz w:val="20"/>
                <w:szCs w:val="20"/>
              </w:rPr>
              <w:t>that,​</w:t>
            </w:r>
            <w:proofErr w:type="gramEnd"/>
            <w:r w:rsidRPr="005762E6">
              <w:rPr>
                <w:sz w:val="20"/>
                <w:szCs w:val="20"/>
              </w:rPr>
              <w:t xml:space="preserve"> to the extent that higher pack-years of smoking may be associated with breast cancer,​ smoking menthol cigarettes is not more harmful than smoking non-menthol cigarettes.</w:t>
            </w:r>
          </w:p>
        </w:tc>
      </w:tr>
      <w:tr w:rsidR="00B44564" w:rsidRPr="005762E6" w14:paraId="4652D0EA"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A41819E" w14:textId="77777777" w:rsidR="00B44564" w:rsidRPr="005762E6" w:rsidRDefault="00B44564" w:rsidP="00EA69AA">
            <w:pPr>
              <w:spacing w:after="120" w:line="240" w:lineRule="auto"/>
              <w:contextualSpacing/>
              <w:rPr>
                <w:sz w:val="20"/>
                <w:szCs w:val="20"/>
              </w:rPr>
            </w:pPr>
            <w:r w:rsidRPr="005762E6">
              <w:rPr>
                <w:sz w:val="20"/>
                <w:szCs w:val="20"/>
              </w:rPr>
              <w:t>129</w:t>
            </w:r>
          </w:p>
        </w:tc>
        <w:tc>
          <w:tcPr>
            <w:tcW w:w="0" w:type="auto"/>
            <w:tcBorders>
              <w:top w:val="single" w:sz="6" w:space="0" w:color="auto"/>
              <w:left w:val="single" w:sz="6" w:space="0" w:color="auto"/>
              <w:bottom w:val="single" w:sz="6" w:space="0" w:color="auto"/>
              <w:right w:val="single" w:sz="6" w:space="0" w:color="auto"/>
            </w:tcBorders>
          </w:tcPr>
          <w:p w14:paraId="7E165F70"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B58521C" w14:textId="77777777" w:rsidR="00B44564" w:rsidRPr="005762E6" w:rsidRDefault="00B44564" w:rsidP="00EA69AA">
            <w:pPr>
              <w:spacing w:after="120" w:line="240" w:lineRule="auto"/>
              <w:contextualSpacing/>
              <w:rPr>
                <w:sz w:val="20"/>
                <w:szCs w:val="20"/>
              </w:rPr>
            </w:pPr>
            <w:r w:rsidRPr="005762E6">
              <w:rPr>
                <w:sz w:val="20"/>
                <w:szCs w:val="20"/>
              </w:rPr>
              <w:t xml:space="preserve">Jones </w:t>
            </w:r>
            <w:proofErr w:type="gramStart"/>
            <w:r w:rsidRPr="005762E6">
              <w:rPr>
                <w:sz w:val="20"/>
                <w:szCs w:val="20"/>
              </w:rPr>
              <w:t>M.R.,​</w:t>
            </w:r>
            <w:proofErr w:type="gramEnd"/>
            <w:r w:rsidRPr="005762E6">
              <w:rPr>
                <w:sz w:val="20"/>
                <w:szCs w:val="20"/>
              </w:rPr>
              <w:t>Apelberg B.J.,​Navas-Acien A. Smoking,​ menthol cigarettes and peripheral arterial disease in the 1999- 2004 national health and nutrition examination survey (nhanes). Circulation; 2012;125:</w:t>
            </w:r>
            <w:r w:rsidRPr="005762E6">
              <w:rPr>
                <w:sz w:val="20"/>
                <w:szCs w:val="20"/>
              </w:rPr>
              <w:br/>
            </w:r>
            <w:r w:rsidRPr="005762E6">
              <w:rPr>
                <w:sz w:val="20"/>
                <w:szCs w:val="20"/>
              </w:rPr>
              <w:br/>
            </w:r>
            <w:r w:rsidRPr="005762E6">
              <w:rPr>
                <w:b/>
                <w:bCs/>
                <w:sz w:val="20"/>
                <w:szCs w:val="20"/>
              </w:rPr>
              <w:t>Keywords:</w:t>
            </w:r>
            <w:r w:rsidRPr="005762E6">
              <w:rPr>
                <w:sz w:val="20"/>
                <w:szCs w:val="20"/>
              </w:rPr>
              <w:br/>
              <w:t>*smoking,​*public health,​*peripheral occlusive artery disease,​*nutrition,​*metabolism,​*epidemiology,​*examination,​prevalence,​risk,​population,​human,​adult,​cardiovascular risk,​blood pressure,​health,​ankle,​leg,​questionnaire,​tobacco,​statistical significance,​serum,​prevention,​*menthol,​cotinine</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Cigarette flavorings,​ with the exception of menthol,​ have been banned under the Family Smoking Prevention and Tobacco Control Act. Previous studies have found strong associations between active smoking and peripheral arterial disease. While there is substantial interest in evaluating the health effects of menthol as compared to regular cigarette </w:t>
            </w:r>
            <w:proofErr w:type="gramStart"/>
            <w:r w:rsidRPr="005762E6">
              <w:rPr>
                <w:sz w:val="20"/>
                <w:szCs w:val="20"/>
              </w:rPr>
              <w:t>use,​</w:t>
            </w:r>
            <w:proofErr w:type="gramEnd"/>
            <w:r w:rsidRPr="005762E6">
              <w:rPr>
                <w:sz w:val="20"/>
                <w:szCs w:val="20"/>
              </w:rPr>
              <w:t xml:space="preserve"> no information is available on the influence of cigarette type (non-menthol or menthol) on the risk of peripheral arterial disease. Objective: To investigate </w:t>
            </w:r>
            <w:r w:rsidRPr="005762E6">
              <w:rPr>
                <w:sz w:val="20"/>
                <w:szCs w:val="20"/>
              </w:rPr>
              <w:lastRenderedPageBreak/>
              <w:t xml:space="preserve">the association of cigarette </w:t>
            </w:r>
            <w:proofErr w:type="gramStart"/>
            <w:r w:rsidRPr="005762E6">
              <w:rPr>
                <w:sz w:val="20"/>
                <w:szCs w:val="20"/>
              </w:rPr>
              <w:t>smoking,​</w:t>
            </w:r>
            <w:proofErr w:type="gramEnd"/>
            <w:r w:rsidRPr="005762E6">
              <w:rPr>
                <w:sz w:val="20"/>
                <w:szCs w:val="20"/>
              </w:rPr>
              <w:t xml:space="preserve"> menthol cigarette use and the prevalence of peripheral arterial disease in US adults Methods: We studied 5,​978 adults 40 years of age and older who participated in the National Health and Nutrition Examination Survey (NHANES) from 1999-2004. Information on participant smoking status and cigarette type were derived from self-reported questionnaire data. Peripheral arterial disease was defined as an ankle-brachial blood pressure index &lt;0.9 in at least one leg. Results: The weighted prevalence of peripheral arterial disease in the study population was 4.9%. Fifty percent of participants were never smokers compared to 31</w:t>
            </w:r>
            <w:proofErr w:type="gramStart"/>
            <w:r w:rsidRPr="005762E6">
              <w:rPr>
                <w:sz w:val="20"/>
                <w:szCs w:val="20"/>
              </w:rPr>
              <w:t>%,​</w:t>
            </w:r>
            <w:proofErr w:type="gramEnd"/>
            <w:r w:rsidRPr="005762E6">
              <w:rPr>
                <w:sz w:val="20"/>
                <w:szCs w:val="20"/>
              </w:rPr>
              <w:t xml:space="preserve"> 14% and 5% of former,​ current non-menthol and current menthol cigarette smokers,​ respectively. After adjustment for demographics and cardiovascular risk </w:t>
            </w:r>
            <w:proofErr w:type="gramStart"/>
            <w:r w:rsidRPr="005762E6">
              <w:rPr>
                <w:sz w:val="20"/>
                <w:szCs w:val="20"/>
              </w:rPr>
              <w:t>factors,​</w:t>
            </w:r>
            <w:proofErr w:type="gramEnd"/>
            <w:r w:rsidRPr="005762E6">
              <w:rPr>
                <w:sz w:val="20"/>
                <w:szCs w:val="20"/>
              </w:rPr>
              <w:t xml:space="preserve"> the odds ratio for peripheral arterial disease was 1.98 (95% CI: 1.41,​ 2.80),​ 5.24 (95% CI: 3.41,​ 8.05),​ 3.37 (95% CI: 1.86,​ 6.10) comparing former,​ current regular cigarette smokers and current menthol cigarette smokers to never smokers. After further adjustment for pack-years and serum </w:t>
            </w:r>
            <w:proofErr w:type="gramStart"/>
            <w:r w:rsidRPr="005762E6">
              <w:rPr>
                <w:sz w:val="20"/>
                <w:szCs w:val="20"/>
              </w:rPr>
              <w:t>cotinine,​</w:t>
            </w:r>
            <w:proofErr w:type="gramEnd"/>
            <w:r w:rsidRPr="005762E6">
              <w:rPr>
                <w:sz w:val="20"/>
                <w:szCs w:val="20"/>
              </w:rPr>
              <w:t xml:space="preserve"> the odds ratio for peripheral arterial disease was 1.44 (95% CI: 0.97,​ 2.15),​ 3.65 (95% CI: 1.57,​ 8.50) and 2.51 (95% CI: 1.09,​ 5.80) comparing former,​ current regular cigarette smokers and current menthol cigarette smokers to never smokers. The significant association between smoking and peripheral arterial disease was similar for smokers of non-menthol and menthol cigarettes (p-value for heterogeneity= 0.53). Conclusions: In a representative sample of the US </w:t>
            </w:r>
            <w:proofErr w:type="gramStart"/>
            <w:r w:rsidRPr="005762E6">
              <w:rPr>
                <w:sz w:val="20"/>
                <w:szCs w:val="20"/>
              </w:rPr>
              <w:t>population,​</w:t>
            </w:r>
            <w:proofErr w:type="gramEnd"/>
            <w:r w:rsidRPr="005762E6">
              <w:rPr>
                <w:sz w:val="20"/>
                <w:szCs w:val="20"/>
              </w:rPr>
              <w:t xml:space="preserve"> current menthol cigarette use was associated with increased prevalence of peripheral arterial disease with no difference compared to smoking non-menthol cigarettes.</w:t>
            </w:r>
          </w:p>
        </w:tc>
      </w:tr>
      <w:tr w:rsidR="00B44564" w:rsidRPr="005762E6" w14:paraId="2539E6EE"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2258B8E" w14:textId="77777777" w:rsidR="00B44564" w:rsidRPr="005762E6" w:rsidRDefault="00B44564" w:rsidP="00EA69AA">
            <w:pPr>
              <w:spacing w:after="120" w:line="240" w:lineRule="auto"/>
              <w:contextualSpacing/>
              <w:rPr>
                <w:sz w:val="20"/>
                <w:szCs w:val="20"/>
              </w:rPr>
            </w:pPr>
            <w:r w:rsidRPr="005762E6">
              <w:rPr>
                <w:sz w:val="20"/>
                <w:szCs w:val="20"/>
              </w:rPr>
              <w:lastRenderedPageBreak/>
              <w:t>134</w:t>
            </w:r>
          </w:p>
        </w:tc>
        <w:tc>
          <w:tcPr>
            <w:tcW w:w="0" w:type="auto"/>
            <w:tcBorders>
              <w:top w:val="single" w:sz="6" w:space="0" w:color="auto"/>
              <w:left w:val="single" w:sz="6" w:space="0" w:color="auto"/>
              <w:bottom w:val="single" w:sz="6" w:space="0" w:color="auto"/>
              <w:right w:val="single" w:sz="6" w:space="0" w:color="auto"/>
            </w:tcBorders>
          </w:tcPr>
          <w:p w14:paraId="2567ABAB"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53173F3" w14:textId="77777777" w:rsidR="00B44564" w:rsidRPr="005762E6" w:rsidRDefault="00B44564" w:rsidP="00EA69AA">
            <w:pPr>
              <w:spacing w:after="120" w:line="240" w:lineRule="auto"/>
              <w:contextualSpacing/>
              <w:rPr>
                <w:sz w:val="20"/>
                <w:szCs w:val="20"/>
              </w:rPr>
            </w:pPr>
            <w:r w:rsidRPr="005762E6">
              <w:rPr>
                <w:sz w:val="20"/>
                <w:szCs w:val="20"/>
              </w:rPr>
              <w:t xml:space="preserve">Thomas </w:t>
            </w:r>
            <w:proofErr w:type="gramStart"/>
            <w:r w:rsidRPr="005762E6">
              <w:rPr>
                <w:sz w:val="20"/>
                <w:szCs w:val="20"/>
              </w:rPr>
              <w:t>K.V.,​</w:t>
            </w:r>
            <w:proofErr w:type="gramEnd"/>
            <w:r w:rsidRPr="005762E6">
              <w:rPr>
                <w:sz w:val="20"/>
                <w:szCs w:val="20"/>
              </w:rPr>
              <w:t>Reid M.J. What else can the analysis of sewage for urinary biomarkers reveal about communities?. Environmental Science and Technology; 2011;45:7611.</w:t>
            </w:r>
            <w:r w:rsidRPr="005762E6">
              <w:rPr>
                <w:sz w:val="20"/>
                <w:szCs w:val="20"/>
              </w:rPr>
              <w:br/>
            </w:r>
            <w:r w:rsidRPr="005762E6">
              <w:rPr>
                <w:sz w:val="20"/>
                <w:szCs w:val="20"/>
              </w:rPr>
              <w:br/>
            </w:r>
            <w:r w:rsidRPr="005762E6">
              <w:rPr>
                <w:b/>
                <w:bCs/>
                <w:sz w:val="20"/>
                <w:szCs w:val="20"/>
              </w:rPr>
              <w:t>Keywords:</w:t>
            </w:r>
            <w:r w:rsidRPr="005762E6">
              <w:rPr>
                <w:sz w:val="20"/>
                <w:szCs w:val="20"/>
              </w:rPr>
              <w:br/>
              <w:t>alcohol consumption,​allergy,​breast cancer,​colon cancer,​community,​diet,​digestive system cancer,​drug monitoring,​drug screening,​drug use,​environment,​glucose urine level,​health,​lifestyle,​liver cell carcinoma,​lung cancer,​neoplasm,​note,​ovary cancer,​oxidative stress,​pancreas cancer,​pregnancy,​prostate cancer,​*public health,​*sewage,​smoking,​testis cancer,​tobacco,​waste water,​3 methylhistidine,​3,​4 methylenedioxymethamphetamine,​8 hydroxydeoxyguanosine,​alcohol,​amphetamine,​anserine,​*biological marker,​caffeine,​cannabinoid,​chorionic gonadotropin,​cocaine,​creatinine,​drug residue,​ecgonine,​ecgonine methyl ester,​flavonoid,​isoprostane derivative,​menthol,​methamphetamine,​morphine 6 acetate,​nicotine,​nitrosamine,​norpseudoephedrine,​phenanthroline,​phytoestrogen,​sweetening agent,​taurine,​tetrahydrocannabinol,​tetrahydrocannabinolic acid,​unindexed drug</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207A1CF8"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95CEE09" w14:textId="77777777" w:rsidR="00B44564" w:rsidRPr="005762E6" w:rsidRDefault="00B44564" w:rsidP="00EA69AA">
            <w:pPr>
              <w:spacing w:after="120" w:line="240" w:lineRule="auto"/>
              <w:contextualSpacing/>
              <w:rPr>
                <w:sz w:val="20"/>
                <w:szCs w:val="20"/>
              </w:rPr>
            </w:pPr>
            <w:r w:rsidRPr="005762E6">
              <w:rPr>
                <w:sz w:val="20"/>
                <w:szCs w:val="20"/>
              </w:rPr>
              <w:t>139</w:t>
            </w:r>
          </w:p>
        </w:tc>
        <w:tc>
          <w:tcPr>
            <w:tcW w:w="0" w:type="auto"/>
            <w:tcBorders>
              <w:top w:val="single" w:sz="6" w:space="0" w:color="auto"/>
              <w:left w:val="single" w:sz="6" w:space="0" w:color="auto"/>
              <w:bottom w:val="single" w:sz="6" w:space="0" w:color="auto"/>
              <w:right w:val="single" w:sz="6" w:space="0" w:color="auto"/>
            </w:tcBorders>
          </w:tcPr>
          <w:p w14:paraId="3D24A43D"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1BD9140" w14:textId="77777777" w:rsidR="00B44564" w:rsidRPr="005762E6" w:rsidRDefault="00B44564" w:rsidP="00EA69AA">
            <w:pPr>
              <w:spacing w:after="120" w:line="240" w:lineRule="auto"/>
              <w:contextualSpacing/>
              <w:rPr>
                <w:sz w:val="20"/>
                <w:szCs w:val="20"/>
              </w:rPr>
            </w:pPr>
            <w:r w:rsidRPr="005762E6">
              <w:rPr>
                <w:sz w:val="20"/>
                <w:szCs w:val="20"/>
              </w:rPr>
              <w:t xml:space="preserve">Kanyuch </w:t>
            </w:r>
            <w:proofErr w:type="gramStart"/>
            <w:r w:rsidRPr="005762E6">
              <w:rPr>
                <w:sz w:val="20"/>
                <w:szCs w:val="20"/>
              </w:rPr>
              <w:t>J.A.,​</w:t>
            </w:r>
            <w:proofErr w:type="gramEnd"/>
            <w:r w:rsidRPr="005762E6">
              <w:rPr>
                <w:sz w:val="20"/>
                <w:szCs w:val="20"/>
              </w:rPr>
              <w:t>Bercz P.A.,​Chang J.,​Martinez F.J.,​Criner G.J.,​Lawrence M.J.,​Tomko P.A.,​Foreman M.G.,​Silverman E.,​Crapo J.D.,​Sciurba F.C. Menthol cigarette usage among african americans associated with persistent tobacco use. American Journal of Respiratory and Critical Care Medicine; 2011;183:</w:t>
            </w:r>
            <w:r w:rsidRPr="005762E6">
              <w:rPr>
                <w:sz w:val="20"/>
                <w:szCs w:val="20"/>
              </w:rPr>
              <w:br/>
            </w:r>
            <w:r w:rsidRPr="005762E6">
              <w:rPr>
                <w:sz w:val="20"/>
                <w:szCs w:val="20"/>
              </w:rPr>
              <w:br/>
            </w:r>
            <w:r w:rsidRPr="005762E6">
              <w:rPr>
                <w:b/>
                <w:bCs/>
                <w:sz w:val="20"/>
                <w:szCs w:val="20"/>
              </w:rPr>
              <w:t>Keywords:</w:t>
            </w:r>
            <w:r w:rsidRPr="005762E6">
              <w:rPr>
                <w:sz w:val="20"/>
                <w:szCs w:val="20"/>
              </w:rPr>
              <w:br/>
              <w:t xml:space="preserve">*cigarette </w:t>
            </w:r>
            <w:proofErr w:type="gramStart"/>
            <w:r w:rsidRPr="005762E6">
              <w:rPr>
                <w:sz w:val="20"/>
                <w:szCs w:val="20"/>
              </w:rPr>
              <w:t>smoking,​</w:t>
            </w:r>
            <w:proofErr w:type="gramEnd"/>
            <w:r w:rsidRPr="005762E6">
              <w:rPr>
                <w:sz w:val="20"/>
                <w:szCs w:val="20"/>
              </w:rPr>
              <w:t>*African American,​*human,​*tobacco,​*society,​smoking,​smoke,​logistic regression analysis,​lung function,​spirometry,​heredity,​questionnaire,​progeny,​statistical significance,​gender,​*menthol,​nicotine</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Rationale: Patterns of smoking and presentation of COPD have been shown to differ between Americans of African (AA) compared to those of European (EA) descent. AA are younger at presentation of COPD despite starting smoking later in life. When compared to </w:t>
            </w:r>
            <w:proofErr w:type="gramStart"/>
            <w:r w:rsidRPr="005762E6">
              <w:rPr>
                <w:sz w:val="20"/>
                <w:szCs w:val="20"/>
              </w:rPr>
              <w:t>EA,​</w:t>
            </w:r>
            <w:proofErr w:type="gramEnd"/>
            <w:r w:rsidRPr="005762E6">
              <w:rPr>
                <w:sz w:val="20"/>
                <w:szCs w:val="20"/>
              </w:rPr>
              <w:t xml:space="preserve"> AA have a lower overall pack-year smoking history for a given severity of pulmonary function. AA smokers have been reported to demonstrate a preference for menthol vs. non-menthol (NM) cigarettes when compared to EA. Given that menthol smokers tend to have higher nicotine levels than NM </w:t>
            </w:r>
            <w:proofErr w:type="gramStart"/>
            <w:r w:rsidRPr="005762E6">
              <w:rPr>
                <w:sz w:val="20"/>
                <w:szCs w:val="20"/>
              </w:rPr>
              <w:t>smokers,​</w:t>
            </w:r>
            <w:proofErr w:type="gramEnd"/>
            <w:r w:rsidRPr="005762E6">
              <w:rPr>
                <w:sz w:val="20"/>
                <w:szCs w:val="20"/>
              </w:rPr>
              <w:t xml:space="preserve"> it is plausible that smoking persistence or impact is greater in menthol compared to NM smokers. Menthol usage impacts smoking patterns and COPD presentation in AA smokers. We therefore hypothesized that a preference for menthol cigarettes was associated with persistence of smoking within the tobacco exposed COPDGeneTM cohort and that this effect was greater in AA subjects. Methods: A retrospective analysis of the COPDGeneTM cohort was performed. Participants completed detailed </w:t>
            </w:r>
            <w:proofErr w:type="gramStart"/>
            <w:r w:rsidRPr="005762E6">
              <w:rPr>
                <w:sz w:val="20"/>
                <w:szCs w:val="20"/>
              </w:rPr>
              <w:t>questionnaires,​</w:t>
            </w:r>
            <w:proofErr w:type="gramEnd"/>
            <w:r w:rsidRPr="005762E6">
              <w:rPr>
                <w:sz w:val="20"/>
                <w:szCs w:val="20"/>
              </w:rPr>
              <w:t xml:space="preserve"> spirometry,​ and were asked if they now smoke or did smoke menthol cigarettes. Logistic regression </w:t>
            </w:r>
            <w:proofErr w:type="gramStart"/>
            <w:r w:rsidRPr="005762E6">
              <w:rPr>
                <w:sz w:val="20"/>
                <w:szCs w:val="20"/>
              </w:rPr>
              <w:t>analysis,​</w:t>
            </w:r>
            <w:proofErr w:type="gramEnd"/>
            <w:r w:rsidRPr="005762E6">
              <w:rPr>
                <w:sz w:val="20"/>
                <w:szCs w:val="20"/>
              </w:rPr>
              <w:t xml:space="preserve"> adjusted for gender,​ was used to assess the relationship </w:t>
            </w:r>
            <w:r w:rsidRPr="005762E6">
              <w:rPr>
                <w:sz w:val="20"/>
                <w:szCs w:val="20"/>
              </w:rPr>
              <w:lastRenderedPageBreak/>
              <w:t xml:space="preserve">between current smoking status and menthol usage in the overall group and racial subgroups. Results: Table 1. demonstrates the characteristics of the AA and EA subjects. Notably 37.4% of AA but only 25.4% of EA had a history of menthol cigarette usage (p&lt;0.0001). There was a trend in the overall cohort in the relationship between current smoking status and menthol use </w:t>
            </w:r>
            <w:proofErr w:type="gramStart"/>
            <w:r w:rsidRPr="005762E6">
              <w:rPr>
                <w:sz w:val="20"/>
                <w:szCs w:val="20"/>
              </w:rPr>
              <w:t>status,​</w:t>
            </w:r>
            <w:proofErr w:type="gramEnd"/>
            <w:r w:rsidRPr="005762E6">
              <w:rPr>
                <w:sz w:val="20"/>
                <w:szCs w:val="20"/>
              </w:rPr>
              <w:t xml:space="preserve"> OR 1.92,​ 95% CI 0.91-4.05,​ p=0.08. </w:t>
            </w:r>
            <w:proofErr w:type="gramStart"/>
            <w:r w:rsidRPr="005762E6">
              <w:rPr>
                <w:sz w:val="20"/>
                <w:szCs w:val="20"/>
              </w:rPr>
              <w:t>However,​</w:t>
            </w:r>
            <w:proofErr w:type="gramEnd"/>
            <w:r w:rsidRPr="005762E6">
              <w:rPr>
                <w:sz w:val="20"/>
                <w:szCs w:val="20"/>
              </w:rPr>
              <w:t xml:space="preserve"> among AA,​ there was a significantly greater likelihood of persistent smoking among menthol users when compared to NM,​ OR 2.84,​ 95% CI = 1.13-7.12,​ p value = 0.03. This association is not found in </w:t>
            </w:r>
            <w:proofErr w:type="gramStart"/>
            <w:r w:rsidRPr="005762E6">
              <w:rPr>
                <w:sz w:val="20"/>
                <w:szCs w:val="20"/>
              </w:rPr>
              <w:t>EA,​</w:t>
            </w:r>
            <w:proofErr w:type="gramEnd"/>
            <w:r w:rsidRPr="005762E6">
              <w:rPr>
                <w:sz w:val="20"/>
                <w:szCs w:val="20"/>
              </w:rPr>
              <w:t xml:space="preserve"> OR = 1.14,​ 95% CI = 0.40-3.25,​ p = 0.81. Conclusions: The use of Menthol cigarettes is associated with a significantly greater persistence of cigarette smoking in African vs. European descendent subjects. This association may contribute to the difference in racial smoking and disease patterns. The sociologic or genetic factors resulting in this association will require future investigation. (Table Presented</w:t>
            </w:r>
            <w:proofErr w:type="gramStart"/>
            <w:r w:rsidRPr="005762E6">
              <w:rPr>
                <w:sz w:val="20"/>
                <w:szCs w:val="20"/>
              </w:rPr>
              <w:t>) .</w:t>
            </w:r>
            <w:proofErr w:type="gramEnd"/>
          </w:p>
        </w:tc>
      </w:tr>
      <w:tr w:rsidR="00B44564" w:rsidRPr="005762E6" w14:paraId="59158204"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7B60BF9" w14:textId="77777777" w:rsidR="00B44564" w:rsidRPr="005762E6" w:rsidRDefault="00B44564" w:rsidP="00EA69AA">
            <w:pPr>
              <w:spacing w:after="120" w:line="240" w:lineRule="auto"/>
              <w:contextualSpacing/>
              <w:rPr>
                <w:sz w:val="20"/>
                <w:szCs w:val="20"/>
              </w:rPr>
            </w:pPr>
            <w:r w:rsidRPr="005762E6">
              <w:rPr>
                <w:sz w:val="20"/>
                <w:szCs w:val="20"/>
              </w:rPr>
              <w:lastRenderedPageBreak/>
              <w:t>140</w:t>
            </w:r>
          </w:p>
        </w:tc>
        <w:tc>
          <w:tcPr>
            <w:tcW w:w="0" w:type="auto"/>
            <w:tcBorders>
              <w:top w:val="single" w:sz="6" w:space="0" w:color="auto"/>
              <w:left w:val="single" w:sz="6" w:space="0" w:color="auto"/>
              <w:bottom w:val="single" w:sz="6" w:space="0" w:color="auto"/>
              <w:right w:val="single" w:sz="6" w:space="0" w:color="auto"/>
            </w:tcBorders>
          </w:tcPr>
          <w:p w14:paraId="6DF5F392"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F8E1703" w14:textId="77777777" w:rsidR="00B44564" w:rsidRPr="005762E6" w:rsidRDefault="00B44564" w:rsidP="00EA69AA">
            <w:pPr>
              <w:spacing w:after="120" w:line="240" w:lineRule="auto"/>
              <w:contextualSpacing/>
              <w:rPr>
                <w:sz w:val="20"/>
                <w:szCs w:val="20"/>
              </w:rPr>
            </w:pPr>
            <w:r w:rsidRPr="005762E6">
              <w:rPr>
                <w:sz w:val="20"/>
                <w:szCs w:val="20"/>
              </w:rPr>
              <w:t>Backinger C.L. Tobacco-related disparities and the Family Smoking Prevention and Tobacco Control Act. Cancer Epidemiology Biomarkers and Prevention; 2011;20:</w:t>
            </w:r>
            <w:r w:rsidRPr="005762E6">
              <w:rPr>
                <w:sz w:val="20"/>
                <w:szCs w:val="20"/>
              </w:rPr>
              <w:br/>
            </w:r>
            <w:r w:rsidRPr="005762E6">
              <w:rPr>
                <w:sz w:val="20"/>
                <w:szCs w:val="20"/>
              </w:rPr>
              <w:br/>
            </w:r>
            <w:r w:rsidRPr="005762E6">
              <w:rPr>
                <w:b/>
                <w:bCs/>
                <w:sz w:val="20"/>
                <w:szCs w:val="20"/>
              </w:rPr>
              <w:t>Keywords:</w:t>
            </w:r>
            <w:r w:rsidRPr="005762E6">
              <w:rPr>
                <w:sz w:val="20"/>
                <w:szCs w:val="20"/>
              </w:rPr>
              <w:br/>
              <w:t>*tobacco,​*smoking,​*health disparity,​*neoplasm,​*prevention,​*cancer research,​cigarette smoking,​food and drug administration,​public health,​human,​health,​marketing,​African American,​ethnic group,​juvenile,​lowest income group,​population,​fruit,​flavor,​smokeless tobacco,​advisory committee,​safety,​risk,​child,​menthol,​cytidine triphosphate,​sugar,​tar</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With the passage of the June 2009 Family Smoking Prevention and Tobacco Control Act (Tobacco Control Act),​ the Food and Drug Administration (FDA) has regulatory authority over tobacco products,​ their manufacture,​ and their distribution and marketing. Since </w:t>
            </w:r>
            <w:proofErr w:type="gramStart"/>
            <w:r w:rsidRPr="005762E6">
              <w:rPr>
                <w:sz w:val="20"/>
                <w:szCs w:val="20"/>
              </w:rPr>
              <w:t>enactment,​</w:t>
            </w:r>
            <w:proofErr w:type="gramEnd"/>
            <w:r w:rsidRPr="005762E6">
              <w:rPr>
                <w:sz w:val="20"/>
                <w:szCs w:val="20"/>
              </w:rPr>
              <w:t xml:space="preserve"> FDA has already taken significant regulatory actions including banning cigarettes with fruit of candy characterizing flavors; prohibiting the labeling of products with misleading terms such as 'light "low tar,​" and "mild;" issuing a broad set of restrictions regarding access to and marketing of cigarettes and smokeless tobacco products to those under 18; and issuing a final regulation requiring graphic health warnings for cigarettes. In </w:t>
            </w:r>
            <w:proofErr w:type="gramStart"/>
            <w:r w:rsidRPr="005762E6">
              <w:rPr>
                <w:sz w:val="20"/>
                <w:szCs w:val="20"/>
              </w:rPr>
              <w:t>addition,​</w:t>
            </w:r>
            <w:proofErr w:type="gramEnd"/>
            <w:r w:rsidRPr="005762E6">
              <w:rPr>
                <w:sz w:val="20"/>
                <w:szCs w:val="20"/>
              </w:rPr>
              <w:t xml:space="preserve"> The FDA's Tobacco Product Scientific Advisory Committee (TPSAC) has addressed the public health effects of menthol in cigarettes,​ harmful and potentially harmful constituents,​ and "dissolvables." Unlike other parts of FDA addressing the safety and efficacy of the products it </w:t>
            </w:r>
            <w:proofErr w:type="gramStart"/>
            <w:r w:rsidRPr="005762E6">
              <w:rPr>
                <w:sz w:val="20"/>
                <w:szCs w:val="20"/>
              </w:rPr>
              <w:t>regulates,​</w:t>
            </w:r>
            <w:proofErr w:type="gramEnd"/>
            <w:r w:rsidRPr="005762E6">
              <w:rPr>
                <w:sz w:val="20"/>
                <w:szCs w:val="20"/>
              </w:rPr>
              <w:t xml:space="preserve"> the Center for Tobacco Products (CTP) bases its actions on a public health standard,​ i.e.,​ CTP considers the risks and benefits to the population as a whole,​ including users and nonusers of tobacco products and addressing tobacco-related disparities is integral. For </w:t>
            </w:r>
            <w:proofErr w:type="gramStart"/>
            <w:r w:rsidRPr="005762E6">
              <w:rPr>
                <w:sz w:val="20"/>
                <w:szCs w:val="20"/>
              </w:rPr>
              <w:t>example,​</w:t>
            </w:r>
            <w:proofErr w:type="gramEnd"/>
            <w:r w:rsidRPr="005762E6">
              <w:rPr>
                <w:sz w:val="20"/>
                <w:szCs w:val="20"/>
              </w:rPr>
              <w:t xml:space="preserve"> the TPSAC menthol report needed to address the impact on use of menthol in cigarettes on the public health,​ including such use among children,​ African-Americans,​ Hispanics,​ and other racial and ethnic minorities. As the new cigarette graphic health warnings are implemented in September </w:t>
            </w:r>
            <w:proofErr w:type="gramStart"/>
            <w:r w:rsidRPr="005762E6">
              <w:rPr>
                <w:sz w:val="20"/>
                <w:szCs w:val="20"/>
              </w:rPr>
              <w:t>2012,​</w:t>
            </w:r>
            <w:proofErr w:type="gramEnd"/>
            <w:r w:rsidRPr="005762E6">
              <w:rPr>
                <w:sz w:val="20"/>
                <w:szCs w:val="20"/>
              </w:rPr>
              <w:t xml:space="preserve"> it will be important to assess impact among several subpopulations such as youth and those with low income. This presentation will provide an overall summary of the Tobacco Control </w:t>
            </w:r>
            <w:proofErr w:type="gramStart"/>
            <w:r w:rsidRPr="005762E6">
              <w:rPr>
                <w:sz w:val="20"/>
                <w:szCs w:val="20"/>
              </w:rPr>
              <w:t>Act,​</w:t>
            </w:r>
            <w:proofErr w:type="gramEnd"/>
            <w:r w:rsidRPr="005762E6">
              <w:rPr>
                <w:sz w:val="20"/>
                <w:szCs w:val="20"/>
              </w:rPr>
              <w:t xml:space="preserve"> the science needed to implement FDA regulatory actions,​ and how FDA can address tobacco-related health disparities.</w:t>
            </w:r>
          </w:p>
        </w:tc>
      </w:tr>
      <w:tr w:rsidR="00B44564" w:rsidRPr="005762E6" w14:paraId="3C69794B"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929A893" w14:textId="77777777" w:rsidR="00B44564" w:rsidRPr="005762E6" w:rsidRDefault="00B44564" w:rsidP="00EA69AA">
            <w:pPr>
              <w:spacing w:after="120" w:line="240" w:lineRule="auto"/>
              <w:contextualSpacing/>
              <w:rPr>
                <w:sz w:val="20"/>
                <w:szCs w:val="20"/>
              </w:rPr>
            </w:pPr>
            <w:r w:rsidRPr="005762E6">
              <w:rPr>
                <w:sz w:val="20"/>
                <w:szCs w:val="20"/>
              </w:rPr>
              <w:t>141</w:t>
            </w:r>
          </w:p>
        </w:tc>
        <w:tc>
          <w:tcPr>
            <w:tcW w:w="0" w:type="auto"/>
            <w:tcBorders>
              <w:top w:val="single" w:sz="6" w:space="0" w:color="auto"/>
              <w:left w:val="single" w:sz="6" w:space="0" w:color="auto"/>
              <w:bottom w:val="single" w:sz="6" w:space="0" w:color="auto"/>
              <w:right w:val="single" w:sz="6" w:space="0" w:color="auto"/>
            </w:tcBorders>
          </w:tcPr>
          <w:p w14:paraId="3E34D01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B1EECA7" w14:textId="77777777" w:rsidR="00B44564" w:rsidRPr="005762E6" w:rsidRDefault="00B44564" w:rsidP="00EA69AA">
            <w:pPr>
              <w:spacing w:after="120" w:line="240" w:lineRule="auto"/>
              <w:contextualSpacing/>
              <w:rPr>
                <w:sz w:val="20"/>
                <w:szCs w:val="20"/>
              </w:rPr>
            </w:pPr>
            <w:r w:rsidRPr="005762E6">
              <w:rPr>
                <w:sz w:val="20"/>
                <w:szCs w:val="20"/>
              </w:rPr>
              <w:t>Stellman S.D. Tobacco-related cancer risks and menthol cigarettes: A case-control study. American Journal of Epidemiology; 2011;173:S86.</w:t>
            </w:r>
            <w:r w:rsidRPr="005762E6">
              <w:rPr>
                <w:sz w:val="20"/>
                <w:szCs w:val="20"/>
              </w:rPr>
              <w:br/>
            </w:r>
            <w:r w:rsidRPr="005762E6">
              <w:rPr>
                <w:sz w:val="20"/>
                <w:szCs w:val="20"/>
              </w:rPr>
              <w:br/>
            </w:r>
            <w:r w:rsidRPr="005762E6">
              <w:rPr>
                <w:b/>
                <w:bCs/>
                <w:sz w:val="20"/>
                <w:szCs w:val="20"/>
              </w:rPr>
              <w:t>Keywords:</w:t>
            </w:r>
            <w:r w:rsidRPr="005762E6">
              <w:rPr>
                <w:sz w:val="20"/>
                <w:szCs w:val="20"/>
              </w:rPr>
              <w:br/>
              <w:t>*case control study,​*cigarette smoking,​*tobacco,​*cancer risk,​*epidemiology,​smoking,​risk,​food and drug administration,​human,​hospital,​esophagus cancer,​lung,​United States,​cancer center,​Colombia,​neoplasm,​city,​histopathology,​general aspects of disease,​interview,​logistic regression analysis,​confidence interval,​bladder cancer,​larynx cancer,​prevention,​advisory committee,​lung cancer,​cancer localization,​health,​non-profit organization,​university,​*menthol</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The Family Smoking Prevention and Tobacco Control Act of 2009 authorizes the FDA to regulate cigarette content. The FDA Tobacco Products Scientific Advisory Committee is weighing recommendations to regulate </w:t>
            </w:r>
            <w:proofErr w:type="gramStart"/>
            <w:r w:rsidRPr="005762E6">
              <w:rPr>
                <w:sz w:val="20"/>
                <w:szCs w:val="20"/>
              </w:rPr>
              <w:t>menthol,​</w:t>
            </w:r>
            <w:proofErr w:type="gramEnd"/>
            <w:r w:rsidRPr="005762E6">
              <w:rPr>
                <w:sz w:val="20"/>
                <w:szCs w:val="20"/>
              </w:rPr>
              <w:t xml:space="preserve"> the best-known cigarette additive. Most lung cancer studies and one esophageal cancer study have shown no evidence of additional risk in menthol cigarette smokers. We assessed risks for 5 cancer sites in </w:t>
            </w:r>
            <w:proofErr w:type="gramStart"/>
            <w:r w:rsidRPr="005762E6">
              <w:rPr>
                <w:sz w:val="20"/>
                <w:szCs w:val="20"/>
              </w:rPr>
              <w:t>13,​</w:t>
            </w:r>
            <w:proofErr w:type="gramEnd"/>
            <w:r w:rsidRPr="005762E6">
              <w:rPr>
                <w:sz w:val="20"/>
                <w:szCs w:val="20"/>
              </w:rPr>
              <w:t xml:space="preserve">677 persons in the 1984-98 American Health Foundation hospital-based case control study </w:t>
            </w:r>
            <w:r w:rsidRPr="005762E6">
              <w:rPr>
                <w:sz w:val="20"/>
                <w:szCs w:val="20"/>
              </w:rPr>
              <w:lastRenderedPageBreak/>
              <w:t xml:space="preserve">conducted in the three major New York City cancer centers (Memorial Sloan-Kettering,​ Columbia Presbyterian,​ New York University) and other cities (Stellman SD,​ Ann Epidemiol 2003; 13:294-302). Cases were confirmed by histopathology. Controls with non-tobacco-related illnesses were frequency matched to cases on </w:t>
            </w:r>
            <w:proofErr w:type="gramStart"/>
            <w:r w:rsidRPr="005762E6">
              <w:rPr>
                <w:sz w:val="20"/>
                <w:szCs w:val="20"/>
              </w:rPr>
              <w:t>sex,​</w:t>
            </w:r>
            <w:proofErr w:type="gramEnd"/>
            <w:r w:rsidRPr="005762E6">
              <w:rPr>
                <w:sz w:val="20"/>
                <w:szCs w:val="20"/>
              </w:rPr>
              <w:t xml:space="preserve"> age,​ hospital,​ and year of interview. A total of </w:t>
            </w:r>
            <w:proofErr w:type="gramStart"/>
            <w:r w:rsidRPr="005762E6">
              <w:rPr>
                <w:sz w:val="20"/>
                <w:szCs w:val="20"/>
              </w:rPr>
              <w:t>8,​</w:t>
            </w:r>
            <w:proofErr w:type="gramEnd"/>
            <w:r w:rsidRPr="005762E6">
              <w:rPr>
                <w:sz w:val="20"/>
                <w:szCs w:val="20"/>
              </w:rPr>
              <w:t xml:space="preserve">522 smokers had never smoked menthol cigarettes,​ 1,​187 had smoked menthol cigarettes exclusively,​ and 1,​445 smoked both types. Mixed type smokers accumulated 56-80% of total pack-years on menthol. We classified a person as a menthol smoker if he or she smoked &gt;= 1 menthol </w:t>
            </w:r>
            <w:proofErr w:type="gramStart"/>
            <w:r w:rsidRPr="005762E6">
              <w:rPr>
                <w:sz w:val="20"/>
                <w:szCs w:val="20"/>
              </w:rPr>
              <w:t>brand,​</w:t>
            </w:r>
            <w:proofErr w:type="gramEnd"/>
            <w:r w:rsidRPr="005762E6">
              <w:rPr>
                <w:sz w:val="20"/>
                <w:szCs w:val="20"/>
              </w:rPr>
              <w:t xml:space="preserve"> and adjusted for total pack-years in logistic regressions. Adjusted odds ratios (ORs) for current smoking ranged from 3.9 (95% confidence </w:t>
            </w:r>
            <w:proofErr w:type="gramStart"/>
            <w:r w:rsidRPr="005762E6">
              <w:rPr>
                <w:sz w:val="20"/>
                <w:szCs w:val="20"/>
              </w:rPr>
              <w:t>interval,​</w:t>
            </w:r>
            <w:proofErr w:type="gramEnd"/>
            <w:r w:rsidRPr="005762E6">
              <w:rPr>
                <w:sz w:val="20"/>
                <w:szCs w:val="20"/>
              </w:rPr>
              <w:t xml:space="preserve"> CI: 3.0-5.1) for bladder cancer to 40 (95% CI 18-92) for larynx cancer,​ with intermediate ORs for mouth,​ lung,​ and esophageal cancer,​ all significantly &gt; 1. In current </w:t>
            </w:r>
            <w:proofErr w:type="gramStart"/>
            <w:r w:rsidRPr="005762E6">
              <w:rPr>
                <w:sz w:val="20"/>
                <w:szCs w:val="20"/>
              </w:rPr>
              <w:t>smokers,​</w:t>
            </w:r>
            <w:proofErr w:type="gramEnd"/>
            <w:r w:rsidRPr="005762E6">
              <w:rPr>
                <w:sz w:val="20"/>
                <w:szCs w:val="20"/>
              </w:rPr>
              <w:t xml:space="preserve"> adjusted odds ratios for menthol smoking were between 0.7 and 1.0 for all sites,​ none significant. These data do not provide evidence of increased risk of lung or other cancers in menthol brand smokers beyond the well-known risks of cigarette smoking.</w:t>
            </w:r>
          </w:p>
        </w:tc>
      </w:tr>
      <w:tr w:rsidR="00B44564" w:rsidRPr="005762E6" w14:paraId="4679FB67"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55EF5AF" w14:textId="77777777" w:rsidR="00B44564" w:rsidRPr="005762E6" w:rsidRDefault="00B44564" w:rsidP="00EA69AA">
            <w:pPr>
              <w:spacing w:after="120" w:line="240" w:lineRule="auto"/>
              <w:contextualSpacing/>
              <w:rPr>
                <w:sz w:val="20"/>
                <w:szCs w:val="20"/>
              </w:rPr>
            </w:pPr>
            <w:r w:rsidRPr="005762E6">
              <w:rPr>
                <w:sz w:val="20"/>
                <w:szCs w:val="20"/>
              </w:rPr>
              <w:lastRenderedPageBreak/>
              <w:t>143</w:t>
            </w:r>
          </w:p>
        </w:tc>
        <w:tc>
          <w:tcPr>
            <w:tcW w:w="0" w:type="auto"/>
            <w:tcBorders>
              <w:top w:val="single" w:sz="6" w:space="0" w:color="auto"/>
              <w:left w:val="single" w:sz="6" w:space="0" w:color="auto"/>
              <w:bottom w:val="single" w:sz="6" w:space="0" w:color="auto"/>
              <w:right w:val="single" w:sz="6" w:space="0" w:color="auto"/>
            </w:tcBorders>
          </w:tcPr>
          <w:p w14:paraId="1704005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F8D9AD8" w14:textId="77777777" w:rsidR="00B44564" w:rsidRPr="005762E6" w:rsidRDefault="00B44564" w:rsidP="00EA69AA">
            <w:pPr>
              <w:spacing w:after="120" w:line="240" w:lineRule="auto"/>
              <w:contextualSpacing/>
              <w:rPr>
                <w:sz w:val="20"/>
                <w:szCs w:val="20"/>
              </w:rPr>
            </w:pPr>
            <w:r w:rsidRPr="005762E6">
              <w:rPr>
                <w:sz w:val="20"/>
                <w:szCs w:val="20"/>
              </w:rPr>
              <w:t xml:space="preserve">Brody </w:t>
            </w:r>
            <w:proofErr w:type="gramStart"/>
            <w:r w:rsidRPr="005762E6">
              <w:rPr>
                <w:sz w:val="20"/>
                <w:szCs w:val="20"/>
              </w:rPr>
              <w:t>A.L.,​</w:t>
            </w:r>
            <w:proofErr w:type="gramEnd"/>
            <w:r w:rsidRPr="005762E6">
              <w:rPr>
                <w:sz w:val="20"/>
                <w:szCs w:val="20"/>
              </w:rPr>
              <w:t>Mukhin A.G.,​La Charite J.,​Ta K.,​Farahi J.,​Sugar C.A.,​Vellios E.,​Archie M.,​Kozman M.,​Mandelkern M.A. Up-regulation of nicotinic acetylcholine receptors in menthol cigarette smokers. Neuropsychopharmacology; 2011;</w:t>
            </w:r>
            <w:proofErr w:type="gramStart"/>
            <w:r w:rsidRPr="005762E6">
              <w:rPr>
                <w:sz w:val="20"/>
                <w:szCs w:val="20"/>
              </w:rPr>
              <w:t>36:S</w:t>
            </w:r>
            <w:proofErr w:type="gramEnd"/>
            <w:r w:rsidRPr="005762E6">
              <w:rPr>
                <w:sz w:val="20"/>
                <w:szCs w:val="20"/>
              </w:rPr>
              <w:t>402.</w:t>
            </w:r>
            <w:r w:rsidRPr="005762E6">
              <w:rPr>
                <w:sz w:val="20"/>
                <w:szCs w:val="20"/>
              </w:rPr>
              <w:br/>
            </w:r>
            <w:r w:rsidRPr="005762E6">
              <w:rPr>
                <w:sz w:val="20"/>
                <w:szCs w:val="20"/>
              </w:rPr>
              <w:br/>
            </w:r>
            <w:r w:rsidRPr="005762E6">
              <w:rPr>
                <w:b/>
                <w:bCs/>
                <w:sz w:val="20"/>
                <w:szCs w:val="20"/>
              </w:rPr>
              <w:t>Keywords:</w:t>
            </w:r>
            <w:r w:rsidRPr="005762E6">
              <w:rPr>
                <w:sz w:val="20"/>
                <w:szCs w:val="20"/>
              </w:rPr>
              <w:br/>
              <w:t>*college,​*cigarette smoking,​*upregulation,​*psychopharmacology,​smoking,​corpus callosum,​brain region,​density,​brain stem,​cerebellum,​thalamus,​human,​brain,​follow up,​prefrontal cortex,​exposure,​imaging,​positron emission tomography,​serum,​*menthol,​*nicotinic receptor,​nicotine,​fluorine 18,​3 (2 azetidinylmethoxy)pyridine,​tracer</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A third of cigarette smokers use predominantly menthol-flavored cigarettes. Compared to non-menthol </w:t>
            </w:r>
            <w:proofErr w:type="gramStart"/>
            <w:r w:rsidRPr="005762E6">
              <w:rPr>
                <w:sz w:val="20"/>
                <w:szCs w:val="20"/>
              </w:rPr>
              <w:t>cigarettes,​</w:t>
            </w:r>
            <w:proofErr w:type="gramEnd"/>
            <w:r w:rsidRPr="005762E6">
              <w:rPr>
                <w:sz w:val="20"/>
                <w:szCs w:val="20"/>
              </w:rPr>
              <w:t xml:space="preserve"> menthol cigarettes lead to elevated serum nicotine levels and more difficulty quitting in standard treatment programs. Previous brain imaging studies of humans smokers demonstrate that smoking in general (without regard to cigarette type) leads to up-regulation of a-containing nicotinic acetylcholine receptors (nAChRs) compared to non-smokers and former smokers. We sought to verify up-regulation of nAChRs in smokers and to determine whether menthol cigarette usage results in greater nAChR up-regulation than non-menthol cigarette usage. Methods: 114 participants (n = 41 non-menthol cigarette </w:t>
            </w:r>
            <w:proofErr w:type="gramStart"/>
            <w:r w:rsidRPr="005762E6">
              <w:rPr>
                <w:sz w:val="20"/>
                <w:szCs w:val="20"/>
              </w:rPr>
              <w:t>smokers,​</w:t>
            </w:r>
            <w:proofErr w:type="gramEnd"/>
            <w:r w:rsidRPr="005762E6">
              <w:rPr>
                <w:sz w:val="20"/>
                <w:szCs w:val="20"/>
              </w:rPr>
              <w:t xml:space="preserve"> n = 22 menthol cigarette smokers,​ and n = 51 non-smokers) underwent positron emission tomography (PET) scanning,​ using the radiotracer 2-[18F]fluoro-A-85380 (2-FA). 2-FA specific binding volume of distribution (VS/fP) was determined for five brain regions (</w:t>
            </w:r>
            <w:proofErr w:type="gramStart"/>
            <w:r w:rsidRPr="005762E6">
              <w:rPr>
                <w:sz w:val="20"/>
                <w:szCs w:val="20"/>
              </w:rPr>
              <w:t>thalamus,​</w:t>
            </w:r>
            <w:proofErr w:type="gramEnd"/>
            <w:r w:rsidRPr="005762E6">
              <w:rPr>
                <w:sz w:val="20"/>
                <w:szCs w:val="20"/>
              </w:rPr>
              <w:t xml:space="preserve"> brainstem,​ cerebellum,​ prefrontal cortex,​ and corpus callosum),​ as measures of alpha4beta2* nAChR density. Results: An overall test of VS/fP values across all brain regions revealed a between-group (smoker versus non-smoker) difference (MANCOVA; df = </w:t>
            </w:r>
            <w:proofErr w:type="gramStart"/>
            <w:r w:rsidRPr="005762E6">
              <w:rPr>
                <w:sz w:val="20"/>
                <w:szCs w:val="20"/>
              </w:rPr>
              <w:t>5,​</w:t>
            </w:r>
            <w:proofErr w:type="gramEnd"/>
            <w:r w:rsidRPr="005762E6">
              <w:rPr>
                <w:sz w:val="20"/>
                <w:szCs w:val="20"/>
              </w:rPr>
              <w:t xml:space="preserve"> 107; F = 20.4; P &lt; 0.0005). Follow-up tests for individual brain regions revealed significant differences between groups for the prefrontal </w:t>
            </w:r>
            <w:proofErr w:type="gramStart"/>
            <w:r w:rsidRPr="005762E6">
              <w:rPr>
                <w:sz w:val="20"/>
                <w:szCs w:val="20"/>
              </w:rPr>
              <w:t>cortex,​</w:t>
            </w:r>
            <w:proofErr w:type="gramEnd"/>
            <w:r w:rsidRPr="005762E6">
              <w:rPr>
                <w:sz w:val="20"/>
                <w:szCs w:val="20"/>
              </w:rPr>
              <w:t xml:space="preserve"> brainstem,​ cerebellum,​ and corpus callosum (ANCOVAs,​ all df's = 1,​ 113; F's = 15.0,​ 21.5,​ 21.1,​ and 8.9; P's all &lt; &lt;.0005,​ except for corpus callosum,​ where P &lt; 0.005),​ but not for the thalamus (ANCOVA; df = 1,​ 114; F = 0.2,​ n.s.). For regions found significant in the preceding </w:t>
            </w:r>
            <w:proofErr w:type="gramStart"/>
            <w:r w:rsidRPr="005762E6">
              <w:rPr>
                <w:sz w:val="20"/>
                <w:szCs w:val="20"/>
              </w:rPr>
              <w:t>analysis,​</w:t>
            </w:r>
            <w:proofErr w:type="gramEnd"/>
            <w:r w:rsidRPr="005762E6">
              <w:rPr>
                <w:sz w:val="20"/>
                <w:szCs w:val="20"/>
              </w:rPr>
              <w:t xml:space="preserve"> alpha4beta2* nAChR levels were 36 to 42% higher for smokers than nonsmokers. In comparing menthol versus non-menthol </w:t>
            </w:r>
            <w:proofErr w:type="gramStart"/>
            <w:r w:rsidRPr="005762E6">
              <w:rPr>
                <w:sz w:val="20"/>
                <w:szCs w:val="20"/>
              </w:rPr>
              <w:t>smokers,​</w:t>
            </w:r>
            <w:proofErr w:type="gramEnd"/>
            <w:r w:rsidRPr="005762E6">
              <w:rPr>
                <w:sz w:val="20"/>
                <w:szCs w:val="20"/>
              </w:rPr>
              <w:t xml:space="preserve"> the overall test revealed a significant between-group (menthol versus non-menthol) difference,​ (MANCOVA; df = 5,​ 56; F = 2.9; P &lt; 0.05). Follow-up tests for individual brain regions revealed significant between-group differences for the </w:t>
            </w:r>
            <w:proofErr w:type="gramStart"/>
            <w:r w:rsidRPr="005762E6">
              <w:rPr>
                <w:sz w:val="20"/>
                <w:szCs w:val="20"/>
              </w:rPr>
              <w:t>brainstem,​</w:t>
            </w:r>
            <w:proofErr w:type="gramEnd"/>
            <w:r w:rsidRPr="005762E6">
              <w:rPr>
                <w:sz w:val="20"/>
                <w:szCs w:val="20"/>
              </w:rPr>
              <w:t xml:space="preserve"> cerebellum,​ and corpus callosum (ANCOVAs,​ all df's = 1,​ 62; F's = 7.5,​ 9.2,​ and 7.5; all P's &lt; 0.01),​ with menthol smokers having 21 to 28% higher nAChR density in these regions. Exploratory tests also revealed a significant decrease in nAChR density with increasing age across the total study sample (MANCOVA; df = </w:t>
            </w:r>
            <w:proofErr w:type="gramStart"/>
            <w:r w:rsidRPr="005762E6">
              <w:rPr>
                <w:sz w:val="20"/>
                <w:szCs w:val="20"/>
              </w:rPr>
              <w:t>5,​</w:t>
            </w:r>
            <w:proofErr w:type="gramEnd"/>
            <w:r w:rsidRPr="005762E6">
              <w:rPr>
                <w:sz w:val="20"/>
                <w:szCs w:val="20"/>
              </w:rPr>
              <w:t xml:space="preserve"> 107; F = 7.4; p &lt; 0.0005). Discussion: Nicotine exposure appears to be a primary determinant of nAChR up-regulation. </w:t>
            </w:r>
            <w:proofErr w:type="gramStart"/>
            <w:r w:rsidRPr="005762E6">
              <w:rPr>
                <w:sz w:val="20"/>
                <w:szCs w:val="20"/>
              </w:rPr>
              <w:t>Therefore,​</w:t>
            </w:r>
            <w:proofErr w:type="gramEnd"/>
            <w:r w:rsidRPr="005762E6">
              <w:rPr>
                <w:sz w:val="20"/>
                <w:szCs w:val="20"/>
              </w:rPr>
              <w:t xml:space="preserve"> more severe upregulation of nAChRs in menthol cigarette smokers suggests higher brain nicotine exposure in this group. Study results provide additional information about the severity of menthol cigarette </w:t>
            </w:r>
            <w:proofErr w:type="gramStart"/>
            <w:r w:rsidRPr="005762E6">
              <w:rPr>
                <w:sz w:val="20"/>
                <w:szCs w:val="20"/>
              </w:rPr>
              <w:t>use,​</w:t>
            </w:r>
            <w:proofErr w:type="gramEnd"/>
            <w:r w:rsidRPr="005762E6">
              <w:rPr>
                <w:sz w:val="20"/>
                <w:szCs w:val="20"/>
              </w:rPr>
              <w:t xml:space="preserve"> and may explain why these smokers have more trouble quitting in standard treatment programs.</w:t>
            </w:r>
          </w:p>
        </w:tc>
      </w:tr>
      <w:tr w:rsidR="00B44564" w:rsidRPr="005762E6" w14:paraId="7527FD33"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0AE7B54" w14:textId="77777777" w:rsidR="00B44564" w:rsidRPr="005762E6" w:rsidRDefault="00B44564" w:rsidP="00EA69AA">
            <w:pPr>
              <w:spacing w:after="120" w:line="240" w:lineRule="auto"/>
              <w:contextualSpacing/>
              <w:rPr>
                <w:sz w:val="20"/>
                <w:szCs w:val="20"/>
              </w:rPr>
            </w:pPr>
            <w:r w:rsidRPr="005762E6">
              <w:rPr>
                <w:sz w:val="20"/>
                <w:szCs w:val="20"/>
              </w:rPr>
              <w:t>144</w:t>
            </w:r>
          </w:p>
        </w:tc>
        <w:tc>
          <w:tcPr>
            <w:tcW w:w="0" w:type="auto"/>
            <w:tcBorders>
              <w:top w:val="single" w:sz="6" w:space="0" w:color="auto"/>
              <w:left w:val="single" w:sz="6" w:space="0" w:color="auto"/>
              <w:bottom w:val="single" w:sz="6" w:space="0" w:color="auto"/>
              <w:right w:val="single" w:sz="6" w:space="0" w:color="auto"/>
            </w:tcBorders>
          </w:tcPr>
          <w:p w14:paraId="50BE2858"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A1EA837" w14:textId="77777777" w:rsidR="00B44564" w:rsidRPr="005762E6" w:rsidRDefault="00B44564" w:rsidP="00EA69AA">
            <w:pPr>
              <w:spacing w:after="120" w:line="240" w:lineRule="auto"/>
              <w:contextualSpacing/>
              <w:rPr>
                <w:sz w:val="20"/>
                <w:szCs w:val="20"/>
              </w:rPr>
            </w:pPr>
            <w:r w:rsidRPr="005762E6">
              <w:rPr>
                <w:sz w:val="20"/>
                <w:szCs w:val="20"/>
              </w:rPr>
              <w:t xml:space="preserve">Buchanan </w:t>
            </w:r>
            <w:proofErr w:type="gramStart"/>
            <w:r w:rsidRPr="005762E6">
              <w:rPr>
                <w:sz w:val="20"/>
                <w:szCs w:val="20"/>
              </w:rPr>
              <w:t>T.S.,​</w:t>
            </w:r>
            <w:proofErr w:type="gramEnd"/>
            <w:r w:rsidRPr="005762E6">
              <w:rPr>
                <w:sz w:val="20"/>
                <w:szCs w:val="20"/>
              </w:rPr>
              <w:t xml:space="preserve">Cox L.S.,​Nollen N.L.,​Thomas J.L.,​Berg C.J.,​Mayo M.S.,​Ahluwalia J.S. Perceived treatment assignment and smoking cessation in a clinical trial of bupropion. Cancer Epidemiology Biomarkers and Prevention; </w:t>
            </w:r>
            <w:proofErr w:type="gramStart"/>
            <w:r w:rsidRPr="005762E6">
              <w:rPr>
                <w:sz w:val="20"/>
                <w:szCs w:val="20"/>
              </w:rPr>
              <w:t>2011;20:721</w:t>
            </w:r>
            <w:proofErr w:type="gramEnd"/>
            <w:r w:rsidRPr="005762E6">
              <w:rPr>
                <w:sz w:val="20"/>
                <w:szCs w:val="20"/>
              </w:rPr>
              <w:t>.</w:t>
            </w:r>
            <w:r w:rsidRPr="005762E6">
              <w:rPr>
                <w:sz w:val="20"/>
                <w:szCs w:val="20"/>
              </w:rPr>
              <w:br/>
            </w:r>
            <w:r w:rsidRPr="005762E6">
              <w:rPr>
                <w:sz w:val="20"/>
                <w:szCs w:val="20"/>
              </w:rPr>
              <w:lastRenderedPageBreak/>
              <w:br/>
            </w:r>
            <w:r w:rsidRPr="005762E6">
              <w:rPr>
                <w:b/>
                <w:bCs/>
                <w:sz w:val="20"/>
                <w:szCs w:val="20"/>
              </w:rPr>
              <w:t>Keywords:</w:t>
            </w:r>
            <w:r w:rsidRPr="005762E6">
              <w:rPr>
                <w:sz w:val="20"/>
                <w:szCs w:val="20"/>
              </w:rPr>
              <w:br/>
              <w:t>*smoking cessation,​*society,​*oncology,​*clinical trial,​smoking,​drug therapy,​cigarette smoking,​female,​blindness,​tobacco,​placebo effect,​treatment outcome,​African American,​controlled study,​health education,​counseling,​*amfebutamone,​placebo,​cotinine,​menthol</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Research on tobacco cessation pharmacotherapy often relies on double-blind,​ placebo-controlled randomized trials. These studies are designed to control for the placebo effect (</w:t>
            </w:r>
            <w:proofErr w:type="gramStart"/>
            <w:r w:rsidRPr="005762E6">
              <w:rPr>
                <w:sz w:val="20"/>
                <w:szCs w:val="20"/>
              </w:rPr>
              <w:t>i.e.,​</w:t>
            </w:r>
            <w:proofErr w:type="gramEnd"/>
            <w:r w:rsidRPr="005762E6">
              <w:rPr>
                <w:sz w:val="20"/>
                <w:szCs w:val="20"/>
              </w:rPr>
              <w:t xml:space="preserve"> the influence of participants' expectations on treatment outcome). Psychoactive effects of smoking cessation medications such as bupropion may allow participants to correctly guess their treatment assignment at rates greater than chance. Perceived treatment assignment could potentially impact smoking cessation rates. The aim of this study was to determine the impact of perceived treatment assignment on end-of-treatment cotinine-verified smoking abstinence among African American light smokers [&lt;10 cigarettes per day (cpd) enrolled in a double-</w:t>
            </w:r>
            <w:proofErr w:type="gramStart"/>
            <w:r w:rsidRPr="005762E6">
              <w:rPr>
                <w:sz w:val="20"/>
                <w:szCs w:val="20"/>
              </w:rPr>
              <w:t>blind,​</w:t>
            </w:r>
            <w:proofErr w:type="gramEnd"/>
            <w:r w:rsidRPr="005762E6">
              <w:rPr>
                <w:sz w:val="20"/>
                <w:szCs w:val="20"/>
              </w:rPr>
              <w:t xml:space="preserve"> placebo-controlled study of bupropion. Participants were randomized to bupropion (150 mg bid) or placebo and received identical written materials and health education counseling. Participant (n = 390) included in this study reported their perceived treatment assignment on the end-of-treatment (week 7 survey. They were predominantly female (63.1%</w:t>
            </w:r>
            <w:proofErr w:type="gramStart"/>
            <w:r w:rsidRPr="005762E6">
              <w:rPr>
                <w:sz w:val="20"/>
                <w:szCs w:val="20"/>
              </w:rPr>
              <w:t>),​</w:t>
            </w:r>
            <w:proofErr w:type="gramEnd"/>
            <w:r w:rsidRPr="005762E6">
              <w:rPr>
                <w:sz w:val="20"/>
                <w:szCs w:val="20"/>
              </w:rPr>
              <w:t xml:space="preserve"> 48.' years (SD = 11.2),​ and smoked 8 cpd (SD = 2.5). Th majority (81.3%) smoked menthol cigarettes. Participant given bupropion were more likely to correctly guess their treatment assignment (69%; 140/203) than those assignee to placebo (51.3%; 96/187). Quit rates by treatment assignment were 31.5% (bupropion) versus 13.9% (placebo) (OR = </w:t>
            </w:r>
            <w:proofErr w:type="gramStart"/>
            <w:r w:rsidRPr="005762E6">
              <w:rPr>
                <w:sz w:val="20"/>
                <w:szCs w:val="20"/>
              </w:rPr>
              <w:t>2.78,​</w:t>
            </w:r>
            <w:proofErr w:type="gramEnd"/>
            <w:r w:rsidRPr="005762E6">
              <w:rPr>
                <w:sz w:val="20"/>
                <w:szCs w:val="20"/>
              </w:rPr>
              <w:t xml:space="preserve"> 95% CI 1.61-5.43,​ P &lt; 0.01). After adjusting for </w:t>
            </w:r>
            <w:proofErr w:type="gramStart"/>
            <w:r w:rsidRPr="005762E6">
              <w:rPr>
                <w:sz w:val="20"/>
                <w:szCs w:val="20"/>
              </w:rPr>
              <w:t>treatment,​</w:t>
            </w:r>
            <w:proofErr w:type="gramEnd"/>
            <w:r w:rsidRPr="005762E6">
              <w:rPr>
                <w:sz w:val="20"/>
                <w:szCs w:val="20"/>
              </w:rPr>
              <w:t xml:space="preserve"> participants who perceived assignment to bupropion versus placebo were not more likely to be abstinent (OR = 1.37; 95% CI 0.71-2.64,​ P = 0.35).The interaction between treatment and perceived treatment assignment was also nonsignificant. Consistent with two previous studies with </w:t>
            </w:r>
            <w:proofErr w:type="gramStart"/>
            <w:r w:rsidRPr="005762E6">
              <w:rPr>
                <w:sz w:val="20"/>
                <w:szCs w:val="20"/>
              </w:rPr>
              <w:t>bupropion,​</w:t>
            </w:r>
            <w:proofErr w:type="gramEnd"/>
            <w:r w:rsidRPr="005762E6">
              <w:rPr>
                <w:sz w:val="20"/>
                <w:szCs w:val="20"/>
              </w:rPr>
              <w:t xml:space="preserve"> there was evidence of blinding failure for the treatment group However,​ in our study,​ perceived treatment assignment did not significantly impact cotinine-verified cessation outcome at end-of-treatment (week 7). These finding suggest that the role of perceived treatment assignment on smoking cessation with bupropion may differ for light smokers compared to heavier smokers (&gt;10 cpd) sampled in the two earlier studies. Current findings might indicate that expectations of pharmacotherapy are less salient for light smokers.</w:t>
            </w:r>
          </w:p>
        </w:tc>
      </w:tr>
      <w:tr w:rsidR="00B44564" w:rsidRPr="005762E6" w14:paraId="07DF1AAC"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A2988B6" w14:textId="77777777" w:rsidR="00B44564" w:rsidRPr="005762E6" w:rsidRDefault="00B44564" w:rsidP="00EA69AA">
            <w:pPr>
              <w:spacing w:after="120" w:line="240" w:lineRule="auto"/>
              <w:contextualSpacing/>
              <w:rPr>
                <w:sz w:val="20"/>
                <w:szCs w:val="20"/>
              </w:rPr>
            </w:pPr>
            <w:r w:rsidRPr="005762E6">
              <w:rPr>
                <w:sz w:val="20"/>
                <w:szCs w:val="20"/>
              </w:rPr>
              <w:lastRenderedPageBreak/>
              <w:t>146</w:t>
            </w:r>
          </w:p>
        </w:tc>
        <w:tc>
          <w:tcPr>
            <w:tcW w:w="0" w:type="auto"/>
            <w:tcBorders>
              <w:top w:val="single" w:sz="6" w:space="0" w:color="auto"/>
              <w:left w:val="single" w:sz="6" w:space="0" w:color="auto"/>
              <w:bottom w:val="single" w:sz="6" w:space="0" w:color="auto"/>
              <w:right w:val="single" w:sz="6" w:space="0" w:color="auto"/>
            </w:tcBorders>
          </w:tcPr>
          <w:p w14:paraId="466E7945"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72F2D07" w14:textId="77777777" w:rsidR="00B44564" w:rsidRPr="005762E6" w:rsidRDefault="00B44564" w:rsidP="00EA69AA">
            <w:pPr>
              <w:spacing w:after="120" w:line="240" w:lineRule="auto"/>
              <w:contextualSpacing/>
              <w:rPr>
                <w:sz w:val="20"/>
                <w:szCs w:val="20"/>
              </w:rPr>
            </w:pPr>
            <w:r w:rsidRPr="005762E6">
              <w:rPr>
                <w:sz w:val="20"/>
                <w:szCs w:val="20"/>
              </w:rPr>
              <w:t xml:space="preserve">Mickens </w:t>
            </w:r>
            <w:proofErr w:type="gramStart"/>
            <w:r w:rsidRPr="005762E6">
              <w:rPr>
                <w:sz w:val="20"/>
                <w:szCs w:val="20"/>
              </w:rPr>
              <w:t>L.,​</w:t>
            </w:r>
            <w:proofErr w:type="gramEnd"/>
            <w:r w:rsidRPr="005762E6">
              <w:rPr>
                <w:sz w:val="20"/>
                <w:szCs w:val="20"/>
              </w:rPr>
              <w:t>Ameringer K.,​Brightman M.,​Leventhal A.M. Epidemiology,​ determinants,​ and consequences of cigarette smoking in African American women: An integrative review. Addictive Behaviors; 2010;35:383.</w:t>
            </w:r>
            <w:r w:rsidRPr="005762E6">
              <w:rPr>
                <w:sz w:val="20"/>
                <w:szCs w:val="20"/>
              </w:rPr>
              <w:br/>
            </w:r>
            <w:r w:rsidRPr="005762E6">
              <w:rPr>
                <w:sz w:val="20"/>
                <w:szCs w:val="20"/>
              </w:rPr>
              <w:br/>
            </w:r>
            <w:r w:rsidRPr="005762E6">
              <w:rPr>
                <w:b/>
                <w:bCs/>
                <w:sz w:val="20"/>
                <w:szCs w:val="20"/>
              </w:rPr>
              <w:t>Keywords:</w:t>
            </w:r>
            <w:r w:rsidRPr="005762E6">
              <w:rPr>
                <w:sz w:val="20"/>
                <w:szCs w:val="20"/>
              </w:rPr>
              <w:br/>
              <w:t>*African American,​age,​behavior,​bronchus cancer,​cancer risk,​Caucasian,​*cigarette smoking,​educational status,​environmental factor,​epidemiological data,​ethnic difference,​female,​*gender,​genetic variability,​human,​lifespan,​lowest income group,​lung cancer,​male,​metabolism,​pregnant woman,​prevalence,​psychological aspect,​religion,​review,​sex difference,​social network,​social stress,​social support,​substance abuse,​symptom,​tobacco dependence,​urban area,​withdrawal syndrome,​carbon monoxide,​cytochrome P450 2A6/ec [Endogenous Compound],​dopamine 2 receptor/ec [Endogenous Compound],​dopamine transporter/ec [Endogenous Compound],​menthol,​nicotine,​unclassified drug,​mentholated cigarette,​smoking topography,​protein SLC6A3/ec [Endogenous Compound]</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Tobacco smoking is a national public health problem that has been associated with numerous adverse health effects,​ including increased disease and cancer rates. Previous review articles on smoking in specific demographic populations have focused on smoking in women and on smoking in African </w:t>
            </w:r>
            <w:proofErr w:type="gramStart"/>
            <w:r w:rsidRPr="005762E6">
              <w:rPr>
                <w:sz w:val="20"/>
                <w:szCs w:val="20"/>
              </w:rPr>
              <w:t>Americans,​</w:t>
            </w:r>
            <w:proofErr w:type="gramEnd"/>
            <w:r w:rsidRPr="005762E6">
              <w:rPr>
                <w:sz w:val="20"/>
                <w:szCs w:val="20"/>
              </w:rPr>
              <w:t xml:space="preserve"> but have not considered the dual roles of ethnicity and gender in smoking behavior. African American women (AAW) are an important subgroup to study because they are distinct from non-AAW and their male African American counterparts on biopsychosocial factors that are relevant to smoking behavior. The purpose of the present review paper is to integrate and summarize the current literature on the </w:t>
            </w:r>
            <w:proofErr w:type="gramStart"/>
            <w:r w:rsidRPr="005762E6">
              <w:rPr>
                <w:sz w:val="20"/>
                <w:szCs w:val="20"/>
              </w:rPr>
              <w:t>epidemiology,​</w:t>
            </w:r>
            <w:proofErr w:type="gramEnd"/>
            <w:r w:rsidRPr="005762E6">
              <w:rPr>
                <w:sz w:val="20"/>
                <w:szCs w:val="20"/>
              </w:rPr>
              <w:t xml:space="preserve"> determinants,​ and consequences of cigarette smoking among AAW,​ by contrasting them to relevant comparison groups (non-AAW and African American men). Evidence suggests that AAW are generally more likely to be light smokers and initiate smoking later. The prevalence rates of AAW smokers have decreased over the past 25 </w:t>
            </w:r>
            <w:proofErr w:type="gramStart"/>
            <w:r w:rsidRPr="005762E6">
              <w:rPr>
                <w:sz w:val="20"/>
                <w:szCs w:val="20"/>
              </w:rPr>
              <w:lastRenderedPageBreak/>
              <w:t>years,​</w:t>
            </w:r>
            <w:proofErr w:type="gramEnd"/>
            <w:r w:rsidRPr="005762E6">
              <w:rPr>
                <w:sz w:val="20"/>
                <w:szCs w:val="20"/>
              </w:rPr>
              <w:t xml:space="preserve"> yet AAW are disproportionately affected by several smoking-related illnesses when compared to their ethnic and gender comparison groups. AAW smokers are distinct from relevant comparison groups in metabolic sensitivity to </w:t>
            </w:r>
            <w:proofErr w:type="gramStart"/>
            <w:r w:rsidRPr="005762E6">
              <w:rPr>
                <w:sz w:val="20"/>
                <w:szCs w:val="20"/>
              </w:rPr>
              <w:t>nicotine,​</w:t>
            </w:r>
            <w:proofErr w:type="gramEnd"/>
            <w:r w:rsidRPr="005762E6">
              <w:rPr>
                <w:sz w:val="20"/>
                <w:szCs w:val="20"/>
              </w:rPr>
              <w:t xml:space="preserve"> aspects of smoking topography,​ and several psychosocial factors that influence smoking. Although a small literature on smoking in AAW is </w:t>
            </w:r>
            <w:proofErr w:type="gramStart"/>
            <w:r w:rsidRPr="005762E6">
              <w:rPr>
                <w:sz w:val="20"/>
                <w:szCs w:val="20"/>
              </w:rPr>
              <w:t>emerging,​</w:t>
            </w:r>
            <w:proofErr w:type="gramEnd"/>
            <w:r w:rsidRPr="005762E6">
              <w:rPr>
                <w:sz w:val="20"/>
                <w:szCs w:val="20"/>
              </w:rPr>
              <w:t xml:space="preserve"> further empirical research of AAW smokers could inform the development of tailored interventions for AAW. © 2009 Elsevier Ltd. All rights reserved.</w:t>
            </w:r>
          </w:p>
        </w:tc>
      </w:tr>
      <w:tr w:rsidR="00B44564" w:rsidRPr="005762E6" w14:paraId="7D7B410B"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50EE3A5" w14:textId="77777777" w:rsidR="00B44564" w:rsidRPr="005762E6" w:rsidRDefault="00B44564" w:rsidP="00EA69AA">
            <w:pPr>
              <w:spacing w:after="120" w:line="240" w:lineRule="auto"/>
              <w:contextualSpacing/>
              <w:rPr>
                <w:sz w:val="20"/>
                <w:szCs w:val="20"/>
              </w:rPr>
            </w:pPr>
            <w:r w:rsidRPr="005762E6">
              <w:rPr>
                <w:sz w:val="20"/>
                <w:szCs w:val="20"/>
              </w:rPr>
              <w:lastRenderedPageBreak/>
              <w:t>148</w:t>
            </w:r>
          </w:p>
        </w:tc>
        <w:tc>
          <w:tcPr>
            <w:tcW w:w="0" w:type="auto"/>
            <w:tcBorders>
              <w:top w:val="single" w:sz="6" w:space="0" w:color="auto"/>
              <w:left w:val="single" w:sz="6" w:space="0" w:color="auto"/>
              <w:bottom w:val="single" w:sz="6" w:space="0" w:color="auto"/>
              <w:right w:val="single" w:sz="6" w:space="0" w:color="auto"/>
            </w:tcBorders>
          </w:tcPr>
          <w:p w14:paraId="773FFC64"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CC28528" w14:textId="77777777" w:rsidR="00B44564" w:rsidRPr="005762E6" w:rsidRDefault="00B44564" w:rsidP="00EA69AA">
            <w:pPr>
              <w:spacing w:after="120" w:line="240" w:lineRule="auto"/>
              <w:contextualSpacing/>
              <w:rPr>
                <w:sz w:val="20"/>
                <w:szCs w:val="20"/>
              </w:rPr>
            </w:pPr>
            <w:r w:rsidRPr="005762E6">
              <w:rPr>
                <w:sz w:val="20"/>
                <w:szCs w:val="20"/>
              </w:rPr>
              <w:t xml:space="preserve">Shah </w:t>
            </w:r>
            <w:proofErr w:type="gramStart"/>
            <w:r w:rsidRPr="005762E6">
              <w:rPr>
                <w:sz w:val="20"/>
                <w:szCs w:val="20"/>
              </w:rPr>
              <w:t>L.,​</w:t>
            </w:r>
            <w:proofErr w:type="gramEnd"/>
            <w:r w:rsidRPr="005762E6">
              <w:rPr>
                <w:sz w:val="20"/>
                <w:szCs w:val="20"/>
              </w:rPr>
              <w:t>Press V.,​Arora V.,​King A.,​Meltzer D.,​Suresh K.,​Krishnan J. Assessing impact of usual care on quit rates 4 weeks post discharge among hospitalized smokers. Journal of Hospital Medicine; 2010;5:71.</w:t>
            </w:r>
            <w:r w:rsidRPr="005762E6">
              <w:rPr>
                <w:sz w:val="20"/>
                <w:szCs w:val="20"/>
              </w:rPr>
              <w:br/>
            </w:r>
            <w:r w:rsidRPr="005762E6">
              <w:rPr>
                <w:sz w:val="20"/>
                <w:szCs w:val="20"/>
              </w:rPr>
              <w:br/>
            </w:r>
            <w:r w:rsidRPr="005762E6">
              <w:rPr>
                <w:b/>
                <w:bCs/>
                <w:sz w:val="20"/>
                <w:szCs w:val="20"/>
              </w:rPr>
              <w:t>Keywords:</w:t>
            </w:r>
            <w:r w:rsidRPr="005762E6">
              <w:rPr>
                <w:sz w:val="20"/>
                <w:szCs w:val="20"/>
              </w:rPr>
              <w:br/>
              <w:t>*smoking,​*society,​*hospital medicine,​human,​patient,​hospital,​abstinence,​tobacco,​drug therapy,​smoking cessation,​African American,​tobacco dependence,​diseases,​general practice,​follow up,​tobacco use,​diagnosis,​interview,​telephone interview,​health care personnel,​public health,​hospital patient,​outpatient,​female,​environment,​carbon monoxide,​amfebutamone</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The hospital setting is an ideal environment to counsel patients on smoking cessation. The effectiveness of hospital-based care for smoking is </w:t>
            </w:r>
            <w:proofErr w:type="gramStart"/>
            <w:r w:rsidRPr="005762E6">
              <w:rPr>
                <w:sz w:val="20"/>
                <w:szCs w:val="20"/>
              </w:rPr>
              <w:t>unclear,​</w:t>
            </w:r>
            <w:proofErr w:type="gramEnd"/>
            <w:r w:rsidRPr="005762E6">
              <w:rPr>
                <w:sz w:val="20"/>
                <w:szCs w:val="20"/>
              </w:rPr>
              <w:t xml:space="preserve"> specifically among African Americans,​ who face a disproportionate burden of tobacco-related disease. This study assessed the quality and efficacy of usual care on chemically verified quit rates 4 weeks post discharge. Methods: Current smoking general medicine inpatients were identified using National Health Interview Survey items. Smokers were interviewed at admission about smoking behaviors and barriers to cessation. At </w:t>
            </w:r>
            <w:proofErr w:type="gramStart"/>
            <w:r w:rsidRPr="005762E6">
              <w:rPr>
                <w:sz w:val="20"/>
                <w:szCs w:val="20"/>
              </w:rPr>
              <w:t>discharge,​</w:t>
            </w:r>
            <w:proofErr w:type="gramEnd"/>
            <w:r w:rsidRPr="005762E6">
              <w:rPr>
                <w:sz w:val="20"/>
                <w:szCs w:val="20"/>
              </w:rPr>
              <w:t xml:space="preserve"> they were asked to provide an expired carbon monoxide (CO) test for verification of abstinence. Smokers were interviewed by phone 4 weeks post discharge regarding any care they received for their tobacco use (advice lo </w:t>
            </w:r>
            <w:proofErr w:type="gramStart"/>
            <w:r w:rsidRPr="005762E6">
              <w:rPr>
                <w:sz w:val="20"/>
                <w:szCs w:val="20"/>
              </w:rPr>
              <w:t>quit,​</w:t>
            </w:r>
            <w:proofErr w:type="gramEnd"/>
            <w:r w:rsidRPr="005762E6">
              <w:rPr>
                <w:sz w:val="20"/>
                <w:szCs w:val="20"/>
              </w:rPr>
              <w:t xml:space="preserve"> medications,​ or follow-up with a tobacco cessat on program). Self-reported quitters were asked to return 'or CO testing to verify abstinence. Results: From September 2008 to July </w:t>
            </w:r>
            <w:proofErr w:type="gramStart"/>
            <w:r w:rsidRPr="005762E6">
              <w:rPr>
                <w:sz w:val="20"/>
                <w:szCs w:val="20"/>
              </w:rPr>
              <w:t>2009,​</w:t>
            </w:r>
            <w:proofErr w:type="gramEnd"/>
            <w:r w:rsidRPr="005762E6">
              <w:rPr>
                <w:sz w:val="20"/>
                <w:szCs w:val="20"/>
              </w:rPr>
              <w:t xml:space="preserve">225 of 289 hospitalized smokers (78%) participated in the study. Of the 225 </w:t>
            </w:r>
            <w:proofErr w:type="gramStart"/>
            <w:r w:rsidRPr="005762E6">
              <w:rPr>
                <w:sz w:val="20"/>
                <w:szCs w:val="20"/>
              </w:rPr>
              <w:t>patients,​</w:t>
            </w:r>
            <w:proofErr w:type="gramEnd"/>
            <w:r w:rsidRPr="005762E6">
              <w:rPr>
                <w:sz w:val="20"/>
                <w:szCs w:val="20"/>
              </w:rPr>
              <w:t xml:space="preserve"> 193 (86%) were African American,​ 115 (52%) female,​ and 77 (34%) had a discharge diagnosis of a smoking-related illness. The mean age of smokers was 50 +/- 14 </w:t>
            </w:r>
            <w:proofErr w:type="gramStart"/>
            <w:r w:rsidRPr="005762E6">
              <w:rPr>
                <w:sz w:val="20"/>
                <w:szCs w:val="20"/>
              </w:rPr>
              <w:t>years,​</w:t>
            </w:r>
            <w:proofErr w:type="gramEnd"/>
            <w:r w:rsidRPr="005762E6">
              <w:rPr>
                <w:sz w:val="20"/>
                <w:szCs w:val="20"/>
              </w:rPr>
              <w:t xml:space="preserve"> and the mean age they smoked their first cigarette was 16 +/- 5 years. One hundred and seventy-eight (79%) received advice to quit in the last </w:t>
            </w:r>
            <w:proofErr w:type="gramStart"/>
            <w:r w:rsidRPr="005762E6">
              <w:rPr>
                <w:sz w:val="20"/>
                <w:szCs w:val="20"/>
              </w:rPr>
              <w:t>year,​</w:t>
            </w:r>
            <w:proofErr w:type="gramEnd"/>
            <w:r w:rsidRPr="005762E6">
              <w:rPr>
                <w:sz w:val="20"/>
                <w:szCs w:val="20"/>
              </w:rPr>
              <w:t xml:space="preserve"> and 130 (58%) had tried to quit unsuccessfully in the last year. The mean Fagerstrom score was 4.62 +/-2.</w:t>
            </w:r>
            <w:proofErr w:type="gramStart"/>
            <w:r w:rsidRPr="005762E6">
              <w:rPr>
                <w:sz w:val="20"/>
                <w:szCs w:val="20"/>
              </w:rPr>
              <w:t>13,​</w:t>
            </w:r>
            <w:proofErr w:type="gramEnd"/>
            <w:r w:rsidRPr="005762E6">
              <w:rPr>
                <w:sz w:val="20"/>
                <w:szCs w:val="20"/>
              </w:rPr>
              <w:t xml:space="preserve"> demonstrating a moderate level of tobacco addiction. The majority of smokers (87%) reported a preference for mentholated cigarettes. Biochemically verified abstinence was demonstrated in 85% of patients at the time of discharge. A 4-week telephone interview was obtained in 192 of 225 patients (85%). One hundred and eighteen (62%) reported receiving advice to quit from a health care professional in the hospital. Medications for withdrawal (</w:t>
            </w:r>
            <w:proofErr w:type="gramStart"/>
            <w:r w:rsidRPr="005762E6">
              <w:rPr>
                <w:sz w:val="20"/>
                <w:szCs w:val="20"/>
              </w:rPr>
              <w:t>i.e.,​</w:t>
            </w:r>
            <w:proofErr w:type="gramEnd"/>
            <w:r w:rsidRPr="005762E6">
              <w:rPr>
                <w:sz w:val="20"/>
                <w:szCs w:val="20"/>
              </w:rPr>
              <w:t xml:space="preserve"> NRT) were prescribed for 56 patients (29%). Only 8 patients (4%) reported being prescribed a medication (</w:t>
            </w:r>
            <w:proofErr w:type="gramStart"/>
            <w:r w:rsidRPr="005762E6">
              <w:rPr>
                <w:sz w:val="20"/>
                <w:szCs w:val="20"/>
              </w:rPr>
              <w:t>i.e.,​</w:t>
            </w:r>
            <w:proofErr w:type="gramEnd"/>
            <w:r w:rsidRPr="005762E6">
              <w:rPr>
                <w:sz w:val="20"/>
                <w:szCs w:val="20"/>
              </w:rPr>
              <w:t xml:space="preserve"> bupropion) for cessation in the hospital. A referral to the outpatient tobacco cessation program was given to 57 patients (30%) prior to discharge. At 4 </w:t>
            </w:r>
            <w:proofErr w:type="gramStart"/>
            <w:r w:rsidRPr="005762E6">
              <w:rPr>
                <w:sz w:val="20"/>
                <w:szCs w:val="20"/>
              </w:rPr>
              <w:t>weeks,​</w:t>
            </w:r>
            <w:proofErr w:type="gramEnd"/>
            <w:r w:rsidRPr="005762E6">
              <w:rPr>
                <w:sz w:val="20"/>
                <w:szCs w:val="20"/>
              </w:rPr>
              <w:t xml:space="preserve"> 7 (4%) self-reported taking medications for smoking cessation,​ 20 (11%) agreed to being referred to a tobacco cessation program,​ and only 1 patient enrolled in the program. </w:t>
            </w:r>
            <w:proofErr w:type="gramStart"/>
            <w:r w:rsidRPr="005762E6">
              <w:rPr>
                <w:sz w:val="20"/>
                <w:szCs w:val="20"/>
              </w:rPr>
              <w:t>Additionally,​</w:t>
            </w:r>
            <w:proofErr w:type="gramEnd"/>
            <w:r w:rsidRPr="005762E6">
              <w:rPr>
                <w:sz w:val="20"/>
                <w:szCs w:val="20"/>
              </w:rPr>
              <w:t xml:space="preserve"> 47 (25%) self-reported abstinence and 22 (11%) had biochemically confirmed abstinence. Biochemically confirmed abstinence was not higher in patients who were initiated on meds in the hospital (7 v. 13</w:t>
            </w:r>
            <w:proofErr w:type="gramStart"/>
            <w:r w:rsidRPr="005762E6">
              <w:rPr>
                <w:sz w:val="20"/>
                <w:szCs w:val="20"/>
              </w:rPr>
              <w:t>%,​</w:t>
            </w:r>
            <w:proofErr w:type="gramEnd"/>
            <w:r w:rsidRPr="005762E6">
              <w:rPr>
                <w:sz w:val="20"/>
                <w:szCs w:val="20"/>
              </w:rPr>
              <w:t xml:space="preserve"> P = 0.22). Conclusions: Usual care in the hospital setting is both suboptimal and largely ineffective. This study demonstrated no significant difference in quit rates among patients initiated on pharmacotherapy in the hospital. Patients may benefit from more intensive post discharge care in addition to the usual care initiated in the hospital. Further studies are needed to determine cost-effective and efficient methods to deliver this level of tobacco cessation care in urban hospital settings.</w:t>
            </w:r>
          </w:p>
        </w:tc>
      </w:tr>
      <w:tr w:rsidR="00B44564" w:rsidRPr="005762E6" w14:paraId="0305C0D4"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C7B4A63" w14:textId="77777777" w:rsidR="00B44564" w:rsidRPr="005762E6" w:rsidRDefault="00B44564" w:rsidP="00EA69AA">
            <w:pPr>
              <w:spacing w:after="120" w:line="240" w:lineRule="auto"/>
              <w:contextualSpacing/>
              <w:rPr>
                <w:sz w:val="20"/>
                <w:szCs w:val="20"/>
              </w:rPr>
            </w:pPr>
            <w:r w:rsidRPr="005762E6">
              <w:rPr>
                <w:sz w:val="20"/>
                <w:szCs w:val="20"/>
              </w:rPr>
              <w:t>149</w:t>
            </w:r>
          </w:p>
        </w:tc>
        <w:tc>
          <w:tcPr>
            <w:tcW w:w="0" w:type="auto"/>
            <w:tcBorders>
              <w:top w:val="single" w:sz="6" w:space="0" w:color="auto"/>
              <w:left w:val="single" w:sz="6" w:space="0" w:color="auto"/>
              <w:bottom w:val="single" w:sz="6" w:space="0" w:color="auto"/>
              <w:right w:val="single" w:sz="6" w:space="0" w:color="auto"/>
            </w:tcBorders>
          </w:tcPr>
          <w:p w14:paraId="20E1C0DC"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FB08C5F" w14:textId="77777777" w:rsidR="00B44564" w:rsidRPr="005762E6" w:rsidRDefault="00B44564" w:rsidP="00EA69AA">
            <w:pPr>
              <w:spacing w:after="120" w:line="240" w:lineRule="auto"/>
              <w:contextualSpacing/>
              <w:rPr>
                <w:sz w:val="20"/>
                <w:szCs w:val="20"/>
              </w:rPr>
            </w:pPr>
            <w:r w:rsidRPr="005762E6">
              <w:rPr>
                <w:sz w:val="20"/>
                <w:szCs w:val="20"/>
              </w:rPr>
              <w:t xml:space="preserve">Fu </w:t>
            </w:r>
            <w:proofErr w:type="gramStart"/>
            <w:r w:rsidRPr="005762E6">
              <w:rPr>
                <w:sz w:val="20"/>
                <w:szCs w:val="20"/>
              </w:rPr>
              <w:t>S.,​</w:t>
            </w:r>
            <w:proofErr w:type="gramEnd"/>
            <w:r w:rsidRPr="005762E6">
              <w:rPr>
                <w:sz w:val="20"/>
                <w:szCs w:val="20"/>
              </w:rPr>
              <w:t>Stahre M.,​Okuyemi K.,​Joseph A. Racial/ethnic differences in menthol cigarette smoking,​ prevalence of smoking cessation,​ and utilization of evidence-based tobacco cessation treatments. Journal of General Internal Medicine; 2010;25:S377.</w:t>
            </w:r>
            <w:r w:rsidRPr="005762E6">
              <w:rPr>
                <w:sz w:val="20"/>
                <w:szCs w:val="20"/>
              </w:rPr>
              <w:br/>
            </w:r>
            <w:r w:rsidRPr="005762E6">
              <w:rPr>
                <w:sz w:val="20"/>
                <w:szCs w:val="20"/>
              </w:rPr>
              <w:br/>
            </w:r>
            <w:r w:rsidRPr="005762E6">
              <w:rPr>
                <w:b/>
                <w:bCs/>
                <w:sz w:val="20"/>
                <w:szCs w:val="20"/>
              </w:rPr>
              <w:t>Keywords:</w:t>
            </w:r>
            <w:r w:rsidRPr="005762E6">
              <w:rPr>
                <w:sz w:val="20"/>
                <w:szCs w:val="20"/>
              </w:rPr>
              <w:br/>
              <w:t>*evidence based practice,​*smoking cessation,​*internal medicine,​*prevalence,​*cigarette smoking,​*society,​*tobacco,​smoking,​African American,​multivariate logistic regression analysis,​logistic regression analysis,​</w:t>
            </w:r>
            <w:r w:rsidRPr="005762E6">
              <w:rPr>
                <w:sz w:val="20"/>
                <w:szCs w:val="20"/>
              </w:rPr>
              <w:lastRenderedPageBreak/>
              <w:t>statistical significance,​marriage,​ethnic group,​achievement,​model,​public health,​interview,​cancer control,​outcome variable,​sampling,​adult,​ethnicity,​population,​*menthol</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This study examines the relationship between menthol cigarette smoking and the prevalence of smoking cessation (as indicated by the population quit ratio) and examines whether menthol smokers differ in utilization of evidence-based smoking cessation aids among a nationally representative sample of US adult smokers. METHODS: We conducted a cross-sectional analysis using data from the 2005 National Health Interview Survey Cancer Control Supplement. The main outcome variables of interest were 1) the prevalence of smoking cessation and 2) use of quit aids. All analyses were done using SAS version 9.2 with SUDAAN which corrects for the complex sampling design of the study. Multiple logistic regression analysis was used to model the links between </w:t>
            </w:r>
            <w:proofErr w:type="gramStart"/>
            <w:r w:rsidRPr="005762E6">
              <w:rPr>
                <w:sz w:val="20"/>
                <w:szCs w:val="20"/>
              </w:rPr>
              <w:t>race,​</w:t>
            </w:r>
            <w:proofErr w:type="gramEnd"/>
            <w:r w:rsidRPr="005762E6">
              <w:rPr>
                <w:sz w:val="20"/>
                <w:szCs w:val="20"/>
              </w:rPr>
              <w:t xml:space="preserve"> ethnicity,​ demographic,​ and smoking-related characteristics on the likelihood of quitting smoking and use of quit aids. RESULTS: We observed significant differences in the quit ratio for menthol versus non-menthol among African American smokers (34% vs 49</w:t>
            </w:r>
            <w:proofErr w:type="gramStart"/>
            <w:r w:rsidRPr="005762E6">
              <w:rPr>
                <w:sz w:val="20"/>
                <w:szCs w:val="20"/>
              </w:rPr>
              <w:t>%,​</w:t>
            </w:r>
            <w:proofErr w:type="gramEnd"/>
            <w:r w:rsidRPr="005762E6">
              <w:rPr>
                <w:sz w:val="20"/>
                <w:szCs w:val="20"/>
              </w:rPr>
              <w:t xml:space="preserve"> p&lt;0.0001),​ but not among whites (52% vs. 50%,​ p=0.2166). In multiple logistic regression </w:t>
            </w:r>
            <w:proofErr w:type="gramStart"/>
            <w:r w:rsidRPr="005762E6">
              <w:rPr>
                <w:sz w:val="20"/>
                <w:szCs w:val="20"/>
              </w:rPr>
              <w:t>analysis,​</w:t>
            </w:r>
            <w:proofErr w:type="gramEnd"/>
            <w:r w:rsidRPr="005762E6">
              <w:rPr>
                <w:sz w:val="20"/>
                <w:szCs w:val="20"/>
              </w:rPr>
              <w:t xml:space="preserve"> there was a significant interaction between race and menthol smoking status. African American menthol smokers were significantly less likely than white non-menthol smokers to have quit smoking (adjusted OR </w:t>
            </w:r>
            <w:proofErr w:type="gramStart"/>
            <w:r w:rsidRPr="005762E6">
              <w:rPr>
                <w:sz w:val="20"/>
                <w:szCs w:val="20"/>
              </w:rPr>
              <w:t>0.73,​</w:t>
            </w:r>
            <w:proofErr w:type="gramEnd"/>
            <w:r w:rsidRPr="005762E6">
              <w:rPr>
                <w:sz w:val="20"/>
                <w:szCs w:val="20"/>
              </w:rPr>
              <w:t xml:space="preserve"> 95% CI (0.56,​ 0.96),​ p-value= 0.0252) after controlling for age,​ sex,​ marital status,​ and age first started smoking regularly. Menthol smoking status was not associated with differences in utilization of quit aids. CONCLUSIONS: African Americans have the highest rates of menthol cigarette smoking compared to all other racial and ethnic groups. This study provides further evidence that menthol cigarette smoking negatively affects the achievement of successful smoking cessation among African Americans.</w:t>
            </w:r>
          </w:p>
        </w:tc>
      </w:tr>
      <w:tr w:rsidR="00B44564" w:rsidRPr="005762E6" w14:paraId="4B17C1B7"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EC32DDB" w14:textId="77777777" w:rsidR="00B44564" w:rsidRPr="005762E6" w:rsidRDefault="00B44564" w:rsidP="00EA69AA">
            <w:pPr>
              <w:spacing w:after="120" w:line="240" w:lineRule="auto"/>
              <w:contextualSpacing/>
              <w:rPr>
                <w:sz w:val="20"/>
                <w:szCs w:val="20"/>
              </w:rPr>
            </w:pPr>
            <w:r w:rsidRPr="005762E6">
              <w:rPr>
                <w:sz w:val="20"/>
                <w:szCs w:val="20"/>
              </w:rPr>
              <w:lastRenderedPageBreak/>
              <w:t>151</w:t>
            </w:r>
          </w:p>
        </w:tc>
        <w:tc>
          <w:tcPr>
            <w:tcW w:w="0" w:type="auto"/>
            <w:tcBorders>
              <w:top w:val="single" w:sz="6" w:space="0" w:color="auto"/>
              <w:left w:val="single" w:sz="6" w:space="0" w:color="auto"/>
              <w:bottom w:val="single" w:sz="6" w:space="0" w:color="auto"/>
              <w:right w:val="single" w:sz="6" w:space="0" w:color="auto"/>
            </w:tcBorders>
          </w:tcPr>
          <w:p w14:paraId="70C2DDCF"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EC44854" w14:textId="77777777" w:rsidR="00B44564" w:rsidRPr="005762E6" w:rsidRDefault="00B44564" w:rsidP="00EA69AA">
            <w:pPr>
              <w:spacing w:after="120" w:line="240" w:lineRule="auto"/>
              <w:contextualSpacing/>
              <w:rPr>
                <w:sz w:val="20"/>
                <w:szCs w:val="20"/>
              </w:rPr>
            </w:pPr>
            <w:r w:rsidRPr="005762E6">
              <w:rPr>
                <w:sz w:val="20"/>
                <w:szCs w:val="20"/>
              </w:rPr>
              <w:t xml:space="preserve">Wigand J. Smoking and mental illness: A commentary and counterpoint. Journal of Dual Diagnosis; </w:t>
            </w:r>
            <w:proofErr w:type="gramStart"/>
            <w:r w:rsidRPr="005762E6">
              <w:rPr>
                <w:sz w:val="20"/>
                <w:szCs w:val="20"/>
              </w:rPr>
              <w:t>2009;5:219</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cigarette smoking,​disease association,​drug delivery system,​economics,​food and drug administration,​human,​*mental disease,​note,​public health problem,​*smoking,​tobacco dependence,​tobacco industry,​United States,​menthol,​nicotine</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7BE101F3"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96F656A" w14:textId="77777777" w:rsidR="00B44564" w:rsidRPr="005762E6" w:rsidRDefault="00B44564" w:rsidP="00EA69AA">
            <w:pPr>
              <w:spacing w:after="120" w:line="240" w:lineRule="auto"/>
              <w:contextualSpacing/>
              <w:rPr>
                <w:sz w:val="20"/>
                <w:szCs w:val="20"/>
              </w:rPr>
            </w:pPr>
            <w:r w:rsidRPr="005762E6">
              <w:rPr>
                <w:sz w:val="20"/>
                <w:szCs w:val="20"/>
              </w:rPr>
              <w:t>152</w:t>
            </w:r>
          </w:p>
        </w:tc>
        <w:tc>
          <w:tcPr>
            <w:tcW w:w="0" w:type="auto"/>
            <w:tcBorders>
              <w:top w:val="single" w:sz="6" w:space="0" w:color="auto"/>
              <w:left w:val="single" w:sz="6" w:space="0" w:color="auto"/>
              <w:bottom w:val="single" w:sz="6" w:space="0" w:color="auto"/>
              <w:right w:val="single" w:sz="6" w:space="0" w:color="auto"/>
            </w:tcBorders>
          </w:tcPr>
          <w:p w14:paraId="71928ED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E7EA733" w14:textId="77777777" w:rsidR="00B44564" w:rsidRPr="005762E6" w:rsidRDefault="00B44564" w:rsidP="00EA69AA">
            <w:pPr>
              <w:spacing w:after="120" w:line="240" w:lineRule="auto"/>
              <w:contextualSpacing/>
              <w:rPr>
                <w:sz w:val="20"/>
                <w:szCs w:val="20"/>
              </w:rPr>
            </w:pPr>
            <w:r w:rsidRPr="005762E6">
              <w:rPr>
                <w:sz w:val="20"/>
                <w:szCs w:val="20"/>
              </w:rPr>
              <w:t>Gough N.R. Nicotine irritation. Science Signaling; 2009;2:ec324.</w:t>
            </w:r>
            <w:r w:rsidRPr="005762E6">
              <w:rPr>
                <w:sz w:val="20"/>
                <w:szCs w:val="20"/>
              </w:rPr>
              <w:br/>
            </w:r>
            <w:r w:rsidRPr="005762E6">
              <w:rPr>
                <w:sz w:val="20"/>
                <w:szCs w:val="20"/>
              </w:rPr>
              <w:br/>
            </w:r>
            <w:r w:rsidRPr="005762E6">
              <w:rPr>
                <w:b/>
                <w:bCs/>
                <w:sz w:val="20"/>
                <w:szCs w:val="20"/>
              </w:rPr>
              <w:t>Keywords:</w:t>
            </w:r>
            <w:r w:rsidRPr="005762E6">
              <w:rPr>
                <w:sz w:val="20"/>
                <w:szCs w:val="20"/>
              </w:rPr>
              <w:br/>
              <w:t xml:space="preserve">airway </w:t>
            </w:r>
            <w:proofErr w:type="gramStart"/>
            <w:r w:rsidRPr="005762E6">
              <w:rPr>
                <w:sz w:val="20"/>
                <w:szCs w:val="20"/>
              </w:rPr>
              <w:t>constriction,​</w:t>
            </w:r>
            <w:proofErr w:type="gramEnd"/>
            <w:r w:rsidRPr="005762E6">
              <w:rPr>
                <w:sz w:val="20"/>
                <w:szCs w:val="20"/>
              </w:rPr>
              <w:t>analgesic activity,​binding site,​brain nerve cell,​cell activation,​cell membrane,​CHO cell,​cigarette smoking,​cold,​concentration (parameters),​cooling,​diffusion,​editorial,​knockout mouse,​nonhuman,​priority journal,​protein expression,​smoking cessation,​trigeminus ganglion,​wild type,​allyl isothiocyanate,​calcium,​cation channel,​menthol,​*nicotine,​*transient receptor potential channel 1</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6711796D"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214D0DA" w14:textId="77777777" w:rsidR="00B44564" w:rsidRPr="005762E6" w:rsidRDefault="00B44564" w:rsidP="00EA69AA">
            <w:pPr>
              <w:spacing w:after="120" w:line="240" w:lineRule="auto"/>
              <w:contextualSpacing/>
              <w:rPr>
                <w:sz w:val="20"/>
                <w:szCs w:val="20"/>
              </w:rPr>
            </w:pPr>
            <w:r w:rsidRPr="005762E6">
              <w:rPr>
                <w:sz w:val="20"/>
                <w:szCs w:val="20"/>
              </w:rPr>
              <w:t>153</w:t>
            </w:r>
          </w:p>
        </w:tc>
        <w:tc>
          <w:tcPr>
            <w:tcW w:w="0" w:type="auto"/>
            <w:tcBorders>
              <w:top w:val="single" w:sz="6" w:space="0" w:color="auto"/>
              <w:left w:val="single" w:sz="6" w:space="0" w:color="auto"/>
              <w:bottom w:val="single" w:sz="6" w:space="0" w:color="auto"/>
              <w:right w:val="single" w:sz="6" w:space="0" w:color="auto"/>
            </w:tcBorders>
          </w:tcPr>
          <w:p w14:paraId="739CDB30"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391AFC8" w14:textId="77777777" w:rsidR="00B44564" w:rsidRPr="005762E6" w:rsidRDefault="00B44564" w:rsidP="00EA69AA">
            <w:pPr>
              <w:spacing w:after="120" w:line="240" w:lineRule="auto"/>
              <w:contextualSpacing/>
              <w:rPr>
                <w:sz w:val="20"/>
                <w:szCs w:val="20"/>
              </w:rPr>
            </w:pPr>
            <w:r w:rsidRPr="005762E6">
              <w:rPr>
                <w:sz w:val="20"/>
                <w:szCs w:val="20"/>
              </w:rPr>
              <w:t xml:space="preserve">Anonymous. Correction: Article on exposure biomarkers of menthol and nonmenthol smoking (Cancer </w:t>
            </w:r>
            <w:proofErr w:type="gramStart"/>
            <w:r w:rsidRPr="005762E6">
              <w:rPr>
                <w:sz w:val="20"/>
                <w:szCs w:val="20"/>
              </w:rPr>
              <w:t>Epidemiology,​</w:t>
            </w:r>
            <w:proofErr w:type="gramEnd"/>
            <w:r w:rsidRPr="005762E6">
              <w:rPr>
                <w:sz w:val="20"/>
                <w:szCs w:val="20"/>
              </w:rPr>
              <w:t xml:space="preserve"> Biomarkers and Prevention (2009)). Cancer Epidemiology Biomarkers and Prevention; </w:t>
            </w:r>
            <w:proofErr w:type="gramStart"/>
            <w:r w:rsidRPr="005762E6">
              <w:rPr>
                <w:sz w:val="20"/>
                <w:szCs w:val="20"/>
              </w:rPr>
              <w:t>2009;18:2155</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erratum,​*error,​priority journal</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7FDE0C88"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46C2869" w14:textId="77777777" w:rsidR="00B44564" w:rsidRPr="005762E6" w:rsidRDefault="00B44564" w:rsidP="00EA69AA">
            <w:pPr>
              <w:spacing w:after="120" w:line="240" w:lineRule="auto"/>
              <w:contextualSpacing/>
              <w:rPr>
                <w:sz w:val="20"/>
                <w:szCs w:val="20"/>
              </w:rPr>
            </w:pPr>
            <w:r w:rsidRPr="005762E6">
              <w:rPr>
                <w:sz w:val="20"/>
                <w:szCs w:val="20"/>
              </w:rPr>
              <w:t>155</w:t>
            </w:r>
          </w:p>
        </w:tc>
        <w:tc>
          <w:tcPr>
            <w:tcW w:w="0" w:type="auto"/>
            <w:tcBorders>
              <w:top w:val="single" w:sz="6" w:space="0" w:color="auto"/>
              <w:left w:val="single" w:sz="6" w:space="0" w:color="auto"/>
              <w:bottom w:val="single" w:sz="6" w:space="0" w:color="auto"/>
              <w:right w:val="single" w:sz="6" w:space="0" w:color="auto"/>
            </w:tcBorders>
          </w:tcPr>
          <w:p w14:paraId="6457078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9C7C503" w14:textId="77777777" w:rsidR="00B44564" w:rsidRPr="005762E6" w:rsidRDefault="00B44564" w:rsidP="00EA69AA">
            <w:pPr>
              <w:spacing w:after="120" w:line="240" w:lineRule="auto"/>
              <w:contextualSpacing/>
              <w:rPr>
                <w:sz w:val="20"/>
                <w:szCs w:val="20"/>
              </w:rPr>
            </w:pPr>
            <w:r w:rsidRPr="005762E6">
              <w:rPr>
                <w:sz w:val="20"/>
                <w:szCs w:val="20"/>
              </w:rPr>
              <w:t xml:space="preserve">Peace </w:t>
            </w:r>
            <w:proofErr w:type="gramStart"/>
            <w:r w:rsidRPr="005762E6">
              <w:rPr>
                <w:sz w:val="20"/>
                <w:szCs w:val="20"/>
              </w:rPr>
              <w:t>J.,​</w:t>
            </w:r>
            <w:proofErr w:type="gramEnd"/>
            <w:r w:rsidRPr="005762E6">
              <w:rPr>
                <w:sz w:val="20"/>
                <w:szCs w:val="20"/>
              </w:rPr>
              <w:t>Wilson N.,​Thomson G.,​Edwards R. Recent changes in cigarette packaging in New Zealand may continue to mislead smokers [9]. New Zealand Medical Journal; 2008;121:</w:t>
            </w:r>
            <w:r w:rsidRPr="005762E6">
              <w:rPr>
                <w:sz w:val="20"/>
                <w:szCs w:val="20"/>
              </w:rPr>
              <w:br/>
            </w:r>
            <w:r w:rsidRPr="005762E6">
              <w:rPr>
                <w:sz w:val="20"/>
                <w:szCs w:val="20"/>
              </w:rPr>
              <w:br/>
            </w:r>
            <w:r w:rsidRPr="005762E6">
              <w:rPr>
                <w:b/>
                <w:bCs/>
                <w:sz w:val="20"/>
                <w:szCs w:val="20"/>
              </w:rPr>
              <w:t>Keywords:</w:t>
            </w:r>
            <w:r w:rsidRPr="005762E6">
              <w:rPr>
                <w:sz w:val="20"/>
                <w:szCs w:val="20"/>
              </w:rPr>
              <w:br/>
              <w:t xml:space="preserve">*cigarette </w:t>
            </w:r>
            <w:proofErr w:type="gramStart"/>
            <w:r w:rsidRPr="005762E6">
              <w:rPr>
                <w:sz w:val="20"/>
                <w:szCs w:val="20"/>
              </w:rPr>
              <w:t>smoking,​</w:t>
            </w:r>
            <w:proofErr w:type="gramEnd"/>
            <w:r w:rsidRPr="005762E6">
              <w:rPr>
                <w:sz w:val="20"/>
                <w:szCs w:val="20"/>
              </w:rPr>
              <w:t>consumer,​Europe,​health hazard,​human,​law,​letter,​marketing,​New Zealand,​*packaging,​</w:t>
            </w:r>
            <w:r w:rsidRPr="005762E6">
              <w:rPr>
                <w:sz w:val="20"/>
                <w:szCs w:val="20"/>
              </w:rPr>
              <w:lastRenderedPageBreak/>
              <w:t>public health,​tobacco industry,​menthol</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59DF419C"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493B4C5" w14:textId="77777777" w:rsidR="00B44564" w:rsidRPr="005762E6" w:rsidRDefault="00B44564" w:rsidP="00EA69AA">
            <w:pPr>
              <w:spacing w:after="120" w:line="240" w:lineRule="auto"/>
              <w:contextualSpacing/>
              <w:rPr>
                <w:sz w:val="20"/>
                <w:szCs w:val="20"/>
              </w:rPr>
            </w:pPr>
            <w:r w:rsidRPr="005762E6">
              <w:rPr>
                <w:sz w:val="20"/>
                <w:szCs w:val="20"/>
              </w:rPr>
              <w:lastRenderedPageBreak/>
              <w:t>158</w:t>
            </w:r>
          </w:p>
        </w:tc>
        <w:tc>
          <w:tcPr>
            <w:tcW w:w="0" w:type="auto"/>
            <w:tcBorders>
              <w:top w:val="single" w:sz="6" w:space="0" w:color="auto"/>
              <w:left w:val="single" w:sz="6" w:space="0" w:color="auto"/>
              <w:bottom w:val="single" w:sz="6" w:space="0" w:color="auto"/>
              <w:right w:val="single" w:sz="6" w:space="0" w:color="auto"/>
            </w:tcBorders>
          </w:tcPr>
          <w:p w14:paraId="318AAAAE"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FC2A922" w14:textId="77777777" w:rsidR="00B44564" w:rsidRPr="005762E6" w:rsidRDefault="00B44564" w:rsidP="00EA69AA">
            <w:pPr>
              <w:spacing w:after="120" w:line="240" w:lineRule="auto"/>
              <w:contextualSpacing/>
              <w:rPr>
                <w:sz w:val="20"/>
                <w:szCs w:val="20"/>
              </w:rPr>
            </w:pPr>
            <w:r w:rsidRPr="005762E6">
              <w:rPr>
                <w:sz w:val="20"/>
                <w:szCs w:val="20"/>
              </w:rPr>
              <w:t>Hebert R. What's new in nicotine &amp; tobacco research?. Nicotine and Tobacco Research; 2008;10:559.</w:t>
            </w:r>
            <w:r w:rsidRPr="005762E6">
              <w:rPr>
                <w:sz w:val="20"/>
                <w:szCs w:val="20"/>
              </w:rPr>
              <w:br/>
            </w:r>
            <w:r w:rsidRPr="005762E6">
              <w:rPr>
                <w:sz w:val="20"/>
                <w:szCs w:val="20"/>
              </w:rPr>
              <w:br/>
            </w:r>
            <w:r w:rsidRPr="005762E6">
              <w:rPr>
                <w:b/>
                <w:bCs/>
                <w:sz w:val="20"/>
                <w:szCs w:val="20"/>
              </w:rPr>
              <w:t>Keywords:</w:t>
            </w:r>
            <w:r w:rsidRPr="005762E6">
              <w:rPr>
                <w:sz w:val="20"/>
                <w:szCs w:val="20"/>
              </w:rPr>
              <w:br/>
              <w:t>anxiety,​Asian,​Asian American,​attention,​attention deficit disorder,​cardiovascular risk,​child behavior,​Chinese,​cigarette smoking,​correlation analysis,​cultural factor,​editorial,​educational status,​environmental factor,​exercise,​expectation,​false negative result,​false positive result,​family life,​Filipino,​gas chromatography,​genetics,​health care personnel,​health program,​highly active antiretroviral therapy,​human,​Human immunodeficiency virus infection/dt [Drug Therapy],​ischemic heart disease,​Japanese,​language ability,​maternal behavior,​maternal smoking,​mental performance,​military medicine,​particle size,​particulate matter,​passive smoking,​patient compliance,​peer group,​pregnancy,​priority journal,​questionnaire,​race difference,​reliability,​religion,​saliva analysis,​saliva level,​sex difference,​smoking cessation,​smoking habit,​social psychology,​soldier,​staff training,​task performance,​telephone,​test strip,​*tobacco dependence/di [Diagnosis],​tobacco industry,​United States,​urine level,​withdrawal syndrome,​antiretrovirus agent/dt [Drug Therapy],​C reactive protein/ec [Endogenous Compound],​cotinine/ec [Endogenous Compound],​menthol,​tar</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7D6CEA6D"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4E4E9B7" w14:textId="77777777" w:rsidR="00B44564" w:rsidRPr="005762E6" w:rsidRDefault="00B44564" w:rsidP="00EA69AA">
            <w:pPr>
              <w:spacing w:after="120" w:line="240" w:lineRule="auto"/>
              <w:contextualSpacing/>
              <w:rPr>
                <w:sz w:val="20"/>
                <w:szCs w:val="20"/>
              </w:rPr>
            </w:pPr>
            <w:r w:rsidRPr="005762E6">
              <w:rPr>
                <w:sz w:val="20"/>
                <w:szCs w:val="20"/>
              </w:rPr>
              <w:t>159</w:t>
            </w:r>
          </w:p>
        </w:tc>
        <w:tc>
          <w:tcPr>
            <w:tcW w:w="0" w:type="auto"/>
            <w:tcBorders>
              <w:top w:val="single" w:sz="6" w:space="0" w:color="auto"/>
              <w:left w:val="single" w:sz="6" w:space="0" w:color="auto"/>
              <w:bottom w:val="single" w:sz="6" w:space="0" w:color="auto"/>
              <w:right w:val="single" w:sz="6" w:space="0" w:color="auto"/>
            </w:tcBorders>
          </w:tcPr>
          <w:p w14:paraId="3CE70ED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730FD2A" w14:textId="77777777" w:rsidR="00B44564" w:rsidRPr="005762E6" w:rsidRDefault="00B44564" w:rsidP="00EA69AA">
            <w:pPr>
              <w:spacing w:after="120" w:line="240" w:lineRule="auto"/>
              <w:contextualSpacing/>
              <w:rPr>
                <w:sz w:val="20"/>
                <w:szCs w:val="20"/>
              </w:rPr>
            </w:pPr>
            <w:r w:rsidRPr="005762E6">
              <w:rPr>
                <w:sz w:val="20"/>
                <w:szCs w:val="20"/>
              </w:rPr>
              <w:t>Marshall S. Giving advice on sore throats. Pharmaceutical Journal; 2008;280:127.</w:t>
            </w:r>
            <w:r w:rsidRPr="005762E6">
              <w:rPr>
                <w:sz w:val="20"/>
                <w:szCs w:val="20"/>
              </w:rPr>
              <w:br/>
            </w:r>
            <w:r w:rsidRPr="005762E6">
              <w:rPr>
                <w:sz w:val="20"/>
                <w:szCs w:val="20"/>
              </w:rPr>
              <w:br/>
            </w:r>
            <w:r w:rsidRPr="005762E6">
              <w:rPr>
                <w:b/>
                <w:bCs/>
                <w:sz w:val="20"/>
                <w:szCs w:val="20"/>
              </w:rPr>
              <w:t>Keywords:</w:t>
            </w:r>
            <w:r w:rsidRPr="005762E6">
              <w:rPr>
                <w:sz w:val="20"/>
                <w:szCs w:val="20"/>
              </w:rPr>
              <w:br/>
              <w:t>acute glomerulonephritis/co [Complication],​agranulocytosis/si [Side Effect],​analgesic activity,​antibacterial activity,​antifungal activity,​article,​bone marrow suppression/si [Side Effect],​clinical trial,​consultation,​differential diagnosis,​disease association,​drug dose increase,​drug half-life,​fluid therapy,​human,​Human rhinovirus,​incidence,​Infectious Mononucleosis/dt [Drug Therapy],​Infectious Mononucleosis/su [Surgery],​Influenza virus,​laryngopharyngeal reflux,​medical society,​mouth ulcer/si [Side Effect],​national health service,​neoplasm,​neutropenia/si [Side Effect],​otitis media/co [Complication],​paresthesia/si [Side Effect],​patient education,​patient referral,​*pharmaceutical care,​pharmacist,​pharmacy,​professional competence,​rheumatic fever/co [Complication],​risk factor,​scarlet fever/co [Complication],​scarlet fever/dt [Drug Therapy],​sinusitis/co [Complication],​smoking,​*sore throat/di [Diagnosis],​*sore throat/dt [Drug Therapy],​*sore throat/et [Etiology],​*sore throat/si [Side Effect],​*sore throat/pv [Special Situation for Pharmacovigilance],​*sore throat/su [Surgery],​sore throat/si [Side Effect],​Streptococcus group A,​Streptococcus pyogenes,​symptomatology,​systematic review,​taste disorder/si [Side Effect],​throat culture,​thrush/si [Side Effect],​tonsillectomy,​virus infection,​acetylsalicylic acid/dt [Drug Therapy],​analgesic agent/dt [Drug Therapy],​benzalkonium/dt [Drug Therapy],​benzocaine/dt [Drug Therapy],​benzydamine/ae [Adverse Drug Reaction],​benzydamine/ct [Clinical Trial],​benzydamine/dt [Drug Therapy],​benzydamine/vi [Intravitreal Drug Administration],​benzydamine/pk [Pharmacokinetics],​benzydamine/pd [Pharmacology],​carbimazole/ae [Adverse Drug Reaction],​cetylpyridinium salt/dt [Drug Therapy],​dequalinium/dt [Drug Therapy],​dequalinium/pd [Pharmacology],​domiphen/dt [Drug Therapy],​emollient agent/dt [Drug Therapy],​erythromycin/do [Drug Dose],​erythromycin/dt [Drug Therapy],​essential oil/dt [Drug Therapy],​essential oil/pd [Pharmacology],​eucalyptus oil/dt [Drug Therapy],​eucalyptus oil/pd [Pharmacology],​flurbiprofen/ae [Adverse Drug Reaction],​flurbiprofen/ct [Clinical Trial],​flurbiprofen/dt [Drug Therapy],​glycerol/dt [Drug Therapy],​gold salt/ae [Adverse Drug Reaction],​hexylresorcinol/dt [Drug Therapy],​ibuprofen/ct [Clinical Trial],​ibuprofen/dt [Drug Therapy],​lidocaine/dt [Drug Therapy],​local anesthetic agent/dt [Drug Therapy],​menthol/dt [Drug Therapy],​menthol/pd [Pharmacology],​paracetamol/ct [Clinical Trial],​paracetamol/dt [Drug Therapy],​penicillin V/do [Drug Dose],​penicillin V/dt [Drug Therapy],​penicillin V/vi [Intravitreal Drug Administration],​phenothiazine/ae [Adverse Drug Reaction],​placebo,​propylthiouracil/ae [Adverse Drug Reaction],​steroid/ae [Adverse Drug Reaction],​steroid/dt [Drug Therapy],​steroid/ei [Epidural Drug Administration],​tolbutamide/ae [Adverse Drug Reaction],​tyrothricin/dt [Drug Therapy],​unindexed drug</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18254040"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66A6450" w14:textId="77777777" w:rsidR="00B44564" w:rsidRPr="005762E6" w:rsidRDefault="00B44564" w:rsidP="00EA69AA">
            <w:pPr>
              <w:spacing w:after="120" w:line="240" w:lineRule="auto"/>
              <w:contextualSpacing/>
              <w:rPr>
                <w:sz w:val="20"/>
                <w:szCs w:val="20"/>
              </w:rPr>
            </w:pPr>
            <w:r w:rsidRPr="005762E6">
              <w:rPr>
                <w:sz w:val="20"/>
                <w:szCs w:val="20"/>
              </w:rPr>
              <w:lastRenderedPageBreak/>
              <w:t>161</w:t>
            </w:r>
          </w:p>
        </w:tc>
        <w:tc>
          <w:tcPr>
            <w:tcW w:w="0" w:type="auto"/>
            <w:tcBorders>
              <w:top w:val="single" w:sz="6" w:space="0" w:color="auto"/>
              <w:left w:val="single" w:sz="6" w:space="0" w:color="auto"/>
              <w:bottom w:val="single" w:sz="6" w:space="0" w:color="auto"/>
              <w:right w:val="single" w:sz="6" w:space="0" w:color="auto"/>
            </w:tcBorders>
          </w:tcPr>
          <w:p w14:paraId="4A972FB2"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50DA951" w14:textId="77777777" w:rsidR="00B44564" w:rsidRPr="005762E6" w:rsidRDefault="00B44564" w:rsidP="00EA69AA">
            <w:pPr>
              <w:spacing w:after="120" w:line="240" w:lineRule="auto"/>
              <w:contextualSpacing/>
              <w:rPr>
                <w:sz w:val="20"/>
                <w:szCs w:val="20"/>
              </w:rPr>
            </w:pPr>
            <w:r w:rsidRPr="005762E6">
              <w:rPr>
                <w:sz w:val="20"/>
                <w:szCs w:val="20"/>
              </w:rPr>
              <w:t>Hebert R. What's new in nicotine &amp; tobacco research?. Nicotine and Tobacco Research; 2008;10:1671.</w:t>
            </w:r>
            <w:r w:rsidRPr="005762E6">
              <w:rPr>
                <w:sz w:val="20"/>
                <w:szCs w:val="20"/>
              </w:rPr>
              <w:br/>
            </w:r>
            <w:r w:rsidRPr="005762E6">
              <w:rPr>
                <w:sz w:val="20"/>
                <w:szCs w:val="20"/>
              </w:rPr>
              <w:br/>
            </w:r>
            <w:r w:rsidRPr="005762E6">
              <w:rPr>
                <w:b/>
                <w:bCs/>
                <w:sz w:val="20"/>
                <w:szCs w:val="20"/>
              </w:rPr>
              <w:t>Keywords:</w:t>
            </w:r>
            <w:r w:rsidRPr="005762E6">
              <w:rPr>
                <w:sz w:val="20"/>
                <w:szCs w:val="20"/>
              </w:rPr>
              <w:br/>
              <w:t>alcohol consumption,​anxiety disorder,​article,​attention deficit disorder/dt [Drug Therapy],​attitude to health,​blood sampling,​body temperature,​carcinogenicity,​cardiovascular risk,​cigarette smoking,​clinical trial,​comorbidity,​cultural factor,​depression,​educational status,​health care delivery,​health care policy,​homosexuality,​human,​legal aspect,​medical research,​mental disease,​mental health service,​methodology,​nicotine replacement therapy,​nonhuman,​parental behavior,​passive smoking,​patient attitude,​patient compliance,​patient counseling,​practice guideline,​primary medical care,​priority journal,​psychiatrist,​schizophrenia,​sex difference,​smokeless tobacco,​smoking cessation,​smoking habit,​Sweden,​thrombocyte activation,​*tobacco dependence/dt [Drug Therapy],​*tobacco dependence/su [Surgery],​treatment outcome,​twins,​United States,​4 (methylnitrosamino) 1 (3 pyridyl) 1 butanone/to [Drug Toxicity],​aldehyde/to [Drug Toxicity],​amfebutamone/ct [Clinical Trial],​amfebutamone/dt [Drug Therapy],​charcoal,​menthol,​nicotine/to [Drug Toxicity],​nicotine patch/ct [Clinical Trial],​nicotine patch/dt [Drug Therapy],​nicotine patch/tp [Topical Drug Administration],​nitrosamine/to [Drug Toxicity],​nitrosonornicotine/to [Drug Toxicity],​polycyclic aromatic hydrocarbon/to [Drug Toxicity]</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6AA4F2D6"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81E9716" w14:textId="77777777" w:rsidR="00B44564" w:rsidRPr="005762E6" w:rsidRDefault="00B44564" w:rsidP="00EA69AA">
            <w:pPr>
              <w:spacing w:after="120" w:line="240" w:lineRule="auto"/>
              <w:contextualSpacing/>
              <w:rPr>
                <w:sz w:val="20"/>
                <w:szCs w:val="20"/>
              </w:rPr>
            </w:pPr>
            <w:r w:rsidRPr="005762E6">
              <w:rPr>
                <w:sz w:val="20"/>
                <w:szCs w:val="20"/>
              </w:rPr>
              <w:t>162</w:t>
            </w:r>
          </w:p>
        </w:tc>
        <w:tc>
          <w:tcPr>
            <w:tcW w:w="0" w:type="auto"/>
            <w:tcBorders>
              <w:top w:val="single" w:sz="6" w:space="0" w:color="auto"/>
              <w:left w:val="single" w:sz="6" w:space="0" w:color="auto"/>
              <w:bottom w:val="single" w:sz="6" w:space="0" w:color="auto"/>
              <w:right w:val="single" w:sz="6" w:space="0" w:color="auto"/>
            </w:tcBorders>
          </w:tcPr>
          <w:p w14:paraId="78971DE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8630ADF" w14:textId="77777777" w:rsidR="00B44564" w:rsidRPr="005762E6" w:rsidRDefault="00B44564" w:rsidP="00EA69AA">
            <w:pPr>
              <w:spacing w:after="120" w:line="240" w:lineRule="auto"/>
              <w:contextualSpacing/>
              <w:rPr>
                <w:sz w:val="20"/>
                <w:szCs w:val="20"/>
              </w:rPr>
            </w:pPr>
            <w:r w:rsidRPr="005762E6">
              <w:rPr>
                <w:sz w:val="20"/>
                <w:szCs w:val="20"/>
              </w:rPr>
              <w:t>Marshall S. Over-the-counter advice for coughs. Pharmaceutical Journal; 2007;278:85.</w:t>
            </w:r>
            <w:r w:rsidRPr="005762E6">
              <w:rPr>
                <w:sz w:val="20"/>
                <w:szCs w:val="20"/>
              </w:rPr>
              <w:br/>
            </w:r>
            <w:r w:rsidRPr="005762E6">
              <w:rPr>
                <w:sz w:val="20"/>
                <w:szCs w:val="20"/>
              </w:rPr>
              <w:br/>
            </w:r>
            <w:r w:rsidRPr="005762E6">
              <w:rPr>
                <w:b/>
                <w:bCs/>
                <w:sz w:val="20"/>
                <w:szCs w:val="20"/>
              </w:rPr>
              <w:t>Keywords:</w:t>
            </w:r>
            <w:r w:rsidRPr="005762E6">
              <w:rPr>
                <w:sz w:val="20"/>
                <w:szCs w:val="20"/>
              </w:rPr>
              <w:br/>
              <w:t>airway constriction/dt [Drug Therapy],​article,​blurred vision/si [Side Effect],​brain depth stimulation,​bronchiolitis,​bronchitis,​chest infection,​constipation/si [Side Effect],​*coughing/dt [Drug Therapy],​*coughing/si [Side Effect],​coughing/si [Side Effect],​croup/su [Surgery],​drowsiness/si [Side Effect],​drug dependence,​drug potentiation,​drug withdrawal,​foreign body,​gastrointestinal irritation/si [Side Effect],​headache/si [Side Effect],​heart palpitation/si [Side Effect],​human,​insomnia/si [Side Effect],​low drug dose,​nausea/si [Side Effect],​pertussis/dt [Drug Therapy],​pneumonia,​recommended drug dose,​side effect/si [Side Effect],​smoking,​sputum,​symptom,​tachycardia/si [Side Effect],​United Kingdom,​upper respiratory tract infection/dt [Drug Therapy],​urine retention/si [Side Effect],​xerostomia/si [Side Effect],​adrenergic receptor stimulating agent/cb [Drug Combination],​adrenergic receptor stimulating agent/dt [Drug Therapy],​adrenergic receptor stimulating agent/vi [Intravitreal Drug Administration],​alcohol/it [Drug Interaction],​ammonium chloride/dt [Drug Therapy],​antibiotic agent/dt [Drug Therapy],​antihistaminic agent/ae [Adverse Drug Reaction],​antihistaminic agent/cb [Drug Combination],​antihistaminic agent/it [Drug Interaction],​antihistaminic agent/dt [Drug Therapy],​*antitussive agent/cb [Drug Combination],​*antitussive agent/dt [Drug Therapy],​anxiolytic agent/it [Drug Interaction],​bronchodilating agent/dt [Drug Therapy],​codeine/ae [Adverse Drug Reaction],​codeine/cm [Drug Comparison],​codeine/dt [Drug Therapy],​decongestive agent/dt [Drug Therapy],​dextromethorphan/ae [Adverse Drug Reaction],​dextromethorphan/cm [Drug Comparison],​dextromethorphan/dt [Drug Therapy],​dipeptidyl carboxypeptidase inhibitor/ae [Adverse Drug Reaction],​diphenhydramine/dt [Drug Therapy],​emetic agent/dt [Drug Therapy],​emollient agent/dt [Drug Therapy],​ephedrine/dt [Drug Therapy],​expectorant agent/cb [Drug Combination],​expectorant agent/dt [Drug Therapy],​guaifenesin/dt [Drug Therapy],​hypnotic agent/it [Drug Interaction],​ipecac/dt [Drug Therapy],​menthol/dt [Drug Therapy],​menthol/ei [Epidural Drug Administration],​*nonprescription drug/dt [Drug Therapy],​opiate/cb [Drug Combination],​opiate/dt [Drug Therapy],​pholcodine/ae [Adverse Drug Reaction],​pholcodine/cm [Drug Comparison],​pholcodine/dt [Drug Therapy],​promethazine/dt [Drug Therapy],​pseudoephedrine/dt [Drug Therapy],​squill/dt [Drug Therapy],​theophylline/ae [Adverse Drug Reaction],​theophylline/dt [Drug Therapy],​triprolidine/dt [Drug Therapy],​unindexed drug</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669D17B6"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504F62D" w14:textId="77777777" w:rsidR="00B44564" w:rsidRPr="005762E6" w:rsidRDefault="00B44564" w:rsidP="00EA69AA">
            <w:pPr>
              <w:spacing w:after="120" w:line="240" w:lineRule="auto"/>
              <w:contextualSpacing/>
              <w:rPr>
                <w:sz w:val="20"/>
                <w:szCs w:val="20"/>
              </w:rPr>
            </w:pPr>
            <w:r w:rsidRPr="005762E6">
              <w:rPr>
                <w:sz w:val="20"/>
                <w:szCs w:val="20"/>
              </w:rPr>
              <w:t>163</w:t>
            </w:r>
          </w:p>
        </w:tc>
        <w:tc>
          <w:tcPr>
            <w:tcW w:w="0" w:type="auto"/>
            <w:tcBorders>
              <w:top w:val="single" w:sz="6" w:space="0" w:color="auto"/>
              <w:left w:val="single" w:sz="6" w:space="0" w:color="auto"/>
              <w:bottom w:val="single" w:sz="6" w:space="0" w:color="auto"/>
              <w:right w:val="single" w:sz="6" w:space="0" w:color="auto"/>
            </w:tcBorders>
          </w:tcPr>
          <w:p w14:paraId="3A64EE8B"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D202E4D" w14:textId="77777777" w:rsidR="00B44564" w:rsidRPr="005762E6" w:rsidRDefault="00B44564" w:rsidP="00EA69AA">
            <w:pPr>
              <w:spacing w:after="120" w:line="240" w:lineRule="auto"/>
              <w:contextualSpacing/>
              <w:rPr>
                <w:sz w:val="20"/>
                <w:szCs w:val="20"/>
              </w:rPr>
            </w:pPr>
            <w:r w:rsidRPr="005762E6">
              <w:rPr>
                <w:sz w:val="20"/>
                <w:szCs w:val="20"/>
              </w:rPr>
              <w:t xml:space="preserve">Anonymous. Contents and design features of tobacco products: Their relationship to dependence potential and consumer appeal. The Scientific Basis of Tobacco Product </w:t>
            </w:r>
            <w:proofErr w:type="gramStart"/>
            <w:r w:rsidRPr="005762E6">
              <w:rPr>
                <w:sz w:val="20"/>
                <w:szCs w:val="20"/>
              </w:rPr>
              <w:t>Regulation,​</w:t>
            </w:r>
            <w:proofErr w:type="gramEnd"/>
            <w:r w:rsidRPr="005762E6">
              <w:rPr>
                <w:sz w:val="20"/>
                <w:szCs w:val="20"/>
              </w:rPr>
              <w:t>World Health Organization - Technical Report Series; 2007;:7.</w:t>
            </w:r>
            <w:r w:rsidRPr="005762E6">
              <w:rPr>
                <w:sz w:val="20"/>
                <w:szCs w:val="20"/>
              </w:rPr>
              <w:br/>
            </w:r>
            <w:r w:rsidRPr="005762E6">
              <w:rPr>
                <w:sz w:val="20"/>
                <w:szCs w:val="20"/>
              </w:rPr>
              <w:br/>
            </w:r>
            <w:r w:rsidRPr="005762E6">
              <w:rPr>
                <w:b/>
                <w:bCs/>
                <w:sz w:val="20"/>
                <w:szCs w:val="20"/>
              </w:rPr>
              <w:lastRenderedPageBreak/>
              <w:t>Keywords:</w:t>
            </w:r>
            <w:r w:rsidRPr="005762E6">
              <w:rPr>
                <w:sz w:val="20"/>
                <w:szCs w:val="20"/>
              </w:rPr>
              <w:br/>
              <w:t>alkalinity,​combustion,​conference paper,​health hazard,​health promotion,​health service,​human,​medical research,​medical society,​particulate matter,​pH,​*smoking,​*tobacco dependence,​ammonia,​carbon monoxide,​carcinogen,​menthol,​nicotine,​tobacco smoke</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0461832F"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3A395DB" w14:textId="77777777" w:rsidR="00B44564" w:rsidRPr="005762E6" w:rsidRDefault="00B44564" w:rsidP="00EA69AA">
            <w:pPr>
              <w:spacing w:after="120" w:line="240" w:lineRule="auto"/>
              <w:contextualSpacing/>
              <w:rPr>
                <w:sz w:val="20"/>
                <w:szCs w:val="20"/>
              </w:rPr>
            </w:pPr>
            <w:r w:rsidRPr="005762E6">
              <w:rPr>
                <w:sz w:val="20"/>
                <w:szCs w:val="20"/>
              </w:rPr>
              <w:lastRenderedPageBreak/>
              <w:t>164</w:t>
            </w:r>
          </w:p>
        </w:tc>
        <w:tc>
          <w:tcPr>
            <w:tcW w:w="0" w:type="auto"/>
            <w:tcBorders>
              <w:top w:val="single" w:sz="6" w:space="0" w:color="auto"/>
              <w:left w:val="single" w:sz="6" w:space="0" w:color="auto"/>
              <w:bottom w:val="single" w:sz="6" w:space="0" w:color="auto"/>
              <w:right w:val="single" w:sz="6" w:space="0" w:color="auto"/>
            </w:tcBorders>
          </w:tcPr>
          <w:p w14:paraId="25B8CC40"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D8076FC" w14:textId="77777777" w:rsidR="00B44564" w:rsidRPr="005762E6" w:rsidRDefault="00B44564" w:rsidP="00EA69AA">
            <w:pPr>
              <w:spacing w:after="120" w:line="240" w:lineRule="auto"/>
              <w:contextualSpacing/>
              <w:rPr>
                <w:sz w:val="20"/>
                <w:szCs w:val="20"/>
              </w:rPr>
            </w:pPr>
            <w:r w:rsidRPr="005762E6">
              <w:rPr>
                <w:sz w:val="20"/>
                <w:szCs w:val="20"/>
              </w:rPr>
              <w:t>Hebert R. What's new in Nicotine &amp; Tobacco Research?. Nicotine and Tobacco Research; 2007;9:787.</w:t>
            </w:r>
            <w:r w:rsidRPr="005762E6">
              <w:rPr>
                <w:sz w:val="20"/>
                <w:szCs w:val="20"/>
              </w:rPr>
              <w:br/>
            </w:r>
            <w:r w:rsidRPr="005762E6">
              <w:rPr>
                <w:sz w:val="20"/>
                <w:szCs w:val="20"/>
              </w:rPr>
              <w:br/>
            </w:r>
            <w:r w:rsidRPr="005762E6">
              <w:rPr>
                <w:b/>
                <w:bCs/>
                <w:sz w:val="20"/>
                <w:szCs w:val="20"/>
              </w:rPr>
              <w:t>Keywords:</w:t>
            </w:r>
            <w:r w:rsidRPr="005762E6">
              <w:rPr>
                <w:sz w:val="20"/>
                <w:szCs w:val="20"/>
              </w:rPr>
              <w:br/>
              <w:t>article,​cigarette smoking,​clinical trial,​college student,​concentration response,​denial,​drug metabolism,​environmental exposure,​genetic polymorphism,​human,​nerve cell culture,​nicotine replacement therapy,​outcomes research,​particulate matter,​patient counseling,​pharmacogenetics,​priority journal,​rating scale,​rehabilitation center,​schizoaffective psychosis,​schizophrenia,​smoking cessation,​smoking habit,​telephone,​*tobacco dependence/di [Diagnosis],​*tobacco dependence/dt [Drug Therapy],​*tobacco dependence/su [Surgery],​toxicity testing,​withdrawal syndrome/dt [Drug Therapy],​amfebutamone/ct [Clinical Trial],​amfebutamone/dt [Drug Therapy],​amfebutamone/pk [Pharmacokinetics],​carbon monoxide/to [Drug Toxicity],​cytochrome P450 2B6/ec [Endogenous Compound],​dopamine 2 receptor/ec [Endogenous Compound],​dopamine transporter/ec [Endogenous Compound],​menthol/to [Drug Toxicity],​*nicotine/to [Drug Toxicity],​*nicotinic receptor/ec [Endogenous Compound],​placebo,​tar/to [Drug Toxicity],​tobacco smoke/to [Drug Toxicity]</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03C65DE7"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BF24930" w14:textId="77777777" w:rsidR="00B44564" w:rsidRPr="005762E6" w:rsidRDefault="00B44564" w:rsidP="00EA69AA">
            <w:pPr>
              <w:spacing w:after="120" w:line="240" w:lineRule="auto"/>
              <w:contextualSpacing/>
              <w:rPr>
                <w:sz w:val="20"/>
                <w:szCs w:val="20"/>
              </w:rPr>
            </w:pPr>
            <w:r w:rsidRPr="005762E6">
              <w:rPr>
                <w:sz w:val="20"/>
                <w:szCs w:val="20"/>
              </w:rPr>
              <w:t>165</w:t>
            </w:r>
          </w:p>
        </w:tc>
        <w:tc>
          <w:tcPr>
            <w:tcW w:w="0" w:type="auto"/>
            <w:tcBorders>
              <w:top w:val="single" w:sz="6" w:space="0" w:color="auto"/>
              <w:left w:val="single" w:sz="6" w:space="0" w:color="auto"/>
              <w:bottom w:val="single" w:sz="6" w:space="0" w:color="auto"/>
              <w:right w:val="single" w:sz="6" w:space="0" w:color="auto"/>
            </w:tcBorders>
          </w:tcPr>
          <w:p w14:paraId="08EE893D"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213919F" w14:textId="77777777" w:rsidR="00B44564" w:rsidRPr="005762E6" w:rsidRDefault="00B44564" w:rsidP="00EA69AA">
            <w:pPr>
              <w:spacing w:after="120" w:line="240" w:lineRule="auto"/>
              <w:contextualSpacing/>
              <w:rPr>
                <w:sz w:val="20"/>
                <w:szCs w:val="20"/>
              </w:rPr>
            </w:pPr>
            <w:r w:rsidRPr="005762E6">
              <w:rPr>
                <w:sz w:val="20"/>
                <w:szCs w:val="20"/>
              </w:rPr>
              <w:t xml:space="preserve">Tidey </w:t>
            </w:r>
            <w:proofErr w:type="gramStart"/>
            <w:r w:rsidRPr="005762E6">
              <w:rPr>
                <w:sz w:val="20"/>
                <w:szCs w:val="20"/>
              </w:rPr>
              <w:t>J.W.,​</w:t>
            </w:r>
            <w:proofErr w:type="gramEnd"/>
            <w:r w:rsidRPr="005762E6">
              <w:rPr>
                <w:sz w:val="20"/>
                <w:szCs w:val="20"/>
              </w:rPr>
              <w:t xml:space="preserve">Williams J. Clinical indices of tobacco use in people with schizophrenia. Journal of Dual Diagnosis; </w:t>
            </w:r>
            <w:proofErr w:type="gramStart"/>
            <w:r w:rsidRPr="005762E6">
              <w:rPr>
                <w:sz w:val="20"/>
                <w:szCs w:val="20"/>
              </w:rPr>
              <w:t>2007;3:79</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*cigarette smoking,​cognition,​disease exacerbation,​drug sensitivity,​environmental factor,​human,​mental disease,​motivation,​nicotine replacement therapy,​review,​*schizophrenia,​self-concept,​smoking cessation,​symptomatology,​tobacco dependence,​withdrawal syndrome,​cotinine,​menthol,​nicotine</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People with schizophrenia are more likely to smoke and less likely to quit than people in the general population. Several biological and environmental factors could interact to account for high smoking persistence in this </w:t>
            </w:r>
            <w:proofErr w:type="gramStart"/>
            <w:r w:rsidRPr="005762E6">
              <w:rPr>
                <w:sz w:val="20"/>
                <w:szCs w:val="20"/>
              </w:rPr>
              <w:t>population,​</w:t>
            </w:r>
            <w:proofErr w:type="gramEnd"/>
            <w:r w:rsidRPr="005762E6">
              <w:rPr>
                <w:sz w:val="20"/>
                <w:szCs w:val="20"/>
              </w:rPr>
              <w:t xml:space="preserve"> including increased sensitivity to the reinforcing effects of nicotine or conditioned cues,​ beneficial effects of nicotine on symptoms or cognitive function,​ higher levels of craving or negative affect during abstinence,​ exacerbation of psychiatric symptoms during abstinence,​ and reduced motivation,​ self-efficacy or support for quitting. Controlled comparisons of responses to </w:t>
            </w:r>
            <w:proofErr w:type="gramStart"/>
            <w:r w:rsidRPr="005762E6">
              <w:rPr>
                <w:sz w:val="20"/>
                <w:szCs w:val="20"/>
              </w:rPr>
              <w:t>abstinence,​</w:t>
            </w:r>
            <w:proofErr w:type="gramEnd"/>
            <w:r w:rsidRPr="005762E6">
              <w:rPr>
                <w:sz w:val="20"/>
                <w:szCs w:val="20"/>
              </w:rPr>
              <w:t xml:space="preserve"> cues and nicotine replacement in smokers with schizophrenia and equally-dependent smokers who do not have psychiatric illness may help to clarify the degree to which these biological and environmental factors may contribute to smoking persistence in people with schizophrenia. This chapter summarizes the research findings in this area and offers directions for future research. Copyright © by The Haworth </w:t>
            </w:r>
            <w:proofErr w:type="gramStart"/>
            <w:r w:rsidRPr="005762E6">
              <w:rPr>
                <w:sz w:val="20"/>
                <w:szCs w:val="20"/>
              </w:rPr>
              <w:t>Press,​</w:t>
            </w:r>
            <w:proofErr w:type="gramEnd"/>
            <w:r w:rsidRPr="005762E6">
              <w:rPr>
                <w:sz w:val="20"/>
                <w:szCs w:val="20"/>
              </w:rPr>
              <w:t xml:space="preserve"> Inc. All rights reserved.</w:t>
            </w:r>
          </w:p>
        </w:tc>
      </w:tr>
      <w:tr w:rsidR="00B44564" w:rsidRPr="005762E6" w14:paraId="37A02088"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C0D11ED" w14:textId="77777777" w:rsidR="00B44564" w:rsidRPr="005762E6" w:rsidRDefault="00B44564" w:rsidP="00EA69AA">
            <w:pPr>
              <w:spacing w:after="120" w:line="240" w:lineRule="auto"/>
              <w:contextualSpacing/>
              <w:rPr>
                <w:sz w:val="20"/>
                <w:szCs w:val="20"/>
              </w:rPr>
            </w:pPr>
            <w:r w:rsidRPr="005762E6">
              <w:rPr>
                <w:sz w:val="20"/>
                <w:szCs w:val="20"/>
              </w:rPr>
              <w:t>166</w:t>
            </w:r>
          </w:p>
        </w:tc>
        <w:tc>
          <w:tcPr>
            <w:tcW w:w="0" w:type="auto"/>
            <w:tcBorders>
              <w:top w:val="single" w:sz="6" w:space="0" w:color="auto"/>
              <w:left w:val="single" w:sz="6" w:space="0" w:color="auto"/>
              <w:bottom w:val="single" w:sz="6" w:space="0" w:color="auto"/>
              <w:right w:val="single" w:sz="6" w:space="0" w:color="auto"/>
            </w:tcBorders>
          </w:tcPr>
          <w:p w14:paraId="4C7594FA"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5E1199B" w14:textId="77777777" w:rsidR="00B44564" w:rsidRPr="005762E6" w:rsidRDefault="00B44564" w:rsidP="00EA69AA">
            <w:pPr>
              <w:spacing w:after="120" w:line="240" w:lineRule="auto"/>
              <w:contextualSpacing/>
              <w:rPr>
                <w:sz w:val="20"/>
                <w:szCs w:val="20"/>
              </w:rPr>
            </w:pPr>
            <w:r w:rsidRPr="005762E6">
              <w:rPr>
                <w:sz w:val="20"/>
                <w:szCs w:val="20"/>
              </w:rPr>
              <w:t xml:space="preserve">Foulds </w:t>
            </w:r>
            <w:proofErr w:type="gramStart"/>
            <w:r w:rsidRPr="005762E6">
              <w:rPr>
                <w:sz w:val="20"/>
                <w:szCs w:val="20"/>
              </w:rPr>
              <w:t>J.,​</w:t>
            </w:r>
            <w:proofErr w:type="gramEnd"/>
            <w:r w:rsidRPr="005762E6">
              <w:rPr>
                <w:sz w:val="20"/>
                <w:szCs w:val="20"/>
              </w:rPr>
              <w:t xml:space="preserve">Williams J.M.,​Gandhi K.K. To the editor [5]. New England Journal of Medicine; </w:t>
            </w:r>
            <w:proofErr w:type="gramStart"/>
            <w:r w:rsidRPr="005762E6">
              <w:rPr>
                <w:sz w:val="20"/>
                <w:szCs w:val="20"/>
              </w:rPr>
              <w:t>2006;354:1952</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African American,​cancer risk,​cancer susceptibility,​cigarette smoking,​health hazard,​human,​letter,​*lung cancer,​priority journal,​race difference,​United States,​menthol,​nicotine</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48237149"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50CD75A" w14:textId="77777777" w:rsidR="00B44564" w:rsidRPr="005762E6" w:rsidRDefault="00B44564" w:rsidP="00EA69AA">
            <w:pPr>
              <w:spacing w:after="120" w:line="240" w:lineRule="auto"/>
              <w:contextualSpacing/>
              <w:rPr>
                <w:sz w:val="20"/>
                <w:szCs w:val="20"/>
              </w:rPr>
            </w:pPr>
            <w:r w:rsidRPr="005762E6">
              <w:rPr>
                <w:sz w:val="20"/>
                <w:szCs w:val="20"/>
              </w:rPr>
              <w:t>167</w:t>
            </w:r>
          </w:p>
        </w:tc>
        <w:tc>
          <w:tcPr>
            <w:tcW w:w="0" w:type="auto"/>
            <w:tcBorders>
              <w:top w:val="single" w:sz="6" w:space="0" w:color="auto"/>
              <w:left w:val="single" w:sz="6" w:space="0" w:color="auto"/>
              <w:bottom w:val="single" w:sz="6" w:space="0" w:color="auto"/>
              <w:right w:val="single" w:sz="6" w:space="0" w:color="auto"/>
            </w:tcBorders>
          </w:tcPr>
          <w:p w14:paraId="28AE5849"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37DB206" w14:textId="77777777" w:rsidR="00B44564" w:rsidRPr="005762E6" w:rsidRDefault="00B44564" w:rsidP="00EA69AA">
            <w:pPr>
              <w:spacing w:after="120" w:line="240" w:lineRule="auto"/>
              <w:contextualSpacing/>
              <w:rPr>
                <w:sz w:val="20"/>
                <w:szCs w:val="20"/>
              </w:rPr>
            </w:pPr>
            <w:r w:rsidRPr="005762E6">
              <w:rPr>
                <w:sz w:val="20"/>
                <w:szCs w:val="20"/>
              </w:rPr>
              <w:t xml:space="preserve">Morice </w:t>
            </w:r>
            <w:proofErr w:type="gramStart"/>
            <w:r w:rsidRPr="005762E6">
              <w:rPr>
                <w:sz w:val="20"/>
                <w:szCs w:val="20"/>
              </w:rPr>
              <w:t>A.H.,​</w:t>
            </w:r>
            <w:proofErr w:type="gramEnd"/>
            <w:r w:rsidRPr="005762E6">
              <w:rPr>
                <w:sz w:val="20"/>
                <w:szCs w:val="20"/>
              </w:rPr>
              <w:t>McGarvey L.,​Pavord I. Recommendations for the management of cough in adults. Thorax; 2006;61:</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lastRenderedPageBreak/>
              <w:t>anamnesis,​antireflux operation,​asthma,​atopy,​bronchoscopy,​chronic obstructive lung disease,​chronic respiratory tract disease,​clinical feature,​clinical trial,​*coughing/dr [Drug Resistance],​*coughing/dt [Drug Therapy],​*coughing/ep [Epidemiology],​*coughing/et [Etiology],​*coughing/si [Side Effect],​*coughing/pv [Special Situation for Pharmacovigilance],​diagnostic test,​drowsiness/si [Side Effect],​drug formulation,​gastroesophageal reflux,​health care cost,​health care organization,​health care system,​health status,​high resolution computer tomography,​hospital admission,​human,​incidence,​inhalation test,​laryngoscopy,​lung function,​medical care,​medical society,​pertussis,​phonation,​physical examination,​practice guideline,​priority journal,​quality of life,​review,​rhinosinusitis,​smoking cessation,​sputum,​thorax radiography,​unspecified side effect/si [Side Effect],​upper respiratory tract infection/ep [Epidemiology],​viral gastroenteritis/dt [Drug Therapy],​alpha interferon/ae [Adverse Drug Reaction],​alpha interferon/dt [Drug Therapy],​antihistaminic agent/ae [Adverse Drug Reaction],​antihistaminic agent/dt [Drug Therapy],​antitussive agent/ae [Adverse Drug Reaction],​antitussive agent/cm [Drug Comparison],​antitussive agent/dt [Drug Therapy],​codeine/ae [Adverse Drug Reaction],​codeine/cm [Drug Comparison],​codeine/dt [Drug Therapy],​corticosteroid/dt [Drug Therapy],​dextromethorphan/ct [Clinical Trial],​dextromethorphan/dt [Drug Therapy],​dextromethorphan/pr [Pharmaceutics],​dipeptidyl carboxypeptidase inhibitor,​diphenhydramine/dt [Drug Therapy],​fk 224,​guaifenesin/dt [Drug Therapy],​leukotriene receptor blocking agent/dt [Drug Therapy],​menthol/dt [Drug Therapy],​menthol/ei [Epidural Drug Administration],​omeprazole/dt [Drug Therapy],​opiate/ae [Adverse Drug Reaction],​opiate/dt [Drug Therapy],​paracetamol,​pholcodine/ae [Adverse Drug Reaction],​pholcodine/cm [Drug Comparison],​pholcodine/dt [Drug Therapy],​prednisolone/dt [Drug Therapy],​proton pump inhibitor/dt [Drug Therapy],​pseudoephedrine/dt [Drug Therapy],​salbutamol,​saredutant,​unclassified drug,​unindexed drug,​vicks/dt [Drug Therapy],​vicks/pr [Pharmaceutics],​buttercup syrup/dt [Drug Therapy],​covonia/dt [Drug Therapy],​expulin/dt [Drug Therapy],​histalix/dt [Drug Therapy],​meltus/dt [Drug Therapy],​multi action actifed/dt [Drug Therapy],​nirolex/dt [Drug Therapy],​sudafed linctus/dt [Drug Therapy],​sudafed linctus/pr [Pharmaceutics],​vicks medinite/dt [Drug Therapy]</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02F77A94"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2BDE6F2" w14:textId="77777777" w:rsidR="00B44564" w:rsidRPr="005762E6" w:rsidRDefault="00B44564" w:rsidP="00EA69AA">
            <w:pPr>
              <w:spacing w:after="120" w:line="240" w:lineRule="auto"/>
              <w:contextualSpacing/>
              <w:rPr>
                <w:sz w:val="20"/>
                <w:szCs w:val="20"/>
              </w:rPr>
            </w:pPr>
            <w:r w:rsidRPr="005762E6">
              <w:rPr>
                <w:sz w:val="20"/>
                <w:szCs w:val="20"/>
              </w:rPr>
              <w:lastRenderedPageBreak/>
              <w:t>168</w:t>
            </w:r>
          </w:p>
        </w:tc>
        <w:tc>
          <w:tcPr>
            <w:tcW w:w="0" w:type="auto"/>
            <w:tcBorders>
              <w:top w:val="single" w:sz="6" w:space="0" w:color="auto"/>
              <w:left w:val="single" w:sz="6" w:space="0" w:color="auto"/>
              <w:bottom w:val="single" w:sz="6" w:space="0" w:color="auto"/>
              <w:right w:val="single" w:sz="6" w:space="0" w:color="auto"/>
            </w:tcBorders>
          </w:tcPr>
          <w:p w14:paraId="1A519B32"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7BB995E" w14:textId="77777777" w:rsidR="00B44564" w:rsidRPr="005762E6" w:rsidRDefault="00B44564" w:rsidP="00EA69AA">
            <w:pPr>
              <w:spacing w:after="120" w:line="240" w:lineRule="auto"/>
              <w:contextualSpacing/>
              <w:rPr>
                <w:sz w:val="20"/>
                <w:szCs w:val="20"/>
              </w:rPr>
            </w:pPr>
            <w:r w:rsidRPr="005762E6">
              <w:rPr>
                <w:sz w:val="20"/>
                <w:szCs w:val="20"/>
              </w:rPr>
              <w:t>Hebert R. What's new in nicotine &amp; tobacco research?. Nicotine and Tobacco Research; 2005;7:485.</w:t>
            </w:r>
            <w:r w:rsidRPr="005762E6">
              <w:rPr>
                <w:sz w:val="20"/>
                <w:szCs w:val="20"/>
              </w:rPr>
              <w:br/>
            </w:r>
            <w:r w:rsidRPr="005762E6">
              <w:rPr>
                <w:sz w:val="20"/>
                <w:szCs w:val="20"/>
              </w:rPr>
              <w:br/>
            </w:r>
            <w:r w:rsidRPr="005762E6">
              <w:rPr>
                <w:b/>
                <w:bCs/>
                <w:sz w:val="20"/>
                <w:szCs w:val="20"/>
              </w:rPr>
              <w:t>Keywords:</w:t>
            </w:r>
            <w:r w:rsidRPr="005762E6">
              <w:rPr>
                <w:sz w:val="20"/>
                <w:szCs w:val="20"/>
              </w:rPr>
              <w:br/>
              <w:t>article,​cardiovascular risk,​clinical trial,​coping behavior,​decision making,​depression/dt [Drug Therapy],​drug blood level,​drug efficacy,​drug safety,​environmental exposure,​expectation,​health hazard,​health program,​health promotion,​health survey,​high risk patient,​human,​Human immunodeficiency virus infection,​lead poisoning,​medical decision making,​*medical research,​nicotine replacement therapy,​packaging,​passive smoking,​patient compliance,​practice guideline,​prediction,​prescription,​priority journal,​questionnaire,​race difference,​relapse,​risk assessment,​risk factor,​risk reduction,​sex difference,​smoking cessation,​social belief,​social control,​socioeconomics,​tobacco,​*tobacco dependence/dt [Drug Therapy],​*tobacco dependence/et [Etiology],​tobacco industry,​withdrawal syndrome,​amfebutamone/dt [Drug Therapy],​clonidine/dt [Drug Therapy],​cotinine/cr [Drug Concentration],​drug metabolite/cr [Drug Concentration],​lead/to [Drug Toxicity],​menthol,​*nicotine/ct [Clinical Trial],​*nicotine/dt [Drug Therapy],​*nicotine/vi [Intravitreal Drug Administration],​*nicotine/tp [Topical Drug Administration],​</w:t>
            </w:r>
            <w:proofErr w:type="spellStart"/>
            <w:r w:rsidRPr="005762E6">
              <w:rPr>
                <w:sz w:val="20"/>
                <w:szCs w:val="20"/>
              </w:rPr>
              <w:t>non prescription</w:t>
            </w:r>
            <w:proofErr w:type="spellEnd"/>
            <w:r w:rsidRPr="005762E6">
              <w:rPr>
                <w:sz w:val="20"/>
                <w:szCs w:val="20"/>
              </w:rPr>
              <w:t xml:space="preserve"> drug,​nortriptyline/ct [Clinical Trial],​nortriptyline/dt [Drug Therapy]</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632A1420"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B26218E" w14:textId="77777777" w:rsidR="00B44564" w:rsidRPr="005762E6" w:rsidRDefault="00B44564" w:rsidP="00EA69AA">
            <w:pPr>
              <w:spacing w:after="120" w:line="240" w:lineRule="auto"/>
              <w:contextualSpacing/>
              <w:rPr>
                <w:sz w:val="20"/>
                <w:szCs w:val="20"/>
              </w:rPr>
            </w:pPr>
            <w:r w:rsidRPr="005762E6">
              <w:rPr>
                <w:sz w:val="20"/>
                <w:szCs w:val="20"/>
              </w:rPr>
              <w:t>170</w:t>
            </w:r>
          </w:p>
        </w:tc>
        <w:tc>
          <w:tcPr>
            <w:tcW w:w="0" w:type="auto"/>
            <w:tcBorders>
              <w:top w:val="single" w:sz="6" w:space="0" w:color="auto"/>
              <w:left w:val="single" w:sz="6" w:space="0" w:color="auto"/>
              <w:bottom w:val="single" w:sz="6" w:space="0" w:color="auto"/>
              <w:right w:val="single" w:sz="6" w:space="0" w:color="auto"/>
            </w:tcBorders>
          </w:tcPr>
          <w:p w14:paraId="30E241B8"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300076F" w14:textId="77777777" w:rsidR="00B44564" w:rsidRPr="005762E6" w:rsidRDefault="00B44564" w:rsidP="00EA69AA">
            <w:pPr>
              <w:spacing w:after="120" w:line="240" w:lineRule="auto"/>
              <w:contextualSpacing/>
              <w:rPr>
                <w:sz w:val="20"/>
                <w:szCs w:val="20"/>
              </w:rPr>
            </w:pPr>
            <w:r w:rsidRPr="005762E6">
              <w:rPr>
                <w:sz w:val="20"/>
                <w:szCs w:val="20"/>
              </w:rPr>
              <w:t>Hebert R. What's new in Nicotine &amp; Tobacco Research?. Nicotine and Tobacco Research; 2004;6:S279.</w:t>
            </w:r>
            <w:r w:rsidRPr="005762E6">
              <w:rPr>
                <w:sz w:val="20"/>
                <w:szCs w:val="20"/>
              </w:rPr>
              <w:br/>
            </w:r>
            <w:r w:rsidRPr="005762E6">
              <w:rPr>
                <w:sz w:val="20"/>
                <w:szCs w:val="20"/>
              </w:rPr>
              <w:br/>
            </w:r>
            <w:r w:rsidRPr="005762E6">
              <w:rPr>
                <w:b/>
                <w:bCs/>
                <w:sz w:val="20"/>
                <w:szCs w:val="20"/>
              </w:rPr>
              <w:t>Keywords:</w:t>
            </w:r>
            <w:r w:rsidRPr="005762E6">
              <w:rPr>
                <w:sz w:val="20"/>
                <w:szCs w:val="20"/>
              </w:rPr>
              <w:br/>
              <w:t xml:space="preserve">advertising,​article,​carcinogenesis,​cigarette smoking,​college student,​drug cost,​drug dependence,​drug safety,​education program,​filter design,​health education,​health hazard,​human,​medical research,​motivation,​mouth ulcer/si [Side Effect],​nicotine replacement therapy,​patient attitude,​patient education,​postal mail,​priority journal,​public health service,​reading,​recall,​risk assessment,​scoring system,​smoking cessation,​telephone,​*tobacco dependence/dr [Drug Resistance],​*tobacco dependence/dt [Drug Therapy],​amfebutamone/dt [Drug Therapy],​menthol,​nicotine/to [Drug Toxicity],​nicotine derivative/dt [Drug Therapy],​nicotine </w:t>
            </w:r>
            <w:r w:rsidRPr="005762E6">
              <w:rPr>
                <w:sz w:val="20"/>
                <w:szCs w:val="20"/>
              </w:rPr>
              <w:lastRenderedPageBreak/>
              <w:t>derivative/dm [Disease Management],​nicotine derivative/tp [Topical Drug Administration],​nicotine gum/ae [Adverse Drug Reaction],​nicotine gum/dt [Drug Therapy],​nicotine gum/dm [Disease Management],​tar</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637798D2"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052F18E" w14:textId="77777777" w:rsidR="00B44564" w:rsidRPr="005762E6" w:rsidRDefault="00B44564" w:rsidP="00EA69AA">
            <w:pPr>
              <w:spacing w:after="120" w:line="240" w:lineRule="auto"/>
              <w:contextualSpacing/>
              <w:rPr>
                <w:sz w:val="20"/>
                <w:szCs w:val="20"/>
              </w:rPr>
            </w:pPr>
            <w:r w:rsidRPr="005762E6">
              <w:rPr>
                <w:sz w:val="20"/>
                <w:szCs w:val="20"/>
              </w:rPr>
              <w:lastRenderedPageBreak/>
              <w:t>171</w:t>
            </w:r>
          </w:p>
        </w:tc>
        <w:tc>
          <w:tcPr>
            <w:tcW w:w="0" w:type="auto"/>
            <w:tcBorders>
              <w:top w:val="single" w:sz="6" w:space="0" w:color="auto"/>
              <w:left w:val="single" w:sz="6" w:space="0" w:color="auto"/>
              <w:bottom w:val="single" w:sz="6" w:space="0" w:color="auto"/>
              <w:right w:val="single" w:sz="6" w:space="0" w:color="auto"/>
            </w:tcBorders>
          </w:tcPr>
          <w:p w14:paraId="6909BDEF"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5C86280" w14:textId="77777777" w:rsidR="00B44564" w:rsidRPr="005762E6" w:rsidRDefault="00B44564" w:rsidP="00EA69AA">
            <w:pPr>
              <w:spacing w:after="120" w:line="240" w:lineRule="auto"/>
              <w:contextualSpacing/>
              <w:rPr>
                <w:sz w:val="20"/>
                <w:szCs w:val="20"/>
              </w:rPr>
            </w:pPr>
            <w:r w:rsidRPr="005762E6">
              <w:rPr>
                <w:sz w:val="20"/>
                <w:szCs w:val="20"/>
              </w:rPr>
              <w:t>Castro F.G. Erratum: "</w:t>
            </w:r>
            <w:proofErr w:type="gramStart"/>
            <w:r w:rsidRPr="005762E6">
              <w:rPr>
                <w:sz w:val="20"/>
                <w:szCs w:val="20"/>
              </w:rPr>
              <w:t>Physiological,​</w:t>
            </w:r>
            <w:proofErr w:type="gramEnd"/>
            <w:r w:rsidRPr="005762E6">
              <w:rPr>
                <w:sz w:val="20"/>
                <w:szCs w:val="20"/>
              </w:rPr>
              <w:t xml:space="preserve"> psychological,​ social,​ and cultural influences on the use of menthol cigarettes among Blacks and Hispanics" (Nicotine &amp; Tobacco Research (2004) (S30-S43)). Nicotine and Tobacco Research; </w:t>
            </w:r>
            <w:proofErr w:type="gramStart"/>
            <w:r w:rsidRPr="005762E6">
              <w:rPr>
                <w:sz w:val="20"/>
                <w:szCs w:val="20"/>
              </w:rPr>
              <w:t>2004;6:575</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erratum,​*error,​priority journal</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4BEBC09B"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E2EA5B3" w14:textId="77777777" w:rsidR="00B44564" w:rsidRPr="005762E6" w:rsidRDefault="00B44564" w:rsidP="00EA69AA">
            <w:pPr>
              <w:spacing w:after="120" w:line="240" w:lineRule="auto"/>
              <w:contextualSpacing/>
              <w:rPr>
                <w:sz w:val="20"/>
                <w:szCs w:val="20"/>
              </w:rPr>
            </w:pPr>
            <w:r w:rsidRPr="005762E6">
              <w:rPr>
                <w:sz w:val="20"/>
                <w:szCs w:val="20"/>
              </w:rPr>
              <w:t>173</w:t>
            </w:r>
          </w:p>
        </w:tc>
        <w:tc>
          <w:tcPr>
            <w:tcW w:w="0" w:type="auto"/>
            <w:tcBorders>
              <w:top w:val="single" w:sz="6" w:space="0" w:color="auto"/>
              <w:left w:val="single" w:sz="6" w:space="0" w:color="auto"/>
              <w:bottom w:val="single" w:sz="6" w:space="0" w:color="auto"/>
              <w:right w:val="single" w:sz="6" w:space="0" w:color="auto"/>
            </w:tcBorders>
          </w:tcPr>
          <w:p w14:paraId="5E97B61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D3095B2" w14:textId="77777777" w:rsidR="00B44564" w:rsidRPr="005762E6" w:rsidRDefault="00B44564" w:rsidP="00EA69AA">
            <w:pPr>
              <w:spacing w:after="120" w:line="240" w:lineRule="auto"/>
              <w:contextualSpacing/>
              <w:rPr>
                <w:sz w:val="20"/>
                <w:szCs w:val="20"/>
              </w:rPr>
            </w:pPr>
            <w:r w:rsidRPr="005762E6">
              <w:rPr>
                <w:sz w:val="20"/>
                <w:szCs w:val="20"/>
              </w:rPr>
              <w:t xml:space="preserve">Gonzalez Castro F. </w:t>
            </w:r>
            <w:proofErr w:type="gramStart"/>
            <w:r w:rsidRPr="005762E6">
              <w:rPr>
                <w:sz w:val="20"/>
                <w:szCs w:val="20"/>
              </w:rPr>
              <w:t>Physiological,​</w:t>
            </w:r>
            <w:proofErr w:type="gramEnd"/>
            <w:r w:rsidRPr="005762E6">
              <w:rPr>
                <w:sz w:val="20"/>
                <w:szCs w:val="20"/>
              </w:rPr>
              <w:t xml:space="preserve"> psychological,​ social,​ and cultural influences on the use of menthol cigarettes among Blacks and Hispanics. Nicotine and Tobacco Research; 2004;6:S29.</w:t>
            </w:r>
            <w:r w:rsidRPr="005762E6">
              <w:rPr>
                <w:sz w:val="20"/>
                <w:szCs w:val="20"/>
              </w:rPr>
              <w:br/>
            </w:r>
            <w:r w:rsidRPr="005762E6">
              <w:rPr>
                <w:sz w:val="20"/>
                <w:szCs w:val="20"/>
              </w:rPr>
              <w:br/>
            </w:r>
            <w:r w:rsidRPr="005762E6">
              <w:rPr>
                <w:b/>
                <w:bCs/>
                <w:sz w:val="20"/>
                <w:szCs w:val="20"/>
              </w:rPr>
              <w:t>Keywords:</w:t>
            </w:r>
            <w:r w:rsidRPr="005762E6">
              <w:rPr>
                <w:sz w:val="20"/>
                <w:szCs w:val="20"/>
              </w:rPr>
              <w:br/>
              <w:t>article,​*cigarette smoking,​cocaine dependence,​coping behavior,​cultural factor,​environmental factor,​ethnic difference,​habituation,​Hispanic,​human,​marketing,​motivation,​Negro,​prediction,​priority journal,​psychological aspect,​reinforcement,​risk factor,​sensory stimulation,​sex difference,​social aspect,​social psychology,​social status,​stress,​tobacco dependence,​traditional medicine,​*menthol,​vicks vapo rub</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Patterns of menthol cigarette consumption among Blacks and Hispanics are likely a product of the interactive effects of several factors: the physiological and pharmacological sensory effects of menthol,​ the "cool" psychological identity of being menthol smokers,​ the promotional marketing of menthol cigarettes,​ and the cultural effects of health-related beliefs and subjective culture norms. This article presents two conceptual frameworks - a moderation logic model and a mediation logic model - for organizing the disparate literature on factors affecting the consumption of menthol cigarettes among Blacks and Hispanics. Three factor domains are examined as direct effect predictors of menthol cigarette smoking: (a) physiological and </w:t>
            </w:r>
            <w:proofErr w:type="gramStart"/>
            <w:r w:rsidRPr="005762E6">
              <w:rPr>
                <w:sz w:val="20"/>
                <w:szCs w:val="20"/>
              </w:rPr>
              <w:t>pharmacological,​</w:t>
            </w:r>
            <w:proofErr w:type="gramEnd"/>
            <w:r w:rsidRPr="005762E6">
              <w:rPr>
                <w:sz w:val="20"/>
                <w:szCs w:val="20"/>
              </w:rPr>
              <w:t xml:space="preserve"> (b) psychological,​ and (c) social and environmental. In </w:t>
            </w:r>
            <w:proofErr w:type="gramStart"/>
            <w:r w:rsidRPr="005762E6">
              <w:rPr>
                <w:sz w:val="20"/>
                <w:szCs w:val="20"/>
              </w:rPr>
              <w:t>addition,​</w:t>
            </w:r>
            <w:proofErr w:type="gramEnd"/>
            <w:r w:rsidRPr="005762E6">
              <w:rPr>
                <w:sz w:val="20"/>
                <w:szCs w:val="20"/>
              </w:rPr>
              <w:t xml:space="preserve"> a fourth domain of cultural variables is presented as a class of moderator or mediator variables that can interact with these physiological,​ psychological,​ and social factors as determinants of menthol cigarette use. These cultural variables are examined as mediating or moderating factors that influence the use of menthol cigarettes by Black and Hispanic consumers. Recommendations are offered for future research to further understand the influence of cultural and other factors as determinants of menthol cigarette smoking among Blacks and Hispanics. © 2004 Society for Research on Nicotine and Tobacco.</w:t>
            </w:r>
          </w:p>
        </w:tc>
      </w:tr>
      <w:tr w:rsidR="00B44564" w:rsidRPr="005762E6" w14:paraId="67CF6B08"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E48C65D" w14:textId="77777777" w:rsidR="00B44564" w:rsidRPr="005762E6" w:rsidRDefault="00B44564" w:rsidP="00EA69AA">
            <w:pPr>
              <w:spacing w:after="120" w:line="240" w:lineRule="auto"/>
              <w:contextualSpacing/>
              <w:rPr>
                <w:sz w:val="20"/>
                <w:szCs w:val="20"/>
              </w:rPr>
            </w:pPr>
            <w:r w:rsidRPr="005762E6">
              <w:rPr>
                <w:sz w:val="20"/>
                <w:szCs w:val="20"/>
              </w:rPr>
              <w:t>174</w:t>
            </w:r>
          </w:p>
        </w:tc>
        <w:tc>
          <w:tcPr>
            <w:tcW w:w="0" w:type="auto"/>
            <w:tcBorders>
              <w:top w:val="single" w:sz="6" w:space="0" w:color="auto"/>
              <w:left w:val="single" w:sz="6" w:space="0" w:color="auto"/>
              <w:bottom w:val="single" w:sz="6" w:space="0" w:color="auto"/>
              <w:right w:val="single" w:sz="6" w:space="0" w:color="auto"/>
            </w:tcBorders>
          </w:tcPr>
          <w:p w14:paraId="38EE9F4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56110D4" w14:textId="77777777" w:rsidR="00B44564" w:rsidRPr="005762E6" w:rsidRDefault="00B44564" w:rsidP="00EA69AA">
            <w:pPr>
              <w:spacing w:after="120" w:line="240" w:lineRule="auto"/>
              <w:contextualSpacing/>
              <w:rPr>
                <w:sz w:val="20"/>
                <w:szCs w:val="20"/>
              </w:rPr>
            </w:pPr>
            <w:r w:rsidRPr="005762E6">
              <w:rPr>
                <w:sz w:val="20"/>
                <w:szCs w:val="20"/>
              </w:rPr>
              <w:t xml:space="preserve">Sutton </w:t>
            </w:r>
            <w:proofErr w:type="gramStart"/>
            <w:r w:rsidRPr="005762E6">
              <w:rPr>
                <w:sz w:val="20"/>
                <w:szCs w:val="20"/>
              </w:rPr>
              <w:t>C.D.,​</w:t>
            </w:r>
            <w:proofErr w:type="gramEnd"/>
            <w:r w:rsidRPr="005762E6">
              <w:rPr>
                <w:sz w:val="20"/>
                <w:szCs w:val="20"/>
              </w:rPr>
              <w:t xml:space="preserve">Robinson R.G. The marketing of menthol cigarettes in the United States: </w:t>
            </w:r>
            <w:proofErr w:type="gramStart"/>
            <w:r w:rsidRPr="005762E6">
              <w:rPr>
                <w:sz w:val="20"/>
                <w:szCs w:val="20"/>
              </w:rPr>
              <w:t>Population,​</w:t>
            </w:r>
            <w:proofErr w:type="gramEnd"/>
            <w:r w:rsidRPr="005762E6">
              <w:rPr>
                <w:sz w:val="20"/>
                <w:szCs w:val="20"/>
              </w:rPr>
              <w:t xml:space="preserve"> messages,​ and channels. Nicotine and Tobacco Research; 2004;</w:t>
            </w:r>
            <w:proofErr w:type="gramStart"/>
            <w:r w:rsidRPr="005762E6">
              <w:rPr>
                <w:sz w:val="20"/>
                <w:szCs w:val="20"/>
              </w:rPr>
              <w:t>6:S</w:t>
            </w:r>
            <w:proofErr w:type="gramEnd"/>
            <w:r w:rsidRPr="005762E6">
              <w:rPr>
                <w:sz w:val="20"/>
                <w:szCs w:val="20"/>
              </w:rPr>
              <w:t>83.</w:t>
            </w:r>
            <w:r w:rsidRPr="005762E6">
              <w:rPr>
                <w:sz w:val="20"/>
                <w:szCs w:val="20"/>
              </w:rPr>
              <w:br/>
            </w:r>
            <w:r w:rsidRPr="005762E6">
              <w:rPr>
                <w:sz w:val="20"/>
                <w:szCs w:val="20"/>
              </w:rPr>
              <w:br/>
            </w:r>
            <w:r w:rsidRPr="005762E6">
              <w:rPr>
                <w:b/>
                <w:bCs/>
                <w:sz w:val="20"/>
                <w:szCs w:val="20"/>
              </w:rPr>
              <w:t>Keywords:</w:t>
            </w:r>
            <w:r w:rsidRPr="005762E6">
              <w:rPr>
                <w:sz w:val="20"/>
                <w:szCs w:val="20"/>
              </w:rPr>
              <w:br/>
              <w:t>advertising,​African American,​article,​*cigarette smoking,​ethnic difference,​high risk population,​human,​primary prevention,​priority journal,​public health,​self-concept,​smoking cessation,​*social marketing,​United States,​*menthol</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This commentary looks at the marketing menthol cigarettes to various targeted populations - women,​ middle school youth and Asian/Pacific Islander immigrants as well as African Americans. The authors take the position that "ethnic awareness" as evidenced in the advertising of menthol cigarette brands to African Americans is just one of four distinct messages that tobacco marketers have used for what they have termed the "coolness" category. The other messages are: healthy/medicinal; fresh/refreshing/cool/clean/crisp; and youthfulness/silliness and fun. The commentary poses three questions: (a) Are new population segments being steered toward menthol cigarettes using marketing approaches that are similar to what has occurred with African Americans and women? (b) What exactly is the relationship between the marketing of menthol cigarettes and subsequent use of menthol tobacco products by specific </w:t>
            </w:r>
            <w:r w:rsidRPr="005762E6">
              <w:rPr>
                <w:sz w:val="20"/>
                <w:szCs w:val="20"/>
              </w:rPr>
              <w:lastRenderedPageBreak/>
              <w:t>population subgroups? (c) Are there lessons to be learned from the marketing of menthol cigarettes that can be used to improve the public health and medical communities' smoking cessation and tobacco use prevention communications efforts? © 2004 Society for Research on Nicotine and Tobacco.</w:t>
            </w:r>
          </w:p>
        </w:tc>
      </w:tr>
      <w:tr w:rsidR="00B44564" w:rsidRPr="005762E6" w14:paraId="551D04AC"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B49FFD4" w14:textId="77777777" w:rsidR="00B44564" w:rsidRPr="005762E6" w:rsidRDefault="00B44564" w:rsidP="00EA69AA">
            <w:pPr>
              <w:spacing w:after="120" w:line="240" w:lineRule="auto"/>
              <w:contextualSpacing/>
              <w:rPr>
                <w:sz w:val="20"/>
                <w:szCs w:val="20"/>
              </w:rPr>
            </w:pPr>
            <w:r w:rsidRPr="005762E6">
              <w:rPr>
                <w:sz w:val="20"/>
                <w:szCs w:val="20"/>
              </w:rPr>
              <w:lastRenderedPageBreak/>
              <w:t>176</w:t>
            </w:r>
          </w:p>
        </w:tc>
        <w:tc>
          <w:tcPr>
            <w:tcW w:w="0" w:type="auto"/>
            <w:tcBorders>
              <w:top w:val="single" w:sz="6" w:space="0" w:color="auto"/>
              <w:left w:val="single" w:sz="6" w:space="0" w:color="auto"/>
              <w:bottom w:val="single" w:sz="6" w:space="0" w:color="auto"/>
              <w:right w:val="single" w:sz="6" w:space="0" w:color="auto"/>
            </w:tcBorders>
          </w:tcPr>
          <w:p w14:paraId="00E82D67"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6228389" w14:textId="77777777" w:rsidR="00B44564" w:rsidRPr="005762E6" w:rsidRDefault="00B44564" w:rsidP="00EA69AA">
            <w:pPr>
              <w:spacing w:after="120" w:line="240" w:lineRule="auto"/>
              <w:contextualSpacing/>
              <w:rPr>
                <w:sz w:val="20"/>
                <w:szCs w:val="20"/>
              </w:rPr>
            </w:pPr>
            <w:r w:rsidRPr="005762E6">
              <w:rPr>
                <w:sz w:val="20"/>
                <w:szCs w:val="20"/>
              </w:rPr>
              <w:t xml:space="preserve">Brandwein-Gensler </w:t>
            </w:r>
            <w:proofErr w:type="gramStart"/>
            <w:r w:rsidRPr="005762E6">
              <w:rPr>
                <w:sz w:val="20"/>
                <w:szCs w:val="20"/>
              </w:rPr>
              <w:t>M.,​</w:t>
            </w:r>
            <w:proofErr w:type="gramEnd"/>
            <w:r w:rsidRPr="005762E6">
              <w:rPr>
                <w:sz w:val="20"/>
                <w:szCs w:val="20"/>
              </w:rPr>
              <w:t>Hille J.J. Behind the cover: The guthka story. Archives of Otolaryngology - Head and Neck Surgery; 2003;129:699.</w:t>
            </w:r>
            <w:r w:rsidRPr="005762E6">
              <w:rPr>
                <w:sz w:val="20"/>
                <w:szCs w:val="20"/>
              </w:rPr>
              <w:br/>
            </w:r>
            <w:r w:rsidRPr="005762E6">
              <w:rPr>
                <w:sz w:val="20"/>
                <w:szCs w:val="20"/>
              </w:rPr>
              <w:br/>
            </w:r>
            <w:r w:rsidRPr="005762E6">
              <w:rPr>
                <w:b/>
                <w:bCs/>
                <w:sz w:val="20"/>
                <w:szCs w:val="20"/>
              </w:rPr>
              <w:t>Keywords:</w:t>
            </w:r>
            <w:r w:rsidRPr="005762E6">
              <w:rPr>
                <w:sz w:val="20"/>
                <w:szCs w:val="20"/>
              </w:rPr>
              <w:br/>
              <w:t>addiction,​Asia,​betel nut,​cacao,​cardamom,​catalysis,​cigarette smoking,​clove,​drug industry,​drug packaging,​health survey,​human,​income,​India,​Indonesia,​mastication,​mouth cancer/si [Side Effect],​note,​pepper,​plant leaf,​politics,​powder,​purchasing,​saliva,​salivation,​spice,​sucking,​Thailand,​tobacco,​tobacco industry,​United States,​arecoline/pd [Pharmacology],​calcium hydroxide,​calcium oxide,​central stimulant agent,​cholinergic receptor stimulating agent/pd [Pharmacology],​digestant/dm [Disease Management],​digestant/pd [Pharmacology],​essential oil,​eugenol/pd [Pharmacology],​flavoring agent,​limestone,​menthol,​perfume,​phenol,​*plant extract/ae [Adverse Drug Reaction],​*plant extract/dm [Disease Management],​*plant extract/pd [Pharmacology],​preservative,​sweetening agent,​unclassified drug,​*guthka/ae [Adverse Drug Reaction],​*guthka/dm [Disease Management],​*guthka/pd [Pharmacology],​pan masala/dm [Disease Management],​pan masala/pd [Pharmacology]</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6A456BA3"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54920FC" w14:textId="77777777" w:rsidR="00B44564" w:rsidRPr="005762E6" w:rsidRDefault="00B44564" w:rsidP="00EA69AA">
            <w:pPr>
              <w:spacing w:after="120" w:line="240" w:lineRule="auto"/>
              <w:contextualSpacing/>
              <w:rPr>
                <w:sz w:val="20"/>
                <w:szCs w:val="20"/>
              </w:rPr>
            </w:pPr>
            <w:r w:rsidRPr="005762E6">
              <w:rPr>
                <w:sz w:val="20"/>
                <w:szCs w:val="20"/>
              </w:rPr>
              <w:t>177</w:t>
            </w:r>
          </w:p>
        </w:tc>
        <w:tc>
          <w:tcPr>
            <w:tcW w:w="0" w:type="auto"/>
            <w:tcBorders>
              <w:top w:val="single" w:sz="6" w:space="0" w:color="auto"/>
              <w:left w:val="single" w:sz="6" w:space="0" w:color="auto"/>
              <w:bottom w:val="single" w:sz="6" w:space="0" w:color="auto"/>
              <w:right w:val="single" w:sz="6" w:space="0" w:color="auto"/>
            </w:tcBorders>
          </w:tcPr>
          <w:p w14:paraId="71834FF7"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59FB090" w14:textId="77777777" w:rsidR="00B44564" w:rsidRPr="005762E6" w:rsidRDefault="00B44564" w:rsidP="00EA69AA">
            <w:pPr>
              <w:spacing w:after="120" w:line="240" w:lineRule="auto"/>
              <w:contextualSpacing/>
              <w:rPr>
                <w:sz w:val="20"/>
                <w:szCs w:val="20"/>
              </w:rPr>
            </w:pPr>
            <w:r w:rsidRPr="005762E6">
              <w:rPr>
                <w:sz w:val="20"/>
                <w:szCs w:val="20"/>
              </w:rPr>
              <w:t xml:space="preserve">Hebert J.R. Invited commentary: Menthol cigarettes and risk of lung cancer. American Journal of Epidemiology; </w:t>
            </w:r>
            <w:proofErr w:type="gramStart"/>
            <w:r w:rsidRPr="005762E6">
              <w:rPr>
                <w:sz w:val="20"/>
                <w:szCs w:val="20"/>
              </w:rPr>
              <w:t>2003;158:617</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cancer epidemiology,​cancer incidence,​cancer mortality,​*cancer risk,​carcinogenicity,​*cigarette smoking,​human,​lifestyle,​*lung carcinogenesis,​note,​public health,​race difference,​risk assessment,​*smoking habit,​socioeconomics,​*menthol/to [Drug Toxicity]</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754F4BF4"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43F3891" w14:textId="77777777" w:rsidR="00B44564" w:rsidRPr="005762E6" w:rsidRDefault="00B44564" w:rsidP="00EA69AA">
            <w:pPr>
              <w:spacing w:after="120" w:line="240" w:lineRule="auto"/>
              <w:contextualSpacing/>
              <w:rPr>
                <w:sz w:val="20"/>
                <w:szCs w:val="20"/>
              </w:rPr>
            </w:pPr>
            <w:r w:rsidRPr="005762E6">
              <w:rPr>
                <w:sz w:val="20"/>
                <w:szCs w:val="20"/>
              </w:rPr>
              <w:t>181</w:t>
            </w:r>
          </w:p>
        </w:tc>
        <w:tc>
          <w:tcPr>
            <w:tcW w:w="0" w:type="auto"/>
            <w:tcBorders>
              <w:top w:val="single" w:sz="6" w:space="0" w:color="auto"/>
              <w:left w:val="single" w:sz="6" w:space="0" w:color="auto"/>
              <w:bottom w:val="single" w:sz="6" w:space="0" w:color="auto"/>
              <w:right w:val="single" w:sz="6" w:space="0" w:color="auto"/>
            </w:tcBorders>
          </w:tcPr>
          <w:p w14:paraId="0869B8D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AE3EEDC" w14:textId="77777777" w:rsidR="00B44564" w:rsidRPr="005762E6" w:rsidRDefault="00B44564" w:rsidP="00EA69AA">
            <w:pPr>
              <w:spacing w:after="120" w:line="240" w:lineRule="auto"/>
              <w:contextualSpacing/>
              <w:rPr>
                <w:sz w:val="20"/>
                <w:szCs w:val="20"/>
              </w:rPr>
            </w:pPr>
            <w:r w:rsidRPr="005762E6">
              <w:rPr>
                <w:sz w:val="20"/>
                <w:szCs w:val="20"/>
              </w:rPr>
              <w:t xml:space="preserve">Pickworth </w:t>
            </w:r>
            <w:proofErr w:type="gramStart"/>
            <w:r w:rsidRPr="005762E6">
              <w:rPr>
                <w:sz w:val="20"/>
                <w:szCs w:val="20"/>
              </w:rPr>
              <w:t>W.B.,​</w:t>
            </w:r>
            <w:proofErr w:type="gramEnd"/>
            <w:r w:rsidRPr="005762E6">
              <w:rPr>
                <w:sz w:val="20"/>
                <w:szCs w:val="20"/>
              </w:rPr>
              <w:t>Moolchan E.T.,​Berlin I.,​Murty R. Sensory and physiologic effects of menthol and nonmenthol cigarettes with differing nicotine delivery. Pharmacology Biochemistry and Behavior; 2002;71:55.</w:t>
            </w:r>
            <w:r w:rsidRPr="005762E6">
              <w:rPr>
                <w:sz w:val="20"/>
                <w:szCs w:val="20"/>
              </w:rPr>
              <w:br/>
            </w:r>
            <w:r w:rsidRPr="005762E6">
              <w:rPr>
                <w:sz w:val="20"/>
                <w:szCs w:val="20"/>
              </w:rPr>
              <w:br/>
            </w:r>
            <w:r w:rsidRPr="005762E6">
              <w:rPr>
                <w:b/>
                <w:bCs/>
                <w:sz w:val="20"/>
                <w:szCs w:val="20"/>
              </w:rPr>
              <w:t>Keywords:</w:t>
            </w:r>
            <w:r w:rsidRPr="005762E6">
              <w:rPr>
                <w:sz w:val="20"/>
                <w:szCs w:val="20"/>
              </w:rPr>
              <w:br/>
              <w:t>article,​*cigarette smoking,​commercial phenomena,​controlled study,​expired air,​female,​heart rate,​human,​human experiment,​male,​medical research,​neurophysiology,​normal human,​priority journal,​reward,​smoking cessation,​strength,​topography,​withdrawal syndrome,​carbon monoxide,​*menthol,​*nicotine</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Many smokers choose menthol-flavored cigarettes,​ however,​ the influence of menthol on the effects of smoke-delivered nicotine is unknown. Research and commercial </w:t>
            </w:r>
            <w:proofErr w:type="gramStart"/>
            <w:r w:rsidRPr="005762E6">
              <w:rPr>
                <w:sz w:val="20"/>
                <w:szCs w:val="20"/>
              </w:rPr>
              <w:t>cigarettes,​</w:t>
            </w:r>
            <w:proofErr w:type="gramEnd"/>
            <w:r w:rsidRPr="005762E6">
              <w:rPr>
                <w:sz w:val="20"/>
                <w:szCs w:val="20"/>
              </w:rPr>
              <w:t xml:space="preserve"> menthol and nonmenthol,​ that delivered a wide range of nicotine were evaluated. Menthol (n=18) and nonmenthol (n=18) cigarette smokers participated in a single session during which three cigarettes were smoked 45 min </w:t>
            </w:r>
            <w:proofErr w:type="gramStart"/>
            <w:r w:rsidRPr="005762E6">
              <w:rPr>
                <w:sz w:val="20"/>
                <w:szCs w:val="20"/>
              </w:rPr>
              <w:t>apart,​</w:t>
            </w:r>
            <w:proofErr w:type="gramEnd"/>
            <w:r w:rsidRPr="005762E6">
              <w:rPr>
                <w:sz w:val="20"/>
                <w:szCs w:val="20"/>
              </w:rPr>
              <w:t xml:space="preserve"> in random order. Federal Trade Commission (FTC) nicotine yields of the three cigarettes were: </w:t>
            </w:r>
            <w:proofErr w:type="gramStart"/>
            <w:r w:rsidRPr="005762E6">
              <w:rPr>
                <w:sz w:val="20"/>
                <w:szCs w:val="20"/>
              </w:rPr>
              <w:t>research,​</w:t>
            </w:r>
            <w:proofErr w:type="gramEnd"/>
            <w:r w:rsidRPr="005762E6">
              <w:rPr>
                <w:sz w:val="20"/>
                <w:szCs w:val="20"/>
              </w:rPr>
              <w:t xml:space="preserve"> low yield,​ 0.2 mg,​ commercial cigarettes (average),​ 1.2 mg; research,​ high yield,​ 2.5 mg. Commercial and high-yield cigarettes increased heart rate (HR) and blood pressure more than low-yield cigarettes; although,​ no differences in exhaled carbon monoxide (CO) occurred. Participants smoked commercial cigarettes faster and with fewer puffs than either of the research cigarette indicating production differences can affect topography. There was a significant group by cigarette interaction on </w:t>
            </w:r>
            <w:proofErr w:type="gramStart"/>
            <w:r w:rsidRPr="005762E6">
              <w:rPr>
                <w:sz w:val="20"/>
                <w:szCs w:val="20"/>
              </w:rPr>
              <w:t>satisfaction,​</w:t>
            </w:r>
            <w:proofErr w:type="gramEnd"/>
            <w:r w:rsidRPr="005762E6">
              <w:rPr>
                <w:sz w:val="20"/>
                <w:szCs w:val="20"/>
              </w:rPr>
              <w:t xml:space="preserve"> and relief from cigarette craving. High-yield nonmenthol cigarettes reduced craving and were rated as more satisfying than high-yield menthol cigarettes. No differences between menthol and nonmenthol cigarettes on other subjective measures (</w:t>
            </w:r>
            <w:proofErr w:type="gramStart"/>
            <w:r w:rsidRPr="005762E6">
              <w:rPr>
                <w:sz w:val="20"/>
                <w:szCs w:val="20"/>
              </w:rPr>
              <w:t>strength,​</w:t>
            </w:r>
            <w:proofErr w:type="gramEnd"/>
            <w:r w:rsidRPr="005762E6">
              <w:rPr>
                <w:sz w:val="20"/>
                <w:szCs w:val="20"/>
              </w:rPr>
              <w:t xml:space="preserve"> psychological reward,​ negative effects) were observed. Our findings indicate that nicotine </w:t>
            </w:r>
            <w:proofErr w:type="gramStart"/>
            <w:r w:rsidRPr="005762E6">
              <w:rPr>
                <w:sz w:val="20"/>
                <w:szCs w:val="20"/>
              </w:rPr>
              <w:t>delivery,​</w:t>
            </w:r>
            <w:proofErr w:type="gramEnd"/>
            <w:r w:rsidRPr="005762E6">
              <w:rPr>
                <w:sz w:val="20"/>
                <w:szCs w:val="20"/>
              </w:rPr>
              <w:t xml:space="preserve"> but not mentholation,​ influences cardiovascular and most subjective measures. These results illustrate the importance of threshold levels of nicotine on subjective responses to cigarette smoking. © 2002 Elsevier Science Inc. All rights reserved.</w:t>
            </w:r>
          </w:p>
        </w:tc>
      </w:tr>
      <w:tr w:rsidR="00B44564" w:rsidRPr="005762E6" w14:paraId="3D8C2A4A"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E21CE44" w14:textId="77777777" w:rsidR="00B44564" w:rsidRPr="005762E6" w:rsidRDefault="00B44564" w:rsidP="00EA69AA">
            <w:pPr>
              <w:spacing w:after="120" w:line="240" w:lineRule="auto"/>
              <w:contextualSpacing/>
              <w:rPr>
                <w:sz w:val="20"/>
                <w:szCs w:val="20"/>
              </w:rPr>
            </w:pPr>
            <w:r w:rsidRPr="005762E6">
              <w:rPr>
                <w:sz w:val="20"/>
                <w:szCs w:val="20"/>
              </w:rPr>
              <w:lastRenderedPageBreak/>
              <w:t>182</w:t>
            </w:r>
          </w:p>
        </w:tc>
        <w:tc>
          <w:tcPr>
            <w:tcW w:w="0" w:type="auto"/>
            <w:tcBorders>
              <w:top w:val="single" w:sz="6" w:space="0" w:color="auto"/>
              <w:left w:val="single" w:sz="6" w:space="0" w:color="auto"/>
              <w:bottom w:val="single" w:sz="6" w:space="0" w:color="auto"/>
              <w:right w:val="single" w:sz="6" w:space="0" w:color="auto"/>
            </w:tcBorders>
          </w:tcPr>
          <w:p w14:paraId="71F3060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33A4595" w14:textId="77777777" w:rsidR="00B44564" w:rsidRPr="005762E6" w:rsidRDefault="00B44564" w:rsidP="00EA69AA">
            <w:pPr>
              <w:spacing w:after="120" w:line="240" w:lineRule="auto"/>
              <w:contextualSpacing/>
              <w:rPr>
                <w:sz w:val="20"/>
                <w:szCs w:val="20"/>
              </w:rPr>
            </w:pPr>
            <w:r w:rsidRPr="005762E6">
              <w:rPr>
                <w:sz w:val="20"/>
                <w:szCs w:val="20"/>
              </w:rPr>
              <w:t>Hebert R. What's new in Nicotine &amp; Tobacco Research?. Nicotine and Tobacco Research; 2002;4:385.</w:t>
            </w:r>
            <w:r w:rsidRPr="005762E6">
              <w:rPr>
                <w:sz w:val="20"/>
                <w:szCs w:val="20"/>
              </w:rPr>
              <w:br/>
            </w:r>
            <w:r w:rsidRPr="005762E6">
              <w:rPr>
                <w:sz w:val="20"/>
                <w:szCs w:val="20"/>
              </w:rPr>
              <w:br/>
            </w:r>
            <w:r w:rsidRPr="005762E6">
              <w:rPr>
                <w:b/>
                <w:bCs/>
                <w:sz w:val="20"/>
                <w:szCs w:val="20"/>
              </w:rPr>
              <w:t>Keywords:</w:t>
            </w:r>
            <w:r w:rsidRPr="005762E6">
              <w:rPr>
                <w:sz w:val="20"/>
                <w:szCs w:val="20"/>
              </w:rPr>
              <w:br/>
              <w:t>alcohol consumption,​behavior therapy,​body mass,​cardiovascular risk,​Caucasian,​chronic obstructive lung disease,​*cigarette smoking,​coughing/si [Side Effect],​device,​drug blood level,​drug efficacy,​drug half-life,​drug safety,​fracture,​health hazard,​human,​medical research,​methodology,​Negro,​nicotine replacement therapy,​note,​osteolysis,​osteoporosis,​outcomes research,​patient compliance,​pharyngitis/si [Side Effect],​priority journal,​quality of life,​race difference,​risk factor,​*smoking cessation,​sore throat/si [Side Effect],​tobacco,​*tobacco dependence/dt [Drug Therapy],​*tobacco dependence/su [Surgery],​weight gain,​xerostomia/si [Side Effect],​alcohol,​biological marker/ec [Endogenous Compound],​cholesterol/ec [Endogenous Compound],​cotinine/pk [Pharmacokinetics],​high density lipoprotein/ec [Endogenous Compound],​leptin/ec [Endogenous Compound],​menthol,​nicotine/ae [Adverse Drug Reaction],​nicotine/cr [Drug Concentration],​nicotine/dt [Drug Therapy],​nicotine/ei [Epidural Drug Administration],​nicotine/vi [Intravitreal Drug Administration],​nicotine/pk [Pharmacokinetics],​nicotine/tp [Topical Drug Administration],​nicotine gum/dt [Drug Therapy],​placebo,​sex hormone binding globulin/ec [Endogenous Compound]</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42C14D53"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53F2576" w14:textId="77777777" w:rsidR="00B44564" w:rsidRPr="005762E6" w:rsidRDefault="00B44564" w:rsidP="00EA69AA">
            <w:pPr>
              <w:spacing w:after="120" w:line="240" w:lineRule="auto"/>
              <w:contextualSpacing/>
              <w:rPr>
                <w:sz w:val="20"/>
                <w:szCs w:val="20"/>
              </w:rPr>
            </w:pPr>
            <w:r w:rsidRPr="005762E6">
              <w:rPr>
                <w:sz w:val="20"/>
                <w:szCs w:val="20"/>
              </w:rPr>
              <w:t>186</w:t>
            </w:r>
          </w:p>
        </w:tc>
        <w:tc>
          <w:tcPr>
            <w:tcW w:w="0" w:type="auto"/>
            <w:tcBorders>
              <w:top w:val="single" w:sz="6" w:space="0" w:color="auto"/>
              <w:left w:val="single" w:sz="6" w:space="0" w:color="auto"/>
              <w:bottom w:val="single" w:sz="6" w:space="0" w:color="auto"/>
              <w:right w:val="single" w:sz="6" w:space="0" w:color="auto"/>
            </w:tcBorders>
          </w:tcPr>
          <w:p w14:paraId="228CEBC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33DBE7C" w14:textId="77777777" w:rsidR="00B44564" w:rsidRPr="005762E6" w:rsidRDefault="00B44564" w:rsidP="00EA69AA">
            <w:pPr>
              <w:spacing w:after="120" w:line="240" w:lineRule="auto"/>
              <w:contextualSpacing/>
              <w:rPr>
                <w:sz w:val="20"/>
                <w:szCs w:val="20"/>
              </w:rPr>
            </w:pPr>
            <w:r w:rsidRPr="005762E6">
              <w:rPr>
                <w:sz w:val="20"/>
                <w:szCs w:val="20"/>
              </w:rPr>
              <w:t xml:space="preserve">Newton </w:t>
            </w:r>
            <w:proofErr w:type="gramStart"/>
            <w:r w:rsidRPr="005762E6">
              <w:rPr>
                <w:sz w:val="20"/>
                <w:szCs w:val="20"/>
              </w:rPr>
              <w:t>G.D.,​</w:t>
            </w:r>
            <w:proofErr w:type="gramEnd"/>
            <w:r w:rsidRPr="005762E6">
              <w:rPr>
                <w:sz w:val="20"/>
                <w:szCs w:val="20"/>
              </w:rPr>
              <w:t xml:space="preserve">Pray W.S.,​Popovich N.G. New OTC drugs and devices: A selective review. As the array of OTC drugs </w:t>
            </w:r>
            <w:proofErr w:type="gramStart"/>
            <w:r w:rsidRPr="005762E6">
              <w:rPr>
                <w:sz w:val="20"/>
                <w:szCs w:val="20"/>
              </w:rPr>
              <w:t>diversifies,​</w:t>
            </w:r>
            <w:proofErr w:type="gramEnd"/>
            <w:r w:rsidRPr="005762E6">
              <w:rPr>
                <w:sz w:val="20"/>
                <w:szCs w:val="20"/>
              </w:rPr>
              <w:t xml:space="preserve"> pharmacists should be prepared to guide patients in selection and use of these products. Journal of the American Pharmaceutical Association; 1997;37:165.</w:t>
            </w:r>
            <w:r w:rsidRPr="005762E6">
              <w:rPr>
                <w:sz w:val="20"/>
                <w:szCs w:val="20"/>
              </w:rPr>
              <w:br/>
            </w:r>
            <w:r w:rsidRPr="005762E6">
              <w:rPr>
                <w:sz w:val="20"/>
                <w:szCs w:val="20"/>
              </w:rPr>
              <w:br/>
            </w:r>
            <w:r w:rsidRPr="005762E6">
              <w:rPr>
                <w:b/>
                <w:bCs/>
                <w:sz w:val="20"/>
                <w:szCs w:val="20"/>
              </w:rPr>
              <w:t>Keywords:</w:t>
            </w:r>
            <w:r w:rsidRPr="005762E6">
              <w:rPr>
                <w:sz w:val="20"/>
                <w:szCs w:val="20"/>
              </w:rPr>
              <w:br/>
              <w:t>*patient counseling,​*patient information,​pharmacy,​pyrethrum/cb [Drug Combination],​review,​*self-medication,​smoking cessation,​activated carbon,​actron,​*analgesic agent,​*antacid agent,​*antidiarrheal agent,​butoconazole,​clotrimazole,​docusate sodium,​insulin,​ketoprofen,​*laxative,​miconazole,​minoxidil,​mylanta,​nicotine,​nicotine gum,​nizatidine,​*nonprescription drug,​piperonyl butoxide/cb [Drug Combination],​ranitidine,​*topical agent,​unclassified drug,​insta char,​kaolectrolyte,​menthacin,​methocidin,​pronto</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206FDE32"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CC03E6D" w14:textId="77777777" w:rsidR="00B44564" w:rsidRPr="005762E6" w:rsidRDefault="00B44564" w:rsidP="00EA69AA">
            <w:pPr>
              <w:spacing w:after="120" w:line="240" w:lineRule="auto"/>
              <w:contextualSpacing/>
              <w:rPr>
                <w:sz w:val="20"/>
                <w:szCs w:val="20"/>
              </w:rPr>
            </w:pPr>
            <w:r w:rsidRPr="005762E6">
              <w:rPr>
                <w:sz w:val="20"/>
                <w:szCs w:val="20"/>
              </w:rPr>
              <w:t>188</w:t>
            </w:r>
          </w:p>
        </w:tc>
        <w:tc>
          <w:tcPr>
            <w:tcW w:w="0" w:type="auto"/>
            <w:tcBorders>
              <w:top w:val="single" w:sz="6" w:space="0" w:color="auto"/>
              <w:left w:val="single" w:sz="6" w:space="0" w:color="auto"/>
              <w:bottom w:val="single" w:sz="6" w:space="0" w:color="auto"/>
              <w:right w:val="single" w:sz="6" w:space="0" w:color="auto"/>
            </w:tcBorders>
          </w:tcPr>
          <w:p w14:paraId="462783D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4F970F8" w14:textId="77777777" w:rsidR="00B44564" w:rsidRPr="005762E6" w:rsidRDefault="00B44564" w:rsidP="00EA69AA">
            <w:pPr>
              <w:spacing w:after="120" w:line="240" w:lineRule="auto"/>
              <w:contextualSpacing/>
              <w:rPr>
                <w:sz w:val="20"/>
                <w:szCs w:val="20"/>
              </w:rPr>
            </w:pPr>
            <w:r w:rsidRPr="005762E6">
              <w:rPr>
                <w:sz w:val="20"/>
                <w:szCs w:val="20"/>
              </w:rPr>
              <w:t>Anonymous. Minerva. British Medical Journal; 1995;310:1080.</w:t>
            </w:r>
            <w:r w:rsidRPr="005762E6">
              <w:rPr>
                <w:sz w:val="20"/>
                <w:szCs w:val="20"/>
              </w:rPr>
              <w:br/>
            </w:r>
            <w:r w:rsidRPr="005762E6">
              <w:rPr>
                <w:sz w:val="20"/>
                <w:szCs w:val="20"/>
              </w:rPr>
              <w:br/>
            </w:r>
            <w:r w:rsidRPr="005762E6">
              <w:rPr>
                <w:b/>
                <w:bCs/>
                <w:sz w:val="20"/>
                <w:szCs w:val="20"/>
              </w:rPr>
              <w:t>Keywords:</w:t>
            </w:r>
            <w:r w:rsidRPr="005762E6">
              <w:rPr>
                <w:sz w:val="20"/>
                <w:szCs w:val="20"/>
              </w:rPr>
              <w:br/>
              <w:t>alcohol blood level,​army,​behavior modification,​career,​chronic disease,​common cold/su [Surgery],​dietary intake,​*disease activity,​drug intoxication/si [Side Effect],​education,​estrogen therapy,​gene mutation,​human,​hyperglycemia/et [Etiology],​hypertension/ep [Epidemiology],​imaging,​ischemic heart disease/ep [Epidemiology],​learning disorder/di [Diagnosis],​nocturnal enuresis/dt [Drug Therapy],​nocturnal enuresis/su [Surgery],​note,​priority journal,​saliva analysis,​scald,​sex difference,​sexually transmitted disease/ep [Epidemiology],​sexually transmitted disease/pc [Prevention],​smoking,​suicide,​systemic lupus erythematosus/ep [Epidemiology],​United States,​urinary tract infection/di [Diagnosis],​urinary tract infection/et [Etiology],​alcohol,​alpha tocopherol,​argipressin/ae [Adverse Drug Reaction],​argipressin/dt [Drug Therapy],​estrogen,​menthol</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07F7E9E1"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EABE0A1" w14:textId="77777777" w:rsidR="00B44564" w:rsidRPr="005762E6" w:rsidRDefault="00B44564" w:rsidP="00EA69AA">
            <w:pPr>
              <w:spacing w:after="120" w:line="240" w:lineRule="auto"/>
              <w:contextualSpacing/>
              <w:rPr>
                <w:sz w:val="20"/>
                <w:szCs w:val="20"/>
              </w:rPr>
            </w:pPr>
            <w:r w:rsidRPr="005762E6">
              <w:rPr>
                <w:sz w:val="20"/>
                <w:szCs w:val="20"/>
              </w:rPr>
              <w:t>189</w:t>
            </w:r>
          </w:p>
        </w:tc>
        <w:tc>
          <w:tcPr>
            <w:tcW w:w="0" w:type="auto"/>
            <w:tcBorders>
              <w:top w:val="single" w:sz="6" w:space="0" w:color="auto"/>
              <w:left w:val="single" w:sz="6" w:space="0" w:color="auto"/>
              <w:bottom w:val="single" w:sz="6" w:space="0" w:color="auto"/>
              <w:right w:val="single" w:sz="6" w:space="0" w:color="auto"/>
            </w:tcBorders>
          </w:tcPr>
          <w:p w14:paraId="22D570BC"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15293AB" w14:textId="77777777" w:rsidR="00B44564" w:rsidRPr="005762E6" w:rsidRDefault="00B44564" w:rsidP="00EA69AA">
            <w:pPr>
              <w:spacing w:after="120" w:line="240" w:lineRule="auto"/>
              <w:contextualSpacing/>
              <w:rPr>
                <w:sz w:val="20"/>
                <w:szCs w:val="20"/>
              </w:rPr>
            </w:pPr>
            <w:r w:rsidRPr="005762E6">
              <w:rPr>
                <w:sz w:val="20"/>
                <w:szCs w:val="20"/>
              </w:rPr>
              <w:t xml:space="preserve">Royce </w:t>
            </w:r>
            <w:proofErr w:type="gramStart"/>
            <w:r w:rsidRPr="005762E6">
              <w:rPr>
                <w:sz w:val="20"/>
                <w:szCs w:val="20"/>
              </w:rPr>
              <w:t>J.M.,​</w:t>
            </w:r>
            <w:proofErr w:type="gramEnd"/>
            <w:r w:rsidRPr="005762E6">
              <w:rPr>
                <w:sz w:val="20"/>
                <w:szCs w:val="20"/>
              </w:rPr>
              <w:t xml:space="preserve">Hymowitz N.,​Corbett K.,​Hartwell T.D.,​Orlandi M.A. Smoking cessation factors among African Americans and Whites. American Journal of Public Health; </w:t>
            </w:r>
            <w:proofErr w:type="gramStart"/>
            <w:r w:rsidRPr="005762E6">
              <w:rPr>
                <w:sz w:val="20"/>
                <w:szCs w:val="20"/>
              </w:rPr>
              <w:t>1993;83:220</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adult,​article,​Caucasian,​community care,​*ethnic difference,​female,​human,​male,​Negro,​normal human,​priority journal,​*smoking cessation,​smoking habit,​social problem,​socioeconomics,​*tobacco/to [Drug Toxicity]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Objectives. This study was undertaken to explore smoking patterns and attitudes that influence smoking cessation and relapse among African Americans. Methods. Baseline data from eight Community </w:t>
            </w:r>
            <w:r w:rsidRPr="005762E6">
              <w:rPr>
                <w:sz w:val="20"/>
                <w:szCs w:val="20"/>
              </w:rPr>
              <w:lastRenderedPageBreak/>
              <w:t xml:space="preserve">Intervention Trial for Smoking Cessation (COMMIT) sites were analyzed. Results. Compared with </w:t>
            </w:r>
            <w:proofErr w:type="gramStart"/>
            <w:r w:rsidRPr="005762E6">
              <w:rPr>
                <w:sz w:val="20"/>
                <w:szCs w:val="20"/>
              </w:rPr>
              <w:t>Whites,​</w:t>
            </w:r>
            <w:proofErr w:type="gramEnd"/>
            <w:r w:rsidRPr="005762E6">
              <w:rPr>
                <w:sz w:val="20"/>
                <w:szCs w:val="20"/>
              </w:rPr>
              <w:t xml:space="preserve"> African Americans who smoke less than 25 cigarettes per day were 1.6 times more likely to smoke within 10 minutes of awakening (a behavioral indicator of nicotine dependence),​ adjusting for education,​ age,​ and gender (OR=1.2 for heavier smokers). African Americans reported a stronger desire to quit smoking and reported serious quit attempts in the past year. African Americans favored tobacco restrictions (they were 1.8 times more likely than Whites to view smoking as a serious community </w:t>
            </w:r>
            <w:proofErr w:type="gramStart"/>
            <w:r w:rsidRPr="005762E6">
              <w:rPr>
                <w:sz w:val="20"/>
                <w:szCs w:val="20"/>
              </w:rPr>
              <w:t>problem,​</w:t>
            </w:r>
            <w:proofErr w:type="gramEnd"/>
            <w:r w:rsidRPr="005762E6">
              <w:rPr>
                <w:sz w:val="20"/>
                <w:szCs w:val="20"/>
              </w:rPr>
              <w:t xml:space="preserve"> 1.7 times more likely to favor restrictions on cigarette vending machines,​ and 2.1 times more likely to prohibit smoking in their car). African Americans were lighter/</w:t>
            </w:r>
            <w:proofErr w:type="gramStart"/>
            <w:r w:rsidRPr="005762E6">
              <w:rPr>
                <w:sz w:val="20"/>
                <w:szCs w:val="20"/>
              </w:rPr>
              <w:t>moderate,​</w:t>
            </w:r>
            <w:proofErr w:type="gramEnd"/>
            <w:r w:rsidRPr="005762E6">
              <w:rPr>
                <w:sz w:val="20"/>
                <w:szCs w:val="20"/>
              </w:rPr>
              <w:t xml:space="preserve"> menthol smokers. Conclusions. African Americans find smoking socially unacceptable and are strongly motivated to </w:t>
            </w:r>
            <w:proofErr w:type="gramStart"/>
            <w:r w:rsidRPr="005762E6">
              <w:rPr>
                <w:sz w:val="20"/>
                <w:szCs w:val="20"/>
              </w:rPr>
              <w:t>quit,​</w:t>
            </w:r>
            <w:proofErr w:type="gramEnd"/>
            <w:r w:rsidRPr="005762E6">
              <w:rPr>
                <w:sz w:val="20"/>
                <w:szCs w:val="20"/>
              </w:rPr>
              <w:t xml:space="preserve"> but their 'wake-up' smoking may indicate high nicotine dependence,​ making abstinence difficult even for lighter smokers.</w:t>
            </w:r>
          </w:p>
        </w:tc>
      </w:tr>
      <w:tr w:rsidR="00B44564" w:rsidRPr="005762E6" w14:paraId="2252AEDA"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CD41FCC" w14:textId="77777777" w:rsidR="00B44564" w:rsidRPr="005762E6" w:rsidRDefault="00B44564" w:rsidP="00EA69AA">
            <w:pPr>
              <w:spacing w:after="120" w:line="240" w:lineRule="auto"/>
              <w:contextualSpacing/>
              <w:rPr>
                <w:sz w:val="20"/>
                <w:szCs w:val="20"/>
              </w:rPr>
            </w:pPr>
            <w:r w:rsidRPr="005762E6">
              <w:rPr>
                <w:sz w:val="20"/>
                <w:szCs w:val="20"/>
              </w:rPr>
              <w:lastRenderedPageBreak/>
              <w:t>190</w:t>
            </w:r>
          </w:p>
        </w:tc>
        <w:tc>
          <w:tcPr>
            <w:tcW w:w="0" w:type="auto"/>
            <w:tcBorders>
              <w:top w:val="single" w:sz="6" w:space="0" w:color="auto"/>
              <w:left w:val="single" w:sz="6" w:space="0" w:color="auto"/>
              <w:bottom w:val="single" w:sz="6" w:space="0" w:color="auto"/>
              <w:right w:val="single" w:sz="6" w:space="0" w:color="auto"/>
            </w:tcBorders>
          </w:tcPr>
          <w:p w14:paraId="00D4C4C2"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D8CEC50" w14:textId="77777777" w:rsidR="00B44564" w:rsidRPr="005762E6" w:rsidRDefault="00B44564" w:rsidP="00EA69AA">
            <w:pPr>
              <w:spacing w:after="120" w:line="240" w:lineRule="auto"/>
              <w:contextualSpacing/>
              <w:rPr>
                <w:sz w:val="20"/>
                <w:szCs w:val="20"/>
              </w:rPr>
            </w:pPr>
            <w:r w:rsidRPr="005762E6">
              <w:rPr>
                <w:sz w:val="20"/>
                <w:szCs w:val="20"/>
              </w:rPr>
              <w:t xml:space="preserve">Sidney </w:t>
            </w:r>
            <w:proofErr w:type="gramStart"/>
            <w:r w:rsidRPr="005762E6">
              <w:rPr>
                <w:sz w:val="20"/>
                <w:szCs w:val="20"/>
              </w:rPr>
              <w:t>S.,​</w:t>
            </w:r>
            <w:proofErr w:type="gramEnd"/>
            <w:r w:rsidRPr="005762E6">
              <w:rPr>
                <w:sz w:val="20"/>
                <w:szCs w:val="20"/>
              </w:rPr>
              <w:t xml:space="preserve">Tekawa I.,​Friedman G.D. Mentholated cigarette use among multiphasic examinees,​ 1979-86. American Journal of Public Health; </w:t>
            </w:r>
            <w:proofErr w:type="gramStart"/>
            <w:r w:rsidRPr="005762E6">
              <w:rPr>
                <w:sz w:val="20"/>
                <w:szCs w:val="20"/>
              </w:rPr>
              <w:t>1989;79:1415</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age,​*cancer risk,​*cigarette smoking,​epidemiology,​ethnic or racial aspects,​female,​human,​male,​priority journal,​*race,​United States,​*menthol</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Mentholated cigarette use was studied in relation to age and race in 29,​037 current smokers who were Kaiser Permanente Medical Care Program members. The percentages of mentholated cigarette users were much higher in Blacks and Asians than in </w:t>
            </w:r>
            <w:proofErr w:type="gramStart"/>
            <w:r w:rsidRPr="005762E6">
              <w:rPr>
                <w:sz w:val="20"/>
                <w:szCs w:val="20"/>
              </w:rPr>
              <w:t>Whites,​</w:t>
            </w:r>
            <w:proofErr w:type="gramEnd"/>
            <w:r w:rsidRPr="005762E6">
              <w:rPr>
                <w:sz w:val="20"/>
                <w:szCs w:val="20"/>
              </w:rPr>
              <w:t xml:space="preserve"> especially in the younger age groups. A marked inverse relationship between mentholated cigarette use and age was present in Blacks and Asians; mentholated cigarette use showed little difference with age in Whites.</w:t>
            </w:r>
          </w:p>
        </w:tc>
      </w:tr>
      <w:tr w:rsidR="00B44564" w:rsidRPr="005762E6" w14:paraId="7B7B3A25"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90AB4E4" w14:textId="77777777" w:rsidR="00B44564" w:rsidRPr="005762E6" w:rsidRDefault="00B44564" w:rsidP="00EA69AA">
            <w:pPr>
              <w:spacing w:after="120" w:line="240" w:lineRule="auto"/>
              <w:contextualSpacing/>
              <w:rPr>
                <w:sz w:val="20"/>
                <w:szCs w:val="20"/>
              </w:rPr>
            </w:pPr>
            <w:r w:rsidRPr="005762E6">
              <w:rPr>
                <w:sz w:val="20"/>
                <w:szCs w:val="20"/>
              </w:rPr>
              <w:t>191</w:t>
            </w:r>
          </w:p>
        </w:tc>
        <w:tc>
          <w:tcPr>
            <w:tcW w:w="0" w:type="auto"/>
            <w:tcBorders>
              <w:top w:val="single" w:sz="6" w:space="0" w:color="auto"/>
              <w:left w:val="single" w:sz="6" w:space="0" w:color="auto"/>
              <w:bottom w:val="single" w:sz="6" w:space="0" w:color="auto"/>
              <w:right w:val="single" w:sz="6" w:space="0" w:color="auto"/>
            </w:tcBorders>
          </w:tcPr>
          <w:p w14:paraId="0ACA648D"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18020E9" w14:textId="77777777" w:rsidR="00B44564" w:rsidRPr="005762E6" w:rsidRDefault="00B44564" w:rsidP="00EA69AA">
            <w:pPr>
              <w:spacing w:after="120" w:line="240" w:lineRule="auto"/>
              <w:contextualSpacing/>
              <w:rPr>
                <w:sz w:val="20"/>
                <w:szCs w:val="20"/>
              </w:rPr>
            </w:pPr>
            <w:r w:rsidRPr="005762E6">
              <w:rPr>
                <w:sz w:val="20"/>
                <w:szCs w:val="20"/>
              </w:rPr>
              <w:t xml:space="preserve">McCarthy </w:t>
            </w:r>
            <w:proofErr w:type="gramStart"/>
            <w:r w:rsidRPr="005762E6">
              <w:rPr>
                <w:sz w:val="20"/>
                <w:szCs w:val="20"/>
              </w:rPr>
              <w:t>W.J.,​</w:t>
            </w:r>
            <w:proofErr w:type="gramEnd"/>
            <w:r w:rsidRPr="005762E6">
              <w:rPr>
                <w:sz w:val="20"/>
                <w:szCs w:val="20"/>
              </w:rPr>
              <w:t xml:space="preserve">Caskey N.H.,​Jarvik M.E.,​Perez-Stable E.J.,​Marin B.,​Marin G.,​Benowitz N.,​Wagenknecht L.E.,​Haley N.J.,​Jacobs Jr. D.R. Ethnic differences in nicotine exposure [1]. American Journal of Public Health; </w:t>
            </w:r>
            <w:proofErr w:type="gramStart"/>
            <w:r w:rsidRPr="005762E6">
              <w:rPr>
                <w:sz w:val="20"/>
                <w:szCs w:val="20"/>
              </w:rPr>
              <w:t>1992;82:1171</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*cigarette smoking,​environmental exposure,​human,​inhalation,​letter,​metabolism,​priority journal,​*race difference,​*cotinine/ec [Endogenous Compound],​*menthol,​*nicotine,​tobacco smoke</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504A5257"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172A3CA" w14:textId="77777777" w:rsidR="00B44564" w:rsidRPr="005762E6" w:rsidRDefault="00B44564" w:rsidP="00EA69AA">
            <w:pPr>
              <w:spacing w:after="120" w:line="240" w:lineRule="auto"/>
              <w:contextualSpacing/>
              <w:rPr>
                <w:sz w:val="20"/>
                <w:szCs w:val="20"/>
              </w:rPr>
            </w:pPr>
            <w:r w:rsidRPr="005762E6">
              <w:rPr>
                <w:sz w:val="20"/>
                <w:szCs w:val="20"/>
              </w:rPr>
              <w:t>192</w:t>
            </w:r>
          </w:p>
        </w:tc>
        <w:tc>
          <w:tcPr>
            <w:tcW w:w="0" w:type="auto"/>
            <w:tcBorders>
              <w:top w:val="single" w:sz="6" w:space="0" w:color="auto"/>
              <w:left w:val="single" w:sz="6" w:space="0" w:color="auto"/>
              <w:bottom w:val="single" w:sz="6" w:space="0" w:color="auto"/>
              <w:right w:val="single" w:sz="6" w:space="0" w:color="auto"/>
            </w:tcBorders>
          </w:tcPr>
          <w:p w14:paraId="66024A15"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0E0EF55" w14:textId="77777777" w:rsidR="00B44564" w:rsidRPr="005762E6" w:rsidRDefault="00B44564" w:rsidP="00EA69AA">
            <w:pPr>
              <w:spacing w:after="120" w:line="240" w:lineRule="auto"/>
              <w:contextualSpacing/>
              <w:rPr>
                <w:sz w:val="20"/>
                <w:szCs w:val="20"/>
              </w:rPr>
            </w:pPr>
            <w:r w:rsidRPr="005762E6">
              <w:rPr>
                <w:sz w:val="20"/>
                <w:szCs w:val="20"/>
              </w:rPr>
              <w:t xml:space="preserve">Kabat </w:t>
            </w:r>
            <w:proofErr w:type="gramStart"/>
            <w:r w:rsidRPr="005762E6">
              <w:rPr>
                <w:sz w:val="20"/>
                <w:szCs w:val="20"/>
              </w:rPr>
              <w:t>G.C.,​</w:t>
            </w:r>
            <w:proofErr w:type="gramEnd"/>
            <w:r w:rsidRPr="005762E6">
              <w:rPr>
                <w:sz w:val="20"/>
                <w:szCs w:val="20"/>
              </w:rPr>
              <w:t>Morabia A.,​Wynder E.L. Comparison of smoking habits of Blacks and Whites in a case-control study. American Journal of Public Health; 1991;81:1483.</w:t>
            </w:r>
            <w:r w:rsidRPr="005762E6">
              <w:rPr>
                <w:sz w:val="20"/>
                <w:szCs w:val="20"/>
              </w:rPr>
              <w:br/>
            </w:r>
            <w:r w:rsidRPr="005762E6">
              <w:rPr>
                <w:sz w:val="20"/>
                <w:szCs w:val="20"/>
              </w:rPr>
              <w:br/>
            </w:r>
            <w:r w:rsidRPr="005762E6">
              <w:rPr>
                <w:b/>
                <w:bCs/>
                <w:sz w:val="20"/>
                <w:szCs w:val="20"/>
              </w:rPr>
              <w:t>Keywords:</w:t>
            </w:r>
            <w:r w:rsidRPr="005762E6">
              <w:rPr>
                <w:sz w:val="20"/>
                <w:szCs w:val="20"/>
              </w:rPr>
              <w:br/>
              <w:t>adult,​aged,​article,​case control study,​controlled study,​*heart infarction/ep [Epidemiology],​*heart infarction/et [Etiology],​human,​*larynx cancer/ep [Epidemiology],​*larynx cancer/et [Etiology],​*lung cancer/ep [Epidemiology],​*lung cancer/et [Etiology],​male,​*mouth cancer/ep [Epidemiology],​*mouth cancer/et [Etiology],​normal human,​priority journal,​questionnaire,​*race difference,​*smoking habit,​socioeconomics,​United States,​*menthol/to [Drug Toxicity],​*tar/to [Drug Toxicity]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Information from Blacks and Whites interviewed in a case-control study of tobacco-related diseases was analyzed to identify explanatory factors for racial differences in smoking habits. Blacks were three times more likely to be light vs heavy smokers. This association did not differ according to such variables as cigarette </w:t>
            </w:r>
            <w:proofErr w:type="gramStart"/>
            <w:r w:rsidRPr="005762E6">
              <w:rPr>
                <w:sz w:val="20"/>
                <w:szCs w:val="20"/>
              </w:rPr>
              <w:t>preference,​</w:t>
            </w:r>
            <w:proofErr w:type="gramEnd"/>
            <w:r w:rsidRPr="005762E6">
              <w:rPr>
                <w:sz w:val="20"/>
                <w:szCs w:val="20"/>
              </w:rPr>
              <w:t xml:space="preserve"> degree of inhalation,​ or quitting. The association of race and light smoking was present in both current and ex-smokers. Sociodemographic or smoking-related characteristics do not appear to explain racial differences in smoking habits. Future studies should focus on cultural factors influencing smoking behavior.</w:t>
            </w:r>
          </w:p>
        </w:tc>
      </w:tr>
      <w:tr w:rsidR="00B44564" w:rsidRPr="005762E6" w14:paraId="44AC7410"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E45B1DE" w14:textId="77777777" w:rsidR="00B44564" w:rsidRPr="005762E6" w:rsidRDefault="00B44564" w:rsidP="00EA69AA">
            <w:pPr>
              <w:spacing w:after="120" w:line="240" w:lineRule="auto"/>
              <w:contextualSpacing/>
              <w:rPr>
                <w:sz w:val="20"/>
                <w:szCs w:val="20"/>
              </w:rPr>
            </w:pPr>
            <w:r w:rsidRPr="005762E6">
              <w:rPr>
                <w:sz w:val="20"/>
                <w:szCs w:val="20"/>
              </w:rPr>
              <w:t>194</w:t>
            </w:r>
          </w:p>
        </w:tc>
        <w:tc>
          <w:tcPr>
            <w:tcW w:w="0" w:type="auto"/>
            <w:tcBorders>
              <w:top w:val="single" w:sz="6" w:space="0" w:color="auto"/>
              <w:left w:val="single" w:sz="6" w:space="0" w:color="auto"/>
              <w:bottom w:val="single" w:sz="6" w:space="0" w:color="auto"/>
              <w:right w:val="single" w:sz="6" w:space="0" w:color="auto"/>
            </w:tcBorders>
          </w:tcPr>
          <w:p w14:paraId="62C563EB"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9971925" w14:textId="77777777" w:rsidR="00B44564" w:rsidRPr="005762E6" w:rsidRDefault="00B44564" w:rsidP="00EA69AA">
            <w:pPr>
              <w:spacing w:after="120" w:line="240" w:lineRule="auto"/>
              <w:contextualSpacing/>
              <w:rPr>
                <w:sz w:val="20"/>
                <w:szCs w:val="20"/>
              </w:rPr>
            </w:pPr>
            <w:r w:rsidRPr="005762E6">
              <w:rPr>
                <w:sz w:val="20"/>
                <w:szCs w:val="20"/>
              </w:rPr>
              <w:t xml:space="preserve">Hill </w:t>
            </w:r>
            <w:proofErr w:type="gramStart"/>
            <w:r w:rsidRPr="005762E6">
              <w:rPr>
                <w:sz w:val="20"/>
                <w:szCs w:val="20"/>
              </w:rPr>
              <w:t>R.M.,​</w:t>
            </w:r>
            <w:proofErr w:type="gramEnd"/>
            <w:r w:rsidRPr="005762E6">
              <w:rPr>
                <w:sz w:val="20"/>
                <w:szCs w:val="20"/>
              </w:rPr>
              <w:t>Tennyson L.M. The effect of maternal allergy medications on the fetus. Immunology and Allergy Practice; 1985;7:80.</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lastRenderedPageBreak/>
              <w:t>*adverse drug reaction,​*allergy,​*chemical teratogenesis,​congenital disorder,​embryo,​*embryotoxicity,​*fetus,​human,​intoxication,​pregnancy,​*prenatal drug exposure,​short survey,​*teratogenesis,​*acetylsalicylic acid,​*alcohol,​*aminophylline,​*ammonium chloride,​*ampicillin,​*antibiotic agent,​*antihistaminic agent,​*atropine,​*barbituric acid derivative,​*belladonna alkaloid,​*betamethasone,​*bromodiphenhydramine,​*brompheniramine,​*bronchodilating agent,​*caffeine,​*caramiphen,​*carbamazepine,​*cefaloridine,​*chlorpheniramine,​*cimetidine,​*codeine sulfate,​*danazol,​*dextromethorphan,​diphenhydramine,​*doxylamine,​*ephedrine,​*fenoterol,​*hexoprenaline,​*hydrocortisone,​*immunostimulating agent,​*immunosuppressive agent,​*iodine,​*isoxsuprine,​*menthol,​*mepyramine,​*nalidixic acid,​*oral contraceptive agent,​*oxymetazoline,​*paracetamol,​*phenacetin,​*phenobarbital,​*phenothiazine derivative,​*phenylephrine,​*phenylpropanolamine,​*phenytoin,​*prednisone,​*pseudoephedrine,​*rifampicin,​*ritodrine,​*salbutamol,​*scopolamine,​*sulfanilamide derivative,​*terbutaline,​*tetracycline,​*theophylline,​*tobacco smoke,​*xylometazoline</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1D3147EE"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6ED5890" w14:textId="77777777" w:rsidR="00B44564" w:rsidRPr="005762E6" w:rsidRDefault="00B44564" w:rsidP="00EA69AA">
            <w:pPr>
              <w:spacing w:after="120" w:line="240" w:lineRule="auto"/>
              <w:contextualSpacing/>
              <w:rPr>
                <w:sz w:val="20"/>
                <w:szCs w:val="20"/>
              </w:rPr>
            </w:pPr>
            <w:r w:rsidRPr="005762E6">
              <w:rPr>
                <w:sz w:val="20"/>
                <w:szCs w:val="20"/>
              </w:rPr>
              <w:lastRenderedPageBreak/>
              <w:t>197</w:t>
            </w:r>
          </w:p>
        </w:tc>
        <w:tc>
          <w:tcPr>
            <w:tcW w:w="0" w:type="auto"/>
            <w:tcBorders>
              <w:top w:val="single" w:sz="6" w:space="0" w:color="auto"/>
              <w:left w:val="single" w:sz="6" w:space="0" w:color="auto"/>
              <w:bottom w:val="single" w:sz="6" w:space="0" w:color="auto"/>
              <w:right w:val="single" w:sz="6" w:space="0" w:color="auto"/>
            </w:tcBorders>
          </w:tcPr>
          <w:p w14:paraId="7A6B627A"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4ADDE2E" w14:textId="77777777" w:rsidR="00B44564" w:rsidRPr="005762E6" w:rsidRDefault="00B44564" w:rsidP="00EA69AA">
            <w:pPr>
              <w:spacing w:after="120" w:line="240" w:lineRule="auto"/>
              <w:contextualSpacing/>
              <w:rPr>
                <w:sz w:val="20"/>
                <w:szCs w:val="20"/>
              </w:rPr>
            </w:pPr>
            <w:r w:rsidRPr="005762E6">
              <w:rPr>
                <w:sz w:val="20"/>
                <w:szCs w:val="20"/>
              </w:rPr>
              <w:t>Fisher A.A. Reports from the second international contact dermatitis symposium. Part III. Cutis; 1978;22:272.</w:t>
            </w:r>
            <w:r w:rsidRPr="005762E6">
              <w:rPr>
                <w:sz w:val="20"/>
                <w:szCs w:val="20"/>
              </w:rPr>
              <w:br/>
            </w:r>
            <w:r w:rsidRPr="005762E6">
              <w:rPr>
                <w:sz w:val="20"/>
                <w:szCs w:val="20"/>
              </w:rPr>
              <w:br/>
            </w:r>
            <w:r w:rsidRPr="005762E6">
              <w:rPr>
                <w:b/>
                <w:bCs/>
                <w:sz w:val="20"/>
                <w:szCs w:val="20"/>
              </w:rPr>
              <w:t>Keywords:</w:t>
            </w:r>
            <w:r w:rsidRPr="005762E6">
              <w:rPr>
                <w:sz w:val="20"/>
                <w:szCs w:val="20"/>
              </w:rPr>
              <w:br/>
              <w:t>abstract report,​animal experiment,​*contact dermatitis,​*dander,​*diagnosis,​*drug cross reactivity,​*drug induced disease,​*drug screening,​*guinea pig,​*human,​human cell,​normal human,​*patch test,​*skin,​therapy,​*benzoic acid derivative,​*borate sodium,​*chlormethine,​*chromic acid,​*citraconic anhydride,​*cosmetic,​*cyclohexanol,​*ethoxyquin,​*ethylene glycol,​*formaldehyde,​*hexachlorophene,​*hexylene glycol,​*hypochlorite sodium,​*lanolin,​*menthol,​*morpholine,​*oxyphenbutazone,​*phenazone,​*phenylbutazone,​*phenylenediamine,​*polyamine,​*rubber,​*sulfinpyrazone,​*tear gas,​*thiomersal,​*tobacco smoke,​*tricresyl phosphate,​*triethanolamine,​unclassified drug,​*alpha methylene butyrolactone,​*aminophenazone derivative,​*benzotriazole,​butazolidone,​*cecanoic acid,​*emulgator t 17,​*persulfate ammonium</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013AC202"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6A1384D" w14:textId="77777777" w:rsidR="00B44564" w:rsidRPr="005762E6" w:rsidRDefault="00B44564" w:rsidP="00EA69AA">
            <w:pPr>
              <w:spacing w:after="120" w:line="240" w:lineRule="auto"/>
              <w:contextualSpacing/>
              <w:rPr>
                <w:sz w:val="20"/>
                <w:szCs w:val="20"/>
              </w:rPr>
            </w:pPr>
            <w:r w:rsidRPr="005762E6">
              <w:rPr>
                <w:sz w:val="20"/>
                <w:szCs w:val="20"/>
              </w:rPr>
              <w:t>198</w:t>
            </w:r>
          </w:p>
        </w:tc>
        <w:tc>
          <w:tcPr>
            <w:tcW w:w="0" w:type="auto"/>
            <w:tcBorders>
              <w:top w:val="single" w:sz="6" w:space="0" w:color="auto"/>
              <w:left w:val="single" w:sz="6" w:space="0" w:color="auto"/>
              <w:bottom w:val="single" w:sz="6" w:space="0" w:color="auto"/>
              <w:right w:val="single" w:sz="6" w:space="0" w:color="auto"/>
            </w:tcBorders>
          </w:tcPr>
          <w:p w14:paraId="71F99658"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F09ACE7" w14:textId="0E17B113" w:rsidR="00B44564" w:rsidRPr="005762E6" w:rsidRDefault="00B44564" w:rsidP="00EA69AA">
            <w:pPr>
              <w:spacing w:after="120" w:line="240" w:lineRule="auto"/>
              <w:contextualSpacing/>
              <w:rPr>
                <w:sz w:val="20"/>
                <w:szCs w:val="20"/>
              </w:rPr>
            </w:pPr>
            <w:r w:rsidRPr="005762E6">
              <w:rPr>
                <w:sz w:val="20"/>
                <w:szCs w:val="20"/>
              </w:rPr>
              <w:t xml:space="preserve">Ziment I. Mucokinesis the methodology of moving mucus. </w:t>
            </w:r>
            <w:r w:rsidR="007F2F01" w:rsidRPr="007F2F01">
              <w:rPr>
                <w:sz w:val="20"/>
                <w:szCs w:val="20"/>
              </w:rPr>
              <w:t xml:space="preserve">Respir </w:t>
            </w:r>
            <w:proofErr w:type="spellStart"/>
            <w:r w:rsidR="007F2F01" w:rsidRPr="007F2F01">
              <w:rPr>
                <w:sz w:val="20"/>
                <w:szCs w:val="20"/>
              </w:rPr>
              <w:t>Ther</w:t>
            </w:r>
            <w:proofErr w:type="spellEnd"/>
            <w:r w:rsidRPr="005762E6">
              <w:rPr>
                <w:sz w:val="20"/>
                <w:szCs w:val="20"/>
              </w:rPr>
              <w:t>; 1974;4:15.</w:t>
            </w:r>
            <w:r w:rsidRPr="005762E6">
              <w:rPr>
                <w:sz w:val="20"/>
                <w:szCs w:val="20"/>
              </w:rPr>
              <w:br/>
            </w:r>
            <w:r w:rsidRPr="005762E6">
              <w:rPr>
                <w:sz w:val="20"/>
                <w:szCs w:val="20"/>
              </w:rPr>
              <w:br/>
            </w:r>
            <w:r w:rsidRPr="005762E6">
              <w:rPr>
                <w:b/>
                <w:bCs/>
                <w:sz w:val="20"/>
                <w:szCs w:val="20"/>
              </w:rPr>
              <w:t>Keywords:</w:t>
            </w:r>
            <w:r w:rsidRPr="005762E6">
              <w:rPr>
                <w:sz w:val="20"/>
                <w:szCs w:val="20"/>
              </w:rPr>
              <w:br/>
              <w:t>*bronchus mucosa,​*Eucalyptus,​major clinical study,​*mucolysis,​*mucus,​normal human,​*respiratory system,​*smoking,​*sputum,​theoretical study,​*acetylcysteine,​*alcohol,​*apomorphine,​*benzoin,​*bicarbonate,​*bromhexine,​*camphor,​*carbocisteine,​*creosote,​*cysteine,​*dithiothreitol,​*expectorant agent,​*glycerol,​*guaiacol,​*guaifenesin,​*ipecac,​*menthol,​*mercaptoethanol,​*mesna,​*mucolytic agent,​*potassium iodide,​*propylene glycol,​*terpin hydrate,​*tyloxapol,​unclassified drug,​*expectoration,​*ascoxal,​*dimethylheptyltetrahydrocannabinol derivative,​*n acetylcysteamine,​tergemist</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33518D5B"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6318105" w14:textId="77777777" w:rsidR="00B44564" w:rsidRPr="005762E6" w:rsidRDefault="00B44564" w:rsidP="00EA69AA">
            <w:pPr>
              <w:spacing w:after="120" w:line="240" w:lineRule="auto"/>
              <w:contextualSpacing/>
              <w:rPr>
                <w:sz w:val="20"/>
                <w:szCs w:val="20"/>
              </w:rPr>
            </w:pPr>
            <w:r w:rsidRPr="005762E6">
              <w:rPr>
                <w:sz w:val="20"/>
                <w:szCs w:val="20"/>
              </w:rPr>
              <w:t>200</w:t>
            </w:r>
          </w:p>
        </w:tc>
        <w:tc>
          <w:tcPr>
            <w:tcW w:w="0" w:type="auto"/>
            <w:tcBorders>
              <w:top w:val="single" w:sz="6" w:space="0" w:color="auto"/>
              <w:left w:val="single" w:sz="6" w:space="0" w:color="auto"/>
              <w:bottom w:val="single" w:sz="6" w:space="0" w:color="auto"/>
              <w:right w:val="single" w:sz="6" w:space="0" w:color="auto"/>
            </w:tcBorders>
          </w:tcPr>
          <w:p w14:paraId="742F82CB"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DB99337" w14:textId="72CA8785" w:rsidR="00B44564" w:rsidRPr="005762E6" w:rsidRDefault="00B44564" w:rsidP="00EA69AA">
            <w:pPr>
              <w:spacing w:after="120" w:line="240" w:lineRule="auto"/>
              <w:contextualSpacing/>
              <w:rPr>
                <w:sz w:val="20"/>
                <w:szCs w:val="20"/>
              </w:rPr>
            </w:pPr>
            <w:r w:rsidRPr="005762E6">
              <w:rPr>
                <w:sz w:val="20"/>
                <w:szCs w:val="20"/>
              </w:rPr>
              <w:t xml:space="preserve">Lauren R </w:t>
            </w:r>
            <w:proofErr w:type="gramStart"/>
            <w:r w:rsidRPr="005762E6">
              <w:rPr>
                <w:sz w:val="20"/>
                <w:szCs w:val="20"/>
              </w:rPr>
              <w:t>Pacek,​</w:t>
            </w:r>
            <w:proofErr w:type="gramEnd"/>
            <w:r w:rsidRPr="005762E6">
              <w:rPr>
                <w:sz w:val="20"/>
                <w:szCs w:val="20"/>
              </w:rPr>
              <w:t xml:space="preserve"> Jason A Oliver,​ Maggie M Sweitzer,​ F Joseph McClernon Young adult dual combusted cigarette and e-cigarette users' anticipated responses to a nicotine reduction policy and menthol ban in combusted cigarettes</w:t>
            </w:r>
            <w:r w:rsidR="007F2F01">
              <w:rPr>
                <w:sz w:val="20"/>
                <w:szCs w:val="20"/>
              </w:rPr>
              <w:t>.</w:t>
            </w:r>
            <w:r w:rsidRPr="005762E6">
              <w:rPr>
                <w:sz w:val="20"/>
                <w:szCs w:val="20"/>
              </w:rPr>
              <w:t xml:space="preserve"> Drug and alcohol dependence; </w:t>
            </w:r>
            <w:proofErr w:type="gramStart"/>
            <w:r w:rsidRPr="005762E6">
              <w:rPr>
                <w:sz w:val="20"/>
                <w:szCs w:val="20"/>
              </w:rPr>
              <w:t>2018;194:40</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BACKGROUND: The aim of the study was to assess young adult dual e-cigarette (EC) and combusted cigarette (CC) users' anticipated responses to a hypothetical very low nicotine content product standard and menthol ban in CC.,​ METHODS: Data came from 240 young adult (18-29 years) dual CC and EC users recruited via Amazon Mechanical Turk between June 20-22,​ 2017. Descriptive statistics were used to report sample characteristics. McNemar's tests were used to assess differences between product categories in terms of anticipated responses to hypothetical regulations</w:t>
            </w:r>
            <w:proofErr w:type="gramStart"/>
            <w:r w:rsidRPr="005762E6">
              <w:rPr>
                <w:sz w:val="20"/>
                <w:szCs w:val="20"/>
              </w:rPr>
              <w:t>.,​</w:t>
            </w:r>
            <w:proofErr w:type="gramEnd"/>
            <w:r w:rsidRPr="005762E6">
              <w:rPr>
                <w:sz w:val="20"/>
                <w:szCs w:val="20"/>
              </w:rPr>
              <w:t xml:space="preserve"> RESULTS: A hypothetical very low nicotine content product standard in CC resulted in reported intentions to quit or reduce CC use and increase use of EC (p's&lt;0.001). Hypothetical restrictions regarding the availability of menthol CC resulted in marginally significant </w:t>
            </w:r>
            <w:r w:rsidRPr="005762E6">
              <w:rPr>
                <w:sz w:val="20"/>
                <w:szCs w:val="20"/>
              </w:rPr>
              <w:lastRenderedPageBreak/>
              <w:t>reported intentions to increase EC use (p = 0.080). Anticipated responses to regulation were associated with baseline EC and CC use characteristics</w:t>
            </w:r>
            <w:proofErr w:type="gramStart"/>
            <w:r w:rsidRPr="005762E6">
              <w:rPr>
                <w:sz w:val="20"/>
                <w:szCs w:val="20"/>
              </w:rPr>
              <w:t>.,​</w:t>
            </w:r>
            <w:proofErr w:type="gramEnd"/>
            <w:r w:rsidRPr="005762E6">
              <w:rPr>
                <w:sz w:val="20"/>
                <w:szCs w:val="20"/>
              </w:rPr>
              <w:t xml:space="preserve"> CONCLUSIONS: This work provides preliminary evidence of the impact that regulations regarding nicotine content and menthol in CC may have on the use of EC among young adult dual users. Copyright © 2018 Elsevier B.V. All rights reserved.</w:t>
            </w:r>
          </w:p>
        </w:tc>
      </w:tr>
      <w:tr w:rsidR="00B44564" w:rsidRPr="005762E6" w14:paraId="49068BBA"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AA8B6DF" w14:textId="77777777" w:rsidR="00B44564" w:rsidRPr="005762E6" w:rsidRDefault="00B44564" w:rsidP="00EA69AA">
            <w:pPr>
              <w:spacing w:after="120" w:line="240" w:lineRule="auto"/>
              <w:contextualSpacing/>
              <w:rPr>
                <w:sz w:val="20"/>
                <w:szCs w:val="20"/>
              </w:rPr>
            </w:pPr>
            <w:r w:rsidRPr="005762E6">
              <w:rPr>
                <w:sz w:val="20"/>
                <w:szCs w:val="20"/>
              </w:rPr>
              <w:lastRenderedPageBreak/>
              <w:t>202</w:t>
            </w:r>
          </w:p>
        </w:tc>
        <w:tc>
          <w:tcPr>
            <w:tcW w:w="0" w:type="auto"/>
            <w:tcBorders>
              <w:top w:val="single" w:sz="6" w:space="0" w:color="auto"/>
              <w:left w:val="single" w:sz="6" w:space="0" w:color="auto"/>
              <w:bottom w:val="single" w:sz="6" w:space="0" w:color="auto"/>
              <w:right w:val="single" w:sz="6" w:space="0" w:color="auto"/>
            </w:tcBorders>
          </w:tcPr>
          <w:p w14:paraId="157C688C"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0C38D09" w14:textId="5EBDF8C5" w:rsidR="00B44564" w:rsidRPr="005762E6" w:rsidRDefault="00B44564" w:rsidP="00EA69AA">
            <w:pPr>
              <w:spacing w:after="120" w:line="240" w:lineRule="auto"/>
              <w:contextualSpacing/>
              <w:rPr>
                <w:sz w:val="20"/>
                <w:szCs w:val="20"/>
              </w:rPr>
            </w:pPr>
            <w:r w:rsidRPr="005762E6">
              <w:rPr>
                <w:sz w:val="20"/>
                <w:szCs w:val="20"/>
              </w:rPr>
              <w:t xml:space="preserve">Guy </w:t>
            </w:r>
            <w:proofErr w:type="gramStart"/>
            <w:r w:rsidRPr="005762E6">
              <w:rPr>
                <w:sz w:val="20"/>
                <w:szCs w:val="20"/>
              </w:rPr>
              <w:t>Jaccard,​</w:t>
            </w:r>
            <w:proofErr w:type="gramEnd"/>
            <w:r w:rsidRPr="005762E6">
              <w:rPr>
                <w:sz w:val="20"/>
                <w:szCs w:val="20"/>
              </w:rPr>
              <w:t xml:space="preserve"> Maxim Belushkin,​ Cyril Jeannet,​ Evi Nurlaili Aldilla,​ Andry Ongko Wijoyo Investigation of menthol content and transfer rates in cigarettes and Tobacco Heating System 2.2</w:t>
            </w:r>
            <w:r w:rsidR="007F2F01">
              <w:rPr>
                <w:sz w:val="20"/>
                <w:szCs w:val="20"/>
              </w:rPr>
              <w:t>.</w:t>
            </w:r>
            <w:r w:rsidRPr="005762E6">
              <w:rPr>
                <w:sz w:val="20"/>
                <w:szCs w:val="20"/>
              </w:rPr>
              <w:t xml:space="preserve"> Regulatory toxicology and </w:t>
            </w:r>
            <w:proofErr w:type="gramStart"/>
            <w:r w:rsidRPr="005762E6">
              <w:rPr>
                <w:sz w:val="20"/>
                <w:szCs w:val="20"/>
              </w:rPr>
              <w:t>pharmacology :</w:t>
            </w:r>
            <w:proofErr w:type="gramEnd"/>
            <w:r w:rsidRPr="005762E6">
              <w:rPr>
                <w:sz w:val="20"/>
                <w:szCs w:val="20"/>
              </w:rPr>
              <w:t xml:space="preserve"> RTP; 2018;101:48.</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Menthol cigarettes account for a significant market share in many countries. </w:t>
            </w:r>
            <w:proofErr w:type="gramStart"/>
            <w:r w:rsidRPr="005762E6">
              <w:rPr>
                <w:sz w:val="20"/>
                <w:szCs w:val="20"/>
              </w:rPr>
              <w:t>However,​</w:t>
            </w:r>
            <w:proofErr w:type="gramEnd"/>
            <w:r w:rsidRPr="005762E6">
              <w:rPr>
                <w:sz w:val="20"/>
                <w:szCs w:val="20"/>
              </w:rPr>
              <w:t xml:space="preserve"> little recent data exists on menthol levels in cigarettes and in mainstream smoke,​ limited to some markets or specific cigarette designs,​ such as cigarettes containing capsules filled with flavoring liquids. Samples of mentholated cigarettes bought worldwide with a variety of cigarette designs were analyzed for menthol content in cigarettes and in cigarette mainstream smoke with two analytical machine smoking regimes. A wide range of menthol content in </w:t>
            </w:r>
            <w:proofErr w:type="gramStart"/>
            <w:r w:rsidRPr="005762E6">
              <w:rPr>
                <w:sz w:val="20"/>
                <w:szCs w:val="20"/>
              </w:rPr>
              <w:t>cigarettes,​</w:t>
            </w:r>
            <w:proofErr w:type="gramEnd"/>
            <w:r w:rsidRPr="005762E6">
              <w:rPr>
                <w:sz w:val="20"/>
                <w:szCs w:val="20"/>
              </w:rPr>
              <w:t xml:space="preserve"> from 1 to 22 mg/cigarette,​ was observed. The transfer of menthol to the cigarette mainstream smoke was generally slightly higher than the transfer of </w:t>
            </w:r>
            <w:proofErr w:type="gramStart"/>
            <w:r w:rsidRPr="005762E6">
              <w:rPr>
                <w:sz w:val="20"/>
                <w:szCs w:val="20"/>
              </w:rPr>
              <w:t>nicotine,​</w:t>
            </w:r>
            <w:proofErr w:type="gramEnd"/>
            <w:r w:rsidRPr="005762E6">
              <w:rPr>
                <w:sz w:val="20"/>
                <w:szCs w:val="20"/>
              </w:rPr>
              <w:t xml:space="preserve"> with a range of 17%-40% using an intense smoking regime and 1%-17% using the ISO smoking regime. For the Tobacco Heating System (THS) </w:t>
            </w:r>
            <w:proofErr w:type="gramStart"/>
            <w:r w:rsidRPr="005762E6">
              <w:rPr>
                <w:sz w:val="20"/>
                <w:szCs w:val="20"/>
              </w:rPr>
              <w:t>2.2,​</w:t>
            </w:r>
            <w:proofErr w:type="gramEnd"/>
            <w:r w:rsidRPr="005762E6">
              <w:rPr>
                <w:sz w:val="20"/>
                <w:szCs w:val="20"/>
              </w:rPr>
              <w:t xml:space="preserve"> the menthol content was 12.8 mg/stick,​ and the transfer of menthol into the aerosol was about 17% with the ISO intense smoking regime,​ similar to the transfer of nicotine. The menthol content of the novel product THS 2.2 corresponds to the midpoint of the menthol content range of </w:t>
            </w:r>
            <w:proofErr w:type="gramStart"/>
            <w:r w:rsidRPr="005762E6">
              <w:rPr>
                <w:sz w:val="20"/>
                <w:szCs w:val="20"/>
              </w:rPr>
              <w:t>cigarettes,​</w:t>
            </w:r>
            <w:proofErr w:type="gramEnd"/>
            <w:r w:rsidRPr="005762E6">
              <w:rPr>
                <w:sz w:val="20"/>
                <w:szCs w:val="20"/>
              </w:rPr>
              <w:t xml:space="preserve"> and the transfer of menthol to its aerosol is in the low range of cigarette menthol transfer. Copyright © 2018 The Authors. Published by Elsevier Inc. All rights reserved.</w:t>
            </w:r>
          </w:p>
        </w:tc>
      </w:tr>
      <w:tr w:rsidR="00B44564" w:rsidRPr="005762E6" w14:paraId="72B4DB45"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B2B4945" w14:textId="77777777" w:rsidR="00B44564" w:rsidRPr="005762E6" w:rsidRDefault="00B44564" w:rsidP="00EA69AA">
            <w:pPr>
              <w:spacing w:after="120" w:line="240" w:lineRule="auto"/>
              <w:contextualSpacing/>
              <w:rPr>
                <w:sz w:val="20"/>
                <w:szCs w:val="20"/>
              </w:rPr>
            </w:pPr>
            <w:r w:rsidRPr="005762E6">
              <w:rPr>
                <w:sz w:val="20"/>
                <w:szCs w:val="20"/>
              </w:rPr>
              <w:t>206</w:t>
            </w:r>
          </w:p>
        </w:tc>
        <w:tc>
          <w:tcPr>
            <w:tcW w:w="0" w:type="auto"/>
            <w:tcBorders>
              <w:top w:val="single" w:sz="6" w:space="0" w:color="auto"/>
              <w:left w:val="single" w:sz="6" w:space="0" w:color="auto"/>
              <w:bottom w:val="single" w:sz="6" w:space="0" w:color="auto"/>
              <w:right w:val="single" w:sz="6" w:space="0" w:color="auto"/>
            </w:tcBorders>
          </w:tcPr>
          <w:p w14:paraId="66A6A8B7"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2A36DB7" w14:textId="38FD765B" w:rsidR="00B44564" w:rsidRPr="005762E6" w:rsidRDefault="00B44564" w:rsidP="00EA69AA">
            <w:pPr>
              <w:spacing w:after="120" w:line="240" w:lineRule="auto"/>
              <w:contextualSpacing/>
              <w:rPr>
                <w:sz w:val="20"/>
                <w:szCs w:val="20"/>
              </w:rPr>
            </w:pPr>
            <w:r w:rsidRPr="005762E6">
              <w:rPr>
                <w:sz w:val="20"/>
                <w:szCs w:val="20"/>
              </w:rPr>
              <w:t xml:space="preserve">John </w:t>
            </w:r>
            <w:proofErr w:type="gramStart"/>
            <w:r w:rsidRPr="005762E6">
              <w:rPr>
                <w:sz w:val="20"/>
                <w:szCs w:val="20"/>
              </w:rPr>
              <w:t>Buckell,​</w:t>
            </w:r>
            <w:proofErr w:type="gramEnd"/>
            <w:r w:rsidRPr="005762E6">
              <w:rPr>
                <w:sz w:val="20"/>
                <w:szCs w:val="20"/>
              </w:rPr>
              <w:t xml:space="preserve"> Joachim Marti,​ Jody L Sindelar Should flavours be banned in cigarettes and e-cigarettes? Evidence on adult smokers and recent quitters from a discrete choice experiment</w:t>
            </w:r>
            <w:r w:rsidR="007F2F01">
              <w:rPr>
                <w:sz w:val="20"/>
                <w:szCs w:val="20"/>
              </w:rPr>
              <w:t>.</w:t>
            </w:r>
            <w:r w:rsidRPr="005762E6">
              <w:rPr>
                <w:sz w:val="20"/>
                <w:szCs w:val="20"/>
              </w:rPr>
              <w:t xml:space="preserve"> Tobacco control; 2018;:</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OBJECTIVES: To provide the policy-relevant estimates of impacts of alternative flavour bans on preferences and demand for cigarettes and e-cigarettes in adult smokers and recent quitters</w:t>
            </w:r>
            <w:proofErr w:type="gramStart"/>
            <w:r w:rsidRPr="005762E6">
              <w:rPr>
                <w:sz w:val="20"/>
                <w:szCs w:val="20"/>
              </w:rPr>
              <w:t>.,​</w:t>
            </w:r>
            <w:proofErr w:type="gramEnd"/>
            <w:r w:rsidRPr="005762E6">
              <w:rPr>
                <w:sz w:val="20"/>
                <w:szCs w:val="20"/>
              </w:rPr>
              <w:t xml:space="preserve"> METHODS: A best-best discrete choice experiment (DCE) is used to elicit smokers' and recent quitters' preferences for flavours,​ price,​ health impact and nicotine level in cigarettes and e-cigarettes. Choice of tobacco products and an opt-out option were examined. An efficient design yielded 36 choice sets. Exploded logit choice models were estimated. Flavour bans are modelled by restricting flavour coefficients in the estimated model</w:t>
            </w:r>
            <w:proofErr w:type="gramStart"/>
            <w:r w:rsidRPr="005762E6">
              <w:rPr>
                <w:sz w:val="20"/>
                <w:szCs w:val="20"/>
              </w:rPr>
              <w:t>.,​</w:t>
            </w:r>
            <w:proofErr w:type="gramEnd"/>
            <w:r w:rsidRPr="005762E6">
              <w:rPr>
                <w:sz w:val="20"/>
                <w:szCs w:val="20"/>
              </w:rPr>
              <w:t xml:space="preserve"> SETTING AND PARTICIPANTS: A sample of 2031 adult smokers and recent quitters was recruited to complete an online survey and DCE.,​ RESULTS: Current smokers and recent quitters,​ on average,​ prefer cigarettes and menthol cigarettes over flavoured e-cigarettes. </w:t>
            </w:r>
            <w:proofErr w:type="gramStart"/>
            <w:r w:rsidRPr="005762E6">
              <w:rPr>
                <w:sz w:val="20"/>
                <w:szCs w:val="20"/>
              </w:rPr>
              <w:t>However,​</w:t>
            </w:r>
            <w:proofErr w:type="gramEnd"/>
            <w:r w:rsidRPr="005762E6">
              <w:rPr>
                <w:sz w:val="20"/>
                <w:szCs w:val="20"/>
              </w:rPr>
              <w:t xml:space="preserve"> there is substantial preference heterogeneity by younger adults (ages 18-25),​ race/ethnicity and respondents with higher education. Our predictions suggest that a ban on menthol cigarettes would produce the greatest reduction in the choice of cigarettes (-5.2%</w:t>
            </w:r>
            <w:proofErr w:type="gramStart"/>
            <w:r w:rsidRPr="005762E6">
              <w:rPr>
                <w:sz w:val="20"/>
                <w:szCs w:val="20"/>
              </w:rPr>
              <w:t>),​</w:t>
            </w:r>
            <w:proofErr w:type="gramEnd"/>
            <w:r w:rsidRPr="005762E6">
              <w:rPr>
                <w:sz w:val="20"/>
                <w:szCs w:val="20"/>
              </w:rPr>
              <w:t xml:space="preserve"> but with an accompanying increase in e-cigarettes use (3.8%). In </w:t>
            </w:r>
            <w:proofErr w:type="gramStart"/>
            <w:r w:rsidRPr="005762E6">
              <w:rPr>
                <w:sz w:val="20"/>
                <w:szCs w:val="20"/>
              </w:rPr>
              <w:t>contrast,​</w:t>
            </w:r>
            <w:proofErr w:type="gramEnd"/>
            <w:r w:rsidRPr="005762E6">
              <w:rPr>
                <w:sz w:val="20"/>
                <w:szCs w:val="20"/>
              </w:rPr>
              <w:t xml:space="preserve"> banning flavours in e-cigarettes,​ while allowing menthol in cigarettes would result in the greatest increase in the selection of cigarettes (8.3%),​ and a decline in the use of e-cigarettes (-11.1%). A ban on all flavours,​ but tobacco in both products would increase 'opting-out' the most (5.2%) but would also increase choice of cigarettes (2.7%) and decrease choice of e-cigarettes (-7.9%).,​ CONCLUSIONS: A ban on flavoured e-cigarettes alone would likely increase the choice of cigarettes in smokers,​ arguably the more harmful way of obtaining nicotine,​ whereas a ban on menthol cigarettes alone would likely be more effective in reducing the choice of cigarettes. A ban on all flavours in both products would likely reduce the smoking/vaping </w:t>
            </w:r>
            <w:proofErr w:type="gramStart"/>
            <w:r w:rsidRPr="005762E6">
              <w:rPr>
                <w:sz w:val="20"/>
                <w:szCs w:val="20"/>
              </w:rPr>
              <w:t>rates,​</w:t>
            </w:r>
            <w:proofErr w:type="gramEnd"/>
            <w:r w:rsidRPr="005762E6">
              <w:rPr>
                <w:sz w:val="20"/>
                <w:szCs w:val="20"/>
              </w:rPr>
              <w:t xml:space="preserve"> but the use of cigarettes would be higher than in the status quo. Policy-makers should use these results to guide the choice of flavour bans in light of their stance on the potential health impacts both products. Copyright © Article author(s) (or their employer(s) unless otherwise stated in the text of the article) 2018. All rights reserved. No commercial use is permitted unless otherwise expressly granted.</w:t>
            </w:r>
          </w:p>
        </w:tc>
      </w:tr>
      <w:tr w:rsidR="00B44564" w:rsidRPr="005762E6" w14:paraId="692B30B7"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F4CE572" w14:textId="77777777" w:rsidR="00B44564" w:rsidRPr="005762E6" w:rsidRDefault="00B44564" w:rsidP="00EA69AA">
            <w:pPr>
              <w:spacing w:after="120" w:line="240" w:lineRule="auto"/>
              <w:contextualSpacing/>
              <w:rPr>
                <w:sz w:val="20"/>
                <w:szCs w:val="20"/>
              </w:rPr>
            </w:pPr>
            <w:r w:rsidRPr="005762E6">
              <w:rPr>
                <w:sz w:val="20"/>
                <w:szCs w:val="20"/>
              </w:rPr>
              <w:lastRenderedPageBreak/>
              <w:t>207</w:t>
            </w:r>
          </w:p>
        </w:tc>
        <w:tc>
          <w:tcPr>
            <w:tcW w:w="0" w:type="auto"/>
            <w:tcBorders>
              <w:top w:val="single" w:sz="6" w:space="0" w:color="auto"/>
              <w:left w:val="single" w:sz="6" w:space="0" w:color="auto"/>
              <w:bottom w:val="single" w:sz="6" w:space="0" w:color="auto"/>
              <w:right w:val="single" w:sz="6" w:space="0" w:color="auto"/>
            </w:tcBorders>
          </w:tcPr>
          <w:p w14:paraId="640B1829"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8AABD41" w14:textId="6EB26443" w:rsidR="00B44564" w:rsidRPr="005762E6" w:rsidRDefault="00B44564" w:rsidP="00EA69AA">
            <w:pPr>
              <w:spacing w:after="120" w:line="240" w:lineRule="auto"/>
              <w:contextualSpacing/>
              <w:rPr>
                <w:sz w:val="20"/>
                <w:szCs w:val="20"/>
              </w:rPr>
            </w:pPr>
            <w:r w:rsidRPr="005762E6">
              <w:rPr>
                <w:sz w:val="20"/>
                <w:szCs w:val="20"/>
              </w:rPr>
              <w:t xml:space="preserve">Yvette van der </w:t>
            </w:r>
            <w:proofErr w:type="gramStart"/>
            <w:r w:rsidRPr="005762E6">
              <w:rPr>
                <w:sz w:val="20"/>
                <w:szCs w:val="20"/>
              </w:rPr>
              <w:t>Eijk,​</w:t>
            </w:r>
            <w:proofErr w:type="gramEnd"/>
            <w:r w:rsidRPr="005762E6">
              <w:rPr>
                <w:sz w:val="20"/>
                <w:szCs w:val="20"/>
              </w:rPr>
              <w:t xml:space="preserve"> Jeong Kyu Lee,​ Pamela Ling How Menthol Is Key to the Tobacco Industry's Strategy of Recruiting and Retaining Young Smokers in Singapore</w:t>
            </w:r>
            <w:r w:rsidR="007F2F01">
              <w:rPr>
                <w:sz w:val="20"/>
                <w:szCs w:val="20"/>
              </w:rPr>
              <w:t>.</w:t>
            </w:r>
            <w:r w:rsidRPr="005762E6">
              <w:rPr>
                <w:sz w:val="20"/>
                <w:szCs w:val="20"/>
              </w:rPr>
              <w:t xml:space="preserve"> The Journal of adolescent </w:t>
            </w:r>
            <w:proofErr w:type="gramStart"/>
            <w:r w:rsidRPr="005762E6">
              <w:rPr>
                <w:sz w:val="20"/>
                <w:szCs w:val="20"/>
              </w:rPr>
              <w:t>health :</w:t>
            </w:r>
            <w:proofErr w:type="gramEnd"/>
            <w:r w:rsidRPr="005762E6">
              <w:rPr>
                <w:sz w:val="20"/>
                <w:szCs w:val="20"/>
              </w:rPr>
              <w:t xml:space="preserve"> official publication of the Society for Adolescent Medicine; 2018;:</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Singapore has a strong and well-established tobacco control policy,​ but smoking rates among young Singaporeans remain relatively high. In other </w:t>
            </w:r>
            <w:proofErr w:type="gramStart"/>
            <w:r w:rsidRPr="005762E6">
              <w:rPr>
                <w:sz w:val="20"/>
                <w:szCs w:val="20"/>
              </w:rPr>
              <w:t>countries,​</w:t>
            </w:r>
            <w:proofErr w:type="gramEnd"/>
            <w:r w:rsidRPr="005762E6">
              <w:rPr>
                <w:sz w:val="20"/>
                <w:szCs w:val="20"/>
              </w:rPr>
              <w:t xml:space="preserve"> tobacco companies have used menthol to encourage smoking among young people. Singapore still permits the sale of menthol tobacco products and little is known about the tobacco industry's internal strategy and motivation for marketing menthol tobacco in Singapore</w:t>
            </w:r>
            <w:proofErr w:type="gramStart"/>
            <w:r w:rsidRPr="005762E6">
              <w:rPr>
                <w:sz w:val="20"/>
                <w:szCs w:val="20"/>
              </w:rPr>
              <w:t>.,​</w:t>
            </w:r>
            <w:proofErr w:type="gramEnd"/>
            <w:r w:rsidRPr="005762E6">
              <w:rPr>
                <w:sz w:val="20"/>
                <w:szCs w:val="20"/>
              </w:rPr>
              <w:t xml:space="preserve"> METHODS: Tobacco industry documents analysis using the Truth Tobacco Industry Documents Library. Findings were triangulated with Euromonitor market data on menthol tobacco in Singapore,​ and trend data on smoking prevalence in Singapore from the First National Morbidity Survey,​ Labour Force Survey,​ National Health Survey,​ and National Health Surveillance Survey.,​ RESULTS: Menthol tobacco products became popular among young Singaporeans in the early 1980s,​ largely due to a health-consciousness trend among young people and the misperception that menthol tobacco products were "safer." Philip </w:t>
            </w:r>
            <w:proofErr w:type="gramStart"/>
            <w:r w:rsidRPr="005762E6">
              <w:rPr>
                <w:sz w:val="20"/>
                <w:szCs w:val="20"/>
              </w:rPr>
              <w:t>Morris,​</w:t>
            </w:r>
            <w:proofErr w:type="gramEnd"/>
            <w:r w:rsidRPr="005762E6">
              <w:rPr>
                <w:sz w:val="20"/>
                <w:szCs w:val="20"/>
              </w:rPr>
              <w:t xml:space="preserve"> in an attempt to compete with R.J. Reynolds for starter smokers,​ developed and launched several menthol brands designed to appeal to youth. While many brands initially </w:t>
            </w:r>
            <w:proofErr w:type="gramStart"/>
            <w:r w:rsidRPr="005762E6">
              <w:rPr>
                <w:sz w:val="20"/>
                <w:szCs w:val="20"/>
              </w:rPr>
              <w:t>failed,​</w:t>
            </w:r>
            <w:proofErr w:type="gramEnd"/>
            <w:r w:rsidRPr="005762E6">
              <w:rPr>
                <w:sz w:val="20"/>
                <w:szCs w:val="20"/>
              </w:rPr>
              <w:t xml:space="preserve"> as of February 2018,​ menthol tobacco products comprise 48% of Singapore's total tobacco market.,​ CONCLUSIONS: Menthol is key to the tobacco industry's strategy of recruiting and retaining young smokers in Singapore. Banning the sale of menthol tobacco products will be an important part of preventing smoking in Singapore's younger generation. Copyright © 2018. Published by Elsevier Inc.</w:t>
            </w:r>
          </w:p>
        </w:tc>
      </w:tr>
      <w:tr w:rsidR="00B44564" w:rsidRPr="005762E6" w14:paraId="1C21EDEA"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8F8CEF9" w14:textId="77777777" w:rsidR="00B44564" w:rsidRPr="005762E6" w:rsidRDefault="00B44564" w:rsidP="00EA69AA">
            <w:pPr>
              <w:spacing w:after="120" w:line="240" w:lineRule="auto"/>
              <w:contextualSpacing/>
              <w:rPr>
                <w:sz w:val="20"/>
                <w:szCs w:val="20"/>
              </w:rPr>
            </w:pPr>
            <w:r w:rsidRPr="005762E6">
              <w:rPr>
                <w:sz w:val="20"/>
                <w:szCs w:val="20"/>
              </w:rPr>
              <w:t>208</w:t>
            </w:r>
          </w:p>
        </w:tc>
        <w:tc>
          <w:tcPr>
            <w:tcW w:w="0" w:type="auto"/>
            <w:tcBorders>
              <w:top w:val="single" w:sz="6" w:space="0" w:color="auto"/>
              <w:left w:val="single" w:sz="6" w:space="0" w:color="auto"/>
              <w:bottom w:val="single" w:sz="6" w:space="0" w:color="auto"/>
              <w:right w:val="single" w:sz="6" w:space="0" w:color="auto"/>
            </w:tcBorders>
          </w:tcPr>
          <w:p w14:paraId="3C28EEEA"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962534A" w14:textId="4CBD4B0F" w:rsidR="00B44564" w:rsidRPr="005762E6" w:rsidRDefault="00B44564" w:rsidP="00EA69AA">
            <w:pPr>
              <w:spacing w:after="120" w:line="240" w:lineRule="auto"/>
              <w:contextualSpacing/>
              <w:rPr>
                <w:sz w:val="20"/>
                <w:szCs w:val="20"/>
              </w:rPr>
            </w:pPr>
            <w:r w:rsidRPr="005762E6">
              <w:rPr>
                <w:sz w:val="20"/>
                <w:szCs w:val="20"/>
              </w:rPr>
              <w:t xml:space="preserve">Hongying </w:t>
            </w:r>
            <w:proofErr w:type="gramStart"/>
            <w:r w:rsidRPr="005762E6">
              <w:rPr>
                <w:sz w:val="20"/>
                <w:szCs w:val="20"/>
              </w:rPr>
              <w:t>Dai,​</w:t>
            </w:r>
            <w:proofErr w:type="gramEnd"/>
            <w:r w:rsidRPr="005762E6">
              <w:rPr>
                <w:sz w:val="20"/>
                <w:szCs w:val="20"/>
              </w:rPr>
              <w:t xml:space="preserve"> Jianqiang Hao Flavored Tobacco Use Among U.S. Adults by Age Group: 2013-2014</w:t>
            </w:r>
            <w:r w:rsidR="007F2F01">
              <w:rPr>
                <w:sz w:val="20"/>
                <w:szCs w:val="20"/>
              </w:rPr>
              <w:t>.</w:t>
            </w:r>
            <w:r w:rsidRPr="005762E6">
              <w:rPr>
                <w:sz w:val="20"/>
                <w:szCs w:val="20"/>
              </w:rPr>
              <w:t xml:space="preserve"> Substance use &amp; misuse; 2018;:1.</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OBJECTIVE: This study sought to assess patterns of flavored tobacco product (FTP) use and their associations with (1) susceptibility to smoke cigarettes among young adults aged 18-29 who have never smoked; (2) quit attempts in the past 12 months among current cigarette users by age group (18-29,​ 30-49,​ and 50+).,​ METHODS: We used the 2013-2014 National Adult Tobacco Survey (n = 75,​233) to estimate the prevalence of single-,​ dual-,​ and poly-use of FTP (menthol cigarettes,​ e-cigarettes,​ cigars,​ regular pipes/hookahs,​ and smokeless). Logistic regression models were performed to examine the associations between FTP use and smoking behaviors</w:t>
            </w:r>
            <w:proofErr w:type="gramStart"/>
            <w:r w:rsidRPr="005762E6">
              <w:rPr>
                <w:sz w:val="20"/>
                <w:szCs w:val="20"/>
              </w:rPr>
              <w:t>.,​</w:t>
            </w:r>
            <w:proofErr w:type="gramEnd"/>
            <w:r w:rsidRPr="005762E6">
              <w:rPr>
                <w:sz w:val="20"/>
                <w:szCs w:val="20"/>
              </w:rPr>
              <w:t xml:space="preserve"> RESULTS: Among current tobacco users,​ young adults aged 18-29 (72.7%) had a higher prevalence of FTP use than other age groups (30-49: 51.7% and 50+: 37.9%). For FTP use within each age </w:t>
            </w:r>
            <w:proofErr w:type="gramStart"/>
            <w:r w:rsidRPr="005762E6">
              <w:rPr>
                <w:sz w:val="20"/>
                <w:szCs w:val="20"/>
              </w:rPr>
              <w:t>group,​</w:t>
            </w:r>
            <w:proofErr w:type="gramEnd"/>
            <w:r w:rsidRPr="005762E6">
              <w:rPr>
                <w:sz w:val="20"/>
                <w:szCs w:val="20"/>
              </w:rPr>
              <w:t xml:space="preserve"> dual- and poly-FTP use was most popular among young adults aged 18-29 and menthol cigarette use was most popular among older adults aged 50+. Compared with not using any tobacco </w:t>
            </w:r>
            <w:proofErr w:type="gramStart"/>
            <w:r w:rsidRPr="005762E6">
              <w:rPr>
                <w:sz w:val="20"/>
                <w:szCs w:val="20"/>
              </w:rPr>
              <w:t>products,​</w:t>
            </w:r>
            <w:proofErr w:type="gramEnd"/>
            <w:r w:rsidRPr="005762E6">
              <w:rPr>
                <w:sz w:val="20"/>
                <w:szCs w:val="20"/>
              </w:rPr>
              <w:t xml:space="preserve"> FTP use was associated with higher odds of susceptibility to cigarette smoking among young adult never smokers (single FTP use: </w:t>
            </w:r>
            <w:r w:rsidR="00615483">
              <w:rPr>
                <w:sz w:val="20"/>
                <w:szCs w:val="20"/>
              </w:rPr>
              <w:t>AOR</w:t>
            </w:r>
            <w:r w:rsidRPr="005762E6">
              <w:rPr>
                <w:sz w:val="20"/>
                <w:szCs w:val="20"/>
              </w:rPr>
              <w:t xml:space="preserve"> =5.5,​ CI: 4.2-7.3; dual/poly FTP use: </w:t>
            </w:r>
            <w:r w:rsidR="00615483">
              <w:rPr>
                <w:sz w:val="20"/>
                <w:szCs w:val="20"/>
              </w:rPr>
              <w:t>AOR</w:t>
            </w:r>
            <w:r w:rsidRPr="005762E6">
              <w:rPr>
                <w:sz w:val="20"/>
                <w:szCs w:val="20"/>
              </w:rPr>
              <w:t xml:space="preserve"> =10.7,​ CI: 6.2-18.4). FTP use was not associated with quit attempts among current cigarettes users aged under </w:t>
            </w:r>
            <w:proofErr w:type="gramStart"/>
            <w:r w:rsidRPr="005762E6">
              <w:rPr>
                <w:sz w:val="20"/>
                <w:szCs w:val="20"/>
              </w:rPr>
              <w:t>50,​</w:t>
            </w:r>
            <w:proofErr w:type="gramEnd"/>
            <w:r w:rsidRPr="005762E6">
              <w:rPr>
                <w:sz w:val="20"/>
                <w:szCs w:val="20"/>
              </w:rPr>
              <w:t xml:space="preserve"> while dual/poly-FTP use was associated with higher odds of quit attempts among current cigarette users aged 50 + (</w:t>
            </w:r>
            <w:r w:rsidR="00615483">
              <w:rPr>
                <w:sz w:val="20"/>
                <w:szCs w:val="20"/>
              </w:rPr>
              <w:t>AOR</w:t>
            </w:r>
            <w:r w:rsidRPr="005762E6">
              <w:rPr>
                <w:sz w:val="20"/>
                <w:szCs w:val="20"/>
              </w:rPr>
              <w:t xml:space="preserve"> =1.7,​ CI: 1.2-2.4).,​ CONCLUSIONS: This study shows the heterogeneity of FTP use among adults by age group and demonstrates its associations with susceptibility to cigarette smoking among young adult never smokers.</w:t>
            </w:r>
          </w:p>
        </w:tc>
      </w:tr>
      <w:tr w:rsidR="00B44564" w:rsidRPr="005762E6" w14:paraId="08BFABD6"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CB0EE0B" w14:textId="77777777" w:rsidR="00B44564" w:rsidRPr="005762E6" w:rsidRDefault="00B44564" w:rsidP="00EA69AA">
            <w:pPr>
              <w:spacing w:after="120" w:line="240" w:lineRule="auto"/>
              <w:contextualSpacing/>
              <w:rPr>
                <w:sz w:val="20"/>
                <w:szCs w:val="20"/>
              </w:rPr>
            </w:pPr>
            <w:r w:rsidRPr="005762E6">
              <w:rPr>
                <w:sz w:val="20"/>
                <w:szCs w:val="20"/>
              </w:rPr>
              <w:t>210</w:t>
            </w:r>
          </w:p>
        </w:tc>
        <w:tc>
          <w:tcPr>
            <w:tcW w:w="0" w:type="auto"/>
            <w:tcBorders>
              <w:top w:val="single" w:sz="6" w:space="0" w:color="auto"/>
              <w:left w:val="single" w:sz="6" w:space="0" w:color="auto"/>
              <w:bottom w:val="single" w:sz="6" w:space="0" w:color="auto"/>
              <w:right w:val="single" w:sz="6" w:space="0" w:color="auto"/>
            </w:tcBorders>
          </w:tcPr>
          <w:p w14:paraId="0AA8F324"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E846913" w14:textId="14F56DDF" w:rsidR="00B44564" w:rsidRPr="005762E6" w:rsidRDefault="00B44564" w:rsidP="00EA69AA">
            <w:pPr>
              <w:spacing w:after="120" w:line="240" w:lineRule="auto"/>
              <w:contextualSpacing/>
              <w:rPr>
                <w:sz w:val="20"/>
                <w:szCs w:val="20"/>
              </w:rPr>
            </w:pPr>
            <w:r w:rsidRPr="005762E6">
              <w:rPr>
                <w:sz w:val="20"/>
                <w:szCs w:val="20"/>
              </w:rPr>
              <w:t xml:space="preserve">Amanda Y </w:t>
            </w:r>
            <w:proofErr w:type="gramStart"/>
            <w:r w:rsidRPr="005762E6">
              <w:rPr>
                <w:sz w:val="20"/>
                <w:szCs w:val="20"/>
              </w:rPr>
              <w:t>Kong,​</w:t>
            </w:r>
            <w:proofErr w:type="gramEnd"/>
            <w:r w:rsidRPr="005762E6">
              <w:rPr>
                <w:sz w:val="20"/>
                <w:szCs w:val="20"/>
              </w:rPr>
              <w:t xml:space="preserve"> Shelley D Golden,​ Allison E Myers,​ Melissa A Little,​ Robert Klesges,​ Wayne Talcott,​ Sara M Vandegrift,​ Daniel G Cassidy,​ Kurt M Ribisl Availability,​ price and promotions for cigarettes and non-cigarette tobacco products: an observational comparison of US Air Force bases with nearby tobacco retailers,​ 2016</w:t>
            </w:r>
            <w:r w:rsidR="007F2F01">
              <w:rPr>
                <w:sz w:val="20"/>
                <w:szCs w:val="20"/>
              </w:rPr>
              <w:t>.</w:t>
            </w:r>
            <w:r w:rsidRPr="005762E6">
              <w:rPr>
                <w:sz w:val="20"/>
                <w:szCs w:val="20"/>
              </w:rPr>
              <w:t xml:space="preserve"> Tobacco control; 2018;:</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Active duty military personnel have higher cigarette and smokeless tobacco use </w:t>
            </w:r>
            <w:r w:rsidRPr="005762E6">
              <w:rPr>
                <w:sz w:val="20"/>
                <w:szCs w:val="20"/>
              </w:rPr>
              <w:lastRenderedPageBreak/>
              <w:t>rates than civilian populations. Although US Airmen (called Airmen regardless of gender or rank) are required to be tobacco-free during initial training,​ many resume use once this period ends,​ perhaps as a result of easy access to cheap tobacco products.,​ METHODS: Between July and September 2016,​ we collected tobacco product,​ price and promotion information by visiting on-base (n=28) and off-base (n=80) tobacco retailers near the eight technical training bases where approximately 99% of Airmen attend training. We conducted mixed linear effects models to examine on-base versus off-base differences</w:t>
            </w:r>
            <w:proofErr w:type="gramStart"/>
            <w:r w:rsidRPr="005762E6">
              <w:rPr>
                <w:sz w:val="20"/>
                <w:szCs w:val="20"/>
              </w:rPr>
              <w:t>.,​</w:t>
            </w:r>
            <w:proofErr w:type="gramEnd"/>
            <w:r w:rsidRPr="005762E6">
              <w:rPr>
                <w:sz w:val="20"/>
                <w:szCs w:val="20"/>
              </w:rPr>
              <w:t xml:space="preserve"> RESULTS: Cigarette packs were 11%-12% cheaper at on-base retailers compared with off-base retailers. Newport Menthol and Marlboro Red cigarette packs were .87 and .80 lower on-base (p&lt;0.001) while the cheapest pack available was .54 lower on-base (p&lt;0.01). Copenhagen smokeless tobacco was also significantly cheaper on-base (B=-0.</w:t>
            </w:r>
            <w:proofErr w:type="gramStart"/>
            <w:r w:rsidRPr="005762E6">
              <w:rPr>
                <w:sz w:val="20"/>
                <w:szCs w:val="20"/>
              </w:rPr>
              <w:t>65,​</w:t>
            </w:r>
            <w:proofErr w:type="gramEnd"/>
            <w:r w:rsidRPr="005762E6">
              <w:rPr>
                <w:sz w:val="20"/>
                <w:szCs w:val="20"/>
              </w:rPr>
              <w:t xml:space="preserve"> p&lt;0.01). Interior price promotions were more common on-base</w:t>
            </w:r>
            <w:proofErr w:type="gramStart"/>
            <w:r w:rsidRPr="005762E6">
              <w:rPr>
                <w:sz w:val="20"/>
                <w:szCs w:val="20"/>
              </w:rPr>
              <w:t>.,​</w:t>
            </w:r>
            <w:proofErr w:type="gramEnd"/>
            <w:r w:rsidRPr="005762E6">
              <w:rPr>
                <w:sz w:val="20"/>
                <w:szCs w:val="20"/>
              </w:rPr>
              <w:t xml:space="preserve"> CONCLUSIONS: Retail stores located on Air Force bases sell cigarettes and smokeless tobacco products at prices well below those in nearby off-base retailers: the vast majority of these retailers feature interior price promotions for these products. Federal policies regulating prices of on-base tobacco </w:t>
            </w:r>
            <w:proofErr w:type="gramStart"/>
            <w:r w:rsidRPr="005762E6">
              <w:rPr>
                <w:sz w:val="20"/>
                <w:szCs w:val="20"/>
              </w:rPr>
              <w:t>sales,​</w:t>
            </w:r>
            <w:proofErr w:type="gramEnd"/>
            <w:r w:rsidRPr="005762E6">
              <w:rPr>
                <w:sz w:val="20"/>
                <w:szCs w:val="20"/>
              </w:rPr>
              <w:t xml:space="preserve"> if implemented more effectively,​ have the potential to protect the health of Airmen by helping them remain tobacco-free after technical training. Copyright © Article author(s) (or their employer(s) unless otherwise stated in the text of the article) 2018. All rights reserved. No commercial use is permitted unless otherwise expressly granted.</w:t>
            </w:r>
          </w:p>
        </w:tc>
      </w:tr>
      <w:tr w:rsidR="00B44564" w:rsidRPr="005762E6" w14:paraId="6F53E495"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C2FF17B" w14:textId="77777777" w:rsidR="00B44564" w:rsidRPr="005762E6" w:rsidRDefault="00B44564" w:rsidP="00EA69AA">
            <w:pPr>
              <w:spacing w:after="120" w:line="240" w:lineRule="auto"/>
              <w:contextualSpacing/>
              <w:rPr>
                <w:sz w:val="20"/>
                <w:szCs w:val="20"/>
              </w:rPr>
            </w:pPr>
            <w:r w:rsidRPr="005762E6">
              <w:rPr>
                <w:sz w:val="20"/>
                <w:szCs w:val="20"/>
              </w:rPr>
              <w:lastRenderedPageBreak/>
              <w:t>215</w:t>
            </w:r>
          </w:p>
        </w:tc>
        <w:tc>
          <w:tcPr>
            <w:tcW w:w="0" w:type="auto"/>
            <w:tcBorders>
              <w:top w:val="single" w:sz="6" w:space="0" w:color="auto"/>
              <w:left w:val="single" w:sz="6" w:space="0" w:color="auto"/>
              <w:bottom w:val="single" w:sz="6" w:space="0" w:color="auto"/>
              <w:right w:val="single" w:sz="6" w:space="0" w:color="auto"/>
            </w:tcBorders>
          </w:tcPr>
          <w:p w14:paraId="164FD32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F634B7E" w14:textId="2684BB50" w:rsidR="00B44564" w:rsidRPr="005762E6" w:rsidRDefault="00B44564" w:rsidP="00EA69AA">
            <w:pPr>
              <w:spacing w:after="120" w:line="240" w:lineRule="auto"/>
              <w:contextualSpacing/>
              <w:rPr>
                <w:sz w:val="20"/>
                <w:szCs w:val="20"/>
              </w:rPr>
            </w:pPr>
            <w:r w:rsidRPr="005762E6">
              <w:rPr>
                <w:sz w:val="20"/>
                <w:szCs w:val="20"/>
              </w:rPr>
              <w:t xml:space="preserve">Adolfo G </w:t>
            </w:r>
            <w:proofErr w:type="gramStart"/>
            <w:r w:rsidRPr="005762E6">
              <w:rPr>
                <w:sz w:val="20"/>
                <w:szCs w:val="20"/>
              </w:rPr>
              <w:t>Cuevas,​</w:t>
            </w:r>
            <w:proofErr w:type="gramEnd"/>
            <w:r w:rsidRPr="005762E6">
              <w:rPr>
                <w:sz w:val="20"/>
                <w:szCs w:val="20"/>
              </w:rPr>
              <w:t xml:space="preserve"> Kasim Ortiz,​ Nancy Lopez,​ David R Williams Assessing racial differences in lifetime and current smoking status &amp; menthol consumption among Latinos in a nationally representative sample</w:t>
            </w:r>
            <w:r w:rsidR="007F2F01">
              <w:rPr>
                <w:sz w:val="20"/>
                <w:szCs w:val="20"/>
              </w:rPr>
              <w:t>.</w:t>
            </w:r>
            <w:r w:rsidRPr="005762E6">
              <w:rPr>
                <w:sz w:val="20"/>
                <w:szCs w:val="20"/>
              </w:rPr>
              <w:t xml:space="preserve"> Ethnicity &amp; health; 2018;:1.</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OBJECTIVE: To examine the relationship between race and smoking behaviors among Latinos/Hispanics</w:t>
            </w:r>
            <w:proofErr w:type="gramStart"/>
            <w:r w:rsidRPr="005762E6">
              <w:rPr>
                <w:sz w:val="20"/>
                <w:szCs w:val="20"/>
              </w:rPr>
              <w:t>.,​</w:t>
            </w:r>
            <w:proofErr w:type="gramEnd"/>
            <w:r w:rsidRPr="005762E6">
              <w:rPr>
                <w:sz w:val="20"/>
                <w:szCs w:val="20"/>
              </w:rPr>
              <w:t xml:space="preserve"> DESIGN: Using data from the National Adult Tobacco Survey (NATS),​ we implemented Log-Poisson regression models for each dependent variable (smoking pattern and menthol cigarette use). Each analysis adjusted for </w:t>
            </w:r>
            <w:proofErr w:type="gramStart"/>
            <w:r w:rsidRPr="005762E6">
              <w:rPr>
                <w:sz w:val="20"/>
                <w:szCs w:val="20"/>
              </w:rPr>
              <w:t>age,​</w:t>
            </w:r>
            <w:proofErr w:type="gramEnd"/>
            <w:r w:rsidRPr="005762E6">
              <w:rPr>
                <w:sz w:val="20"/>
                <w:szCs w:val="20"/>
              </w:rPr>
              <w:t xml:space="preserve"> gender,​ marital status,​ employment status,​ and socioeconomic status (SES). Final pooled cross-sectional sample included 505 Black-Latinos and 9078 White-Latinos</w:t>
            </w:r>
            <w:proofErr w:type="gramStart"/>
            <w:r w:rsidRPr="005762E6">
              <w:rPr>
                <w:sz w:val="20"/>
                <w:szCs w:val="20"/>
              </w:rPr>
              <w:t>.,​</w:t>
            </w:r>
            <w:proofErr w:type="gramEnd"/>
            <w:r w:rsidRPr="005762E6">
              <w:rPr>
                <w:sz w:val="20"/>
                <w:szCs w:val="20"/>
              </w:rPr>
              <w:t xml:space="preserve"> RESULTS: While no racial differences were found in lifetime smoking status among Latinos,​ Black-Latinos had a 16.6% (95% CI: 0.274,​ 0.057) increased risk of menthol smoking compared to White-Latinos.,​ CONCLUSIONS: The results indicate that menthol consumption is influenced by race among Hispanics/Latinos. To comprehensively address racial disparities among Latinos/</w:t>
            </w:r>
            <w:proofErr w:type="gramStart"/>
            <w:r w:rsidRPr="005762E6">
              <w:rPr>
                <w:sz w:val="20"/>
                <w:szCs w:val="20"/>
              </w:rPr>
              <w:t>Hispanics,​</w:t>
            </w:r>
            <w:proofErr w:type="gramEnd"/>
            <w:r w:rsidRPr="005762E6">
              <w:rPr>
                <w:sz w:val="20"/>
                <w:szCs w:val="20"/>
              </w:rPr>
              <w:t xml:space="preserve"> further attention needs to be given to racial differences in smoking-related risks among Latinos/Hispanics.</w:t>
            </w:r>
          </w:p>
        </w:tc>
      </w:tr>
      <w:tr w:rsidR="00B44564" w:rsidRPr="005762E6" w14:paraId="0B21C8E5"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07510BC" w14:textId="77777777" w:rsidR="00B44564" w:rsidRPr="005762E6" w:rsidRDefault="00B44564" w:rsidP="00EA69AA">
            <w:pPr>
              <w:spacing w:after="120" w:line="240" w:lineRule="auto"/>
              <w:contextualSpacing/>
              <w:rPr>
                <w:sz w:val="20"/>
                <w:szCs w:val="20"/>
              </w:rPr>
            </w:pPr>
            <w:r w:rsidRPr="005762E6">
              <w:rPr>
                <w:sz w:val="20"/>
                <w:szCs w:val="20"/>
              </w:rPr>
              <w:t>217</w:t>
            </w:r>
          </w:p>
        </w:tc>
        <w:tc>
          <w:tcPr>
            <w:tcW w:w="0" w:type="auto"/>
            <w:tcBorders>
              <w:top w:val="single" w:sz="6" w:space="0" w:color="auto"/>
              <w:left w:val="single" w:sz="6" w:space="0" w:color="auto"/>
              <w:bottom w:val="single" w:sz="6" w:space="0" w:color="auto"/>
              <w:right w:val="single" w:sz="6" w:space="0" w:color="auto"/>
            </w:tcBorders>
          </w:tcPr>
          <w:p w14:paraId="260F9F4A"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05EAD0E" w14:textId="4D12A17C" w:rsidR="00B44564" w:rsidRPr="005762E6" w:rsidRDefault="00B44564" w:rsidP="00EA69AA">
            <w:pPr>
              <w:spacing w:after="120" w:line="240" w:lineRule="auto"/>
              <w:contextualSpacing/>
              <w:rPr>
                <w:sz w:val="20"/>
                <w:szCs w:val="20"/>
              </w:rPr>
            </w:pPr>
            <w:r w:rsidRPr="005762E6">
              <w:rPr>
                <w:sz w:val="20"/>
                <w:szCs w:val="20"/>
              </w:rPr>
              <w:t xml:space="preserve">Mary J </w:t>
            </w:r>
            <w:proofErr w:type="gramStart"/>
            <w:r w:rsidRPr="005762E6">
              <w:rPr>
                <w:sz w:val="20"/>
                <w:szCs w:val="20"/>
              </w:rPr>
              <w:t>Sandage,​</w:t>
            </w:r>
            <w:proofErr w:type="gramEnd"/>
            <w:r w:rsidRPr="005762E6">
              <w:rPr>
                <w:sz w:val="20"/>
                <w:szCs w:val="20"/>
              </w:rPr>
              <w:t xml:space="preserve"> Rita Patel Passive Upper Airway Thermoregulation and High-Speed Assessment for Conventional versus Menthol Cigarette: Implications for Laryngeal Physiology</w:t>
            </w:r>
            <w:r w:rsidR="007F2F01">
              <w:rPr>
                <w:sz w:val="20"/>
                <w:szCs w:val="20"/>
              </w:rPr>
              <w:t>.</w:t>
            </w:r>
            <w:r w:rsidRPr="005762E6">
              <w:rPr>
                <w:sz w:val="20"/>
                <w:szCs w:val="20"/>
              </w:rPr>
              <w:t xml:space="preserve"> Journal of </w:t>
            </w:r>
            <w:proofErr w:type="gramStart"/>
            <w:r w:rsidRPr="005762E6">
              <w:rPr>
                <w:sz w:val="20"/>
                <w:szCs w:val="20"/>
              </w:rPr>
              <w:t>voice :</w:t>
            </w:r>
            <w:proofErr w:type="gramEnd"/>
            <w:r w:rsidRPr="005762E6">
              <w:rPr>
                <w:sz w:val="20"/>
                <w:szCs w:val="20"/>
              </w:rPr>
              <w:t xml:space="preserve"> official journal of the Voice Foundation; 2018;:</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PURPOSE: This investigation combined measures of upper airway temperature (UAT) with high-speed laryngeal imaging in an individual who smoked a filtered conventional and menthol cigarette to identify laryngeal vibratory differences with upper airway temperature change. It was hypothesized that (1) average UAT differences between trials would be similar with UAT change &lt;=2degreeC and (2) high-speed parameters would not differ between trials</w:t>
            </w:r>
            <w:proofErr w:type="gramStart"/>
            <w:r w:rsidRPr="005762E6">
              <w:rPr>
                <w:sz w:val="20"/>
                <w:szCs w:val="20"/>
              </w:rPr>
              <w:t>.,​</w:t>
            </w:r>
            <w:proofErr w:type="gramEnd"/>
            <w:r w:rsidRPr="005762E6">
              <w:rPr>
                <w:sz w:val="20"/>
                <w:szCs w:val="20"/>
              </w:rPr>
              <w:t xml:space="preserve"> METHOD: In a repeated measures design,​ UAT was measured continuously during smoking. High-speed laryngeal imaging was conducted immediately after each smoking trial and 10 minutes post</w:t>
            </w:r>
            <w:proofErr w:type="gramStart"/>
            <w:r w:rsidRPr="005762E6">
              <w:rPr>
                <w:sz w:val="20"/>
                <w:szCs w:val="20"/>
              </w:rPr>
              <w:t>.,​</w:t>
            </w:r>
            <w:proofErr w:type="gramEnd"/>
            <w:r w:rsidRPr="005762E6">
              <w:rPr>
                <w:sz w:val="20"/>
                <w:szCs w:val="20"/>
              </w:rPr>
              <w:t xml:space="preserve"> RESULTS: Average UAT and end-inspiratory temperature during the menthol trial was unexpectedly low. Immediately following both </w:t>
            </w:r>
            <w:proofErr w:type="gramStart"/>
            <w:r w:rsidRPr="005762E6">
              <w:rPr>
                <w:sz w:val="20"/>
                <w:szCs w:val="20"/>
              </w:rPr>
              <w:t>trials,​</w:t>
            </w:r>
            <w:proofErr w:type="gramEnd"/>
            <w:r w:rsidRPr="005762E6">
              <w:rPr>
                <w:sz w:val="20"/>
                <w:szCs w:val="20"/>
              </w:rPr>
              <w:t xml:space="preserve"> there was an increase in phase asymmetry,​ vibratory amplitude (greater magnitude of change for the nonmenthol trial),​ and the opening phase of the glottal cycle and a decrease in fundamental frequency compared to the baseline. During </w:t>
            </w:r>
            <w:proofErr w:type="gramStart"/>
            <w:r w:rsidRPr="005762E6">
              <w:rPr>
                <w:sz w:val="20"/>
                <w:szCs w:val="20"/>
              </w:rPr>
              <w:t>recovery,​</w:t>
            </w:r>
            <w:proofErr w:type="gramEnd"/>
            <w:r w:rsidRPr="005762E6">
              <w:rPr>
                <w:sz w:val="20"/>
                <w:szCs w:val="20"/>
              </w:rPr>
              <w:t xml:space="preserve"> parameters returned to the baseline for the nonmenthol trial,​ however,​ fundamental frequency continued to be lower and vibratory amplitude continued to be larger at recovery for the menthol trial. The measure of oscillatory onset time did not change across the trials immediately post cigarette trial and during recovery suggesting that smoking resulted in changes in sustained vibratory function rather than the onset behavior.,​ CONCLUSIONS: </w:t>
            </w:r>
            <w:r w:rsidRPr="005762E6">
              <w:rPr>
                <w:sz w:val="20"/>
                <w:szCs w:val="20"/>
              </w:rPr>
              <w:lastRenderedPageBreak/>
              <w:t>Preliminary findings suggest that continuous thermal mapping and high-speed laryngeal function assessment may provide new information about the manner in which laryngeal tissue responds to passive thermal perturbations with direct implications for laryngeal epithelial and skeletal muscle function. Future large-scale studies are needed to investigate this in detail. Copyright © 2018 The Voice Foundation. Published by Elsevier Inc. All rights reserved.</w:t>
            </w:r>
          </w:p>
        </w:tc>
      </w:tr>
      <w:tr w:rsidR="00B44564" w:rsidRPr="005762E6" w14:paraId="314C3BD8"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A24AA0C" w14:textId="77777777" w:rsidR="00B44564" w:rsidRPr="005762E6" w:rsidRDefault="00B44564" w:rsidP="00EA69AA">
            <w:pPr>
              <w:spacing w:after="120" w:line="240" w:lineRule="auto"/>
              <w:contextualSpacing/>
              <w:rPr>
                <w:sz w:val="20"/>
                <w:szCs w:val="20"/>
              </w:rPr>
            </w:pPr>
            <w:r w:rsidRPr="005762E6">
              <w:rPr>
                <w:sz w:val="20"/>
                <w:szCs w:val="20"/>
              </w:rPr>
              <w:lastRenderedPageBreak/>
              <w:t>218</w:t>
            </w:r>
          </w:p>
        </w:tc>
        <w:tc>
          <w:tcPr>
            <w:tcW w:w="0" w:type="auto"/>
            <w:tcBorders>
              <w:top w:val="single" w:sz="6" w:space="0" w:color="auto"/>
              <w:left w:val="single" w:sz="6" w:space="0" w:color="auto"/>
              <w:bottom w:val="single" w:sz="6" w:space="0" w:color="auto"/>
              <w:right w:val="single" w:sz="6" w:space="0" w:color="auto"/>
            </w:tcBorders>
          </w:tcPr>
          <w:p w14:paraId="5B9C525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70EE3F7" w14:textId="5EC9FF71" w:rsidR="00B44564" w:rsidRPr="005762E6" w:rsidRDefault="00B44564" w:rsidP="00EA69AA">
            <w:pPr>
              <w:spacing w:after="120" w:line="240" w:lineRule="auto"/>
              <w:contextualSpacing/>
              <w:rPr>
                <w:sz w:val="20"/>
                <w:szCs w:val="20"/>
              </w:rPr>
            </w:pPr>
            <w:r w:rsidRPr="005762E6">
              <w:rPr>
                <w:sz w:val="20"/>
                <w:szCs w:val="20"/>
              </w:rPr>
              <w:t xml:space="preserve">Lauren </w:t>
            </w:r>
            <w:proofErr w:type="gramStart"/>
            <w:r w:rsidRPr="005762E6">
              <w:rPr>
                <w:sz w:val="20"/>
                <w:szCs w:val="20"/>
              </w:rPr>
              <w:t>Czaplicki,​</w:t>
            </w:r>
            <w:proofErr w:type="gramEnd"/>
            <w:r w:rsidRPr="005762E6">
              <w:rPr>
                <w:sz w:val="20"/>
                <w:szCs w:val="20"/>
              </w:rPr>
              <w:t xml:space="preserve"> Joanna E Cohen,​ Miranda R Jones,​ Katherine Clegg Smith,​ Lainie Rutkow,​ Jill Owczarzak Compliance with the City of Chicago's partial ban on menthol cigarette sales</w:t>
            </w:r>
            <w:r w:rsidR="007F2F01">
              <w:rPr>
                <w:sz w:val="20"/>
                <w:szCs w:val="20"/>
              </w:rPr>
              <w:t>.</w:t>
            </w:r>
            <w:r w:rsidRPr="005762E6">
              <w:rPr>
                <w:sz w:val="20"/>
                <w:szCs w:val="20"/>
              </w:rPr>
              <w:t xml:space="preserve"> Tobacco control; 2018;:</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In the </w:t>
            </w:r>
            <w:proofErr w:type="gramStart"/>
            <w:r w:rsidRPr="005762E6">
              <w:rPr>
                <w:sz w:val="20"/>
                <w:szCs w:val="20"/>
              </w:rPr>
              <w:t>USA,​</w:t>
            </w:r>
            <w:proofErr w:type="gramEnd"/>
            <w:r w:rsidRPr="005762E6">
              <w:rPr>
                <w:sz w:val="20"/>
                <w:szCs w:val="20"/>
              </w:rPr>
              <w:t xml:space="preserve"> menthol cigarettes are associated with smoking initiation and decreased likelihood of cessation,​ particularly for low-income and non-White populations. Local ordinances to restrict menthol cigarette sales are an emergent policy option. In July </w:t>
            </w:r>
            <w:proofErr w:type="gramStart"/>
            <w:r w:rsidRPr="005762E6">
              <w:rPr>
                <w:sz w:val="20"/>
                <w:szCs w:val="20"/>
              </w:rPr>
              <w:t>2016,​</w:t>
            </w:r>
            <w:proofErr w:type="gramEnd"/>
            <w:r w:rsidRPr="005762E6">
              <w:rPr>
                <w:sz w:val="20"/>
                <w:szCs w:val="20"/>
              </w:rPr>
              <w:t xml:space="preserve"> Chicago,​ Illinois became the first major US city to ban menthol cigarette sales within 500 feet of schools. This study assessed ban compliance in June 2017</w:t>
            </w:r>
            <w:proofErr w:type="gramStart"/>
            <w:r w:rsidRPr="005762E6">
              <w:rPr>
                <w:sz w:val="20"/>
                <w:szCs w:val="20"/>
              </w:rPr>
              <w:t>.,​</w:t>
            </w:r>
            <w:proofErr w:type="gramEnd"/>
            <w:r w:rsidRPr="005762E6">
              <w:rPr>
                <w:sz w:val="20"/>
                <w:szCs w:val="20"/>
              </w:rPr>
              <w:t xml:space="preserve"> METHODS: We randomly selected 100 of 154 stores within 500 feet of a high school. Ninety stores were included in the </w:t>
            </w:r>
            <w:proofErr w:type="gramStart"/>
            <w:r w:rsidRPr="005762E6">
              <w:rPr>
                <w:sz w:val="20"/>
                <w:szCs w:val="20"/>
              </w:rPr>
              <w:t>analysis,​</w:t>
            </w:r>
            <w:proofErr w:type="gramEnd"/>
            <w:r w:rsidRPr="005762E6">
              <w:rPr>
                <w:sz w:val="20"/>
                <w:szCs w:val="20"/>
              </w:rPr>
              <w:t xml:space="preserve"> excluding permanently closed stores or stores that did not sell tobacco prior to the ban. Compliance was determined by whether a menthol cigarette pack was purchased. We also assessed presence of menthol cigarette replacement packs. Multivariable logistic regression modelled compliance by store </w:t>
            </w:r>
            <w:proofErr w:type="gramStart"/>
            <w:r w:rsidRPr="005762E6">
              <w:rPr>
                <w:sz w:val="20"/>
                <w:szCs w:val="20"/>
              </w:rPr>
              <w:t>type,​</w:t>
            </w:r>
            <w:proofErr w:type="gramEnd"/>
            <w:r w:rsidRPr="005762E6">
              <w:rPr>
                <w:sz w:val="20"/>
                <w:szCs w:val="20"/>
              </w:rPr>
              <w:t xml:space="preserve"> school (distance to high school,​ school type) and neighbourhood-level factors (poverty level,​ proportion of non-White residents).,​ RESULTS: Compliance rate was 57% (weighted,​ n=53) and no replacement packs were observed. Non-compliant stores were more likely to advertise menthol </w:t>
            </w:r>
            <w:proofErr w:type="gramStart"/>
            <w:r w:rsidRPr="005762E6">
              <w:rPr>
                <w:sz w:val="20"/>
                <w:szCs w:val="20"/>
              </w:rPr>
              <w:t>cigarettes,​</w:t>
            </w:r>
            <w:proofErr w:type="gramEnd"/>
            <w:r w:rsidRPr="005762E6">
              <w:rPr>
                <w:sz w:val="20"/>
                <w:szCs w:val="20"/>
              </w:rPr>
              <w:t xml:space="preserve"> but ads were present in eight compliant stores. Gas stations had 81% lower odds (OR=0.</w:t>
            </w:r>
            <w:proofErr w:type="gramStart"/>
            <w:r w:rsidRPr="005762E6">
              <w:rPr>
                <w:sz w:val="20"/>
                <w:szCs w:val="20"/>
              </w:rPr>
              <w:t>19,​</w:t>
            </w:r>
            <w:proofErr w:type="gramEnd"/>
            <w:r w:rsidRPr="005762E6">
              <w:rPr>
                <w:sz w:val="20"/>
                <w:szCs w:val="20"/>
              </w:rPr>
              <w:t xml:space="preserve"> 95% CI 0.06 to 0.58) of complying with the menthol cigarette ban compared with larger/chain stores. School-level and neighbourhood factors were not associated with compliance</w:t>
            </w:r>
            <w:proofErr w:type="gramStart"/>
            <w:r w:rsidRPr="005762E6">
              <w:rPr>
                <w:sz w:val="20"/>
                <w:szCs w:val="20"/>
              </w:rPr>
              <w:t>.,​</w:t>
            </w:r>
            <w:proofErr w:type="gramEnd"/>
            <w:r w:rsidRPr="005762E6">
              <w:rPr>
                <w:sz w:val="20"/>
                <w:szCs w:val="20"/>
              </w:rPr>
              <w:t xml:space="preserve"> DISCUSSION: The poor compliance observed with Chicago's partial menthol cigarette ban highlights the need for comprehensive efforts. Optimising local resources to target enforcement efforts in gas stations could improve compliance. Ordinances that also restrict advertising could potentially enhance ban impact by reducing exposure to product and promotions. Copyright © Article author(s) (or their employer(s) unless otherwise stated in the text of the article) 2018. All rights reserved. No commercial use is permitted unless otherwise expressly granted.</w:t>
            </w:r>
          </w:p>
        </w:tc>
      </w:tr>
      <w:tr w:rsidR="00B44564" w:rsidRPr="005762E6" w14:paraId="15967821"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4A0A163" w14:textId="77777777" w:rsidR="00B44564" w:rsidRPr="005762E6" w:rsidRDefault="00B44564" w:rsidP="00EA69AA">
            <w:pPr>
              <w:spacing w:after="120" w:line="240" w:lineRule="auto"/>
              <w:contextualSpacing/>
              <w:rPr>
                <w:sz w:val="20"/>
                <w:szCs w:val="20"/>
              </w:rPr>
            </w:pPr>
            <w:r w:rsidRPr="005762E6">
              <w:rPr>
                <w:sz w:val="20"/>
                <w:szCs w:val="20"/>
              </w:rPr>
              <w:t>219</w:t>
            </w:r>
          </w:p>
        </w:tc>
        <w:tc>
          <w:tcPr>
            <w:tcW w:w="0" w:type="auto"/>
            <w:tcBorders>
              <w:top w:val="single" w:sz="6" w:space="0" w:color="auto"/>
              <w:left w:val="single" w:sz="6" w:space="0" w:color="auto"/>
              <w:bottom w:val="single" w:sz="6" w:space="0" w:color="auto"/>
              <w:right w:val="single" w:sz="6" w:space="0" w:color="auto"/>
            </w:tcBorders>
          </w:tcPr>
          <w:p w14:paraId="315C3D97"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AB38F8A" w14:textId="06597363" w:rsidR="00B44564" w:rsidRPr="005762E6" w:rsidRDefault="00B44564" w:rsidP="00EA69AA">
            <w:pPr>
              <w:spacing w:after="120" w:line="240" w:lineRule="auto"/>
              <w:contextualSpacing/>
              <w:rPr>
                <w:sz w:val="20"/>
                <w:szCs w:val="20"/>
              </w:rPr>
            </w:pPr>
            <w:r w:rsidRPr="005762E6">
              <w:rPr>
                <w:sz w:val="20"/>
                <w:szCs w:val="20"/>
              </w:rPr>
              <w:t xml:space="preserve">Karen </w:t>
            </w:r>
            <w:proofErr w:type="gramStart"/>
            <w:r w:rsidRPr="005762E6">
              <w:rPr>
                <w:sz w:val="20"/>
                <w:szCs w:val="20"/>
              </w:rPr>
              <w:t>Ahijevych,​</w:t>
            </w:r>
            <w:proofErr w:type="gramEnd"/>
            <w:r w:rsidRPr="005762E6">
              <w:rPr>
                <w:sz w:val="20"/>
                <w:szCs w:val="20"/>
              </w:rPr>
              <w:t xml:space="preserve"> Laura Szalacha,​ Alai Tan Effects of menthol flavor cigarettes or total urinary menthol on biomarkers of nicotine and carcinogenic exposure and behavioral measures</w:t>
            </w:r>
            <w:r w:rsidR="007F2F01">
              <w:rPr>
                <w:sz w:val="20"/>
                <w:szCs w:val="20"/>
              </w:rPr>
              <w:t>.</w:t>
            </w:r>
            <w:r w:rsidRPr="005762E6">
              <w:rPr>
                <w:sz w:val="20"/>
                <w:szCs w:val="20"/>
              </w:rPr>
              <w:t xml:space="preserve"> Nicotine &amp; tobacco research : official journal of the Society for Research on Nicotine and Tobacco; 2018;:</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The effects of either menthol flavor cigarettes or total urinary menthol on biomarkers of nicotine dependence,​ addictive and carcinogenic exposure,​ and behavioral measures may inform differences and similarities of these two approaches.,​ Methods: Stratified recruitment by cigarette (menthol flavor or regular cigarettes) and race (African American and white) yielded a balanced sample of 136 adult smokers in a 36 hour inpatient protocol. Exposure measures assessed during 24 hour data collection included urinary </w:t>
            </w:r>
            <w:proofErr w:type="gramStart"/>
            <w:r w:rsidRPr="005762E6">
              <w:rPr>
                <w:sz w:val="20"/>
                <w:szCs w:val="20"/>
              </w:rPr>
              <w:t>menthol,​</w:t>
            </w:r>
            <w:proofErr w:type="gramEnd"/>
            <w:r w:rsidRPr="005762E6">
              <w:rPr>
                <w:sz w:val="20"/>
                <w:szCs w:val="20"/>
              </w:rPr>
              <w:t xml:space="preserve"> total NNAL,​ ten polycyclic aromatic hydrocarbon (PAH) metabolites,​ baseline plasma cotinine,​ plasma nicotine pre and post-cigarette,​ exhaled carbon monoxide (CO) pre and post-cigarette,​ and cigarette puff volumes. The latter three were measured at four specified time points throughout the day</w:t>
            </w:r>
            <w:proofErr w:type="gramStart"/>
            <w:r w:rsidRPr="005762E6">
              <w:rPr>
                <w:sz w:val="20"/>
                <w:szCs w:val="20"/>
              </w:rPr>
              <w:t>.,​</w:t>
            </w:r>
            <w:proofErr w:type="gramEnd"/>
            <w:r w:rsidRPr="005762E6">
              <w:rPr>
                <w:sz w:val="20"/>
                <w:szCs w:val="20"/>
              </w:rPr>
              <w:t xml:space="preserve"> Results: There were no significant differences between menthol flavor and regular cigarette smokers in measures of nicotine dependence,​ biomarkers of addictive and carcinogenic exposures,​ or behaviors. Significant race by cigarette type interaction effects were found for two biomarkers: plasma nicotine and 3-hydroxyphenanthrene. Total urinary menthol was significantly associated with higher levels of nearly all dependent variables including puff </w:t>
            </w:r>
            <w:proofErr w:type="gramStart"/>
            <w:r w:rsidRPr="005762E6">
              <w:rPr>
                <w:sz w:val="20"/>
                <w:szCs w:val="20"/>
              </w:rPr>
              <w:t>volume,​</w:t>
            </w:r>
            <w:proofErr w:type="gramEnd"/>
            <w:r w:rsidRPr="005762E6">
              <w:rPr>
                <w:sz w:val="20"/>
                <w:szCs w:val="20"/>
              </w:rPr>
              <w:t xml:space="preserve"> exhaled CO,​ plasma nicotine and cotinine,​ NNAL and PAHs. The significant effects of total urinary menthol were sustained after adjusting for menthol flavor and regular cigarette type and other covariates (e.g.,​ number of cigarettes per day,​ baseline cotinine,​ and baseline nicotine).,​ Conclusions: Urinary menthol is an independent predictive biomarker for nicotine dependence,​ addictive and carcinogenic exposure,​ and behaviors.,​ Implications: Comparison of the effects of menthol </w:t>
            </w:r>
            <w:r w:rsidRPr="005762E6">
              <w:rPr>
                <w:sz w:val="20"/>
                <w:szCs w:val="20"/>
              </w:rPr>
              <w:lastRenderedPageBreak/>
              <w:t>flavor and total urinary menthol on biomarkers of nicotine dependence,​ addictive and carcinogenic exposure and behavioral measures emphasizes the important significant contribution of total urinary menthol concentrations in contrast to no significant associations by dichotomous cigarette type with these biomarkers.</w:t>
            </w:r>
          </w:p>
        </w:tc>
      </w:tr>
      <w:tr w:rsidR="00B44564" w:rsidRPr="005762E6" w14:paraId="0368EAF7"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88B390B" w14:textId="77777777" w:rsidR="00B44564" w:rsidRPr="005762E6" w:rsidRDefault="00B44564" w:rsidP="00EA69AA">
            <w:pPr>
              <w:spacing w:after="120" w:line="240" w:lineRule="auto"/>
              <w:contextualSpacing/>
              <w:rPr>
                <w:sz w:val="20"/>
                <w:szCs w:val="20"/>
              </w:rPr>
            </w:pPr>
            <w:r w:rsidRPr="005762E6">
              <w:rPr>
                <w:sz w:val="20"/>
                <w:szCs w:val="20"/>
              </w:rPr>
              <w:lastRenderedPageBreak/>
              <w:t>221</w:t>
            </w:r>
          </w:p>
        </w:tc>
        <w:tc>
          <w:tcPr>
            <w:tcW w:w="0" w:type="auto"/>
            <w:tcBorders>
              <w:top w:val="single" w:sz="6" w:space="0" w:color="auto"/>
              <w:left w:val="single" w:sz="6" w:space="0" w:color="auto"/>
              <w:bottom w:val="single" w:sz="6" w:space="0" w:color="auto"/>
              <w:right w:val="single" w:sz="6" w:space="0" w:color="auto"/>
            </w:tcBorders>
          </w:tcPr>
          <w:p w14:paraId="20183789"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C1742C2" w14:textId="30AC4E92" w:rsidR="00B44564" w:rsidRPr="005762E6" w:rsidRDefault="00B44564" w:rsidP="00EA69AA">
            <w:pPr>
              <w:spacing w:after="120" w:line="240" w:lineRule="auto"/>
              <w:contextualSpacing/>
              <w:rPr>
                <w:sz w:val="20"/>
                <w:szCs w:val="20"/>
              </w:rPr>
            </w:pPr>
            <w:r w:rsidRPr="005762E6">
              <w:rPr>
                <w:sz w:val="20"/>
                <w:szCs w:val="20"/>
              </w:rPr>
              <w:t xml:space="preserve">Courtney </w:t>
            </w:r>
            <w:proofErr w:type="gramStart"/>
            <w:r w:rsidRPr="005762E6">
              <w:rPr>
                <w:sz w:val="20"/>
                <w:szCs w:val="20"/>
              </w:rPr>
              <w:t>Keeler,​</w:t>
            </w:r>
            <w:proofErr w:type="gramEnd"/>
            <w:r w:rsidRPr="005762E6">
              <w:rPr>
                <w:sz w:val="20"/>
                <w:szCs w:val="20"/>
              </w:rPr>
              <w:t xml:space="preserve"> Wendy Max,​ Valerie B Yerger,​ Tingting Yao,​ Yingning Wang,​ Michael K Ong,​ Hai-Yen Sung Effects of cigarette prices on intention to quit,​ quit attempts,​ and successful cessation among African American smokers</w:t>
            </w:r>
            <w:r w:rsidR="007F2F01">
              <w:rPr>
                <w:sz w:val="20"/>
                <w:szCs w:val="20"/>
              </w:rPr>
              <w:t>.</w:t>
            </w:r>
            <w:r w:rsidRPr="005762E6">
              <w:rPr>
                <w:sz w:val="20"/>
                <w:szCs w:val="20"/>
              </w:rPr>
              <w:t xml:space="preserve"> Nicotine &amp; tobacco </w:t>
            </w:r>
            <w:proofErr w:type="gramStart"/>
            <w:r w:rsidRPr="005762E6">
              <w:rPr>
                <w:sz w:val="20"/>
                <w:szCs w:val="20"/>
              </w:rPr>
              <w:t>research :</w:t>
            </w:r>
            <w:proofErr w:type="gramEnd"/>
            <w:r w:rsidRPr="005762E6">
              <w:rPr>
                <w:sz w:val="20"/>
                <w:szCs w:val="20"/>
              </w:rPr>
              <w:t xml:space="preserve"> official journal of the Society for Research on Nicotine and Tobacco; 2018;:</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Introduction: This study examined the effects of cigarette price on intention to quit,​ quit attempts,​ and successful cessation among African American smokers in the U.S. and explored whether price effects differed by income level and menthol use status. Price effects were further compared to White counterparts</w:t>
            </w:r>
            <w:proofErr w:type="gramStart"/>
            <w:r w:rsidRPr="005762E6">
              <w:rPr>
                <w:sz w:val="20"/>
                <w:szCs w:val="20"/>
              </w:rPr>
              <w:t>.,​</w:t>
            </w:r>
            <w:proofErr w:type="gramEnd"/>
            <w:r w:rsidRPr="005762E6">
              <w:rPr>
                <w:sz w:val="20"/>
                <w:szCs w:val="20"/>
              </w:rPr>
              <w:t xml:space="preserve"> Methods: We used pooled cross-sectional data from 2006-2007 and 2010-2011 Tobacco Use Supplements to the Current Population Survey to analyze 4,​213 African American recent active smokers. Three dependent variables were examined: any quit attempts in the past 12 </w:t>
            </w:r>
            <w:proofErr w:type="gramStart"/>
            <w:r w:rsidRPr="005762E6">
              <w:rPr>
                <w:sz w:val="20"/>
                <w:szCs w:val="20"/>
              </w:rPr>
              <w:t>months,​</w:t>
            </w:r>
            <w:proofErr w:type="gramEnd"/>
            <w:r w:rsidRPr="005762E6">
              <w:rPr>
                <w:sz w:val="20"/>
                <w:szCs w:val="20"/>
              </w:rPr>
              <w:t xml:space="preserve"> successful cessation for &gt;=3 months,​ and intention to quit in the next 6 months. For each dependent </w:t>
            </w:r>
            <w:proofErr w:type="gramStart"/>
            <w:r w:rsidRPr="005762E6">
              <w:rPr>
                <w:sz w:val="20"/>
                <w:szCs w:val="20"/>
              </w:rPr>
              <w:t>variable,​</w:t>
            </w:r>
            <w:proofErr w:type="gramEnd"/>
            <w:r w:rsidRPr="005762E6">
              <w:rPr>
                <w:sz w:val="20"/>
                <w:szCs w:val="20"/>
              </w:rPr>
              <w:t xml:space="preserve"> separate multiple logistic regression models were estimated to determine the impact of cigarette prices.,​ Results: There was no indication that price was associated with quit attempts or successful cessation,​ but price was positively associated with increased odds of intending to quit among African American smokers (p&lt;0.001). In </w:t>
            </w:r>
            <w:proofErr w:type="gramStart"/>
            <w:r w:rsidRPr="005762E6">
              <w:rPr>
                <w:sz w:val="20"/>
                <w:szCs w:val="20"/>
              </w:rPr>
              <w:t>contrast,​</w:t>
            </w:r>
            <w:proofErr w:type="gramEnd"/>
            <w:r w:rsidRPr="005762E6">
              <w:rPr>
                <w:sz w:val="20"/>
                <w:szCs w:val="20"/>
              </w:rPr>
              <w:t xml:space="preserve"> prices were positively associated with intention to quit and quit attempts for White smokers. The association between price and intention to quit was significantly positive for African American low-income and menthol smokers but was not statistically significant for African American high-income and non-menthol smokers. There was no evidence of a price effect on quit attempts and successful cessation for each subgroup of African Americans</w:t>
            </w:r>
            <w:proofErr w:type="gramStart"/>
            <w:r w:rsidRPr="005762E6">
              <w:rPr>
                <w:sz w:val="20"/>
                <w:szCs w:val="20"/>
              </w:rPr>
              <w:t>.,​</w:t>
            </w:r>
            <w:proofErr w:type="gramEnd"/>
            <w:r w:rsidRPr="005762E6">
              <w:rPr>
                <w:sz w:val="20"/>
                <w:szCs w:val="20"/>
              </w:rPr>
              <w:t xml:space="preserve"> Conclusion: Tobacco tax policy alone may not be enough to increase quit attempts or successful cessation among African Americans. Community-based cessation programs tailored towards African American </w:t>
            </w:r>
            <w:proofErr w:type="gramStart"/>
            <w:r w:rsidRPr="005762E6">
              <w:rPr>
                <w:sz w:val="20"/>
                <w:szCs w:val="20"/>
              </w:rPr>
              <w:t>smokers,​</w:t>
            </w:r>
            <w:proofErr w:type="gramEnd"/>
            <w:r w:rsidRPr="005762E6">
              <w:rPr>
                <w:sz w:val="20"/>
                <w:szCs w:val="20"/>
              </w:rPr>
              <w:t xml:space="preserve"> especially low-income menthol smokers,​ are needed.</w:t>
            </w:r>
          </w:p>
        </w:tc>
      </w:tr>
      <w:tr w:rsidR="00B44564" w:rsidRPr="005762E6" w14:paraId="4339F693"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B0ABB14" w14:textId="77777777" w:rsidR="00B44564" w:rsidRPr="005762E6" w:rsidRDefault="00B44564" w:rsidP="00EA69AA">
            <w:pPr>
              <w:spacing w:after="120" w:line="240" w:lineRule="auto"/>
              <w:contextualSpacing/>
              <w:rPr>
                <w:sz w:val="20"/>
                <w:szCs w:val="20"/>
              </w:rPr>
            </w:pPr>
            <w:r w:rsidRPr="005762E6">
              <w:rPr>
                <w:sz w:val="20"/>
                <w:szCs w:val="20"/>
              </w:rPr>
              <w:t>225</w:t>
            </w:r>
          </w:p>
        </w:tc>
        <w:tc>
          <w:tcPr>
            <w:tcW w:w="0" w:type="auto"/>
            <w:tcBorders>
              <w:top w:val="single" w:sz="6" w:space="0" w:color="auto"/>
              <w:left w:val="single" w:sz="6" w:space="0" w:color="auto"/>
              <w:bottom w:val="single" w:sz="6" w:space="0" w:color="auto"/>
              <w:right w:val="single" w:sz="6" w:space="0" w:color="auto"/>
            </w:tcBorders>
          </w:tcPr>
          <w:p w14:paraId="15B7D4B2"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8676FD4" w14:textId="38F1CB55" w:rsidR="00B44564" w:rsidRPr="005762E6" w:rsidRDefault="00B44564" w:rsidP="00EA69AA">
            <w:pPr>
              <w:spacing w:after="120" w:line="240" w:lineRule="auto"/>
              <w:contextualSpacing/>
              <w:rPr>
                <w:sz w:val="20"/>
                <w:szCs w:val="20"/>
              </w:rPr>
            </w:pPr>
            <w:r w:rsidRPr="005762E6">
              <w:rPr>
                <w:sz w:val="20"/>
                <w:szCs w:val="20"/>
              </w:rPr>
              <w:t xml:space="preserve">Erna J Z </w:t>
            </w:r>
            <w:proofErr w:type="gramStart"/>
            <w:r w:rsidRPr="005762E6">
              <w:rPr>
                <w:sz w:val="20"/>
                <w:szCs w:val="20"/>
              </w:rPr>
              <w:t>Krusemann,​</w:t>
            </w:r>
            <w:proofErr w:type="gramEnd"/>
            <w:r w:rsidRPr="005762E6">
              <w:rPr>
                <w:sz w:val="20"/>
                <w:szCs w:val="20"/>
              </w:rPr>
              <w:t xml:space="preserve"> Marlou P Lasschuijt,​ C de Graaf,​ Rene A de Wijk,​ Pieter H Punter,​ Loes van Tiel,​ Johannes W J M Cremers,​ Suzanne van de Nobelen,​ Sanne Boesveldt,​ Reinskje Talhout Sensory analysis of characterising flavours: evaluating tobacco product odours using an expert panel</w:t>
            </w:r>
            <w:r w:rsidR="007F2F01">
              <w:rPr>
                <w:sz w:val="20"/>
                <w:szCs w:val="20"/>
              </w:rPr>
              <w:t>.</w:t>
            </w:r>
            <w:r w:rsidRPr="005762E6">
              <w:rPr>
                <w:sz w:val="20"/>
                <w:szCs w:val="20"/>
              </w:rPr>
              <w:t xml:space="preserve"> Tobacco control; 2018;:</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OBJECTIVES: Tobacco flavours are an important regulatory concept in several </w:t>
            </w:r>
            <w:proofErr w:type="gramStart"/>
            <w:r w:rsidRPr="005762E6">
              <w:rPr>
                <w:sz w:val="20"/>
                <w:szCs w:val="20"/>
              </w:rPr>
              <w:t>jurisdictions,​</w:t>
            </w:r>
            <w:proofErr w:type="gramEnd"/>
            <w:r w:rsidRPr="005762E6">
              <w:rPr>
                <w:sz w:val="20"/>
                <w:szCs w:val="20"/>
              </w:rPr>
              <w:t xml:space="preserve"> for example in the USA,​ Canada and Europe. The European Tobacco Products Directive 2014/40/EU prohibits cigarettes and roll-your-own tobacco having a characterising flavour. This directive defines characterising flavour as 'a clearly noticeable smell or taste other than one of tobacco [</w:t>
            </w:r>
            <w:r w:rsidR="007F2F01">
              <w:rPr>
                <w:sz w:val="20"/>
                <w:szCs w:val="20"/>
              </w:rPr>
              <w:t>.</w:t>
            </w:r>
            <w:r w:rsidRPr="005762E6">
              <w:rPr>
                <w:sz w:val="20"/>
                <w:szCs w:val="20"/>
              </w:rPr>
              <w:t xml:space="preserve">.]'. To distinguish between products with and without a characterising </w:t>
            </w:r>
            <w:proofErr w:type="gramStart"/>
            <w:r w:rsidRPr="005762E6">
              <w:rPr>
                <w:sz w:val="20"/>
                <w:szCs w:val="20"/>
              </w:rPr>
              <w:t>flavour,​</w:t>
            </w:r>
            <w:proofErr w:type="gramEnd"/>
            <w:r w:rsidRPr="005762E6">
              <w:rPr>
                <w:sz w:val="20"/>
                <w:szCs w:val="20"/>
              </w:rPr>
              <w:t xml:space="preserve"> we trained an expert panel to identify characterising flavours by smelling.,​ METHODS: An expert panel (n=18) evaluated the smell of 20 tobacco products using self-defined odour attributes,​ following Quantitative Descriptive Analysis. The panel was trained during 14 attribute </w:t>
            </w:r>
            <w:proofErr w:type="gramStart"/>
            <w:r w:rsidRPr="005762E6">
              <w:rPr>
                <w:sz w:val="20"/>
                <w:szCs w:val="20"/>
              </w:rPr>
              <w:t>training,​</w:t>
            </w:r>
            <w:proofErr w:type="gramEnd"/>
            <w:r w:rsidRPr="005762E6">
              <w:rPr>
                <w:sz w:val="20"/>
                <w:szCs w:val="20"/>
              </w:rPr>
              <w:t xml:space="preserve"> consensus training and performance monitoring sessions. Products were assessed during six test sessions. Principal component </w:t>
            </w:r>
            <w:proofErr w:type="gramStart"/>
            <w:r w:rsidRPr="005762E6">
              <w:rPr>
                <w:sz w:val="20"/>
                <w:szCs w:val="20"/>
              </w:rPr>
              <w:t>analysis,​</w:t>
            </w:r>
            <w:proofErr w:type="gramEnd"/>
            <w:r w:rsidRPr="005762E6">
              <w:rPr>
                <w:sz w:val="20"/>
                <w:szCs w:val="20"/>
              </w:rPr>
              <w:t xml:space="preserve"> hierarchical clustering (four and six clusters) and Hotelling's T-tests (95% and 99% CIs) were used to determine differences and similarities between tobacco products based on odour attributes.,​ RESULTS: The final attribute list contained 13 odour descriptors. Panel performance was sufficient after 14 training sessions. Products marketed as unflavoured that formed a cluster were considered reference products. A four-cluster method distinguished cherry-</w:t>
            </w:r>
            <w:proofErr w:type="gramStart"/>
            <w:r w:rsidRPr="005762E6">
              <w:rPr>
                <w:sz w:val="20"/>
                <w:szCs w:val="20"/>
              </w:rPr>
              <w:t>flavoured,​</w:t>
            </w:r>
            <w:proofErr w:type="gramEnd"/>
            <w:r w:rsidRPr="005762E6">
              <w:rPr>
                <w:sz w:val="20"/>
                <w:szCs w:val="20"/>
              </w:rPr>
              <w:t xml:space="preserve"> vanilla-flavoured and menthol-flavoured products from reference products. Six clusters subdivided reference products into tobacco </w:t>
            </w:r>
            <w:proofErr w:type="gramStart"/>
            <w:r w:rsidRPr="005762E6">
              <w:rPr>
                <w:sz w:val="20"/>
                <w:szCs w:val="20"/>
              </w:rPr>
              <w:t>leaves,​</w:t>
            </w:r>
            <w:proofErr w:type="gramEnd"/>
            <w:r w:rsidRPr="005762E6">
              <w:rPr>
                <w:sz w:val="20"/>
                <w:szCs w:val="20"/>
              </w:rPr>
              <w:t xml:space="preserve"> roll-your-own and commercial products.,​ CONCLUSIONS: An expert panel was successfully trained to assess characterising odours in cigarettes and roll-your-own tobacco. This method could be applied to other product types such as e-cigarettes. Regulatory decisions on the choice of reference products and significance level are needed which directly influences the products being assessed as having a characterising odour. Copyright © </w:t>
            </w:r>
            <w:r w:rsidRPr="005762E6">
              <w:rPr>
                <w:sz w:val="20"/>
                <w:szCs w:val="20"/>
              </w:rPr>
              <w:lastRenderedPageBreak/>
              <w:t>Article author(s) (or their employer(s) unless otherwise stated in the text of the article) 2018. All rights reserved. No commercial use is permitted unless otherwise expressly granted.</w:t>
            </w:r>
          </w:p>
        </w:tc>
      </w:tr>
      <w:tr w:rsidR="00B44564" w:rsidRPr="005762E6" w14:paraId="2566DFBD"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1B54816" w14:textId="77777777" w:rsidR="00B44564" w:rsidRPr="005762E6" w:rsidRDefault="00B44564" w:rsidP="00EA69AA">
            <w:pPr>
              <w:spacing w:after="120" w:line="240" w:lineRule="auto"/>
              <w:contextualSpacing/>
              <w:rPr>
                <w:sz w:val="20"/>
                <w:szCs w:val="20"/>
              </w:rPr>
            </w:pPr>
            <w:r w:rsidRPr="005762E6">
              <w:rPr>
                <w:sz w:val="20"/>
                <w:szCs w:val="20"/>
              </w:rPr>
              <w:lastRenderedPageBreak/>
              <w:t>227</w:t>
            </w:r>
          </w:p>
        </w:tc>
        <w:tc>
          <w:tcPr>
            <w:tcW w:w="0" w:type="auto"/>
            <w:tcBorders>
              <w:top w:val="single" w:sz="6" w:space="0" w:color="auto"/>
              <w:left w:val="single" w:sz="6" w:space="0" w:color="auto"/>
              <w:bottom w:val="single" w:sz="6" w:space="0" w:color="auto"/>
              <w:right w:val="single" w:sz="6" w:space="0" w:color="auto"/>
            </w:tcBorders>
          </w:tcPr>
          <w:p w14:paraId="429B2FEF"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68AC9A7" w14:textId="2F1240BD" w:rsidR="00B44564" w:rsidRPr="005762E6" w:rsidRDefault="00B44564" w:rsidP="00EA69AA">
            <w:pPr>
              <w:spacing w:after="120" w:line="240" w:lineRule="auto"/>
              <w:contextualSpacing/>
              <w:rPr>
                <w:sz w:val="20"/>
                <w:szCs w:val="20"/>
              </w:rPr>
            </w:pPr>
            <w:r w:rsidRPr="005762E6">
              <w:rPr>
                <w:sz w:val="20"/>
                <w:szCs w:val="20"/>
              </w:rPr>
              <w:t xml:space="preserve">Mary F </w:t>
            </w:r>
            <w:proofErr w:type="gramStart"/>
            <w:r w:rsidRPr="005762E6">
              <w:rPr>
                <w:sz w:val="20"/>
                <w:szCs w:val="20"/>
              </w:rPr>
              <w:t>Brunette,​</w:t>
            </w:r>
            <w:proofErr w:type="gramEnd"/>
            <w:r w:rsidRPr="005762E6">
              <w:rPr>
                <w:sz w:val="20"/>
                <w:szCs w:val="20"/>
              </w:rPr>
              <w:t xml:space="preserve"> Joelle C Ferron,​ Pamela Geiger,​ Andrea C Villanti Menthol Cigarette use in Young Adult Smokers with Severe Mental Illnesses</w:t>
            </w:r>
            <w:r w:rsidR="007F2F01">
              <w:rPr>
                <w:sz w:val="20"/>
                <w:szCs w:val="20"/>
              </w:rPr>
              <w:t>.</w:t>
            </w:r>
            <w:r w:rsidRPr="005762E6">
              <w:rPr>
                <w:sz w:val="20"/>
                <w:szCs w:val="20"/>
              </w:rPr>
              <w:t xml:space="preserve"> Nicotine &amp; tobacco </w:t>
            </w:r>
            <w:proofErr w:type="gramStart"/>
            <w:r w:rsidRPr="005762E6">
              <w:rPr>
                <w:sz w:val="20"/>
                <w:szCs w:val="20"/>
              </w:rPr>
              <w:t>research :</w:t>
            </w:r>
            <w:proofErr w:type="gramEnd"/>
            <w:r w:rsidRPr="005762E6">
              <w:rPr>
                <w:sz w:val="20"/>
                <w:szCs w:val="20"/>
              </w:rPr>
              <w:t xml:space="preserve"> official journal of the Society for Research on Nicotine and Tobacco; 2018;:</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Smokers with severe mental illness (SMI) are more likely to start smoking and less likely to quit. Menthol may facilitate smoking </w:t>
            </w:r>
            <w:proofErr w:type="gramStart"/>
            <w:r w:rsidRPr="005762E6">
              <w:rPr>
                <w:sz w:val="20"/>
                <w:szCs w:val="20"/>
              </w:rPr>
              <w:t>progression,​</w:t>
            </w:r>
            <w:proofErr w:type="gramEnd"/>
            <w:r w:rsidRPr="005762E6">
              <w:rPr>
                <w:sz w:val="20"/>
                <w:szCs w:val="20"/>
              </w:rPr>
              <w:t xml:space="preserve"> dependence and maintenance by reducing harshness and irritation from smoking and providing a unique sensory experience during use. High rates of menthol use have been reported in smokers with </w:t>
            </w:r>
            <w:proofErr w:type="gramStart"/>
            <w:r w:rsidRPr="005762E6">
              <w:rPr>
                <w:sz w:val="20"/>
                <w:szCs w:val="20"/>
              </w:rPr>
              <w:t>SMI,​</w:t>
            </w:r>
            <w:proofErr w:type="gramEnd"/>
            <w:r w:rsidRPr="005762E6">
              <w:rPr>
                <w:sz w:val="20"/>
                <w:szCs w:val="20"/>
              </w:rPr>
              <w:t xml:space="preserve"> but information on young adults with SMI has not been reported.,​ Methods: This study provides a secondary analysis to assess the impact of menthol use in a pilot trial of brief tobacco interventions. Participants were assessed at baseline and again at a three-month follow-up with structured interviews and breath carbon monoxide to confirm self-reported 7-day abstinence at follow-up</w:t>
            </w:r>
            <w:proofErr w:type="gramStart"/>
            <w:r w:rsidRPr="005762E6">
              <w:rPr>
                <w:sz w:val="20"/>
                <w:szCs w:val="20"/>
              </w:rPr>
              <w:t>.,​</w:t>
            </w:r>
            <w:proofErr w:type="gramEnd"/>
            <w:r w:rsidRPr="005762E6">
              <w:rPr>
                <w:sz w:val="20"/>
                <w:szCs w:val="20"/>
              </w:rPr>
              <w:t xml:space="preserve"> Results: Participants included 81 young adult smokers with SMI,​ mean age of 24.2 years (SD=3.6; range 18-30). </w:t>
            </w:r>
            <w:proofErr w:type="gramStart"/>
            <w:r w:rsidRPr="005762E6">
              <w:rPr>
                <w:sz w:val="20"/>
                <w:szCs w:val="20"/>
              </w:rPr>
              <w:t>Overall,​</w:t>
            </w:r>
            <w:proofErr w:type="gramEnd"/>
            <w:r w:rsidRPr="005762E6">
              <w:rPr>
                <w:sz w:val="20"/>
                <w:szCs w:val="20"/>
              </w:rPr>
              <w:t xml:space="preserve"> 58% of the group reported that they recently used a menthol-flavored product. Menthol use was correlated with race (African American [18/21,​ 85.7%] vs. White [24/53,​ 45.3%] or Other race [5/7,​ 71.4%]; X2=10.7,​ p=.005) and more lifetime psychiatric hospitalizations (t=2.39,​ p=.02),​ but not with cigarettes per day,​ nicotine dependence,​ quit attempts over the follow-up period,​ nor with achieving biologically confirmed abstinence at the follow-up assessment.,​ Conclusions: The high prevalence of menthol flavored cigarette use in this study group is consistent with previous reports of high rates of menthol use among young adults,​ Blacks,​ and middle-aged SMI smokers. This study supports existing evidence that policies to restrict menthol flavoring in combustible tobacco products could reduce smoking in young adults with SMI</w:t>
            </w:r>
            <w:proofErr w:type="gramStart"/>
            <w:r w:rsidRPr="005762E6">
              <w:rPr>
                <w:sz w:val="20"/>
                <w:szCs w:val="20"/>
              </w:rPr>
              <w:t>.,​</w:t>
            </w:r>
            <w:proofErr w:type="gramEnd"/>
            <w:r w:rsidRPr="005762E6">
              <w:rPr>
                <w:sz w:val="20"/>
                <w:szCs w:val="20"/>
              </w:rPr>
              <w:t xml:space="preserve"> Implications: High rates of menthol use have been reported in middle-aged smokers with severe mental illness,​ but information on young adults with severe mental illness has not been reported. In this </w:t>
            </w:r>
            <w:proofErr w:type="gramStart"/>
            <w:r w:rsidRPr="005762E6">
              <w:rPr>
                <w:sz w:val="20"/>
                <w:szCs w:val="20"/>
              </w:rPr>
              <w:t>study,​</w:t>
            </w:r>
            <w:proofErr w:type="gramEnd"/>
            <w:r w:rsidRPr="005762E6">
              <w:rPr>
                <w:sz w:val="20"/>
                <w:szCs w:val="20"/>
              </w:rPr>
              <w:t xml:space="preserve"> over half (58%) of 81 young adult smokers with severe mental illness used a menthol-flavored product. Menthol use was associated with race and with history of psychiatric hospitalizations. The research supports existing evidence that policies to restrict menthol flavoring in combustible tobacco products could reduce smoking in young adults with severe mental illness.</w:t>
            </w:r>
          </w:p>
        </w:tc>
      </w:tr>
      <w:tr w:rsidR="00B44564" w:rsidRPr="005762E6" w14:paraId="328C346B"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6A227DA" w14:textId="77777777" w:rsidR="00B44564" w:rsidRPr="005762E6" w:rsidRDefault="00B44564" w:rsidP="00EA69AA">
            <w:pPr>
              <w:spacing w:after="120" w:line="240" w:lineRule="auto"/>
              <w:contextualSpacing/>
              <w:rPr>
                <w:sz w:val="20"/>
                <w:szCs w:val="20"/>
              </w:rPr>
            </w:pPr>
            <w:r w:rsidRPr="005762E6">
              <w:rPr>
                <w:sz w:val="20"/>
                <w:szCs w:val="20"/>
              </w:rPr>
              <w:t>228</w:t>
            </w:r>
          </w:p>
        </w:tc>
        <w:tc>
          <w:tcPr>
            <w:tcW w:w="0" w:type="auto"/>
            <w:tcBorders>
              <w:top w:val="single" w:sz="6" w:space="0" w:color="auto"/>
              <w:left w:val="single" w:sz="6" w:space="0" w:color="auto"/>
              <w:bottom w:val="single" w:sz="6" w:space="0" w:color="auto"/>
              <w:right w:val="single" w:sz="6" w:space="0" w:color="auto"/>
            </w:tcBorders>
          </w:tcPr>
          <w:p w14:paraId="45DFE05D"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8AF2787" w14:textId="2054202E" w:rsidR="00B44564" w:rsidRPr="005762E6" w:rsidRDefault="00B44564" w:rsidP="00EA69AA">
            <w:pPr>
              <w:spacing w:after="120" w:line="240" w:lineRule="auto"/>
              <w:contextualSpacing/>
              <w:rPr>
                <w:sz w:val="20"/>
                <w:szCs w:val="20"/>
              </w:rPr>
            </w:pPr>
            <w:r w:rsidRPr="005762E6">
              <w:rPr>
                <w:sz w:val="20"/>
                <w:szCs w:val="20"/>
              </w:rPr>
              <w:t xml:space="preserve">Amy M </w:t>
            </w:r>
            <w:proofErr w:type="gramStart"/>
            <w:r w:rsidRPr="005762E6">
              <w:rPr>
                <w:sz w:val="20"/>
                <w:szCs w:val="20"/>
              </w:rPr>
              <w:t>Cohn,​</w:t>
            </w:r>
            <w:proofErr w:type="gramEnd"/>
            <w:r w:rsidRPr="005762E6">
              <w:rPr>
                <w:sz w:val="20"/>
                <w:szCs w:val="20"/>
              </w:rPr>
              <w:t xml:space="preserve"> Shyanika W Rose,​ Vinu Ilakkuvan,​ Tiffany Gray,​ Laurel Curry,​ Andrea C Villanti,​ Darren Mays,​ Eric Lindblom,​ Kenneth Tercyak,​ Charles Debnam,​ Ashley Mayo,​ Lexie Perreras Harm Perceptions of Menthol and Nonmenthol Cigarettes Differ by Brand,​ Race/Ethnicity,​ and Gender in US Adult Smokers: Results from PATH </w:t>
            </w:r>
            <w:r w:rsidR="00C840DE">
              <w:rPr>
                <w:sz w:val="20"/>
                <w:szCs w:val="20"/>
              </w:rPr>
              <w:t>wave 1</w:t>
            </w:r>
            <w:r w:rsidRPr="005762E6">
              <w:rPr>
                <w:sz w:val="20"/>
                <w:szCs w:val="20"/>
              </w:rPr>
              <w:t xml:space="preserve">. Nicotine &amp; tobacco </w:t>
            </w:r>
            <w:proofErr w:type="gramStart"/>
            <w:r w:rsidRPr="005762E6">
              <w:rPr>
                <w:sz w:val="20"/>
                <w:szCs w:val="20"/>
              </w:rPr>
              <w:t>research :</w:t>
            </w:r>
            <w:proofErr w:type="gramEnd"/>
            <w:r w:rsidRPr="005762E6">
              <w:rPr>
                <w:sz w:val="20"/>
                <w:szCs w:val="20"/>
              </w:rPr>
              <w:t xml:space="preserve"> official journal of the Society for Research on Nicotine and Tobacco; 2018;:</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Introduction: Harm perceptions of menthol cigarettes may contribute to their appeal and use. African-</w:t>
            </w:r>
            <w:proofErr w:type="gramStart"/>
            <w:r w:rsidRPr="005762E6">
              <w:rPr>
                <w:sz w:val="20"/>
                <w:szCs w:val="20"/>
              </w:rPr>
              <w:t>Americans,​</w:t>
            </w:r>
            <w:proofErr w:type="gramEnd"/>
            <w:r w:rsidRPr="005762E6">
              <w:rPr>
                <w:sz w:val="20"/>
                <w:szCs w:val="20"/>
              </w:rPr>
              <w:t xml:space="preserve"> women,​ and younger smokers disproportionately use menthol cigarettes,​ and may misperceive harm of menthol cigarettes.,​ Methods: Data were from </w:t>
            </w:r>
            <w:r w:rsidR="00C840DE">
              <w:rPr>
                <w:sz w:val="20"/>
                <w:szCs w:val="20"/>
              </w:rPr>
              <w:t>wave 1</w:t>
            </w:r>
            <w:r w:rsidRPr="005762E6">
              <w:rPr>
                <w:sz w:val="20"/>
                <w:szCs w:val="20"/>
              </w:rPr>
              <w:t xml:space="preserve"> of the Population Assessment of Tobacco and Health (PATH) Study. Weighted analyses of current adult smokers (18 and older) were used to estimate the correlates of menthol smoking among all cigarette brands and separately for the top three cigarette brands (</w:t>
            </w:r>
            <w:proofErr w:type="gramStart"/>
            <w:r w:rsidRPr="005762E6">
              <w:rPr>
                <w:sz w:val="20"/>
                <w:szCs w:val="20"/>
              </w:rPr>
              <w:t>Newport,​</w:t>
            </w:r>
            <w:proofErr w:type="gramEnd"/>
            <w:r w:rsidRPr="005762E6">
              <w:rPr>
                <w:sz w:val="20"/>
                <w:szCs w:val="20"/>
              </w:rPr>
              <w:t xml:space="preserve"> Camel,​ and Marlboro). Adjusted models examined the main effect of menthol smoking on harm perceptions of one's own brand of cigarette and interactions with race/</w:t>
            </w:r>
            <w:proofErr w:type="gramStart"/>
            <w:r w:rsidRPr="005762E6">
              <w:rPr>
                <w:sz w:val="20"/>
                <w:szCs w:val="20"/>
              </w:rPr>
              <w:t>ethnicity,​</w:t>
            </w:r>
            <w:proofErr w:type="gramEnd"/>
            <w:r w:rsidRPr="005762E6">
              <w:rPr>
                <w:sz w:val="20"/>
                <w:szCs w:val="20"/>
              </w:rPr>
              <w:t xml:space="preserve"> age,​ and gender.,​ Results: Menthol cigarettes were used by nearly 40% of current smokers,​ although the prevalence of menthol smoking differed across the top three brands (94% Newport,​ 46% Camel,​ and 18% Marlboro). Among menthol </w:t>
            </w:r>
            <w:proofErr w:type="gramStart"/>
            <w:r w:rsidRPr="005762E6">
              <w:rPr>
                <w:sz w:val="20"/>
                <w:szCs w:val="20"/>
              </w:rPr>
              <w:t>smokers,​</w:t>
            </w:r>
            <w:proofErr w:type="gramEnd"/>
            <w:r w:rsidRPr="005762E6">
              <w:rPr>
                <w:sz w:val="20"/>
                <w:szCs w:val="20"/>
              </w:rPr>
              <w:t xml:space="preserve"> 80% perceived their cigarette as equally harmful,​ 14% perceived their brand as more harmful,​ and 7% perceived their brand as less harmful. In adjusted </w:t>
            </w:r>
            <w:proofErr w:type="gramStart"/>
            <w:r w:rsidRPr="005762E6">
              <w:rPr>
                <w:sz w:val="20"/>
                <w:szCs w:val="20"/>
              </w:rPr>
              <w:t>models,​</w:t>
            </w:r>
            <w:proofErr w:type="gramEnd"/>
            <w:r w:rsidRPr="005762E6">
              <w:rPr>
                <w:sz w:val="20"/>
                <w:szCs w:val="20"/>
              </w:rPr>
              <w:t xml:space="preserve"> menthol smokers were more likely than nonmenthol smokers to misperceive their own brand as more harmful than other brands (compared to no difference in harm). Race and gender emerged as moderators of the association between menthol brand preference and harm perceptions</w:t>
            </w:r>
            <w:proofErr w:type="gramStart"/>
            <w:r w:rsidRPr="005762E6">
              <w:rPr>
                <w:sz w:val="20"/>
                <w:szCs w:val="20"/>
              </w:rPr>
              <w:t>.,​</w:t>
            </w:r>
            <w:proofErr w:type="gramEnd"/>
            <w:r w:rsidRPr="005762E6">
              <w:rPr>
                <w:sz w:val="20"/>
                <w:szCs w:val="20"/>
              </w:rPr>
              <w:t xml:space="preserve"> Conclusions: In adjusted analyses,​ menthol smokers were more likely than </w:t>
            </w:r>
            <w:r w:rsidRPr="005762E6">
              <w:rPr>
                <w:sz w:val="20"/>
                <w:szCs w:val="20"/>
              </w:rPr>
              <w:lastRenderedPageBreak/>
              <w:t xml:space="preserve">nonmenthol smokers to perceive their brand as more harmful than other brands,​ with differences by sub-groups who disproportionately use menthol.,​ Implications: Menthol cigarettes have been historically marketed with messages conveying lower harm than other cigarettes. Little is known about how contemporary adult menthol smokers perceive the harm of their usual </w:t>
            </w:r>
            <w:proofErr w:type="gramStart"/>
            <w:r w:rsidRPr="005762E6">
              <w:rPr>
                <w:sz w:val="20"/>
                <w:szCs w:val="20"/>
              </w:rPr>
              <w:t>brand,​</w:t>
            </w:r>
            <w:proofErr w:type="gramEnd"/>
            <w:r w:rsidRPr="005762E6">
              <w:rPr>
                <w:sz w:val="20"/>
                <w:szCs w:val="20"/>
              </w:rPr>
              <w:t xml:space="preserve"> and potential differences by race,​ gender,​ and young adult versus older adult age group. After adjusting for other </w:t>
            </w:r>
            <w:proofErr w:type="gramStart"/>
            <w:r w:rsidRPr="005762E6">
              <w:rPr>
                <w:sz w:val="20"/>
                <w:szCs w:val="20"/>
              </w:rPr>
              <w:t>factors,​</w:t>
            </w:r>
            <w:proofErr w:type="gramEnd"/>
            <w:r w:rsidRPr="005762E6">
              <w:rPr>
                <w:sz w:val="20"/>
                <w:szCs w:val="20"/>
              </w:rPr>
              <w:t xml:space="preserve"> menthol smokers were more likely than nonmenthol smokers to perceive their cigarette brand as more harmful than other brands. </w:t>
            </w:r>
            <w:proofErr w:type="gramStart"/>
            <w:r w:rsidRPr="005762E6">
              <w:rPr>
                <w:sz w:val="20"/>
                <w:szCs w:val="20"/>
              </w:rPr>
              <w:t>Further,​</w:t>
            </w:r>
            <w:proofErr w:type="gramEnd"/>
            <w:r w:rsidRPr="005762E6">
              <w:rPr>
                <w:sz w:val="20"/>
                <w:szCs w:val="20"/>
              </w:rPr>
              <w:t xml:space="preserve"> the association between menthol smoking and harm perceptions differed by race and gender,​ but not by age group (young adult vs. older adult). This type of large-scale study identifies critical links between menthol smoking and harm perceptions among vulnerable smokers that will inform regulatory actions designed to decrease smoking-related harm. Copyright © The Author(s) 2018. Published by Oxford University Press on behalf of the Society for Research on Nicotine and Tobacco. All rights reserved. For </w:t>
            </w:r>
            <w:proofErr w:type="gramStart"/>
            <w:r w:rsidRPr="005762E6">
              <w:rPr>
                <w:sz w:val="20"/>
                <w:szCs w:val="20"/>
              </w:rPr>
              <w:t>permissions,​</w:t>
            </w:r>
            <w:proofErr w:type="gramEnd"/>
            <w:r w:rsidRPr="005762E6">
              <w:rPr>
                <w:sz w:val="20"/>
                <w:szCs w:val="20"/>
              </w:rPr>
              <w:t xml:space="preserve"> please e-mail: journals.permissions@oup.com.</w:t>
            </w:r>
          </w:p>
        </w:tc>
      </w:tr>
      <w:tr w:rsidR="00B44564" w:rsidRPr="005762E6" w14:paraId="79A7ACBF"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7C3C68F" w14:textId="77777777" w:rsidR="00B44564" w:rsidRPr="005762E6" w:rsidRDefault="00B44564" w:rsidP="00EA69AA">
            <w:pPr>
              <w:spacing w:after="120" w:line="240" w:lineRule="auto"/>
              <w:contextualSpacing/>
              <w:rPr>
                <w:sz w:val="20"/>
                <w:szCs w:val="20"/>
              </w:rPr>
            </w:pPr>
            <w:r w:rsidRPr="005762E6">
              <w:rPr>
                <w:sz w:val="20"/>
                <w:szCs w:val="20"/>
              </w:rPr>
              <w:lastRenderedPageBreak/>
              <w:t>233</w:t>
            </w:r>
          </w:p>
        </w:tc>
        <w:tc>
          <w:tcPr>
            <w:tcW w:w="0" w:type="auto"/>
            <w:tcBorders>
              <w:top w:val="single" w:sz="6" w:space="0" w:color="auto"/>
              <w:left w:val="single" w:sz="6" w:space="0" w:color="auto"/>
              <w:bottom w:val="single" w:sz="6" w:space="0" w:color="auto"/>
              <w:right w:val="single" w:sz="6" w:space="0" w:color="auto"/>
            </w:tcBorders>
          </w:tcPr>
          <w:p w14:paraId="3CA5460C"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B7D1BFE" w14:textId="6A4A69B9" w:rsidR="00B44564" w:rsidRPr="005762E6" w:rsidRDefault="00B44564" w:rsidP="00EA69AA">
            <w:pPr>
              <w:spacing w:after="120" w:line="240" w:lineRule="auto"/>
              <w:contextualSpacing/>
              <w:rPr>
                <w:sz w:val="20"/>
                <w:szCs w:val="20"/>
              </w:rPr>
            </w:pPr>
            <w:r w:rsidRPr="005762E6">
              <w:rPr>
                <w:sz w:val="20"/>
                <w:szCs w:val="20"/>
              </w:rPr>
              <w:t xml:space="preserve">Jiu </w:t>
            </w:r>
            <w:proofErr w:type="gramStart"/>
            <w:r w:rsidRPr="005762E6">
              <w:rPr>
                <w:sz w:val="20"/>
                <w:szCs w:val="20"/>
              </w:rPr>
              <w:t>Ai,​</w:t>
            </w:r>
            <w:proofErr w:type="gramEnd"/>
            <w:r w:rsidRPr="005762E6">
              <w:rPr>
                <w:sz w:val="20"/>
                <w:szCs w:val="20"/>
              </w:rPr>
              <w:t xml:space="preserve"> Kenneth M Taylor,​ Joseph G Lisko,​ Hang Tran,​ Clifford H Watson,​ Matthew R Holman Menthol levels in cigarettes from eight manufacturers</w:t>
            </w:r>
            <w:r w:rsidR="007F2F01">
              <w:rPr>
                <w:sz w:val="20"/>
                <w:szCs w:val="20"/>
              </w:rPr>
              <w:t>.</w:t>
            </w:r>
            <w:r w:rsidRPr="005762E6">
              <w:rPr>
                <w:sz w:val="20"/>
                <w:szCs w:val="20"/>
              </w:rPr>
              <w:t xml:space="preserve"> Tobacco control; </w:t>
            </w:r>
            <w:proofErr w:type="gramStart"/>
            <w:r w:rsidRPr="005762E6">
              <w:rPr>
                <w:sz w:val="20"/>
                <w:szCs w:val="20"/>
              </w:rPr>
              <w:t>2018;27:335</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0078B462"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09B148C" w14:textId="77777777" w:rsidR="00B44564" w:rsidRPr="005762E6" w:rsidRDefault="00B44564" w:rsidP="00EA69AA">
            <w:pPr>
              <w:spacing w:after="120" w:line="240" w:lineRule="auto"/>
              <w:contextualSpacing/>
              <w:rPr>
                <w:sz w:val="20"/>
                <w:szCs w:val="20"/>
              </w:rPr>
            </w:pPr>
            <w:r w:rsidRPr="005762E6">
              <w:rPr>
                <w:sz w:val="20"/>
                <w:szCs w:val="20"/>
              </w:rPr>
              <w:t>237</w:t>
            </w:r>
          </w:p>
        </w:tc>
        <w:tc>
          <w:tcPr>
            <w:tcW w:w="0" w:type="auto"/>
            <w:tcBorders>
              <w:top w:val="single" w:sz="6" w:space="0" w:color="auto"/>
              <w:left w:val="single" w:sz="6" w:space="0" w:color="auto"/>
              <w:bottom w:val="single" w:sz="6" w:space="0" w:color="auto"/>
              <w:right w:val="single" w:sz="6" w:space="0" w:color="auto"/>
            </w:tcBorders>
          </w:tcPr>
          <w:p w14:paraId="48700DC2"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DCCAF96" w14:textId="43C6E0F5" w:rsidR="00B44564" w:rsidRPr="005762E6" w:rsidRDefault="00B44564" w:rsidP="00EA69AA">
            <w:pPr>
              <w:spacing w:after="120" w:line="240" w:lineRule="auto"/>
              <w:contextualSpacing/>
              <w:rPr>
                <w:sz w:val="20"/>
                <w:szCs w:val="20"/>
              </w:rPr>
            </w:pPr>
            <w:r w:rsidRPr="005762E6">
              <w:rPr>
                <w:sz w:val="20"/>
                <w:szCs w:val="20"/>
              </w:rPr>
              <w:t xml:space="preserve">Anna </w:t>
            </w:r>
            <w:proofErr w:type="gramStart"/>
            <w:r w:rsidRPr="005762E6">
              <w:rPr>
                <w:sz w:val="20"/>
                <w:szCs w:val="20"/>
              </w:rPr>
              <w:t>Pagano,​</w:t>
            </w:r>
            <w:proofErr w:type="gramEnd"/>
            <w:r w:rsidRPr="005762E6">
              <w:rPr>
                <w:sz w:val="20"/>
                <w:szCs w:val="20"/>
              </w:rPr>
              <w:t xml:space="preserve"> Noah R Gubner,​ Thao Le,​ Deborah Yip,​ Denise Williams,​ Kevin Delucchi,​ Joseph Guydish Differences in tobacco use prevalence,​ behaviors,​ and cessation services by race/ethnicity: A survey of persons in addiction treatment</w:t>
            </w:r>
            <w:r w:rsidR="007F2F01">
              <w:rPr>
                <w:sz w:val="20"/>
                <w:szCs w:val="20"/>
              </w:rPr>
              <w:t>.</w:t>
            </w:r>
            <w:r w:rsidRPr="005762E6">
              <w:rPr>
                <w:sz w:val="20"/>
                <w:szCs w:val="20"/>
              </w:rPr>
              <w:t xml:space="preserve"> Journal of substance abuse treatment; </w:t>
            </w:r>
            <w:proofErr w:type="gramStart"/>
            <w:r w:rsidRPr="005762E6">
              <w:rPr>
                <w:sz w:val="20"/>
                <w:szCs w:val="20"/>
              </w:rPr>
              <w:t>2018;94:9</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Disparities in tobacco use prevalence,​ behaviors,​ and services have been identified among people of different racial and ethnic groups in the United States general population. Persons in addiction treatment have among the highest smoking prevalence of any population. </w:t>
            </w:r>
            <w:proofErr w:type="gramStart"/>
            <w:r w:rsidRPr="005762E6">
              <w:rPr>
                <w:sz w:val="20"/>
                <w:szCs w:val="20"/>
              </w:rPr>
              <w:t>However,​</w:t>
            </w:r>
            <w:proofErr w:type="gramEnd"/>
            <w:r w:rsidRPr="005762E6">
              <w:rPr>
                <w:sz w:val="20"/>
                <w:szCs w:val="20"/>
              </w:rPr>
              <w:t xml:space="preserve"> little is known about racial and ethnic disparities in tobacco use prevalence,​ behaviors,​ and services among persons in addiction treatment.,​ METHODS: Survey data were used from 1840 clients from 24 addiction treatment programs from the NIDA Clinical Trials Network. Multivariate regression analyses were conducted to assess associations between race/ethnicity (</w:t>
            </w:r>
            <w:proofErr w:type="gramStart"/>
            <w:r w:rsidRPr="005762E6">
              <w:rPr>
                <w:sz w:val="20"/>
                <w:szCs w:val="20"/>
              </w:rPr>
              <w:t>White,​</w:t>
            </w:r>
            <w:proofErr w:type="gramEnd"/>
            <w:r w:rsidRPr="005762E6">
              <w:rPr>
                <w:sz w:val="20"/>
                <w:szCs w:val="20"/>
              </w:rPr>
              <w:t xml:space="preserve"> African American,​ Hispanic) and patterns of tobacco and other tobacco product use,​ as well as quitting behaviors and receipt of tobacco cessation services among current smokers (n=1425) while in treatment.,​ RESULTS: There was no difference in cigarette smoking prevalence across racial/ethnic groups. In the multivariate </w:t>
            </w:r>
            <w:proofErr w:type="gramStart"/>
            <w:r w:rsidRPr="005762E6">
              <w:rPr>
                <w:sz w:val="20"/>
                <w:szCs w:val="20"/>
              </w:rPr>
              <w:t>models,​</w:t>
            </w:r>
            <w:proofErr w:type="gramEnd"/>
            <w:r w:rsidRPr="005762E6">
              <w:rPr>
                <w:sz w:val="20"/>
                <w:szCs w:val="20"/>
              </w:rPr>
              <w:t xml:space="preserve"> Hispanics and African Americans,​ compared to Whites,​ were less likely to be daily smokers,​ use smokeless tobacco,​ or use e-cigarettes. African Americans and Hispanics reported more past-year quit attempts and higher use of menthol compared to Whites. Hispanics were more interested in quitting while in treatment than Whites. Contrary to </w:t>
            </w:r>
            <w:proofErr w:type="gramStart"/>
            <w:r w:rsidRPr="005762E6">
              <w:rPr>
                <w:sz w:val="20"/>
                <w:szCs w:val="20"/>
              </w:rPr>
              <w:t>expectations,​</w:t>
            </w:r>
            <w:proofErr w:type="gramEnd"/>
            <w:r w:rsidRPr="005762E6">
              <w:rPr>
                <w:sz w:val="20"/>
                <w:szCs w:val="20"/>
              </w:rPr>
              <w:t xml:space="preserve"> African Americans reported receiving more tobacco cessation advice and services while in treatment than Whites.,​ CONCLUSIONS: Some findings reflected broader population patterns (e.g.,​ tobacco use behaviors,​ other tobacco product use),​ while others did not (e.g.,​ no difference in tobacco use prevalence by race/ethnicity). The reasons for greater receipt of cessation services among African Americans are unclear. Findings indicate the need for continued engagement of African Americans and Hispanics in cessation services while in addiction </w:t>
            </w:r>
            <w:proofErr w:type="gramStart"/>
            <w:r w:rsidRPr="005762E6">
              <w:rPr>
                <w:sz w:val="20"/>
                <w:szCs w:val="20"/>
              </w:rPr>
              <w:t>treatment,​</w:t>
            </w:r>
            <w:proofErr w:type="gramEnd"/>
            <w:r w:rsidRPr="005762E6">
              <w:rPr>
                <w:sz w:val="20"/>
                <w:szCs w:val="20"/>
              </w:rPr>
              <w:t xml:space="preserve"> and for addressing heavier tobacco use and lack of interest in cessation during treatment among White clients. Copyright © 2018 Elsevier Inc. All rights reserved.</w:t>
            </w:r>
          </w:p>
        </w:tc>
      </w:tr>
      <w:tr w:rsidR="00B44564" w:rsidRPr="005762E6" w14:paraId="1BB9874A"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1ACD17E" w14:textId="77777777" w:rsidR="00B44564" w:rsidRPr="005762E6" w:rsidRDefault="00B44564" w:rsidP="00EA69AA">
            <w:pPr>
              <w:spacing w:after="120" w:line="240" w:lineRule="auto"/>
              <w:contextualSpacing/>
              <w:rPr>
                <w:sz w:val="20"/>
                <w:szCs w:val="20"/>
              </w:rPr>
            </w:pPr>
            <w:r w:rsidRPr="005762E6">
              <w:rPr>
                <w:sz w:val="20"/>
                <w:szCs w:val="20"/>
              </w:rPr>
              <w:t>240</w:t>
            </w:r>
          </w:p>
        </w:tc>
        <w:tc>
          <w:tcPr>
            <w:tcW w:w="0" w:type="auto"/>
            <w:tcBorders>
              <w:top w:val="single" w:sz="6" w:space="0" w:color="auto"/>
              <w:left w:val="single" w:sz="6" w:space="0" w:color="auto"/>
              <w:bottom w:val="single" w:sz="6" w:space="0" w:color="auto"/>
              <w:right w:val="single" w:sz="6" w:space="0" w:color="auto"/>
            </w:tcBorders>
          </w:tcPr>
          <w:p w14:paraId="4DEDA9F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19E29E2" w14:textId="3FB0EF6B" w:rsidR="00B44564" w:rsidRPr="005762E6" w:rsidRDefault="00B44564" w:rsidP="00EA69AA">
            <w:pPr>
              <w:spacing w:after="120" w:line="240" w:lineRule="auto"/>
              <w:contextualSpacing/>
              <w:rPr>
                <w:sz w:val="20"/>
                <w:szCs w:val="20"/>
              </w:rPr>
            </w:pPr>
            <w:r w:rsidRPr="005762E6">
              <w:rPr>
                <w:sz w:val="20"/>
                <w:szCs w:val="20"/>
              </w:rPr>
              <w:t xml:space="preserve">Hyung Soo </w:t>
            </w:r>
            <w:proofErr w:type="gramStart"/>
            <w:r w:rsidRPr="005762E6">
              <w:rPr>
                <w:sz w:val="20"/>
                <w:szCs w:val="20"/>
              </w:rPr>
              <w:t>Kim,​</w:t>
            </w:r>
            <w:proofErr w:type="gramEnd"/>
            <w:r w:rsidRPr="005762E6">
              <w:rPr>
                <w:sz w:val="20"/>
                <w:szCs w:val="20"/>
              </w:rPr>
              <w:t xml:space="preserve"> Eun Chul Pack,​ Ye Ji Koo,​ Ye Jin Lee,​ Dae Kwan Sung,​ Seung Ha Lee,​ Young Soon Kim,​ Kyeng Hee Kwon,​ Kyung Min Lim,​ Dae Yong Jang,​ Dal Woong Choi Corrigendum to "Quantitative analysis of menthol and identification of other flavoring ingredients in capsule cigarettes marketed in Korea" [Regul. Toxicol. Pharmacol. 92C (2018) 420-428]</w:t>
            </w:r>
            <w:r w:rsidR="007F2F01">
              <w:rPr>
                <w:sz w:val="20"/>
                <w:szCs w:val="20"/>
              </w:rPr>
              <w:t>.</w:t>
            </w:r>
            <w:r w:rsidRPr="005762E6">
              <w:rPr>
                <w:sz w:val="20"/>
                <w:szCs w:val="20"/>
              </w:rPr>
              <w:t xml:space="preserve"> Regulatory toxicology and </w:t>
            </w:r>
            <w:proofErr w:type="gramStart"/>
            <w:r w:rsidRPr="005762E6">
              <w:rPr>
                <w:sz w:val="20"/>
                <w:szCs w:val="20"/>
              </w:rPr>
              <w:t>pharmacology :</w:t>
            </w:r>
            <w:proofErr w:type="gramEnd"/>
            <w:r w:rsidRPr="005762E6">
              <w:rPr>
                <w:sz w:val="20"/>
                <w:szCs w:val="20"/>
              </w:rPr>
              <w:t xml:space="preserve"> RTP; 2018;95:448.</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240F44E4"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787E099" w14:textId="77777777" w:rsidR="00B44564" w:rsidRPr="005762E6" w:rsidRDefault="00B44564" w:rsidP="00EA69AA">
            <w:pPr>
              <w:spacing w:after="120" w:line="240" w:lineRule="auto"/>
              <w:contextualSpacing/>
              <w:rPr>
                <w:sz w:val="20"/>
                <w:szCs w:val="20"/>
              </w:rPr>
            </w:pPr>
            <w:r w:rsidRPr="005762E6">
              <w:rPr>
                <w:sz w:val="20"/>
                <w:szCs w:val="20"/>
              </w:rPr>
              <w:lastRenderedPageBreak/>
              <w:t>241</w:t>
            </w:r>
          </w:p>
        </w:tc>
        <w:tc>
          <w:tcPr>
            <w:tcW w:w="0" w:type="auto"/>
            <w:tcBorders>
              <w:top w:val="single" w:sz="6" w:space="0" w:color="auto"/>
              <w:left w:val="single" w:sz="6" w:space="0" w:color="auto"/>
              <w:bottom w:val="single" w:sz="6" w:space="0" w:color="auto"/>
              <w:right w:val="single" w:sz="6" w:space="0" w:color="auto"/>
            </w:tcBorders>
          </w:tcPr>
          <w:p w14:paraId="72C028B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0E609B5" w14:textId="01DDC29A" w:rsidR="00B44564" w:rsidRPr="005762E6" w:rsidRDefault="00B44564" w:rsidP="00EA69AA">
            <w:pPr>
              <w:spacing w:after="120" w:line="240" w:lineRule="auto"/>
              <w:contextualSpacing/>
              <w:rPr>
                <w:sz w:val="20"/>
                <w:szCs w:val="20"/>
              </w:rPr>
            </w:pPr>
            <w:r w:rsidRPr="005762E6">
              <w:rPr>
                <w:sz w:val="20"/>
                <w:szCs w:val="20"/>
              </w:rPr>
              <w:t xml:space="preserve">Andrea C </w:t>
            </w:r>
            <w:proofErr w:type="gramStart"/>
            <w:r w:rsidRPr="005762E6">
              <w:rPr>
                <w:sz w:val="20"/>
                <w:szCs w:val="20"/>
              </w:rPr>
              <w:t>Villanti,​</w:t>
            </w:r>
            <w:proofErr w:type="gramEnd"/>
            <w:r w:rsidRPr="005762E6">
              <w:rPr>
                <w:sz w:val="20"/>
                <w:szCs w:val="20"/>
              </w:rPr>
              <w:t xml:space="preserve"> Diann E Gaalema,​ Jennifer W Tidey,​ Allison N Kurti,​ Stacey C Sigmon,​ Stephen T Higgins Co-occurring vulnerabilities and menthol use in U.S. young adult cigarette smokers: Findings from </w:t>
            </w:r>
            <w:r w:rsidR="00C840DE">
              <w:rPr>
                <w:sz w:val="20"/>
                <w:szCs w:val="20"/>
              </w:rPr>
              <w:t>wave 1</w:t>
            </w:r>
            <w:r w:rsidRPr="005762E6">
              <w:rPr>
                <w:sz w:val="20"/>
                <w:szCs w:val="20"/>
              </w:rPr>
              <w:t xml:space="preserve"> of the PATH Study,​ 2013-2014</w:t>
            </w:r>
            <w:r w:rsidR="007F2F01">
              <w:rPr>
                <w:sz w:val="20"/>
                <w:szCs w:val="20"/>
              </w:rPr>
              <w:t>.</w:t>
            </w:r>
            <w:r w:rsidRPr="005762E6">
              <w:rPr>
                <w:sz w:val="20"/>
                <w:szCs w:val="20"/>
              </w:rPr>
              <w:t xml:space="preserve"> Preventive medicine; </w:t>
            </w:r>
            <w:proofErr w:type="gramStart"/>
            <w:r w:rsidRPr="005762E6">
              <w:rPr>
                <w:sz w:val="20"/>
                <w:szCs w:val="20"/>
              </w:rPr>
              <w:t>2018;117:43</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This study incorporates intersectionality theory to address potential effects of age on other documented risk factors for current smoking and menthol cigarette use in young adults aged 18-34 using </w:t>
            </w:r>
            <w:r w:rsidR="00C840DE">
              <w:rPr>
                <w:sz w:val="20"/>
                <w:szCs w:val="20"/>
              </w:rPr>
              <w:t>wave 1</w:t>
            </w:r>
            <w:r w:rsidRPr="005762E6">
              <w:rPr>
                <w:sz w:val="20"/>
                <w:szCs w:val="20"/>
              </w:rPr>
              <w:t xml:space="preserve"> of the Population Assessment of Tobacco and Health (PATH) Study (2013-2014). We explored known correlates of current cigarette and menthol cigarette smoking and interaction analyses by age group (18-24 vs. 25-34</w:t>
            </w:r>
            <w:proofErr w:type="gramStart"/>
            <w:r w:rsidRPr="005762E6">
              <w:rPr>
                <w:sz w:val="20"/>
                <w:szCs w:val="20"/>
              </w:rPr>
              <w:t>),​</w:t>
            </w:r>
            <w:proofErr w:type="gramEnd"/>
            <w:r w:rsidRPr="005762E6">
              <w:rPr>
                <w:sz w:val="20"/>
                <w:szCs w:val="20"/>
              </w:rPr>
              <w:t xml:space="preserve"> accounting for survey weighting. Use of non-cigarette tobacco products and e-cigarettes was characterized among current cigarette smokers. Young adults experience multiple vulnerabilities to smoking beyond age and some of these known risk factors for smoking place those aged 18-24 at different risk of cigarette smoking compared to their 25-34year old counterparts. These include lower odds of cigarette smoking by age for sex (female; AOR=0.62 in those aged 18-24 vs. 0.72 in those aged 25-34) and Hispanic ethnicity (vs. White; AOR=0.77 vs. 0.45</w:t>
            </w:r>
            <w:proofErr w:type="gramStart"/>
            <w:r w:rsidRPr="005762E6">
              <w:rPr>
                <w:sz w:val="20"/>
                <w:szCs w:val="20"/>
              </w:rPr>
              <w:t>),​</w:t>
            </w:r>
            <w:proofErr w:type="gramEnd"/>
            <w:r w:rsidRPr="005762E6">
              <w:rPr>
                <w:sz w:val="20"/>
                <w:szCs w:val="20"/>
              </w:rPr>
              <w:t xml:space="preserve"> and higher odds of smoking among past 30-day alcohol users aged 18-24 vs. 25-34 (AOR=1.62 vs. 1.32). Correlations between lower education and smoking were nearly two-fold higher in 25-34 than 18-24year olds. Having any medical comorbidity had opposite effects on current smoking by age (18-24 positive </w:t>
            </w:r>
            <w:proofErr w:type="gramStart"/>
            <w:r w:rsidRPr="005762E6">
              <w:rPr>
                <w:sz w:val="20"/>
                <w:szCs w:val="20"/>
              </w:rPr>
              <w:t>correlation,​</w:t>
            </w:r>
            <w:proofErr w:type="gramEnd"/>
            <w:r w:rsidRPr="005762E6">
              <w:rPr>
                <w:sz w:val="20"/>
                <w:szCs w:val="20"/>
              </w:rPr>
              <w:t xml:space="preserve"> AOR=1.17; 25-34 negative correlation,​ AOR=0.84). Lower education was correlated with menthol cigarette use among young adult smokers. This study suggests that higher smoking prevalence among young adults is associated with the intersection of multiple vulnerabilities to smoking. Copyright © 2018 Elsevier Inc. All rights reserved.</w:t>
            </w:r>
          </w:p>
        </w:tc>
      </w:tr>
      <w:tr w:rsidR="00B44564" w:rsidRPr="005762E6" w14:paraId="3EBF1BA9"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8D29406" w14:textId="77777777" w:rsidR="00B44564" w:rsidRPr="005762E6" w:rsidRDefault="00B44564" w:rsidP="00EA69AA">
            <w:pPr>
              <w:spacing w:after="120" w:line="240" w:lineRule="auto"/>
              <w:contextualSpacing/>
              <w:rPr>
                <w:sz w:val="20"/>
                <w:szCs w:val="20"/>
              </w:rPr>
            </w:pPr>
            <w:r w:rsidRPr="005762E6">
              <w:rPr>
                <w:sz w:val="20"/>
                <w:szCs w:val="20"/>
              </w:rPr>
              <w:t>243</w:t>
            </w:r>
          </w:p>
        </w:tc>
        <w:tc>
          <w:tcPr>
            <w:tcW w:w="0" w:type="auto"/>
            <w:tcBorders>
              <w:top w:val="single" w:sz="6" w:space="0" w:color="auto"/>
              <w:left w:val="single" w:sz="6" w:space="0" w:color="auto"/>
              <w:bottom w:val="single" w:sz="6" w:space="0" w:color="auto"/>
              <w:right w:val="single" w:sz="6" w:space="0" w:color="auto"/>
            </w:tcBorders>
          </w:tcPr>
          <w:p w14:paraId="4185A909"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FB285AD" w14:textId="337F428C" w:rsidR="00B44564" w:rsidRPr="005762E6" w:rsidRDefault="00B44564" w:rsidP="00EA69AA">
            <w:pPr>
              <w:spacing w:after="120" w:line="240" w:lineRule="auto"/>
              <w:contextualSpacing/>
              <w:rPr>
                <w:sz w:val="20"/>
                <w:szCs w:val="20"/>
              </w:rPr>
            </w:pPr>
            <w:r w:rsidRPr="005762E6">
              <w:rPr>
                <w:sz w:val="20"/>
                <w:szCs w:val="20"/>
              </w:rPr>
              <w:t xml:space="preserve">Eric Craig </w:t>
            </w:r>
            <w:proofErr w:type="gramStart"/>
            <w:r w:rsidRPr="005762E6">
              <w:rPr>
                <w:sz w:val="20"/>
                <w:szCs w:val="20"/>
              </w:rPr>
              <w:t>Leas,​</w:t>
            </w:r>
            <w:proofErr w:type="gramEnd"/>
            <w:r w:rsidRPr="005762E6">
              <w:rPr>
                <w:sz w:val="20"/>
                <w:szCs w:val="20"/>
              </w:rPr>
              <w:t xml:space="preserve"> John P Pierce,​ Claudiu V Dimofte,​ Dennis R Trinidad,​ David R Strong Standardised cigarette packaging may reduce the implied safety of Natural American Spirit cigarettes</w:t>
            </w:r>
            <w:r w:rsidR="007F2F01">
              <w:rPr>
                <w:sz w:val="20"/>
                <w:szCs w:val="20"/>
              </w:rPr>
              <w:t>.</w:t>
            </w:r>
            <w:r w:rsidRPr="005762E6">
              <w:rPr>
                <w:sz w:val="20"/>
                <w:szCs w:val="20"/>
              </w:rPr>
              <w:t xml:space="preserve"> Tobacco control; 2018;</w:t>
            </w:r>
            <w:proofErr w:type="gramStart"/>
            <w:r w:rsidRPr="005762E6">
              <w:rPr>
                <w:sz w:val="20"/>
                <w:szCs w:val="20"/>
              </w:rPr>
              <w:t>27:e</w:t>
            </w:r>
            <w:proofErr w:type="gramEnd"/>
            <w:r w:rsidRPr="005762E6">
              <w:rPr>
                <w:sz w:val="20"/>
                <w:szCs w:val="20"/>
              </w:rPr>
              <w:t>118.</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BACKGROUND: Over two-thirds of Natural American Spirit (NAS) smokers believe their cigarettes might be 'less harmful',​ but toxicological evidence does not support this belief. We assessed whether standardised packaging could reduce the possibility of erroneous inferences of 'safety' drawn from NAS cigarette packaging</w:t>
            </w:r>
            <w:proofErr w:type="gramStart"/>
            <w:r w:rsidRPr="005762E6">
              <w:rPr>
                <w:sz w:val="20"/>
                <w:szCs w:val="20"/>
              </w:rPr>
              <w:t>.,​</w:t>
            </w:r>
            <w:proofErr w:type="gramEnd"/>
            <w:r w:rsidRPr="005762E6">
              <w:rPr>
                <w:sz w:val="20"/>
                <w:szCs w:val="20"/>
              </w:rPr>
              <w:t xml:space="preserve"> METHODS: US adult smokers (n=909) were recruited to a between-subject survey experiment (3 brandsx3 packaging/labelling styles) through Amazon Mechanical Turk and rated their perception of whether a randomly assigned cigarette package conveyed that the brand was 'safer' on a three-item scale (Cronbach's alpha=0.92). We assessed whether NAS packs were rated higher on the 'implied safety' scale than two other brands and estimated the effect that plain packaging (ie,​ all branding replaced with a drab dark brown colour) and Australian-like packaging (ie,​ all branding replaced with a drab dark brown colour and a graphic image and text on 75% of the pack surface) had on perceptions of the NAS cigarette package.,​ RESULTS: Smokers' ratings of the standard NAS pack on the implied safety scale (mean=4.6; SD=2.9) were 1.9 times (P &lt;0.001) higher than smokers' ratings of a Marlboro Red pack (mean=2.4; SD=2.3) and 1.7 times (P &lt;0.001) higher than smokers' ratings of a Newport Menthol pack (mean=2.7; SD=2.4). These perceptions of implied safety were lower when plain packaging was used (Cohen's d=0.66; P &lt;0.001) and much lower when Australian-like packaging was used (Cohen's d=1.56; P &lt;0.001)</w:t>
            </w:r>
            <w:proofErr w:type="gramStart"/>
            <w:r w:rsidRPr="005762E6">
              <w:rPr>
                <w:sz w:val="20"/>
                <w:szCs w:val="20"/>
              </w:rPr>
              <w:t>.,​</w:t>
            </w:r>
            <w:proofErr w:type="gramEnd"/>
            <w:r w:rsidRPr="005762E6">
              <w:rPr>
                <w:sz w:val="20"/>
                <w:szCs w:val="20"/>
              </w:rPr>
              <w:t xml:space="preserve"> CONCLUSION: The results suggest that NAS cigarette packaging conveys that its cigarettes are 'safer' and that such perceptions are lower with standardised packaging,​ both with and without warning images. Copyright © Article author(s) (or their employer(s) unless otherwise stated in the text of the article) 2018. All rights reserved. No commercial use is permitted unless otherwise expressly granted.</w:t>
            </w:r>
          </w:p>
        </w:tc>
      </w:tr>
      <w:tr w:rsidR="00B44564" w:rsidRPr="005762E6" w14:paraId="6A2B0BF1"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494E5C1" w14:textId="77777777" w:rsidR="00B44564" w:rsidRPr="005762E6" w:rsidRDefault="00B44564" w:rsidP="00EA69AA">
            <w:pPr>
              <w:spacing w:after="120" w:line="240" w:lineRule="auto"/>
              <w:contextualSpacing/>
              <w:rPr>
                <w:sz w:val="20"/>
                <w:szCs w:val="20"/>
              </w:rPr>
            </w:pPr>
            <w:r w:rsidRPr="005762E6">
              <w:rPr>
                <w:sz w:val="20"/>
                <w:szCs w:val="20"/>
              </w:rPr>
              <w:t>245</w:t>
            </w:r>
          </w:p>
        </w:tc>
        <w:tc>
          <w:tcPr>
            <w:tcW w:w="0" w:type="auto"/>
            <w:tcBorders>
              <w:top w:val="single" w:sz="6" w:space="0" w:color="auto"/>
              <w:left w:val="single" w:sz="6" w:space="0" w:color="auto"/>
              <w:bottom w:val="single" w:sz="6" w:space="0" w:color="auto"/>
              <w:right w:val="single" w:sz="6" w:space="0" w:color="auto"/>
            </w:tcBorders>
          </w:tcPr>
          <w:p w14:paraId="1F3F0245"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F46CCC9" w14:textId="3428BBF8" w:rsidR="00B44564" w:rsidRPr="005762E6" w:rsidRDefault="00B44564" w:rsidP="00EA69AA">
            <w:pPr>
              <w:spacing w:after="120" w:line="240" w:lineRule="auto"/>
              <w:contextualSpacing/>
              <w:rPr>
                <w:sz w:val="20"/>
                <w:szCs w:val="20"/>
              </w:rPr>
            </w:pPr>
            <w:r w:rsidRPr="005762E6">
              <w:rPr>
                <w:sz w:val="20"/>
                <w:szCs w:val="20"/>
              </w:rPr>
              <w:t xml:space="preserve">Sarah D </w:t>
            </w:r>
            <w:proofErr w:type="gramStart"/>
            <w:r w:rsidRPr="005762E6">
              <w:rPr>
                <w:sz w:val="20"/>
                <w:szCs w:val="20"/>
              </w:rPr>
              <w:t>Mills,​</w:t>
            </w:r>
            <w:proofErr w:type="gramEnd"/>
            <w:r w:rsidRPr="005762E6">
              <w:rPr>
                <w:sz w:val="20"/>
                <w:szCs w:val="20"/>
              </w:rPr>
              <w:t xml:space="preserve"> Lisa Henriksen,​ Shelley D Golden,​ Rachel Kurtzman,​ Amanda Y Kong,​ Tara L Queen,​ Kurt M Ribisl Disparities in retail marketing for menthol cigarettes in the United States,​ 2015</w:t>
            </w:r>
            <w:r w:rsidR="007F2F01">
              <w:rPr>
                <w:sz w:val="20"/>
                <w:szCs w:val="20"/>
              </w:rPr>
              <w:t>.</w:t>
            </w:r>
            <w:r w:rsidRPr="005762E6">
              <w:rPr>
                <w:sz w:val="20"/>
                <w:szCs w:val="20"/>
              </w:rPr>
              <w:t xml:space="preserve"> Health &amp; place; </w:t>
            </w:r>
            <w:proofErr w:type="gramStart"/>
            <w:r w:rsidRPr="005762E6">
              <w:rPr>
                <w:sz w:val="20"/>
                <w:szCs w:val="20"/>
              </w:rPr>
              <w:t>2018;53:62</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lastRenderedPageBreak/>
              <w:t xml:space="preserve">Abstract: </w:t>
            </w:r>
            <w:r w:rsidRPr="005762E6">
              <w:rPr>
                <w:sz w:val="20"/>
                <w:szCs w:val="20"/>
              </w:rPr>
              <w:t xml:space="preserve">This study describes retail marketing for menthol cigarettes and its relationship with neighborhood demographics in a national sample of tobacco retailers in the United States. Mixed-effects models were used to examine three outcomes: menthol cigarette exterior </w:t>
            </w:r>
            <w:proofErr w:type="gramStart"/>
            <w:r w:rsidRPr="005762E6">
              <w:rPr>
                <w:sz w:val="20"/>
                <w:szCs w:val="20"/>
              </w:rPr>
              <w:t>advertising,​</w:t>
            </w:r>
            <w:proofErr w:type="gramEnd"/>
            <w:r w:rsidRPr="005762E6">
              <w:rPr>
                <w:sz w:val="20"/>
                <w:szCs w:val="20"/>
              </w:rPr>
              <w:t xml:space="preserve"> menthol cigarette price promotions,​ and the pack price of menthol and non-menthol cigarettes. Thirty-eight percent of retailers displayed at least one menthol advertisement on the store exterior and 69% advertised price promotions. Retail advertising was more common in neighborhoods in the second (OR = 1.5 [</w:t>
            </w:r>
            <w:proofErr w:type="gramStart"/>
            <w:r w:rsidRPr="005762E6">
              <w:rPr>
                <w:sz w:val="20"/>
                <w:szCs w:val="20"/>
              </w:rPr>
              <w:t>1.1,​</w:t>
            </w:r>
            <w:proofErr w:type="gramEnd"/>
            <w:r w:rsidRPr="005762E6">
              <w:rPr>
                <w:sz w:val="20"/>
                <w:szCs w:val="20"/>
              </w:rPr>
              <w:t xml:space="preserve"> 2.0]) and fourth (OR = 1.9 [1.3,​ 2.7]) quartiles of Black residents as compared to the lowest quartile. Menthol advertising was more prevalent in the third (OR = 1.4 [</w:t>
            </w:r>
            <w:proofErr w:type="gramStart"/>
            <w:r w:rsidRPr="005762E6">
              <w:rPr>
                <w:sz w:val="20"/>
                <w:szCs w:val="20"/>
              </w:rPr>
              <w:t>1.0,​</w:t>
            </w:r>
            <w:proofErr w:type="gramEnd"/>
            <w:r w:rsidRPr="005762E6">
              <w:rPr>
                <w:sz w:val="20"/>
                <w:szCs w:val="20"/>
              </w:rPr>
              <w:t xml:space="preserve"> 1.9]) and lowest (OR = 1.6 [1.2,​ 2.2]) income quartiles as compared to the highest quartile. Price promotions for Newport were more common in neighborhoods with the highest quartile of Black residents (OR = 1.8 [</w:t>
            </w:r>
            <w:proofErr w:type="gramStart"/>
            <w:r w:rsidRPr="005762E6">
              <w:rPr>
                <w:sz w:val="20"/>
                <w:szCs w:val="20"/>
              </w:rPr>
              <w:t>1.2,​</w:t>
            </w:r>
            <w:proofErr w:type="gramEnd"/>
            <w:r w:rsidRPr="005762E6">
              <w:rPr>
                <w:sz w:val="20"/>
                <w:szCs w:val="20"/>
              </w:rPr>
              <w:t xml:space="preserve"> 2.7]). Prices of Newport were cheaper in neighborhoods with the highest quartiles of </w:t>
            </w:r>
            <w:proofErr w:type="gramStart"/>
            <w:r w:rsidRPr="005762E6">
              <w:rPr>
                <w:sz w:val="20"/>
                <w:szCs w:val="20"/>
              </w:rPr>
              <w:t>youth,​</w:t>
            </w:r>
            <w:proofErr w:type="gramEnd"/>
            <w:r w:rsidRPr="005762E6">
              <w:rPr>
                <w:sz w:val="20"/>
                <w:szCs w:val="20"/>
              </w:rPr>
              <w:t xml:space="preserve"> Black residents,​ and lower-income households. Policies that restrict the sales and marketing of menthol cigarettes are needed to address disparities. Copyright © 2018 Elsevier Ltd. All rights reserved.</w:t>
            </w:r>
          </w:p>
        </w:tc>
      </w:tr>
      <w:tr w:rsidR="00B44564" w:rsidRPr="005762E6" w14:paraId="37A0BD66"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075FCFD" w14:textId="77777777" w:rsidR="00B44564" w:rsidRPr="005762E6" w:rsidRDefault="00B44564" w:rsidP="00EA69AA">
            <w:pPr>
              <w:spacing w:after="120" w:line="240" w:lineRule="auto"/>
              <w:contextualSpacing/>
              <w:rPr>
                <w:sz w:val="20"/>
                <w:szCs w:val="20"/>
              </w:rPr>
            </w:pPr>
            <w:r w:rsidRPr="005762E6">
              <w:rPr>
                <w:sz w:val="20"/>
                <w:szCs w:val="20"/>
              </w:rPr>
              <w:lastRenderedPageBreak/>
              <w:t>249</w:t>
            </w:r>
          </w:p>
        </w:tc>
        <w:tc>
          <w:tcPr>
            <w:tcW w:w="0" w:type="auto"/>
            <w:tcBorders>
              <w:top w:val="single" w:sz="6" w:space="0" w:color="auto"/>
              <w:left w:val="single" w:sz="6" w:space="0" w:color="auto"/>
              <w:bottom w:val="single" w:sz="6" w:space="0" w:color="auto"/>
              <w:right w:val="single" w:sz="6" w:space="0" w:color="auto"/>
            </w:tcBorders>
          </w:tcPr>
          <w:p w14:paraId="1977209F"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A2B3BC5" w14:textId="19BFF209" w:rsidR="00B44564" w:rsidRPr="005762E6" w:rsidRDefault="00B44564" w:rsidP="00EA69AA">
            <w:pPr>
              <w:spacing w:after="120" w:line="240" w:lineRule="auto"/>
              <w:contextualSpacing/>
              <w:rPr>
                <w:sz w:val="20"/>
                <w:szCs w:val="20"/>
              </w:rPr>
            </w:pPr>
            <w:r w:rsidRPr="005762E6">
              <w:rPr>
                <w:sz w:val="20"/>
                <w:szCs w:val="20"/>
              </w:rPr>
              <w:t xml:space="preserve">Mark G </w:t>
            </w:r>
            <w:proofErr w:type="gramStart"/>
            <w:r w:rsidRPr="005762E6">
              <w:rPr>
                <w:sz w:val="20"/>
                <w:szCs w:val="20"/>
              </w:rPr>
              <w:t>LeSage,​</w:t>
            </w:r>
            <w:proofErr w:type="gramEnd"/>
            <w:r w:rsidRPr="005762E6">
              <w:rPr>
                <w:sz w:val="20"/>
                <w:szCs w:val="20"/>
              </w:rPr>
              <w:t xml:space="preserve"> John R Smethells,​ Andrew C Harris Status and Future Directions of Preclinical Behavioral Pharmacology in Tobacco Regulatory Science</w:t>
            </w:r>
            <w:r w:rsidR="007F2F01">
              <w:rPr>
                <w:sz w:val="20"/>
                <w:szCs w:val="20"/>
              </w:rPr>
              <w:t>.</w:t>
            </w:r>
            <w:r w:rsidRPr="005762E6">
              <w:rPr>
                <w:sz w:val="20"/>
                <w:szCs w:val="20"/>
              </w:rPr>
              <w:t xml:space="preserve"> Behavior analysis (</w:t>
            </w:r>
            <w:proofErr w:type="gramStart"/>
            <w:r w:rsidRPr="005762E6">
              <w:rPr>
                <w:sz w:val="20"/>
                <w:szCs w:val="20"/>
              </w:rPr>
              <w:t>Washington,​</w:t>
            </w:r>
            <w:proofErr w:type="gramEnd"/>
            <w:r w:rsidRPr="005762E6">
              <w:rPr>
                <w:sz w:val="20"/>
                <w:szCs w:val="20"/>
              </w:rPr>
              <w:t xml:space="preserve"> D.C.); 2018;18:252.</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Behavioral pharmacology is a branch of the experimental analysis of behavior that has had great influence in drug addiction research and policy. This paper provides an overview of recent behavioral pharmacology research in the field of tobacco regulatory </w:t>
            </w:r>
            <w:proofErr w:type="gramStart"/>
            <w:r w:rsidRPr="005762E6">
              <w:rPr>
                <w:sz w:val="20"/>
                <w:szCs w:val="20"/>
              </w:rPr>
              <w:t>science,​</w:t>
            </w:r>
            <w:proofErr w:type="gramEnd"/>
            <w:r w:rsidRPr="005762E6">
              <w:rPr>
                <w:sz w:val="20"/>
                <w:szCs w:val="20"/>
              </w:rPr>
              <w:t xml:space="preserve"> which provides the scientific foundation for the Food and Drug Administration Center for Tobacco Products (FDA CTP) to set tobacco control policies. The rationale and aims of tobacco regulatory science are </w:t>
            </w:r>
            <w:proofErr w:type="gramStart"/>
            <w:r w:rsidRPr="005762E6">
              <w:rPr>
                <w:sz w:val="20"/>
                <w:szCs w:val="20"/>
              </w:rPr>
              <w:t>provided,​</w:t>
            </w:r>
            <w:proofErr w:type="gramEnd"/>
            <w:r w:rsidRPr="005762E6">
              <w:rPr>
                <w:sz w:val="20"/>
                <w:szCs w:val="20"/>
              </w:rPr>
              <w:t xml:space="preserve"> including the types of preclinical operant behavioral models it deems important for assessing the abuse liability of tobacco products and their constituents. We then review literature relevant to key regulatory actions being considered by the FDA </w:t>
            </w:r>
            <w:proofErr w:type="gramStart"/>
            <w:r w:rsidRPr="005762E6">
              <w:rPr>
                <w:sz w:val="20"/>
                <w:szCs w:val="20"/>
              </w:rPr>
              <w:t>CTP,​</w:t>
            </w:r>
            <w:proofErr w:type="gramEnd"/>
            <w:r w:rsidRPr="005762E6">
              <w:rPr>
                <w:sz w:val="20"/>
                <w:szCs w:val="20"/>
              </w:rPr>
              <w:t xml:space="preserve"> including regulations over nicotine and menthol content of cigarettes,​ and conclude with suggesting some directions for future research. The current era of tobacco regulatory science provides great opportunities for behavioral pharmacologists to address the leading cause of preventable death and disease worldwide.</w:t>
            </w:r>
          </w:p>
        </w:tc>
      </w:tr>
      <w:tr w:rsidR="00B44564" w:rsidRPr="005762E6" w14:paraId="1E09B0EB"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C8EBAD0" w14:textId="77777777" w:rsidR="00B44564" w:rsidRPr="005762E6" w:rsidRDefault="00B44564" w:rsidP="00EA69AA">
            <w:pPr>
              <w:spacing w:after="120" w:line="240" w:lineRule="auto"/>
              <w:contextualSpacing/>
              <w:rPr>
                <w:sz w:val="20"/>
                <w:szCs w:val="20"/>
              </w:rPr>
            </w:pPr>
            <w:r w:rsidRPr="005762E6">
              <w:rPr>
                <w:sz w:val="20"/>
                <w:szCs w:val="20"/>
              </w:rPr>
              <w:t>251</w:t>
            </w:r>
          </w:p>
        </w:tc>
        <w:tc>
          <w:tcPr>
            <w:tcW w:w="0" w:type="auto"/>
            <w:tcBorders>
              <w:top w:val="single" w:sz="6" w:space="0" w:color="auto"/>
              <w:left w:val="single" w:sz="6" w:space="0" w:color="auto"/>
              <w:bottom w:val="single" w:sz="6" w:space="0" w:color="auto"/>
              <w:right w:val="single" w:sz="6" w:space="0" w:color="auto"/>
            </w:tcBorders>
          </w:tcPr>
          <w:p w14:paraId="7AA17F59"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09F659B" w14:textId="73B50E0C" w:rsidR="00B44564" w:rsidRPr="005762E6" w:rsidRDefault="00B44564" w:rsidP="00EA69AA">
            <w:pPr>
              <w:spacing w:after="120" w:line="240" w:lineRule="auto"/>
              <w:contextualSpacing/>
              <w:rPr>
                <w:sz w:val="20"/>
                <w:szCs w:val="20"/>
              </w:rPr>
            </w:pPr>
            <w:r w:rsidRPr="005762E6">
              <w:rPr>
                <w:sz w:val="20"/>
                <w:szCs w:val="20"/>
              </w:rPr>
              <w:t xml:space="preserve">Phoenix Alicia </w:t>
            </w:r>
            <w:proofErr w:type="gramStart"/>
            <w:r w:rsidRPr="005762E6">
              <w:rPr>
                <w:sz w:val="20"/>
                <w:szCs w:val="20"/>
              </w:rPr>
              <w:t>Matthews,​</w:t>
            </w:r>
            <w:proofErr w:type="gramEnd"/>
            <w:r w:rsidRPr="005762E6">
              <w:rPr>
                <w:sz w:val="20"/>
                <w:szCs w:val="20"/>
              </w:rPr>
              <w:t xml:space="preserve"> Amanda C Blok,​ Joseph G L Lee,​ Brian Hitsman,​ Lisa Sanchez-Johnsen,​ Karriem Watson,​ Elizabeth Breen,​ Raymond Ruiz,​Scout,​ Melissa A Simon,​ Marian Fitzgibbon,​ Laura C Hein,​ Robert Winn SBM recommends policy support to reduce smoking disparities for sexual and gender minorities</w:t>
            </w:r>
            <w:r w:rsidR="007F2F01">
              <w:rPr>
                <w:sz w:val="20"/>
                <w:szCs w:val="20"/>
              </w:rPr>
              <w:t>.</w:t>
            </w:r>
            <w:r w:rsidRPr="005762E6">
              <w:rPr>
                <w:sz w:val="20"/>
                <w:szCs w:val="20"/>
              </w:rPr>
              <w:t xml:space="preserve"> Translational behavioral medicine; </w:t>
            </w:r>
            <w:proofErr w:type="gramStart"/>
            <w:r w:rsidRPr="005762E6">
              <w:rPr>
                <w:sz w:val="20"/>
                <w:szCs w:val="20"/>
              </w:rPr>
              <w:t>2018;8:692</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The Society of Behavioral Medicine supports the inclusion of gender and sexual minorities in all local,​ state,​ and national tobacco prevention and control activities. These activities include surveillance of tobacco use and cessation </w:t>
            </w:r>
            <w:proofErr w:type="gramStart"/>
            <w:r w:rsidRPr="005762E6">
              <w:rPr>
                <w:sz w:val="20"/>
                <w:szCs w:val="20"/>
              </w:rPr>
              <w:t>activities,​</w:t>
            </w:r>
            <w:proofErr w:type="gramEnd"/>
            <w:r w:rsidRPr="005762E6">
              <w:rPr>
                <w:sz w:val="20"/>
                <w:szCs w:val="20"/>
              </w:rPr>
              <w:t xml:space="preserve"> targeted outreach and awareness campaigns,​ increasing access to culturally appropriate tobacco use dependence treatments,​ and restricting disproportionate marketing to lesbian,​ gay,​ bisexual,​ and transgender communities by the tobacco industry,​ especially for mentholated tobacco products.</w:t>
            </w:r>
          </w:p>
        </w:tc>
      </w:tr>
      <w:tr w:rsidR="00B44564" w:rsidRPr="005762E6" w14:paraId="5EC046F6"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4D4F764" w14:textId="77777777" w:rsidR="00B44564" w:rsidRPr="005762E6" w:rsidRDefault="00B44564" w:rsidP="00EA69AA">
            <w:pPr>
              <w:spacing w:after="120" w:line="240" w:lineRule="auto"/>
              <w:contextualSpacing/>
              <w:rPr>
                <w:sz w:val="20"/>
                <w:szCs w:val="20"/>
              </w:rPr>
            </w:pPr>
            <w:r w:rsidRPr="005762E6">
              <w:rPr>
                <w:sz w:val="20"/>
                <w:szCs w:val="20"/>
              </w:rPr>
              <w:t>252</w:t>
            </w:r>
          </w:p>
        </w:tc>
        <w:tc>
          <w:tcPr>
            <w:tcW w:w="0" w:type="auto"/>
            <w:tcBorders>
              <w:top w:val="single" w:sz="6" w:space="0" w:color="auto"/>
              <w:left w:val="single" w:sz="6" w:space="0" w:color="auto"/>
              <w:bottom w:val="single" w:sz="6" w:space="0" w:color="auto"/>
              <w:right w:val="single" w:sz="6" w:space="0" w:color="auto"/>
            </w:tcBorders>
          </w:tcPr>
          <w:p w14:paraId="2923B73C"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A392EAB" w14:textId="03E8C6D8" w:rsidR="00B44564" w:rsidRPr="005762E6" w:rsidRDefault="00B44564" w:rsidP="00EA69AA">
            <w:pPr>
              <w:spacing w:after="120" w:line="240" w:lineRule="auto"/>
              <w:contextualSpacing/>
              <w:rPr>
                <w:sz w:val="20"/>
                <w:szCs w:val="20"/>
              </w:rPr>
            </w:pPr>
            <w:r w:rsidRPr="005762E6">
              <w:rPr>
                <w:sz w:val="20"/>
                <w:szCs w:val="20"/>
              </w:rPr>
              <w:t xml:space="preserve">Anna </w:t>
            </w:r>
            <w:proofErr w:type="gramStart"/>
            <w:r w:rsidRPr="005762E6">
              <w:rPr>
                <w:sz w:val="20"/>
                <w:szCs w:val="20"/>
              </w:rPr>
              <w:t>Pagano,​</w:t>
            </w:r>
            <w:proofErr w:type="gramEnd"/>
            <w:r w:rsidRPr="005762E6">
              <w:rPr>
                <w:sz w:val="20"/>
                <w:szCs w:val="20"/>
              </w:rPr>
              <w:t xml:space="preserve"> Noah Gubner,​ Thao Le,​ Joseph Guydish Cigarette smoking and quit attempts among Latinos in substance use disorder treatment</w:t>
            </w:r>
            <w:r w:rsidR="007F2F01">
              <w:rPr>
                <w:sz w:val="20"/>
                <w:szCs w:val="20"/>
              </w:rPr>
              <w:t>.</w:t>
            </w:r>
            <w:r w:rsidRPr="005762E6">
              <w:rPr>
                <w:sz w:val="20"/>
                <w:szCs w:val="20"/>
              </w:rPr>
              <w:t xml:space="preserve"> The American journal of drug and alcohol abuse; </w:t>
            </w:r>
            <w:proofErr w:type="gramStart"/>
            <w:r w:rsidRPr="005762E6">
              <w:rPr>
                <w:sz w:val="20"/>
                <w:szCs w:val="20"/>
              </w:rPr>
              <w:t>2018;44:660</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Differences in tobacco use behaviors have been identified between Latinos and non-Latino whites in the general US population. Little is known about cigarette smoking and quitting behaviors of Latinos in treatment for substance use disorders (SUDs),​ who represent two major tobacco-vulnerable groups.,​ OBJECTIVES: To compare,​ in a national sample of persons enrolled in SUD treatment,​ demographic,​ drug use,​ and smoking and quitting prevalence and behaviors between Latinos and non-Latino whites.,​ METHODS: We surveyed 777 SUD treatment clients,​ sampled from 24 clinics selected at random from the National Institute on Drug Abuse Clinical Trials Network (Latino client n = 141; 40% female). We then </w:t>
            </w:r>
            <w:r w:rsidRPr="005762E6">
              <w:rPr>
                <w:sz w:val="20"/>
                <w:szCs w:val="20"/>
              </w:rPr>
              <w:lastRenderedPageBreak/>
              <w:t>conducted univariate and multivariate analyses to identify correlates of smoking behaviors by Latino/non-Latino white ethnicity</w:t>
            </w:r>
            <w:proofErr w:type="gramStart"/>
            <w:r w:rsidRPr="005762E6">
              <w:rPr>
                <w:sz w:val="20"/>
                <w:szCs w:val="20"/>
              </w:rPr>
              <w:t>.,​</w:t>
            </w:r>
            <w:proofErr w:type="gramEnd"/>
            <w:r w:rsidRPr="005762E6">
              <w:rPr>
                <w:sz w:val="20"/>
                <w:szCs w:val="20"/>
              </w:rPr>
              <w:t xml:space="preserve"> RESULTS: Latinos' smoking prevalence resembled that of non-Latino whites (78.7% vs. 77.4%). In regression </w:t>
            </w:r>
            <w:proofErr w:type="gramStart"/>
            <w:r w:rsidRPr="005762E6">
              <w:rPr>
                <w:sz w:val="20"/>
                <w:szCs w:val="20"/>
              </w:rPr>
              <w:t>analyses,​</w:t>
            </w:r>
            <w:proofErr w:type="gramEnd"/>
            <w:r w:rsidRPr="005762E6">
              <w:rPr>
                <w:sz w:val="20"/>
                <w:szCs w:val="20"/>
              </w:rPr>
              <w:t xml:space="preserve"> Latino smokers (n = 111) tended to smoke fewer cigarettes per day (CPD) than non-Latino white smokers (n = 492); were more often nondaily smokers and menthol smokers; more often reported a smoking quit attempt in the last year; and tended to report higher numbers of past-year quit attempts. Among Latino </w:t>
            </w:r>
            <w:proofErr w:type="gramStart"/>
            <w:r w:rsidRPr="005762E6">
              <w:rPr>
                <w:sz w:val="20"/>
                <w:szCs w:val="20"/>
              </w:rPr>
              <w:t>smokers,​</w:t>
            </w:r>
            <w:proofErr w:type="gramEnd"/>
            <w:r w:rsidRPr="005762E6">
              <w:rPr>
                <w:sz w:val="20"/>
                <w:szCs w:val="20"/>
              </w:rPr>
              <w:t xml:space="preserve"> those with less education and those reporting opioids as their primary drug of use reported higher CPD.,​ CONCLUSIONS: Latinos in SUD treatment are at equally high risk of being current heavy smokers as compared to non-Latino whites in SUD treatment. At the same </w:t>
            </w:r>
            <w:proofErr w:type="gramStart"/>
            <w:r w:rsidRPr="005762E6">
              <w:rPr>
                <w:sz w:val="20"/>
                <w:szCs w:val="20"/>
              </w:rPr>
              <w:t>time,​</w:t>
            </w:r>
            <w:proofErr w:type="gramEnd"/>
            <w:r w:rsidRPr="005762E6">
              <w:rPr>
                <w:sz w:val="20"/>
                <w:szCs w:val="20"/>
              </w:rPr>
              <w:t xml:space="preserve"> Latinos in SUD treatment exhibit ethnic-specific smoking and quitting behaviors that should be considered when designing smoking interventions for this group.</w:t>
            </w:r>
          </w:p>
        </w:tc>
      </w:tr>
      <w:tr w:rsidR="00B44564" w:rsidRPr="005762E6" w14:paraId="4B29B6E4"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16F3A57" w14:textId="77777777" w:rsidR="00B44564" w:rsidRPr="005762E6" w:rsidRDefault="00B44564" w:rsidP="00EA69AA">
            <w:pPr>
              <w:spacing w:after="120" w:line="240" w:lineRule="auto"/>
              <w:contextualSpacing/>
              <w:rPr>
                <w:sz w:val="20"/>
                <w:szCs w:val="20"/>
              </w:rPr>
            </w:pPr>
            <w:r w:rsidRPr="005762E6">
              <w:rPr>
                <w:sz w:val="20"/>
                <w:szCs w:val="20"/>
              </w:rPr>
              <w:lastRenderedPageBreak/>
              <w:t>253</w:t>
            </w:r>
          </w:p>
        </w:tc>
        <w:tc>
          <w:tcPr>
            <w:tcW w:w="0" w:type="auto"/>
            <w:tcBorders>
              <w:top w:val="single" w:sz="6" w:space="0" w:color="auto"/>
              <w:left w:val="single" w:sz="6" w:space="0" w:color="auto"/>
              <w:bottom w:val="single" w:sz="6" w:space="0" w:color="auto"/>
              <w:right w:val="single" w:sz="6" w:space="0" w:color="auto"/>
            </w:tcBorders>
          </w:tcPr>
          <w:p w14:paraId="731DCF74"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9AC89A7" w14:textId="1420EFEA" w:rsidR="00B44564" w:rsidRPr="005762E6" w:rsidRDefault="00B44564" w:rsidP="00EA69AA">
            <w:pPr>
              <w:spacing w:after="120" w:line="240" w:lineRule="auto"/>
              <w:contextualSpacing/>
              <w:rPr>
                <w:sz w:val="20"/>
                <w:szCs w:val="20"/>
              </w:rPr>
            </w:pPr>
            <w:r w:rsidRPr="005762E6">
              <w:rPr>
                <w:sz w:val="20"/>
                <w:szCs w:val="20"/>
              </w:rPr>
              <w:t xml:space="preserve">Saul </w:t>
            </w:r>
            <w:proofErr w:type="gramStart"/>
            <w:r w:rsidRPr="005762E6">
              <w:rPr>
                <w:sz w:val="20"/>
                <w:szCs w:val="20"/>
              </w:rPr>
              <w:t>Shiffman,​</w:t>
            </w:r>
            <w:proofErr w:type="gramEnd"/>
            <w:r w:rsidRPr="005762E6">
              <w:rPr>
                <w:sz w:val="20"/>
                <w:szCs w:val="20"/>
              </w:rPr>
              <w:t xml:space="preserve"> Sarah Scholl Increases in Cigarette Consumption and Decreases in Smoking Intensity When Nondaily Smokers Are Provided With Free Cigarettes</w:t>
            </w:r>
            <w:r w:rsidR="007F2F01">
              <w:rPr>
                <w:sz w:val="20"/>
                <w:szCs w:val="20"/>
              </w:rPr>
              <w:t>.</w:t>
            </w:r>
            <w:r w:rsidRPr="005762E6">
              <w:rPr>
                <w:sz w:val="20"/>
                <w:szCs w:val="20"/>
              </w:rPr>
              <w:t xml:space="preserve"> Nicotine &amp; tobacco </w:t>
            </w:r>
            <w:proofErr w:type="gramStart"/>
            <w:r w:rsidRPr="005762E6">
              <w:rPr>
                <w:sz w:val="20"/>
                <w:szCs w:val="20"/>
              </w:rPr>
              <w:t>research :</w:t>
            </w:r>
            <w:proofErr w:type="gramEnd"/>
            <w:r w:rsidRPr="005762E6">
              <w:rPr>
                <w:sz w:val="20"/>
                <w:szCs w:val="20"/>
              </w:rPr>
              <w:t xml:space="preserve"> official journal of the Society for Research on Nicotine and Tobacco; 2018;20:1237.</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Studies testing novel tobacco products often provide participants with free product and assess consumption. </w:t>
            </w:r>
            <w:proofErr w:type="gramStart"/>
            <w:r w:rsidRPr="005762E6">
              <w:rPr>
                <w:sz w:val="20"/>
                <w:szCs w:val="20"/>
              </w:rPr>
              <w:t>Some,​</w:t>
            </w:r>
            <w:proofErr w:type="gramEnd"/>
            <w:r w:rsidRPr="005762E6">
              <w:rPr>
                <w:sz w:val="20"/>
                <w:szCs w:val="20"/>
              </w:rPr>
              <w:t xml:space="preserve"> but not all,​ studies find that providing free cigarettes increases smoking. We tested changes in smoking when free cigarettes were provided to </w:t>
            </w:r>
            <w:proofErr w:type="gramStart"/>
            <w:r w:rsidRPr="005762E6">
              <w:rPr>
                <w:sz w:val="20"/>
                <w:szCs w:val="20"/>
              </w:rPr>
              <w:t>nondaily,​</w:t>
            </w:r>
            <w:proofErr w:type="gramEnd"/>
            <w:r w:rsidRPr="005762E6">
              <w:rPr>
                <w:sz w:val="20"/>
                <w:szCs w:val="20"/>
              </w:rPr>
              <w:t xml:space="preserve"> intermittent smokers,​ who constitute one-third of US adult smokers.,​ Methods: Cigarette consumption was assessed by Time-Line Follow-Back in 235 intermittent smokers for two 2-week periods: when providing their own cigarettes and when provided own-brand cigarettes for free. Smoking topography and carbon monoxide boost were assessed for one cigarette at the end of each period</w:t>
            </w:r>
            <w:proofErr w:type="gramStart"/>
            <w:r w:rsidRPr="005762E6">
              <w:rPr>
                <w:sz w:val="20"/>
                <w:szCs w:val="20"/>
              </w:rPr>
              <w:t>.,​</w:t>
            </w:r>
            <w:proofErr w:type="gramEnd"/>
            <w:r w:rsidRPr="005762E6">
              <w:rPr>
                <w:sz w:val="20"/>
                <w:szCs w:val="20"/>
              </w:rPr>
              <w:t xml:space="preserve"> Results: Cigarette consumption increased significantly,​ by 66% (from 1.98 to 3.28 cigarettes per day),​ when cigarettes were available for free; both the number of days the subjects smoked and the number of cigarettes on those days increased. The increases were significantly greater among African </w:t>
            </w:r>
            <w:proofErr w:type="gramStart"/>
            <w:r w:rsidRPr="005762E6">
              <w:rPr>
                <w:sz w:val="20"/>
                <w:szCs w:val="20"/>
              </w:rPr>
              <w:t>Americans,​</w:t>
            </w:r>
            <w:proofErr w:type="gramEnd"/>
            <w:r w:rsidRPr="005762E6">
              <w:rPr>
                <w:sz w:val="20"/>
                <w:szCs w:val="20"/>
              </w:rPr>
              <w:t xml:space="preserve"> those Fagerstrom Tobacco Nicotine Dependence scores &gt;0,​ those with incomes less than US ,​000 per year,​ those who engaged in greater conscious restraint of smoking,​ and for smokers of menthol cigarettes,​ or "longs." Smoking intensity (smoke </w:t>
            </w:r>
            <w:proofErr w:type="gramStart"/>
            <w:r w:rsidRPr="005762E6">
              <w:rPr>
                <w:sz w:val="20"/>
                <w:szCs w:val="20"/>
              </w:rPr>
              <w:t>volume,​</w:t>
            </w:r>
            <w:proofErr w:type="gramEnd"/>
            <w:r w:rsidRPr="005762E6">
              <w:rPr>
                <w:sz w:val="20"/>
                <w:szCs w:val="20"/>
              </w:rPr>
              <w:t xml:space="preserve"> by topography) and carbon monoxide boost decreased significantly when cigarettes were provided for free.,​ Conclusions: Providing intermittent smokers with free cigarettes substantially increased their smoking while decreasing smoking intensity. The increases in smoking varied according to multiple individual and cigarette-type differences. These phenomena may complicate interpretation of studies that compare consumption of a free test product with cigarette consumption or constituent exposure when smokers are providing their own cigarettes. They also suggest that cigarette cost and variations in low-level dependence and in smoking restraint are factors in nondaily smoking</w:t>
            </w:r>
            <w:proofErr w:type="gramStart"/>
            <w:r w:rsidRPr="005762E6">
              <w:rPr>
                <w:sz w:val="20"/>
                <w:szCs w:val="20"/>
              </w:rPr>
              <w:t>.,​</w:t>
            </w:r>
            <w:proofErr w:type="gramEnd"/>
            <w:r w:rsidRPr="005762E6">
              <w:rPr>
                <w:sz w:val="20"/>
                <w:szCs w:val="20"/>
              </w:rPr>
              <w:t xml:space="preserve"> Implications: The study shows that providing nondaily smokers with free cigarettes increases cigarette consumption,​ but does differentially for different subgroups and cigarette types,​ while also decreasing smoking intensity. This suggests the value of using free-cigarette baseline data in studies where interventions provide free cigarettes.</w:t>
            </w:r>
          </w:p>
        </w:tc>
      </w:tr>
      <w:tr w:rsidR="00B44564" w:rsidRPr="005762E6" w14:paraId="61EEE970"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A5A1FE6" w14:textId="77777777" w:rsidR="00B44564" w:rsidRPr="005762E6" w:rsidRDefault="00B44564" w:rsidP="00EA69AA">
            <w:pPr>
              <w:spacing w:after="120" w:line="240" w:lineRule="auto"/>
              <w:contextualSpacing/>
              <w:rPr>
                <w:sz w:val="20"/>
                <w:szCs w:val="20"/>
              </w:rPr>
            </w:pPr>
            <w:r w:rsidRPr="005762E6">
              <w:rPr>
                <w:sz w:val="20"/>
                <w:szCs w:val="20"/>
              </w:rPr>
              <w:t>258</w:t>
            </w:r>
          </w:p>
        </w:tc>
        <w:tc>
          <w:tcPr>
            <w:tcW w:w="0" w:type="auto"/>
            <w:tcBorders>
              <w:top w:val="single" w:sz="6" w:space="0" w:color="auto"/>
              <w:left w:val="single" w:sz="6" w:space="0" w:color="auto"/>
              <w:bottom w:val="single" w:sz="6" w:space="0" w:color="auto"/>
              <w:right w:val="single" w:sz="6" w:space="0" w:color="auto"/>
            </w:tcBorders>
          </w:tcPr>
          <w:p w14:paraId="0E867095"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699B62E" w14:textId="4EA09443" w:rsidR="00B44564" w:rsidRPr="005762E6" w:rsidRDefault="00B44564" w:rsidP="00EA69AA">
            <w:pPr>
              <w:spacing w:after="120" w:line="240" w:lineRule="auto"/>
              <w:contextualSpacing/>
              <w:rPr>
                <w:sz w:val="20"/>
                <w:szCs w:val="20"/>
              </w:rPr>
            </w:pPr>
            <w:r w:rsidRPr="005762E6">
              <w:rPr>
                <w:sz w:val="20"/>
                <w:szCs w:val="20"/>
              </w:rPr>
              <w:t xml:space="preserve">Joanne </w:t>
            </w:r>
            <w:proofErr w:type="gramStart"/>
            <w:r w:rsidRPr="005762E6">
              <w:rPr>
                <w:sz w:val="20"/>
                <w:szCs w:val="20"/>
              </w:rPr>
              <w:t>D'Silva,​</w:t>
            </w:r>
            <w:proofErr w:type="gramEnd"/>
            <w:r w:rsidRPr="005762E6">
              <w:rPr>
                <w:sz w:val="20"/>
                <w:szCs w:val="20"/>
              </w:rPr>
              <w:t xml:space="preserve"> Amy M Cohn,​ Amanda L Johnson,​ Andrea C Villanti Differences in Subjective Experiences to First Use of Menthol and Nonmenthol Cigarettes in a National Sample of Young Adult Cigarette Smokers</w:t>
            </w:r>
            <w:r w:rsidR="007F2F01">
              <w:rPr>
                <w:sz w:val="20"/>
                <w:szCs w:val="20"/>
              </w:rPr>
              <w:t>.</w:t>
            </w:r>
            <w:r w:rsidRPr="005762E6">
              <w:rPr>
                <w:sz w:val="20"/>
                <w:szCs w:val="20"/>
              </w:rPr>
              <w:t xml:space="preserve"> Nicotine &amp; tobacco </w:t>
            </w:r>
            <w:proofErr w:type="gramStart"/>
            <w:r w:rsidRPr="005762E6">
              <w:rPr>
                <w:sz w:val="20"/>
                <w:szCs w:val="20"/>
              </w:rPr>
              <w:t>research :</w:t>
            </w:r>
            <w:proofErr w:type="gramEnd"/>
            <w:r w:rsidRPr="005762E6">
              <w:rPr>
                <w:sz w:val="20"/>
                <w:szCs w:val="20"/>
              </w:rPr>
              <w:t xml:space="preserve"> official journal of the Society for Research on Nicotine and Tobacco; 2018;20:1062.</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Purpose: Menthol has been hypothesized to ease the harshness of cigarette smoke. </w:t>
            </w:r>
            <w:proofErr w:type="gramStart"/>
            <w:r w:rsidRPr="005762E6">
              <w:rPr>
                <w:sz w:val="20"/>
                <w:szCs w:val="20"/>
              </w:rPr>
              <w:t>Thus,​</w:t>
            </w:r>
            <w:proofErr w:type="gramEnd"/>
            <w:r w:rsidRPr="005762E6">
              <w:rPr>
                <w:sz w:val="20"/>
                <w:szCs w:val="20"/>
              </w:rPr>
              <w:t xml:space="preserve"> sensory experiences at first cigarette use may be one mechanism by which menthol facilitates progression to regular smoking. This study examined differences in subjective experiences to the first use of a menthol versus nonmenthol cigarette among new young adult smokers</w:t>
            </w:r>
            <w:proofErr w:type="gramStart"/>
            <w:r w:rsidRPr="005762E6">
              <w:rPr>
                <w:sz w:val="20"/>
                <w:szCs w:val="20"/>
              </w:rPr>
              <w:t>.,​</w:t>
            </w:r>
            <w:proofErr w:type="gramEnd"/>
            <w:r w:rsidRPr="005762E6">
              <w:rPr>
                <w:sz w:val="20"/>
                <w:szCs w:val="20"/>
              </w:rPr>
              <w:t xml:space="preserve"> Methods: Data were drawn from waves 5-8 of the Truth Initiative Young Adult Cohort Study,​ a national sample of 18-34 year olds assessed every 6 months. Analyses included a subset of young adult current smokers (n = 251) who initiated smoking in the past 6 months. Subjective responses to first cigarette use were assessed across menthol and nonmenthol initiators </w:t>
            </w:r>
            <w:r w:rsidRPr="005762E6">
              <w:rPr>
                <w:sz w:val="20"/>
                <w:szCs w:val="20"/>
              </w:rPr>
              <w:lastRenderedPageBreak/>
              <w:t>in bivariate analyses and adjusted models controlling for smoking correlates</w:t>
            </w:r>
            <w:proofErr w:type="gramStart"/>
            <w:r w:rsidRPr="005762E6">
              <w:rPr>
                <w:sz w:val="20"/>
                <w:szCs w:val="20"/>
              </w:rPr>
              <w:t>.,​</w:t>
            </w:r>
            <w:proofErr w:type="gramEnd"/>
            <w:r w:rsidRPr="005762E6">
              <w:rPr>
                <w:sz w:val="20"/>
                <w:szCs w:val="20"/>
              </w:rPr>
              <w:t xml:space="preserve"> Results: Fifty-two percent of new young adult smokers used a menthol cigarette at first use. First use of a menthol cigarette was higher in those aged 18-24 (vs. 25-34). Most black smokers (93.1%) were menthol initiators compared to 43.9% of white smokers. More than half of menthol and nonmenthol initiates felt relaxed or </w:t>
            </w:r>
            <w:proofErr w:type="gramStart"/>
            <w:r w:rsidRPr="005762E6">
              <w:rPr>
                <w:sz w:val="20"/>
                <w:szCs w:val="20"/>
              </w:rPr>
              <w:t>calm,​</w:t>
            </w:r>
            <w:proofErr w:type="gramEnd"/>
            <w:r w:rsidRPr="005762E6">
              <w:rPr>
                <w:sz w:val="20"/>
                <w:szCs w:val="20"/>
              </w:rPr>
              <w:t xml:space="preserve"> dizzy,​ lightheaded,​ liking the taste and a rush or buzz at first use. Menthol initiators were less likely in bivariate and multivariable analyses to experience feeling nauseated at first use (adjusted odds ratio = 0.45; p = .020) compared to nonmenthol initiators</w:t>
            </w:r>
            <w:proofErr w:type="gramStart"/>
            <w:r w:rsidRPr="005762E6">
              <w:rPr>
                <w:sz w:val="20"/>
                <w:szCs w:val="20"/>
              </w:rPr>
              <w:t>.,​</w:t>
            </w:r>
            <w:proofErr w:type="gramEnd"/>
            <w:r w:rsidRPr="005762E6">
              <w:rPr>
                <w:sz w:val="20"/>
                <w:szCs w:val="20"/>
              </w:rPr>
              <w:t xml:space="preserve"> Conclusions: While few differences were found between menthol and nonmenthol initiators in their subjective experiences,​ fewer menthol initiates felt nauseated at first cigarette use. Future research needs to identify additional mechanisms linking menthol initiation to smoking progression</w:t>
            </w:r>
            <w:proofErr w:type="gramStart"/>
            <w:r w:rsidRPr="005762E6">
              <w:rPr>
                <w:sz w:val="20"/>
                <w:szCs w:val="20"/>
              </w:rPr>
              <w:t>.,​</w:t>
            </w:r>
            <w:proofErr w:type="gramEnd"/>
            <w:r w:rsidRPr="005762E6">
              <w:rPr>
                <w:sz w:val="20"/>
                <w:szCs w:val="20"/>
              </w:rPr>
              <w:t xml:space="preserve"> Implications: Menthol initiators were more likely to be younger (18-24 vs. 25-34),​ and black (vs. white) compared to nonmenthol initiators. Our finding that menthol initiators were less likely to feel nauseated at first cigarette use compared to nonmenthol initiators suggests that menthol may reduce aversion to early cigarette use among young smokers and thus has the potential to facilitate continued experimentation. Interventions and policy approaches to reduce tobacco use initiation and progression are urgently needed in young people.</w:t>
            </w:r>
          </w:p>
        </w:tc>
      </w:tr>
      <w:tr w:rsidR="00B44564" w:rsidRPr="005762E6" w14:paraId="3343CC48"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57E48A7" w14:textId="77777777" w:rsidR="00B44564" w:rsidRPr="005762E6" w:rsidRDefault="00B44564" w:rsidP="00EA69AA">
            <w:pPr>
              <w:spacing w:after="120" w:line="240" w:lineRule="auto"/>
              <w:contextualSpacing/>
              <w:rPr>
                <w:sz w:val="20"/>
                <w:szCs w:val="20"/>
              </w:rPr>
            </w:pPr>
            <w:r w:rsidRPr="005762E6">
              <w:rPr>
                <w:sz w:val="20"/>
                <w:szCs w:val="20"/>
              </w:rPr>
              <w:lastRenderedPageBreak/>
              <w:t>259</w:t>
            </w:r>
          </w:p>
        </w:tc>
        <w:tc>
          <w:tcPr>
            <w:tcW w:w="0" w:type="auto"/>
            <w:tcBorders>
              <w:top w:val="single" w:sz="6" w:space="0" w:color="auto"/>
              <w:left w:val="single" w:sz="6" w:space="0" w:color="auto"/>
              <w:bottom w:val="single" w:sz="6" w:space="0" w:color="auto"/>
              <w:right w:val="single" w:sz="6" w:space="0" w:color="auto"/>
            </w:tcBorders>
          </w:tcPr>
          <w:p w14:paraId="78B5F5C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7A2953A" w14:textId="0164A749" w:rsidR="00B44564" w:rsidRPr="005762E6" w:rsidRDefault="00B44564" w:rsidP="00EA69AA">
            <w:pPr>
              <w:spacing w:after="120" w:line="240" w:lineRule="auto"/>
              <w:contextualSpacing/>
              <w:rPr>
                <w:sz w:val="20"/>
                <w:szCs w:val="20"/>
              </w:rPr>
            </w:pPr>
            <w:r w:rsidRPr="005762E6">
              <w:rPr>
                <w:sz w:val="20"/>
                <w:szCs w:val="20"/>
              </w:rPr>
              <w:t xml:space="preserve">Olivia A </w:t>
            </w:r>
            <w:proofErr w:type="gramStart"/>
            <w:r w:rsidRPr="005762E6">
              <w:rPr>
                <w:sz w:val="20"/>
                <w:szCs w:val="20"/>
              </w:rPr>
              <w:t>Wackowski,​</w:t>
            </w:r>
            <w:proofErr w:type="gramEnd"/>
            <w:r w:rsidRPr="005762E6">
              <w:rPr>
                <w:sz w:val="20"/>
                <w:szCs w:val="20"/>
              </w:rPr>
              <w:t xml:space="preserve"> Kiameesha R Evans,​ Melissa B Harrell,​ Alexandra Loukas,​ M Jane Lewis,​ Cristine D Delnevo,​ Cheryl L Perry In Their Own Words: Young Adults' Menthol Cigarette Initiation,​ Perceptions,​ Experiences and Regulation Perspectives</w:t>
            </w:r>
            <w:r w:rsidR="007F2F01">
              <w:rPr>
                <w:sz w:val="20"/>
                <w:szCs w:val="20"/>
              </w:rPr>
              <w:t>.</w:t>
            </w:r>
            <w:r w:rsidRPr="005762E6">
              <w:rPr>
                <w:sz w:val="20"/>
                <w:szCs w:val="20"/>
              </w:rPr>
              <w:t xml:space="preserve"> Nicotine &amp; tobacco </w:t>
            </w:r>
            <w:proofErr w:type="gramStart"/>
            <w:r w:rsidRPr="005762E6">
              <w:rPr>
                <w:sz w:val="20"/>
                <w:szCs w:val="20"/>
              </w:rPr>
              <w:t>research :</w:t>
            </w:r>
            <w:proofErr w:type="gramEnd"/>
            <w:r w:rsidRPr="005762E6">
              <w:rPr>
                <w:sz w:val="20"/>
                <w:szCs w:val="20"/>
              </w:rPr>
              <w:t xml:space="preserve"> official journal of the Society for Research on Nicotine and Tobacco; 2018;20:1076.</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Menthol cigarettes are disproportionately used by young people and have been called smoking starter products. </w:t>
            </w:r>
            <w:proofErr w:type="gramStart"/>
            <w:r w:rsidRPr="005762E6">
              <w:rPr>
                <w:sz w:val="20"/>
                <w:szCs w:val="20"/>
              </w:rPr>
              <w:t>However,​</w:t>
            </w:r>
            <w:proofErr w:type="gramEnd"/>
            <w:r w:rsidRPr="005762E6">
              <w:rPr>
                <w:sz w:val="20"/>
                <w:szCs w:val="20"/>
              </w:rPr>
              <w:t xml:space="preserve"> limited qualitative research exists on young adults' perceptions of and experiences with these products,​ with much of it based on document reviews of the tobacco industry's research.,​ Methods: We conducted six focus groups with young adult (ages 18-24) menthol smokers in New Jersey (half with black smokers) between December 2014 and March 2015. Participants were asked open-ended questions about their menthol smoking </w:t>
            </w:r>
            <w:proofErr w:type="gramStart"/>
            <w:r w:rsidRPr="005762E6">
              <w:rPr>
                <w:sz w:val="20"/>
                <w:szCs w:val="20"/>
              </w:rPr>
              <w:t>initiation,​</w:t>
            </w:r>
            <w:proofErr w:type="gramEnd"/>
            <w:r w:rsidRPr="005762E6">
              <w:rPr>
                <w:sz w:val="20"/>
                <w:szCs w:val="20"/>
              </w:rPr>
              <w:t xml:space="preserve"> preference reasons,​ substitution behaviors,​ and perceptions of menthol cigarette risks and regulation.,​ Results: Participants' menthol cigarette initiation and preference were influenced by their perceived popularity,​ brand recognition,​ taste,​ smoothness,​ satisfaction and access (including as "loosies,​" typically available for Newport). Some believed menthol cigarettes were less harmful than non-menthol cigarettes when initiating smoking. Many currently believed menthol cigarettes were more harmful because they contained extra "</w:t>
            </w:r>
            <w:proofErr w:type="gramStart"/>
            <w:r w:rsidRPr="005762E6">
              <w:rPr>
                <w:sz w:val="20"/>
                <w:szCs w:val="20"/>
              </w:rPr>
              <w:t>additives,​</w:t>
            </w:r>
            <w:proofErr w:type="gramEnd"/>
            <w:r w:rsidRPr="005762E6">
              <w:rPr>
                <w:sz w:val="20"/>
                <w:szCs w:val="20"/>
              </w:rPr>
              <w:t xml:space="preserve">" were stronger (ie,​ requiring fewer cigarettes to feel satisfied),​ and/or based on hearsay. Many had tried new brand Camel </w:t>
            </w:r>
            <w:proofErr w:type="gramStart"/>
            <w:r w:rsidRPr="005762E6">
              <w:rPr>
                <w:sz w:val="20"/>
                <w:szCs w:val="20"/>
              </w:rPr>
              <w:t>Crush,​</w:t>
            </w:r>
            <w:proofErr w:type="gramEnd"/>
            <w:r w:rsidRPr="005762E6">
              <w:rPr>
                <w:sz w:val="20"/>
                <w:szCs w:val="20"/>
              </w:rPr>
              <w:t xml:space="preserve"> which was perceived to be especially minty,​ fun,​ and attractive for newer smokers. While some used non-menthol cigarettes when menthols were </w:t>
            </w:r>
            <w:proofErr w:type="gramStart"/>
            <w:r w:rsidRPr="005762E6">
              <w:rPr>
                <w:sz w:val="20"/>
                <w:szCs w:val="20"/>
              </w:rPr>
              <w:t>unavailable,​</w:t>
            </w:r>
            <w:proofErr w:type="gramEnd"/>
            <w:r w:rsidRPr="005762E6">
              <w:rPr>
                <w:sz w:val="20"/>
                <w:szCs w:val="20"/>
              </w:rPr>
              <w:t xml:space="preserve"> many said they would never or almost never substitute. Many acknowledged a menthol cigarettes ban would likely help them quit </w:t>
            </w:r>
            <w:proofErr w:type="gramStart"/>
            <w:r w:rsidRPr="005762E6">
              <w:rPr>
                <w:sz w:val="20"/>
                <w:szCs w:val="20"/>
              </w:rPr>
              <w:t>smoking,​</w:t>
            </w:r>
            <w:proofErr w:type="gramEnd"/>
            <w:r w:rsidRPr="005762E6">
              <w:rPr>
                <w:sz w:val="20"/>
                <w:szCs w:val="20"/>
              </w:rPr>
              <w:t xml:space="preserve"> even though they did not support the idea.,​ Conclusions: Menthol cigarette initiation is influenced by an interplay of multiple factors including their sensory properties,​ marketing,​ perceived popularity and availability. The FDA should continue to pursue closing this flavored cigarette loophole</w:t>
            </w:r>
            <w:proofErr w:type="gramStart"/>
            <w:r w:rsidRPr="005762E6">
              <w:rPr>
                <w:sz w:val="20"/>
                <w:szCs w:val="20"/>
              </w:rPr>
              <w:t>.,​</w:t>
            </w:r>
            <w:proofErr w:type="gramEnd"/>
            <w:r w:rsidRPr="005762E6">
              <w:rPr>
                <w:sz w:val="20"/>
                <w:szCs w:val="20"/>
              </w:rPr>
              <w:t xml:space="preserve"> Implications: In this first qualitative study of menthol cigarette use among young adults,​ we found further evidence that menthol cigarettes can act as starter products because they are perceived as easier to smoke and taste and smell better than non-menthol cigarettes. We also add to the literature in finding that menthol cigarettes are perceived by young people who smoke menthol cigarettes as delivering satisfaction with fewer </w:t>
            </w:r>
            <w:proofErr w:type="gramStart"/>
            <w:r w:rsidRPr="005762E6">
              <w:rPr>
                <w:sz w:val="20"/>
                <w:szCs w:val="20"/>
              </w:rPr>
              <w:t>cigarettes,​</w:t>
            </w:r>
            <w:proofErr w:type="gramEnd"/>
            <w:r w:rsidRPr="005762E6">
              <w:rPr>
                <w:sz w:val="20"/>
                <w:szCs w:val="20"/>
              </w:rPr>
              <w:t xml:space="preserve"> being accessible as "loosies",​ and being popular among their peers. Many did not understand the reasons behind a potential menthol ban. Any future regulation of menthol cigarettes should include a public educational campaign to support buy-in.</w:t>
            </w:r>
          </w:p>
        </w:tc>
      </w:tr>
      <w:tr w:rsidR="00B44564" w:rsidRPr="005762E6" w14:paraId="3116269B"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B00A386" w14:textId="77777777" w:rsidR="00B44564" w:rsidRPr="005762E6" w:rsidRDefault="00B44564" w:rsidP="00EA69AA">
            <w:pPr>
              <w:spacing w:after="120" w:line="240" w:lineRule="auto"/>
              <w:contextualSpacing/>
              <w:rPr>
                <w:sz w:val="20"/>
                <w:szCs w:val="20"/>
              </w:rPr>
            </w:pPr>
            <w:r w:rsidRPr="005762E6">
              <w:rPr>
                <w:sz w:val="20"/>
                <w:szCs w:val="20"/>
              </w:rPr>
              <w:t>262</w:t>
            </w:r>
          </w:p>
        </w:tc>
        <w:tc>
          <w:tcPr>
            <w:tcW w:w="0" w:type="auto"/>
            <w:tcBorders>
              <w:top w:val="single" w:sz="6" w:space="0" w:color="auto"/>
              <w:left w:val="single" w:sz="6" w:space="0" w:color="auto"/>
              <w:bottom w:val="single" w:sz="6" w:space="0" w:color="auto"/>
              <w:right w:val="single" w:sz="6" w:space="0" w:color="auto"/>
            </w:tcBorders>
          </w:tcPr>
          <w:p w14:paraId="728E1C73"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0E660A3" w14:textId="0D723FF0" w:rsidR="00B44564" w:rsidRPr="005762E6" w:rsidRDefault="00B44564" w:rsidP="00EA69AA">
            <w:pPr>
              <w:spacing w:after="120" w:line="240" w:lineRule="auto"/>
              <w:contextualSpacing/>
              <w:rPr>
                <w:sz w:val="20"/>
                <w:szCs w:val="20"/>
              </w:rPr>
            </w:pPr>
            <w:r w:rsidRPr="005762E6">
              <w:rPr>
                <w:sz w:val="20"/>
                <w:szCs w:val="20"/>
              </w:rPr>
              <w:t xml:space="preserve">Jessica M </w:t>
            </w:r>
            <w:proofErr w:type="gramStart"/>
            <w:r w:rsidRPr="005762E6">
              <w:rPr>
                <w:sz w:val="20"/>
                <w:szCs w:val="20"/>
              </w:rPr>
              <w:t>Rath,​</w:t>
            </w:r>
            <w:proofErr w:type="gramEnd"/>
            <w:r w:rsidRPr="005762E6">
              <w:rPr>
                <w:sz w:val="20"/>
                <w:szCs w:val="20"/>
              </w:rPr>
              <w:t xml:space="preserve"> Marisa Greenberg,​ Lindsay Pitzer,​ Brittany Emelle,​ Molly Green,​ Shiyang Michael Liu,​ Jeffrey Willett,​ Shyanika W Rose,​ Elizabeth C Hair,​ Donna Vallone The Association Between Menthol Perceptions and Support for a Policy Ban Among US Smokers</w:t>
            </w:r>
            <w:r w:rsidR="007F2F01">
              <w:rPr>
                <w:sz w:val="20"/>
                <w:szCs w:val="20"/>
              </w:rPr>
              <w:t>.</w:t>
            </w:r>
            <w:r w:rsidRPr="005762E6">
              <w:rPr>
                <w:sz w:val="20"/>
                <w:szCs w:val="20"/>
              </w:rPr>
              <w:t xml:space="preserve"> Ethnicity &amp; disease; </w:t>
            </w:r>
            <w:proofErr w:type="gramStart"/>
            <w:r w:rsidRPr="005762E6">
              <w:rPr>
                <w:sz w:val="20"/>
                <w:szCs w:val="20"/>
              </w:rPr>
              <w:t>2018;28:177</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lastRenderedPageBreak/>
              <w:t xml:space="preserve">Abstract: </w:t>
            </w:r>
            <w:r w:rsidRPr="005762E6">
              <w:rPr>
                <w:sz w:val="20"/>
                <w:szCs w:val="20"/>
              </w:rPr>
              <w:t xml:space="preserve">Objective: To examine the relationship between menthol perceptions and support for a national menthol ban.,​ Participants: Data were collected from a nationally representative probability-based panel of adults aged &gt;=18 years during June 21,​ 2016 through July 18,​ 2016. A total of </w:t>
            </w:r>
            <w:proofErr w:type="gramStart"/>
            <w:r w:rsidRPr="005762E6">
              <w:rPr>
                <w:sz w:val="20"/>
                <w:szCs w:val="20"/>
              </w:rPr>
              <w:t>1,​</w:t>
            </w:r>
            <w:proofErr w:type="gramEnd"/>
            <w:r w:rsidRPr="005762E6">
              <w:rPr>
                <w:sz w:val="20"/>
                <w:szCs w:val="20"/>
              </w:rPr>
              <w:t xml:space="preserve">303 respondents,​ including an oversample of 300 African Americans,​ completed the survey.,​ Main Outcome Measures: Weighted logistic regression models examined the relationship between menthol perceptions,​ specifically related to health and addiction,​ and the outcome measure: support for a menthol ban,​ by menthol smoking status. All models controlled for </w:t>
            </w:r>
            <w:proofErr w:type="gramStart"/>
            <w:r w:rsidRPr="005762E6">
              <w:rPr>
                <w:sz w:val="20"/>
                <w:szCs w:val="20"/>
              </w:rPr>
              <w:t>age,​</w:t>
            </w:r>
            <w:proofErr w:type="gramEnd"/>
            <w:r w:rsidRPr="005762E6">
              <w:rPr>
                <w:sz w:val="20"/>
                <w:szCs w:val="20"/>
              </w:rPr>
              <w:t xml:space="preserve"> sex,​ education level,​ and race/ethnicity.,​ Results: The association between reporting accurate menthol health perceptions differed by menthol preference. Among non-menthol </w:t>
            </w:r>
            <w:proofErr w:type="gramStart"/>
            <w:r w:rsidRPr="005762E6">
              <w:rPr>
                <w:sz w:val="20"/>
                <w:szCs w:val="20"/>
              </w:rPr>
              <w:t>smokers,​</w:t>
            </w:r>
            <w:proofErr w:type="gramEnd"/>
            <w:r w:rsidRPr="005762E6">
              <w:rPr>
                <w:sz w:val="20"/>
                <w:szCs w:val="20"/>
              </w:rPr>
              <w:t xml:space="preserve"> there was no association between accurate menthol health perceptions and support of a menthol ban while more accurate menthol perceptions of addiction were associated with greater support of a menthol ban (</w:t>
            </w:r>
            <w:r w:rsidR="00615483">
              <w:rPr>
                <w:sz w:val="20"/>
                <w:szCs w:val="20"/>
              </w:rPr>
              <w:t>AOR</w:t>
            </w:r>
            <w:r w:rsidRPr="005762E6">
              <w:rPr>
                <w:sz w:val="20"/>
                <w:szCs w:val="20"/>
              </w:rPr>
              <w:t xml:space="preserve">=2.83,​ CI=1.19-6.72). Among menthol </w:t>
            </w:r>
            <w:proofErr w:type="gramStart"/>
            <w:r w:rsidRPr="005762E6">
              <w:rPr>
                <w:sz w:val="20"/>
                <w:szCs w:val="20"/>
              </w:rPr>
              <w:t>smokers,​</w:t>
            </w:r>
            <w:proofErr w:type="gramEnd"/>
            <w:r w:rsidRPr="005762E6">
              <w:rPr>
                <w:sz w:val="20"/>
                <w:szCs w:val="20"/>
              </w:rPr>
              <w:t xml:space="preserve"> more accurate health-related menthol perceptions were associated with increased odds of supporting a menthol ban (</w:t>
            </w:r>
            <w:r w:rsidR="00615483">
              <w:rPr>
                <w:sz w:val="20"/>
                <w:szCs w:val="20"/>
              </w:rPr>
              <w:t>AOR</w:t>
            </w:r>
            <w:r w:rsidRPr="005762E6">
              <w:rPr>
                <w:sz w:val="20"/>
                <w:szCs w:val="20"/>
              </w:rPr>
              <w:t xml:space="preserve">=3.90,​ CI=1.02-14.79) while more accurate menthol addiction perceptions were not.,​ Conclusions: Fewer current menthol smokers support a menthol ban than current non-menthol smokers given its effect on their preferred product. Given the large proportions of smokers who have misperceptions of the health consequences and addictive properties of </w:t>
            </w:r>
            <w:proofErr w:type="gramStart"/>
            <w:r w:rsidRPr="005762E6">
              <w:rPr>
                <w:sz w:val="20"/>
                <w:szCs w:val="20"/>
              </w:rPr>
              <w:t>menthol,​</w:t>
            </w:r>
            <w:proofErr w:type="gramEnd"/>
            <w:r w:rsidRPr="005762E6">
              <w:rPr>
                <w:sz w:val="20"/>
                <w:szCs w:val="20"/>
              </w:rPr>
              <w:t xml:space="preserve"> there is a moral imperative to inform those who use these products. Findings suggest the need for tailored messaging strategies targeted to reach menthol smokers who will be most impacted by a </w:t>
            </w:r>
            <w:proofErr w:type="gramStart"/>
            <w:r w:rsidRPr="005762E6">
              <w:rPr>
                <w:sz w:val="20"/>
                <w:szCs w:val="20"/>
              </w:rPr>
              <w:t>ban,​</w:t>
            </w:r>
            <w:proofErr w:type="gramEnd"/>
            <w:r w:rsidRPr="005762E6">
              <w:rPr>
                <w:sz w:val="20"/>
                <w:szCs w:val="20"/>
              </w:rPr>
              <w:t xml:space="preserve"> but also have the most to gain from such a policy change.</w:t>
            </w:r>
          </w:p>
        </w:tc>
      </w:tr>
      <w:tr w:rsidR="00B44564" w:rsidRPr="005762E6" w14:paraId="2E1BC6EA"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9D3D689" w14:textId="77777777" w:rsidR="00B44564" w:rsidRPr="005762E6" w:rsidRDefault="00B44564" w:rsidP="00EA69AA">
            <w:pPr>
              <w:spacing w:after="120" w:line="240" w:lineRule="auto"/>
              <w:contextualSpacing/>
              <w:rPr>
                <w:sz w:val="20"/>
                <w:szCs w:val="20"/>
              </w:rPr>
            </w:pPr>
            <w:r w:rsidRPr="005762E6">
              <w:rPr>
                <w:sz w:val="20"/>
                <w:szCs w:val="20"/>
              </w:rPr>
              <w:lastRenderedPageBreak/>
              <w:t>264</w:t>
            </w:r>
          </w:p>
        </w:tc>
        <w:tc>
          <w:tcPr>
            <w:tcW w:w="0" w:type="auto"/>
            <w:tcBorders>
              <w:top w:val="single" w:sz="6" w:space="0" w:color="auto"/>
              <w:left w:val="single" w:sz="6" w:space="0" w:color="auto"/>
              <w:bottom w:val="single" w:sz="6" w:space="0" w:color="auto"/>
              <w:right w:val="single" w:sz="6" w:space="0" w:color="auto"/>
            </w:tcBorders>
          </w:tcPr>
          <w:p w14:paraId="0EDA118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EDF0DA8" w14:textId="730B984D" w:rsidR="00B44564" w:rsidRPr="005762E6" w:rsidRDefault="00B44564" w:rsidP="00EA69AA">
            <w:pPr>
              <w:spacing w:after="120" w:line="240" w:lineRule="auto"/>
              <w:contextualSpacing/>
              <w:rPr>
                <w:sz w:val="20"/>
                <w:szCs w:val="20"/>
              </w:rPr>
            </w:pPr>
            <w:r w:rsidRPr="005762E6">
              <w:rPr>
                <w:sz w:val="20"/>
                <w:szCs w:val="20"/>
              </w:rPr>
              <w:t>Monica Webb Hooper Editorial: Preventing Tobacco-Related Cancer Disparities: A Focus on Racial/Ethnic Minority Populations</w:t>
            </w:r>
            <w:r w:rsidR="007F2F01">
              <w:rPr>
                <w:sz w:val="20"/>
                <w:szCs w:val="20"/>
              </w:rPr>
              <w:t>.</w:t>
            </w:r>
            <w:r w:rsidRPr="005762E6">
              <w:rPr>
                <w:sz w:val="20"/>
                <w:szCs w:val="20"/>
              </w:rPr>
              <w:t xml:space="preserve"> Ethnicity &amp; disease; </w:t>
            </w:r>
            <w:proofErr w:type="gramStart"/>
            <w:r w:rsidRPr="005762E6">
              <w:rPr>
                <w:sz w:val="20"/>
                <w:szCs w:val="20"/>
              </w:rPr>
              <w:t>2018;28:129</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31A0A150"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AAAD386" w14:textId="77777777" w:rsidR="00B44564" w:rsidRPr="005762E6" w:rsidRDefault="00B44564" w:rsidP="00EA69AA">
            <w:pPr>
              <w:spacing w:after="120" w:line="240" w:lineRule="auto"/>
              <w:contextualSpacing/>
              <w:rPr>
                <w:sz w:val="20"/>
                <w:szCs w:val="20"/>
              </w:rPr>
            </w:pPr>
            <w:r w:rsidRPr="005762E6">
              <w:rPr>
                <w:sz w:val="20"/>
                <w:szCs w:val="20"/>
              </w:rPr>
              <w:t>267</w:t>
            </w:r>
          </w:p>
        </w:tc>
        <w:tc>
          <w:tcPr>
            <w:tcW w:w="0" w:type="auto"/>
            <w:tcBorders>
              <w:top w:val="single" w:sz="6" w:space="0" w:color="auto"/>
              <w:left w:val="single" w:sz="6" w:space="0" w:color="auto"/>
              <w:bottom w:val="single" w:sz="6" w:space="0" w:color="auto"/>
              <w:right w:val="single" w:sz="6" w:space="0" w:color="auto"/>
            </w:tcBorders>
          </w:tcPr>
          <w:p w14:paraId="0681B7B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970A617" w14:textId="1EDEBD92" w:rsidR="00B44564" w:rsidRPr="005762E6" w:rsidRDefault="00B44564" w:rsidP="00EA69AA">
            <w:pPr>
              <w:spacing w:after="120" w:line="240" w:lineRule="auto"/>
              <w:contextualSpacing/>
              <w:rPr>
                <w:sz w:val="20"/>
                <w:szCs w:val="20"/>
              </w:rPr>
            </w:pPr>
            <w:r w:rsidRPr="005762E6">
              <w:rPr>
                <w:sz w:val="20"/>
                <w:szCs w:val="20"/>
              </w:rPr>
              <w:t xml:space="preserve">Jessica L </w:t>
            </w:r>
            <w:proofErr w:type="gramStart"/>
            <w:r w:rsidRPr="005762E6">
              <w:rPr>
                <w:sz w:val="20"/>
                <w:szCs w:val="20"/>
              </w:rPr>
              <w:t>Fetterman,​</w:t>
            </w:r>
            <w:proofErr w:type="gramEnd"/>
            <w:r w:rsidRPr="005762E6">
              <w:rPr>
                <w:sz w:val="20"/>
                <w:szCs w:val="20"/>
              </w:rPr>
              <w:t xml:space="preserve"> Robert M Weisbrod,​ Bihua Feng,​ Reena Bastin,​ Shawn T Tuttle,​ Monica Holbrook,​ Gregory Baker,​ Rose Marie Robertson,​ Daniel J Conklin,​ Aruni Bhatnagar,​ Naomi M Hamburg Flavorings in Tobacco Products Induce Endothelial Cell Dysfunction</w:t>
            </w:r>
            <w:r w:rsidR="007F2F01">
              <w:rPr>
                <w:sz w:val="20"/>
                <w:szCs w:val="20"/>
              </w:rPr>
              <w:t>.</w:t>
            </w:r>
            <w:r w:rsidRPr="005762E6">
              <w:rPr>
                <w:sz w:val="20"/>
                <w:szCs w:val="20"/>
              </w:rPr>
              <w:t xml:space="preserve"> </w:t>
            </w:r>
            <w:proofErr w:type="gramStart"/>
            <w:r w:rsidRPr="005762E6">
              <w:rPr>
                <w:sz w:val="20"/>
                <w:szCs w:val="20"/>
              </w:rPr>
              <w:t>Arteriosclerosis,​</w:t>
            </w:r>
            <w:proofErr w:type="gramEnd"/>
            <w:r w:rsidRPr="005762E6">
              <w:rPr>
                <w:sz w:val="20"/>
                <w:szCs w:val="20"/>
              </w:rPr>
              <w:t xml:space="preserve"> thrombosis,​ and vascular biology; 2018;38:1607.</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OBJECTIVE: Use of alternative tobacco products including electronic cigarettes is rapidly rising. The wide variety of flavored tobacco products available is of great appeal to smokers and youth. The flavorings added to tobacco products have been deemed safe for </w:t>
            </w:r>
            <w:proofErr w:type="gramStart"/>
            <w:r w:rsidRPr="005762E6">
              <w:rPr>
                <w:sz w:val="20"/>
                <w:szCs w:val="20"/>
              </w:rPr>
              <w:t>ingestion,​</w:t>
            </w:r>
            <w:proofErr w:type="gramEnd"/>
            <w:r w:rsidRPr="005762E6">
              <w:rPr>
                <w:sz w:val="20"/>
                <w:szCs w:val="20"/>
              </w:rPr>
              <w:t xml:space="preserve"> but the cardiovascular health effects are unknown. The purpose of this study was to examine the effect of 9 flavors on vascular endothelial cell function</w:t>
            </w:r>
            <w:proofErr w:type="gramStart"/>
            <w:r w:rsidRPr="005762E6">
              <w:rPr>
                <w:sz w:val="20"/>
                <w:szCs w:val="20"/>
              </w:rPr>
              <w:t>.,​</w:t>
            </w:r>
            <w:proofErr w:type="gramEnd"/>
            <w:r w:rsidRPr="005762E6">
              <w:rPr>
                <w:sz w:val="20"/>
                <w:szCs w:val="20"/>
              </w:rPr>
              <w:t xml:space="preserve"> APPROACH AND RESULTS: Freshly isolated endothelial cells from participants who use nonmenthol- or menthol-flavored tobacco cigarettes showed impaired A23187-stimulated nitric oxide production compared with endothelial cells from nonsmoking participants. Treatment of endothelial cells isolated from nonsmoking participants with either menthol (0.01 mmol/L) or eugenol (0.01 mmol/L) decreased A23187-stimulated nitric oxide production. To further evaluate the effects of flavoring compounds on endothelial cell </w:t>
            </w:r>
            <w:proofErr w:type="gramStart"/>
            <w:r w:rsidRPr="005762E6">
              <w:rPr>
                <w:sz w:val="20"/>
                <w:szCs w:val="20"/>
              </w:rPr>
              <w:t>phenotype,​</w:t>
            </w:r>
            <w:proofErr w:type="gramEnd"/>
            <w:r w:rsidRPr="005762E6">
              <w:rPr>
                <w:sz w:val="20"/>
                <w:szCs w:val="20"/>
              </w:rPr>
              <w:t xml:space="preserve"> commercially available human aortic endothelial cells were incubated with vanillin,​ menthol,​ cinnamaldehyde,​ eugenol,​ dimethylpyrazine,​ diacetyl,​ isoamyl acetate,​ eucalyptol,​ and acetylpyrazine (0.1-100 mmol/L) for 90 minutes. Cell </w:t>
            </w:r>
            <w:proofErr w:type="gramStart"/>
            <w:r w:rsidRPr="005762E6">
              <w:rPr>
                <w:sz w:val="20"/>
                <w:szCs w:val="20"/>
              </w:rPr>
              <w:t>death,​</w:t>
            </w:r>
            <w:proofErr w:type="gramEnd"/>
            <w:r w:rsidRPr="005762E6">
              <w:rPr>
                <w:sz w:val="20"/>
                <w:szCs w:val="20"/>
              </w:rPr>
              <w:t xml:space="preserve"> reactive oxygen species production,​ expression of the proinflammatory marker IL-6 (interleukin-6),​ and nitric oxide production were measured. Cell death and reactive oxygen species production were induced only at high concentrations unlikely to be achieved in vivo. Lower concentrations of selected flavors (</w:t>
            </w:r>
            <w:proofErr w:type="gramStart"/>
            <w:r w:rsidRPr="005762E6">
              <w:rPr>
                <w:sz w:val="20"/>
                <w:szCs w:val="20"/>
              </w:rPr>
              <w:t>vanillin,​</w:t>
            </w:r>
            <w:proofErr w:type="gramEnd"/>
            <w:r w:rsidRPr="005762E6">
              <w:rPr>
                <w:sz w:val="20"/>
                <w:szCs w:val="20"/>
              </w:rPr>
              <w:t xml:space="preserve"> menthol,​ cinnamaldehyde,​ eugenol,​ and acetylpyridine) induced both inflammation and impaired A23187-stimulated nitric oxide production consistent with endothelial dysfunction.,​ CONCLUSIONS: Our data suggest that short-term exposure of endothelial cells to flavoring compounds used in tobacco products have adverse effects on endothelial cell phenotype that may have relevance to cardiovascular toxicity. Copyright © 2018 American Heart </w:t>
            </w:r>
            <w:proofErr w:type="gramStart"/>
            <w:r w:rsidRPr="005762E6">
              <w:rPr>
                <w:sz w:val="20"/>
                <w:szCs w:val="20"/>
              </w:rPr>
              <w:t>Association,​</w:t>
            </w:r>
            <w:proofErr w:type="gramEnd"/>
            <w:r w:rsidRPr="005762E6">
              <w:rPr>
                <w:sz w:val="20"/>
                <w:szCs w:val="20"/>
              </w:rPr>
              <w:t xml:space="preserve"> Inc.</w:t>
            </w:r>
          </w:p>
        </w:tc>
      </w:tr>
      <w:tr w:rsidR="00B44564" w:rsidRPr="005762E6" w14:paraId="476C3B93"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A59558C" w14:textId="77777777" w:rsidR="00B44564" w:rsidRPr="005762E6" w:rsidRDefault="00B44564" w:rsidP="00EA69AA">
            <w:pPr>
              <w:spacing w:after="120" w:line="240" w:lineRule="auto"/>
              <w:contextualSpacing/>
              <w:rPr>
                <w:sz w:val="20"/>
                <w:szCs w:val="20"/>
              </w:rPr>
            </w:pPr>
            <w:r w:rsidRPr="005762E6">
              <w:rPr>
                <w:sz w:val="20"/>
                <w:szCs w:val="20"/>
              </w:rPr>
              <w:t>270</w:t>
            </w:r>
          </w:p>
        </w:tc>
        <w:tc>
          <w:tcPr>
            <w:tcW w:w="0" w:type="auto"/>
            <w:tcBorders>
              <w:top w:val="single" w:sz="6" w:space="0" w:color="auto"/>
              <w:left w:val="single" w:sz="6" w:space="0" w:color="auto"/>
              <w:bottom w:val="single" w:sz="6" w:space="0" w:color="auto"/>
              <w:right w:val="single" w:sz="6" w:space="0" w:color="auto"/>
            </w:tcBorders>
          </w:tcPr>
          <w:p w14:paraId="5033D3BE"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F4F11D6" w14:textId="621B4202" w:rsidR="00B44564" w:rsidRPr="005762E6" w:rsidRDefault="00B44564" w:rsidP="00EA69AA">
            <w:pPr>
              <w:spacing w:after="120" w:line="240" w:lineRule="auto"/>
              <w:contextualSpacing/>
              <w:rPr>
                <w:sz w:val="20"/>
                <w:szCs w:val="20"/>
              </w:rPr>
            </w:pPr>
            <w:r w:rsidRPr="005762E6">
              <w:rPr>
                <w:sz w:val="20"/>
                <w:szCs w:val="20"/>
              </w:rPr>
              <w:t xml:space="preserve">Allison J </w:t>
            </w:r>
            <w:proofErr w:type="gramStart"/>
            <w:r w:rsidRPr="005762E6">
              <w:rPr>
                <w:sz w:val="20"/>
                <w:szCs w:val="20"/>
              </w:rPr>
              <w:t>Lazard,​</w:t>
            </w:r>
            <w:proofErr w:type="gramEnd"/>
            <w:r w:rsidRPr="005762E6">
              <w:rPr>
                <w:sz w:val="20"/>
                <w:szCs w:val="20"/>
              </w:rPr>
              <w:t xml:space="preserve"> Sarah D Kowitt,​ Li-Ling Huang,​ Seth M Noar,​ Kristen L Jarman,​ Adam O Goldstein Believability of Cigarette Warnings About Addiction: National Experiments of Adolescents and Adults</w:t>
            </w:r>
            <w:r w:rsidR="007F2F01">
              <w:rPr>
                <w:sz w:val="20"/>
                <w:szCs w:val="20"/>
              </w:rPr>
              <w:t>.</w:t>
            </w:r>
            <w:r w:rsidRPr="005762E6">
              <w:rPr>
                <w:sz w:val="20"/>
                <w:szCs w:val="20"/>
              </w:rPr>
              <w:t xml:space="preserve"> Nicotine &amp; tobacco </w:t>
            </w:r>
            <w:r w:rsidRPr="005762E6">
              <w:rPr>
                <w:sz w:val="20"/>
                <w:szCs w:val="20"/>
              </w:rPr>
              <w:lastRenderedPageBreak/>
              <w:t>research : official journal of the Society for Research on Nicotine and Tobacco; 2018;20:867.</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Introduction: We conducted two experiments to examine the believability of three addiction-focused cigarette warnings and the influence of message source on believability among adolescents and adults in the United States.,​ Methods: Experimental data were collected using national phone surveys of adolescents (age 13-17; n = 1125; response rate,​ 66%) and adults (age 18+; n = 5014; response rate,​ 42%). We assessed the believability of three cigarette warnings about addiction attributed to four message sources (Food and Drug Administration [FDA</w:t>
            </w:r>
            <w:proofErr w:type="gramStart"/>
            <w:r w:rsidRPr="005762E6">
              <w:rPr>
                <w:sz w:val="20"/>
                <w:szCs w:val="20"/>
              </w:rPr>
              <w:t>],​</w:t>
            </w:r>
            <w:proofErr w:type="gramEnd"/>
            <w:r w:rsidRPr="005762E6">
              <w:rPr>
                <w:sz w:val="20"/>
                <w:szCs w:val="20"/>
              </w:rPr>
              <w:t xml:space="preserve"> Surgeon General,​ Centers for Disease Control and Prevention [CDC],​ no source).,​ Results: The majority of adolescents and adults reported the three cigarette warnings were very believable (49%-81% for adolescents; 47%-76% for adults). We found four to five times higher odds of adolescents believing a warning that cigarettes are addictive (warning 1) or that nicotine was an addictive chemical (warning 2) compared to a warning that differentiated the addictive risks of menthol versus traditional cigarettes (warning 3</w:t>
            </w:r>
            <w:proofErr w:type="gramStart"/>
            <w:r w:rsidRPr="005762E6">
              <w:rPr>
                <w:sz w:val="20"/>
                <w:szCs w:val="20"/>
              </w:rPr>
              <w:t>),​</w:t>
            </w:r>
            <w:proofErr w:type="gramEnd"/>
            <w:r w:rsidRPr="005762E6">
              <w:rPr>
                <w:sz w:val="20"/>
                <w:szCs w:val="20"/>
              </w:rPr>
              <w:t xml:space="preserve"> warning 1 adjusted odds ratio (</w:t>
            </w:r>
            <w:r w:rsidR="00615483">
              <w:rPr>
                <w:sz w:val="20"/>
                <w:szCs w:val="20"/>
              </w:rPr>
              <w:t>AOR</w:t>
            </w:r>
            <w:r w:rsidRPr="005762E6">
              <w:rPr>
                <w:sz w:val="20"/>
                <w:szCs w:val="20"/>
              </w:rPr>
              <w:t xml:space="preserve">): 4.53,​ 95% confidence interval (CI): 3.10,​ 6.63; warning 2 </w:t>
            </w:r>
            <w:r w:rsidR="00615483">
              <w:rPr>
                <w:sz w:val="20"/>
                <w:szCs w:val="20"/>
              </w:rPr>
              <w:t>AOR</w:t>
            </w:r>
            <w:r w:rsidRPr="005762E6">
              <w:rPr>
                <w:sz w:val="20"/>
                <w:szCs w:val="20"/>
              </w:rPr>
              <w:t xml:space="preserve">: 3.87,​ 95% CI: 2.70,​ 5.50. </w:t>
            </w:r>
            <w:proofErr w:type="gramStart"/>
            <w:r w:rsidRPr="005762E6">
              <w:rPr>
                <w:sz w:val="20"/>
                <w:szCs w:val="20"/>
              </w:rPr>
              <w:t>Similarly,​</w:t>
            </w:r>
            <w:proofErr w:type="gramEnd"/>
            <w:r w:rsidRPr="005762E6">
              <w:rPr>
                <w:sz w:val="20"/>
                <w:szCs w:val="20"/>
              </w:rPr>
              <w:t xml:space="preserve"> we found three to five times higher odds of adults (including current smokers) believing the same warnings,​ warning 1 </w:t>
            </w:r>
            <w:r w:rsidR="00615483">
              <w:rPr>
                <w:sz w:val="20"/>
                <w:szCs w:val="20"/>
              </w:rPr>
              <w:t>AOR</w:t>
            </w:r>
            <w:r w:rsidRPr="005762E6">
              <w:rPr>
                <w:sz w:val="20"/>
                <w:szCs w:val="20"/>
              </w:rPr>
              <w:t xml:space="preserve">: 3.74,​ 95% CI: 2.82,​ 4.95; warning 2 </w:t>
            </w:r>
            <w:r w:rsidR="00615483">
              <w:rPr>
                <w:sz w:val="20"/>
                <w:szCs w:val="20"/>
              </w:rPr>
              <w:t>AOR</w:t>
            </w:r>
            <w:r w:rsidRPr="005762E6">
              <w:rPr>
                <w:sz w:val="20"/>
                <w:szCs w:val="20"/>
              </w:rPr>
              <w:t>: 3.24,​ 95% CI: 2.45,​ 4.28. Message source had no overall impact on the believability of warnings for either population</w:t>
            </w:r>
            <w:proofErr w:type="gramStart"/>
            <w:r w:rsidRPr="005762E6">
              <w:rPr>
                <w:sz w:val="20"/>
                <w:szCs w:val="20"/>
              </w:rPr>
              <w:t>.,​</w:t>
            </w:r>
            <w:proofErr w:type="gramEnd"/>
            <w:r w:rsidRPr="005762E6">
              <w:rPr>
                <w:sz w:val="20"/>
                <w:szCs w:val="20"/>
              </w:rPr>
              <w:t xml:space="preserve"> Conclusions: Our findings support the implementation of FDA's required warnings that cigarettes are addictive and that nicotine is an addictive chemical. These believable warnings may deter adolescents from initiating smoking and encourage adults to quit smoking</w:t>
            </w:r>
            <w:proofErr w:type="gramStart"/>
            <w:r w:rsidRPr="005762E6">
              <w:rPr>
                <w:sz w:val="20"/>
                <w:szCs w:val="20"/>
              </w:rPr>
              <w:t>.,​</w:t>
            </w:r>
            <w:proofErr w:type="gramEnd"/>
            <w:r w:rsidRPr="005762E6">
              <w:rPr>
                <w:sz w:val="20"/>
                <w:szCs w:val="20"/>
              </w:rPr>
              <w:t xml:space="preserve"> Implications: This article describes,​ for the first time,​ the believability of different cigarette warnings about addiction. We now know that the majority of adolescents and adults believe cigarette warnings that highlight cigarettes as addictive and that nicotine is an addictive chemical in tobacco. </w:t>
            </w:r>
            <w:proofErr w:type="gramStart"/>
            <w:r w:rsidRPr="005762E6">
              <w:rPr>
                <w:sz w:val="20"/>
                <w:szCs w:val="20"/>
              </w:rPr>
              <w:t>However,​</w:t>
            </w:r>
            <w:proofErr w:type="gramEnd"/>
            <w:r w:rsidRPr="005762E6">
              <w:rPr>
                <w:sz w:val="20"/>
                <w:szCs w:val="20"/>
              </w:rPr>
              <w:t xml:space="preserve"> a warning that highlighted the relative risk of addiction for menthol cigarettes compared to traditional cigarettes was not as believable among either population. Our findings support the implementation of FDA's required warnings that cigarettes are addictive and that nicotine is an addictive chemical that may deter adolescents from initiating smoking and encourage adults to quit smoking.</w:t>
            </w:r>
          </w:p>
        </w:tc>
      </w:tr>
      <w:tr w:rsidR="00B44564" w:rsidRPr="005762E6" w14:paraId="6099D511"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E36418F" w14:textId="77777777" w:rsidR="00B44564" w:rsidRPr="005762E6" w:rsidRDefault="00B44564" w:rsidP="00EA69AA">
            <w:pPr>
              <w:spacing w:after="120" w:line="240" w:lineRule="auto"/>
              <w:contextualSpacing/>
              <w:rPr>
                <w:sz w:val="20"/>
                <w:szCs w:val="20"/>
              </w:rPr>
            </w:pPr>
            <w:r w:rsidRPr="005762E6">
              <w:rPr>
                <w:sz w:val="20"/>
                <w:szCs w:val="20"/>
              </w:rPr>
              <w:lastRenderedPageBreak/>
              <w:t>271</w:t>
            </w:r>
          </w:p>
        </w:tc>
        <w:tc>
          <w:tcPr>
            <w:tcW w:w="0" w:type="auto"/>
            <w:tcBorders>
              <w:top w:val="single" w:sz="6" w:space="0" w:color="auto"/>
              <w:left w:val="single" w:sz="6" w:space="0" w:color="auto"/>
              <w:bottom w:val="single" w:sz="6" w:space="0" w:color="auto"/>
              <w:right w:val="single" w:sz="6" w:space="0" w:color="auto"/>
            </w:tcBorders>
          </w:tcPr>
          <w:p w14:paraId="227DC58C"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E1040FC" w14:textId="4AC03ADD" w:rsidR="00B44564" w:rsidRPr="005762E6" w:rsidRDefault="00B44564" w:rsidP="00EA69AA">
            <w:pPr>
              <w:spacing w:after="120" w:line="240" w:lineRule="auto"/>
              <w:contextualSpacing/>
              <w:rPr>
                <w:sz w:val="20"/>
                <w:szCs w:val="20"/>
              </w:rPr>
            </w:pPr>
            <w:r w:rsidRPr="005762E6">
              <w:rPr>
                <w:sz w:val="20"/>
                <w:szCs w:val="20"/>
              </w:rPr>
              <w:t xml:space="preserve">Nicole M </w:t>
            </w:r>
            <w:proofErr w:type="gramStart"/>
            <w:r w:rsidRPr="005762E6">
              <w:rPr>
                <w:sz w:val="20"/>
                <w:szCs w:val="20"/>
              </w:rPr>
              <w:t>Kuiper,​</w:t>
            </w:r>
            <w:proofErr w:type="gramEnd"/>
            <w:r w:rsidRPr="005762E6">
              <w:rPr>
                <w:sz w:val="20"/>
                <w:szCs w:val="20"/>
              </w:rPr>
              <w:t xml:space="preserve"> Doris Gammon,​ Brett Loomis,​ Kyle Falvey,​ Teresa W Wang,​ Brian A King,​ Todd Rogers Trends in Sales of Flavored and Menthol Tobacco Products in the United States During 2011-2015</w:t>
            </w:r>
            <w:r w:rsidR="007F2F01">
              <w:rPr>
                <w:sz w:val="20"/>
                <w:szCs w:val="20"/>
              </w:rPr>
              <w:t>.</w:t>
            </w:r>
            <w:r w:rsidRPr="005762E6">
              <w:rPr>
                <w:sz w:val="20"/>
                <w:szCs w:val="20"/>
              </w:rPr>
              <w:t xml:space="preserve"> Nicotine &amp; tobacco </w:t>
            </w:r>
            <w:proofErr w:type="gramStart"/>
            <w:r w:rsidRPr="005762E6">
              <w:rPr>
                <w:sz w:val="20"/>
                <w:szCs w:val="20"/>
              </w:rPr>
              <w:t>research :</w:t>
            </w:r>
            <w:proofErr w:type="gramEnd"/>
            <w:r w:rsidRPr="005762E6">
              <w:rPr>
                <w:sz w:val="20"/>
                <w:szCs w:val="20"/>
              </w:rPr>
              <w:t xml:space="preserve"> official journal of the Society for Research on Nicotine and Tobacco; 2018;20:698.</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Introduction: Flavors can mask the harshness of tobacco and make it appealing to young people. This study assessed flavored and menthol tobacco product sales at the national and state levels</w:t>
            </w:r>
            <w:proofErr w:type="gramStart"/>
            <w:r w:rsidRPr="005762E6">
              <w:rPr>
                <w:sz w:val="20"/>
                <w:szCs w:val="20"/>
              </w:rPr>
              <w:t>.,​</w:t>
            </w:r>
            <w:proofErr w:type="gramEnd"/>
            <w:r w:rsidRPr="005762E6">
              <w:rPr>
                <w:sz w:val="20"/>
                <w:szCs w:val="20"/>
              </w:rPr>
              <w:t xml:space="preserve"> Methods: Universal Product Code tobacco sales data collected by Nielsen were combined for convenience stores and all-outlets-combined during October 22,​ 2011-January 9,​ 2016. Products were characterized as </w:t>
            </w:r>
            <w:proofErr w:type="gramStart"/>
            <w:r w:rsidRPr="005762E6">
              <w:rPr>
                <w:sz w:val="20"/>
                <w:szCs w:val="20"/>
              </w:rPr>
              <w:t>flavored,​</w:t>
            </w:r>
            <w:proofErr w:type="gramEnd"/>
            <w:r w:rsidRPr="005762E6">
              <w:rPr>
                <w:sz w:val="20"/>
                <w:szCs w:val="20"/>
              </w:rPr>
              <w:t xml:space="preserve"> menthol,​ or non-flavored/non-menthol. Total unit </w:t>
            </w:r>
            <w:proofErr w:type="gramStart"/>
            <w:r w:rsidRPr="005762E6">
              <w:rPr>
                <w:sz w:val="20"/>
                <w:szCs w:val="20"/>
              </w:rPr>
              <w:t>sales,​</w:t>
            </w:r>
            <w:proofErr w:type="gramEnd"/>
            <w:r w:rsidRPr="005762E6">
              <w:rPr>
                <w:sz w:val="20"/>
                <w:szCs w:val="20"/>
              </w:rPr>
              <w:t xml:space="preserve"> and the proportion of flavored and menthol unit sales,​ were assessed nationally and by state for seven tobacco products. </w:t>
            </w:r>
            <w:proofErr w:type="spellStart"/>
            <w:r w:rsidRPr="005762E6">
              <w:rPr>
                <w:sz w:val="20"/>
                <w:szCs w:val="20"/>
              </w:rPr>
              <w:t>Joinpoint</w:t>
            </w:r>
            <w:proofErr w:type="spellEnd"/>
            <w:r w:rsidRPr="005762E6">
              <w:rPr>
                <w:sz w:val="20"/>
                <w:szCs w:val="20"/>
              </w:rPr>
              <w:t xml:space="preserve"> regression was used to assess trends in average monthly percentage change</w:t>
            </w:r>
            <w:proofErr w:type="gramStart"/>
            <w:r w:rsidRPr="005762E6">
              <w:rPr>
                <w:sz w:val="20"/>
                <w:szCs w:val="20"/>
              </w:rPr>
              <w:t>.,​</w:t>
            </w:r>
            <w:proofErr w:type="gramEnd"/>
            <w:r w:rsidRPr="005762E6">
              <w:rPr>
                <w:sz w:val="20"/>
                <w:szCs w:val="20"/>
              </w:rPr>
              <w:t xml:space="preserve"> Results: Nationally,​ the proportion of flavored and menthol sales in 2015 was as follows: cigarettes (32.5% menthol),​ large cigars (26.1% flavored),​ cigarillos (47.5% flavored,​ 0.2% menthol),​ little cigars (21.8% flavored,​ 19.4% menthol),​ chewing tobacco (1.4% flavored,​ 0.7% menthol),​ moist snuff (3.0% flavored,​ 57.0% menthol),​ and snus (88.5% menthol). From 2011 to </w:t>
            </w:r>
            <w:proofErr w:type="gramStart"/>
            <w:r w:rsidRPr="005762E6">
              <w:rPr>
                <w:sz w:val="20"/>
                <w:szCs w:val="20"/>
              </w:rPr>
              <w:t>2015,​</w:t>
            </w:r>
            <w:proofErr w:type="gramEnd"/>
            <w:r w:rsidRPr="005762E6">
              <w:rPr>
                <w:sz w:val="20"/>
                <w:szCs w:val="20"/>
              </w:rPr>
              <w:t xml:space="preserve"> sales increased for flavored cigarillos and chewing tobacco,​ as well as for menthol cigarettes,​ little cigars,​ moist snuff,​ and snus. Sales decreased for flavored large </w:t>
            </w:r>
            <w:proofErr w:type="gramStart"/>
            <w:r w:rsidRPr="005762E6">
              <w:rPr>
                <w:sz w:val="20"/>
                <w:szCs w:val="20"/>
              </w:rPr>
              <w:t>cigars,​</w:t>
            </w:r>
            <w:proofErr w:type="gramEnd"/>
            <w:r w:rsidRPr="005762E6">
              <w:rPr>
                <w:sz w:val="20"/>
                <w:szCs w:val="20"/>
              </w:rPr>
              <w:t xml:space="preserve"> moist snuff,​ and snus,​ and for menthol chewing tobacco. State-level variations were observed by product; for </w:t>
            </w:r>
            <w:proofErr w:type="gramStart"/>
            <w:r w:rsidRPr="005762E6">
              <w:rPr>
                <w:sz w:val="20"/>
                <w:szCs w:val="20"/>
              </w:rPr>
              <w:t>example,​</w:t>
            </w:r>
            <w:proofErr w:type="gramEnd"/>
            <w:r w:rsidRPr="005762E6">
              <w:rPr>
                <w:sz w:val="20"/>
                <w:szCs w:val="20"/>
              </w:rPr>
              <w:t xml:space="preserve"> flavored little cigar sales ranged from 4.4% (Maine) to 69.3% (Utah) and flavored cigarillo sales ranged from 26.6% (Maine) to 63.0% (Maryland).,​ Conclusions: Menthol and flavored sales have increased since 2011,​ particularly for the products with the highest number of units sold,​ and significant state variation exists. Efforts to restrict flavored tobacco product sales could reduce overall U.S. tobacco consumption</w:t>
            </w:r>
            <w:proofErr w:type="gramStart"/>
            <w:r w:rsidRPr="005762E6">
              <w:rPr>
                <w:sz w:val="20"/>
                <w:szCs w:val="20"/>
              </w:rPr>
              <w:t>.,​</w:t>
            </w:r>
            <w:proofErr w:type="gramEnd"/>
            <w:r w:rsidRPr="005762E6">
              <w:rPr>
                <w:sz w:val="20"/>
                <w:szCs w:val="20"/>
              </w:rPr>
              <w:t xml:space="preserve"> Implications: Flavors in tobacco products can mask the harshness of tobacco and make these products more appealing to young people. This is the first </w:t>
            </w:r>
            <w:r w:rsidRPr="005762E6">
              <w:rPr>
                <w:sz w:val="20"/>
                <w:szCs w:val="20"/>
              </w:rPr>
              <w:lastRenderedPageBreak/>
              <w:t xml:space="preserve">study to assess national and state-level trends in flavored and menthol tobacco product sales. These findings underscore the importance of population-based interventions to address flavored tobacco product use at the </w:t>
            </w:r>
            <w:proofErr w:type="gramStart"/>
            <w:r w:rsidRPr="005762E6">
              <w:rPr>
                <w:sz w:val="20"/>
                <w:szCs w:val="20"/>
              </w:rPr>
              <w:t>national,​</w:t>
            </w:r>
            <w:proofErr w:type="gramEnd"/>
            <w:r w:rsidRPr="005762E6">
              <w:rPr>
                <w:sz w:val="20"/>
                <w:szCs w:val="20"/>
              </w:rPr>
              <w:t xml:space="preserve"> state,​ and local levels. </w:t>
            </w:r>
            <w:proofErr w:type="gramStart"/>
            <w:r w:rsidRPr="005762E6">
              <w:rPr>
                <w:sz w:val="20"/>
                <w:szCs w:val="20"/>
              </w:rPr>
              <w:t>Additionally,​</w:t>
            </w:r>
            <w:proofErr w:type="gramEnd"/>
            <w:r w:rsidRPr="005762E6">
              <w:rPr>
                <w:sz w:val="20"/>
                <w:szCs w:val="20"/>
              </w:rPr>
              <w:t xml:space="preserve"> further monitoring of flavored and menthol tobacco product sales can inform potential future regulatory efforts at the national,​ state,​ and local levels.</w:t>
            </w:r>
          </w:p>
        </w:tc>
      </w:tr>
      <w:tr w:rsidR="00B44564" w:rsidRPr="005762E6" w14:paraId="2C277F91"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88FDEFF" w14:textId="77777777" w:rsidR="00B44564" w:rsidRPr="005762E6" w:rsidRDefault="00B44564" w:rsidP="00EA69AA">
            <w:pPr>
              <w:spacing w:after="120" w:line="240" w:lineRule="auto"/>
              <w:contextualSpacing/>
              <w:rPr>
                <w:sz w:val="20"/>
                <w:szCs w:val="20"/>
              </w:rPr>
            </w:pPr>
            <w:r w:rsidRPr="005762E6">
              <w:rPr>
                <w:sz w:val="20"/>
                <w:szCs w:val="20"/>
              </w:rPr>
              <w:lastRenderedPageBreak/>
              <w:t>273</w:t>
            </w:r>
          </w:p>
        </w:tc>
        <w:tc>
          <w:tcPr>
            <w:tcW w:w="0" w:type="auto"/>
            <w:tcBorders>
              <w:top w:val="single" w:sz="6" w:space="0" w:color="auto"/>
              <w:left w:val="single" w:sz="6" w:space="0" w:color="auto"/>
              <w:bottom w:val="single" w:sz="6" w:space="0" w:color="auto"/>
              <w:right w:val="single" w:sz="6" w:space="0" w:color="auto"/>
            </w:tcBorders>
          </w:tcPr>
          <w:p w14:paraId="126A8CBE"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CA62007" w14:textId="4B9F1EF4" w:rsidR="00B44564" w:rsidRPr="005762E6" w:rsidRDefault="00B44564" w:rsidP="00EA69AA">
            <w:pPr>
              <w:spacing w:after="120" w:line="240" w:lineRule="auto"/>
              <w:contextualSpacing/>
              <w:rPr>
                <w:sz w:val="20"/>
                <w:szCs w:val="20"/>
              </w:rPr>
            </w:pPr>
            <w:r w:rsidRPr="005762E6">
              <w:rPr>
                <w:sz w:val="20"/>
                <w:szCs w:val="20"/>
              </w:rPr>
              <w:t xml:space="preserve">Michael </w:t>
            </w:r>
            <w:proofErr w:type="gramStart"/>
            <w:r w:rsidRPr="005762E6">
              <w:rPr>
                <w:sz w:val="20"/>
                <w:szCs w:val="20"/>
              </w:rPr>
              <w:t>Chaiton,​</w:t>
            </w:r>
            <w:proofErr w:type="gramEnd"/>
            <w:r w:rsidRPr="005762E6">
              <w:rPr>
                <w:sz w:val="20"/>
                <w:szCs w:val="20"/>
              </w:rPr>
              <w:t xml:space="preserve"> Robert Schwartz,​ Joanna E Cohen,​ Eric Soule,​ Thomas Eissenberg Association of Ontario's Ban on Menthol Cigarettes With Smoking Behavior 1 Month After Implementation</w:t>
            </w:r>
            <w:r w:rsidR="007F2F01">
              <w:rPr>
                <w:sz w:val="20"/>
                <w:szCs w:val="20"/>
              </w:rPr>
              <w:t>.</w:t>
            </w:r>
            <w:r w:rsidRPr="005762E6">
              <w:rPr>
                <w:sz w:val="20"/>
                <w:szCs w:val="20"/>
              </w:rPr>
              <w:t xml:space="preserve"> JAMA internal medicine; </w:t>
            </w:r>
            <w:proofErr w:type="gramStart"/>
            <w:r w:rsidRPr="005762E6">
              <w:rPr>
                <w:sz w:val="20"/>
                <w:szCs w:val="20"/>
              </w:rPr>
              <w:t>2018;178:710</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65BDFB21"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2559B0C" w14:textId="77777777" w:rsidR="00B44564" w:rsidRPr="005762E6" w:rsidRDefault="00B44564" w:rsidP="00EA69AA">
            <w:pPr>
              <w:spacing w:after="120" w:line="240" w:lineRule="auto"/>
              <w:contextualSpacing/>
              <w:rPr>
                <w:sz w:val="20"/>
                <w:szCs w:val="20"/>
              </w:rPr>
            </w:pPr>
            <w:r w:rsidRPr="005762E6">
              <w:rPr>
                <w:sz w:val="20"/>
                <w:szCs w:val="20"/>
              </w:rPr>
              <w:t>274</w:t>
            </w:r>
          </w:p>
        </w:tc>
        <w:tc>
          <w:tcPr>
            <w:tcW w:w="0" w:type="auto"/>
            <w:tcBorders>
              <w:top w:val="single" w:sz="6" w:space="0" w:color="auto"/>
              <w:left w:val="single" w:sz="6" w:space="0" w:color="auto"/>
              <w:bottom w:val="single" w:sz="6" w:space="0" w:color="auto"/>
              <w:right w:val="single" w:sz="6" w:space="0" w:color="auto"/>
            </w:tcBorders>
          </w:tcPr>
          <w:p w14:paraId="2929C5C5"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294E911" w14:textId="32735B58" w:rsidR="00B44564" w:rsidRPr="005762E6" w:rsidRDefault="00B44564" w:rsidP="00EA69AA">
            <w:pPr>
              <w:spacing w:after="120" w:line="240" w:lineRule="auto"/>
              <w:contextualSpacing/>
              <w:rPr>
                <w:sz w:val="20"/>
                <w:szCs w:val="20"/>
              </w:rPr>
            </w:pPr>
            <w:r w:rsidRPr="005762E6">
              <w:rPr>
                <w:sz w:val="20"/>
                <w:szCs w:val="20"/>
              </w:rPr>
              <w:t xml:space="preserve">Cendrine D </w:t>
            </w:r>
            <w:proofErr w:type="gramStart"/>
            <w:r w:rsidRPr="005762E6">
              <w:rPr>
                <w:sz w:val="20"/>
                <w:szCs w:val="20"/>
              </w:rPr>
              <w:t>Robinson,​</w:t>
            </w:r>
            <w:proofErr w:type="gramEnd"/>
            <w:r w:rsidRPr="005762E6">
              <w:rPr>
                <w:sz w:val="20"/>
                <w:szCs w:val="20"/>
              </w:rPr>
              <w:t xml:space="preserve"> Christine Muench,​ Emily Brede,​ Romano Endrighi,​ Edwin H Szeto,​ Joanna R Sells,​ John P Lammers,​ Kolawole S Okuyemi,​ Grant Izmirlian,​ Andrew J Waters Pro-tobacco advertisement exposure among African American smokers: An ecological momentary assessment study</w:t>
            </w:r>
            <w:r w:rsidR="007F2F01">
              <w:rPr>
                <w:sz w:val="20"/>
                <w:szCs w:val="20"/>
              </w:rPr>
              <w:t>.</w:t>
            </w:r>
            <w:r w:rsidRPr="005762E6">
              <w:rPr>
                <w:sz w:val="20"/>
                <w:szCs w:val="20"/>
              </w:rPr>
              <w:t xml:space="preserve"> Addictive behaviors; </w:t>
            </w:r>
            <w:proofErr w:type="gramStart"/>
            <w:r w:rsidRPr="005762E6">
              <w:rPr>
                <w:sz w:val="20"/>
                <w:szCs w:val="20"/>
              </w:rPr>
              <w:t>2018;83:142</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INTRODUCTION: Many African Americans live in communities with a disproportionately high density of tobacco advertisements compared to Whites. Some research indicates that point-of-sale advertising is associated with impulse purchases of cigarettes and smoking. Ecological Momentary Assessment (EMA) can be used to examine associations between tobacco advertisement exposure and smoking variables in the natural environment</w:t>
            </w:r>
            <w:proofErr w:type="gramStart"/>
            <w:r w:rsidRPr="005762E6">
              <w:rPr>
                <w:sz w:val="20"/>
                <w:szCs w:val="20"/>
              </w:rPr>
              <w:t>.,​</w:t>
            </w:r>
            <w:proofErr w:type="gramEnd"/>
            <w:r w:rsidRPr="005762E6">
              <w:rPr>
                <w:sz w:val="20"/>
                <w:szCs w:val="20"/>
              </w:rPr>
              <w:t xml:space="preserve"> METHODS: Non-treatment seeking African American smokers were given a mobile device for 2weeks (N=56). They were prompted four times per day and responded to questions about recent exposure to tobacco advertisements. Participants were also asked to indicate the number of cigarettes </w:t>
            </w:r>
            <w:proofErr w:type="gramStart"/>
            <w:r w:rsidRPr="005762E6">
              <w:rPr>
                <w:sz w:val="20"/>
                <w:szCs w:val="20"/>
              </w:rPr>
              <w:t>smoked,​</w:t>
            </w:r>
            <w:proofErr w:type="gramEnd"/>
            <w:r w:rsidRPr="005762E6">
              <w:rPr>
                <w:sz w:val="20"/>
                <w:szCs w:val="20"/>
              </w:rPr>
              <w:t xml:space="preserve"> and if they made any purchase,​ or an impulse purchase,​ since the last assessment. Linear mixed models (LMMs) analyzed between- and within-subject associations between exposure and outcomes</w:t>
            </w:r>
            <w:proofErr w:type="gramStart"/>
            <w:r w:rsidRPr="005762E6">
              <w:rPr>
                <w:sz w:val="20"/>
                <w:szCs w:val="20"/>
              </w:rPr>
              <w:t>.,​</w:t>
            </w:r>
            <w:proofErr w:type="gramEnd"/>
            <w:r w:rsidRPr="005762E6">
              <w:rPr>
                <w:sz w:val="20"/>
                <w:szCs w:val="20"/>
              </w:rPr>
              <w:t xml:space="preserve"> RESULTS: Participants reported seeing at least one advertisement on 33% of assessments. Of those </w:t>
            </w:r>
            <w:proofErr w:type="gramStart"/>
            <w:r w:rsidRPr="005762E6">
              <w:rPr>
                <w:sz w:val="20"/>
                <w:szCs w:val="20"/>
              </w:rPr>
              <w:t>assessments,​</w:t>
            </w:r>
            <w:proofErr w:type="gramEnd"/>
            <w:r w:rsidRPr="005762E6">
              <w:rPr>
                <w:sz w:val="20"/>
                <w:szCs w:val="20"/>
              </w:rPr>
              <w:t xml:space="preserve"> they reported seeing menthol advertisements on 87% of assessments. Between-subject analyses revealed that participants who on average saw more advertisements were generally more likely to report purchasing cigarettes and to purchase cigarettes on impulse. Within-subject analyses revealed that when an individual participant reported seeing more advertisements than usual they were more likely to have reported purchasing </w:t>
            </w:r>
            <w:proofErr w:type="gramStart"/>
            <w:r w:rsidRPr="005762E6">
              <w:rPr>
                <w:sz w:val="20"/>
                <w:szCs w:val="20"/>
              </w:rPr>
              <w:t>cigarettes,​</w:t>
            </w:r>
            <w:proofErr w:type="gramEnd"/>
            <w:r w:rsidRPr="005762E6">
              <w:rPr>
                <w:sz w:val="20"/>
                <w:szCs w:val="20"/>
              </w:rPr>
              <w:t xml:space="preserve"> making an impulse purchase and smoking more cigarettes during the same period,​ but not the subsequent time period.,​ CONCLUSIONS: Many African American smokers are frequently exposed to pro-tobacco marketing. Advertisement exposure is cross-sectionally associated with impulse purchases and smoking. Future research should assess prospective associations in more detail. Copyright Published by Elsevier Ltd.</w:t>
            </w:r>
          </w:p>
        </w:tc>
      </w:tr>
      <w:tr w:rsidR="00B44564" w:rsidRPr="005762E6" w14:paraId="6C378EBC"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458058B" w14:textId="77777777" w:rsidR="00B44564" w:rsidRPr="005762E6" w:rsidRDefault="00B44564" w:rsidP="00EA69AA">
            <w:pPr>
              <w:spacing w:after="120" w:line="240" w:lineRule="auto"/>
              <w:contextualSpacing/>
              <w:rPr>
                <w:sz w:val="20"/>
                <w:szCs w:val="20"/>
              </w:rPr>
            </w:pPr>
            <w:r w:rsidRPr="005762E6">
              <w:rPr>
                <w:sz w:val="20"/>
                <w:szCs w:val="20"/>
              </w:rPr>
              <w:t>275</w:t>
            </w:r>
          </w:p>
        </w:tc>
        <w:tc>
          <w:tcPr>
            <w:tcW w:w="0" w:type="auto"/>
            <w:tcBorders>
              <w:top w:val="single" w:sz="6" w:space="0" w:color="auto"/>
              <w:left w:val="single" w:sz="6" w:space="0" w:color="auto"/>
              <w:bottom w:val="single" w:sz="6" w:space="0" w:color="auto"/>
              <w:right w:val="single" w:sz="6" w:space="0" w:color="auto"/>
            </w:tcBorders>
          </w:tcPr>
          <w:p w14:paraId="7FD9763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49827B1" w14:textId="0E841D9B" w:rsidR="00B44564" w:rsidRPr="005762E6" w:rsidRDefault="00B44564" w:rsidP="00EA69AA">
            <w:pPr>
              <w:spacing w:after="120" w:line="240" w:lineRule="auto"/>
              <w:contextualSpacing/>
              <w:rPr>
                <w:sz w:val="20"/>
                <w:szCs w:val="20"/>
              </w:rPr>
            </w:pPr>
            <w:r w:rsidRPr="005762E6">
              <w:rPr>
                <w:sz w:val="20"/>
                <w:szCs w:val="20"/>
              </w:rPr>
              <w:t xml:space="preserve">Julia </w:t>
            </w:r>
            <w:proofErr w:type="gramStart"/>
            <w:r w:rsidRPr="005762E6">
              <w:rPr>
                <w:sz w:val="20"/>
                <w:szCs w:val="20"/>
              </w:rPr>
              <w:t>Gerharz,​</w:t>
            </w:r>
            <w:proofErr w:type="gramEnd"/>
            <w:r w:rsidRPr="005762E6">
              <w:rPr>
                <w:sz w:val="20"/>
                <w:szCs w:val="20"/>
              </w:rPr>
              <w:t xml:space="preserve"> Michael H K Bendels,​ Markus Braun,​ Doris Klingelhofer,​ David A Groneberg,​ Ruth Mueller Particulate matter emissions of different brands of mentholated cigarettes</w:t>
            </w:r>
            <w:r w:rsidR="007F2F01">
              <w:rPr>
                <w:sz w:val="20"/>
                <w:szCs w:val="20"/>
              </w:rPr>
              <w:t>.</w:t>
            </w:r>
            <w:r w:rsidRPr="005762E6">
              <w:rPr>
                <w:sz w:val="20"/>
                <w:szCs w:val="20"/>
              </w:rPr>
              <w:t xml:space="preserve"> Journal of the Air &amp; Waste Management Association (1995); </w:t>
            </w:r>
            <w:proofErr w:type="gramStart"/>
            <w:r w:rsidRPr="005762E6">
              <w:rPr>
                <w:sz w:val="20"/>
                <w:szCs w:val="20"/>
              </w:rPr>
              <w:t>2018;68:608</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Inhaling particulate matter (PM) in environmental tobacco smoke (ETS) endangers the health of nonsmokers. </w:t>
            </w:r>
            <w:proofErr w:type="gramStart"/>
            <w:r w:rsidRPr="005762E6">
              <w:rPr>
                <w:sz w:val="20"/>
                <w:szCs w:val="20"/>
              </w:rPr>
              <w:t>Menthol,​</w:t>
            </w:r>
            <w:proofErr w:type="gramEnd"/>
            <w:r w:rsidRPr="005762E6">
              <w:rPr>
                <w:sz w:val="20"/>
                <w:szCs w:val="20"/>
              </w:rPr>
              <w:t xml:space="preserve"> an additive in cigarettes,​ attenuates respiratory irritation of tobacco smoke. It reduces perceptibility of smoke and therefore passive smokers may inhale ETS unnoticed. To investigate a possible effect of menthol on PM concentrations (PM</w:t>
            </w:r>
            <w:proofErr w:type="gramStart"/>
            <w:r w:rsidRPr="005762E6">
              <w:rPr>
                <w:sz w:val="20"/>
                <w:szCs w:val="20"/>
              </w:rPr>
              <w:t>10,​</w:t>
            </w:r>
            <w:proofErr w:type="gramEnd"/>
            <w:r w:rsidRPr="005762E6">
              <w:rPr>
                <w:sz w:val="20"/>
                <w:szCs w:val="20"/>
              </w:rPr>
              <w:t xml:space="preserve"> PM2.5,​ and PM1),​ ETS of four mentholated cigarette brands (Elixyr Menthol,​ Winston Menthol,​ Reyno Classic,​ and Pall Mall Menthol Blast) with varying menthol content was analyzed. ETS was generated in a standardized way using an automatic environmental tobacco smoke emitter (AETSE</w:t>
            </w:r>
            <w:proofErr w:type="gramStart"/>
            <w:r w:rsidRPr="005762E6">
              <w:rPr>
                <w:sz w:val="20"/>
                <w:szCs w:val="20"/>
              </w:rPr>
              <w:t>),​</w:t>
            </w:r>
            <w:proofErr w:type="gramEnd"/>
            <w:r w:rsidRPr="005762E6">
              <w:rPr>
                <w:sz w:val="20"/>
                <w:szCs w:val="20"/>
              </w:rPr>
              <w:t xml:space="preserve"> followed by laser aerosol spectrometry. This analysis shows that the tested cigarette </w:t>
            </w:r>
            <w:proofErr w:type="gramStart"/>
            <w:r w:rsidRPr="005762E6">
              <w:rPr>
                <w:sz w:val="20"/>
                <w:szCs w:val="20"/>
              </w:rPr>
              <w:t>brands,​</w:t>
            </w:r>
            <w:proofErr w:type="gramEnd"/>
            <w:r w:rsidRPr="005762E6">
              <w:rPr>
                <w:sz w:val="20"/>
                <w:szCs w:val="20"/>
              </w:rPr>
              <w:t xml:space="preserve"> despite having different menthol concentrations,​ do not show differences with regard to PM emissions,​ with the exception of Reyno Classic,​ which shows an increased emission,​ although the menthol level ranged in the midfield. More than 90% of the emitted particles had a size smaller than or equal to 1 micro m. Regardless of </w:t>
            </w:r>
            <w:r w:rsidRPr="005762E6">
              <w:rPr>
                <w:sz w:val="20"/>
                <w:szCs w:val="20"/>
              </w:rPr>
              <w:lastRenderedPageBreak/>
              <w:t xml:space="preserve">the menthol </w:t>
            </w:r>
            <w:proofErr w:type="gramStart"/>
            <w:r w:rsidRPr="005762E6">
              <w:rPr>
                <w:sz w:val="20"/>
                <w:szCs w:val="20"/>
              </w:rPr>
              <w:t>level,​</w:t>
            </w:r>
            <w:proofErr w:type="gramEnd"/>
            <w:r w:rsidRPr="005762E6">
              <w:rPr>
                <w:sz w:val="20"/>
                <w:szCs w:val="20"/>
              </w:rPr>
              <w:t xml:space="preserve"> the count median diameter (CMD) and the mass median diameter (MMD) were found to be 0.3 micro m and 0.5 micro m,​ respectively. These results point out that there is no effect of menthol on PM emission and that other additives might influence the increased PM emission of Reyno Classic</w:t>
            </w:r>
            <w:proofErr w:type="gramStart"/>
            <w:r w:rsidRPr="005762E6">
              <w:rPr>
                <w:sz w:val="20"/>
                <w:szCs w:val="20"/>
              </w:rPr>
              <w:t>.,​</w:t>
            </w:r>
            <w:proofErr w:type="gramEnd"/>
            <w:r w:rsidRPr="005762E6">
              <w:rPr>
                <w:sz w:val="20"/>
                <w:szCs w:val="20"/>
              </w:rPr>
              <w:t xml:space="preserve"> IMPLICATIONS: Particulate matter (PM) in ETS endangers the health of nonsmokers and smokers. This study considers the effect of </w:t>
            </w:r>
            <w:proofErr w:type="gramStart"/>
            <w:r w:rsidRPr="005762E6">
              <w:rPr>
                <w:sz w:val="20"/>
                <w:szCs w:val="20"/>
              </w:rPr>
              <w:t>menthol,​</w:t>
            </w:r>
            <w:proofErr w:type="gramEnd"/>
            <w:r w:rsidRPr="005762E6">
              <w:rPr>
                <w:sz w:val="20"/>
                <w:szCs w:val="20"/>
              </w:rPr>
              <w:t xml:space="preserve"> an additive in cigarettes,​ on PM emissions. Does menthol increase the amount of PM? Due to the exposure to secondhand smoke nearly </w:t>
            </w:r>
            <w:proofErr w:type="gramStart"/>
            <w:r w:rsidRPr="005762E6">
              <w:rPr>
                <w:sz w:val="20"/>
                <w:szCs w:val="20"/>
              </w:rPr>
              <w:t>900,​</w:t>
            </w:r>
            <w:proofErr w:type="gramEnd"/>
            <w:r w:rsidRPr="005762E6">
              <w:rPr>
                <w:sz w:val="20"/>
                <w:szCs w:val="20"/>
              </w:rPr>
              <w:t>000 people die each year worldwide. The aim of the study is to measure the particle concentration (L-1</w:t>
            </w:r>
            <w:proofErr w:type="gramStart"/>
            <w:r w:rsidRPr="005762E6">
              <w:rPr>
                <w:sz w:val="20"/>
                <w:szCs w:val="20"/>
              </w:rPr>
              <w:t>),​</w:t>
            </w:r>
            <w:proofErr w:type="gramEnd"/>
            <w:r w:rsidRPr="005762E6">
              <w:rPr>
                <w:sz w:val="20"/>
                <w:szCs w:val="20"/>
              </w:rPr>
              <w:t xml:space="preserve"> mass concentration (micro g m-3),​ and dust mass fractions shown as PM10,​ PM2.5,​ and PM1 of five different cigarette brands,​ including four with different menthol concentrations and one menthol-free reference cigarette,​ in a well-established standardized system.</w:t>
            </w:r>
          </w:p>
        </w:tc>
      </w:tr>
      <w:tr w:rsidR="00B44564" w:rsidRPr="005762E6" w14:paraId="43DD9895"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A6BAF8B" w14:textId="77777777" w:rsidR="00B44564" w:rsidRPr="005762E6" w:rsidRDefault="00B44564" w:rsidP="00EA69AA">
            <w:pPr>
              <w:spacing w:after="120" w:line="240" w:lineRule="auto"/>
              <w:contextualSpacing/>
              <w:rPr>
                <w:sz w:val="20"/>
                <w:szCs w:val="20"/>
              </w:rPr>
            </w:pPr>
            <w:r w:rsidRPr="005762E6">
              <w:rPr>
                <w:sz w:val="20"/>
                <w:szCs w:val="20"/>
              </w:rPr>
              <w:lastRenderedPageBreak/>
              <w:t>277</w:t>
            </w:r>
          </w:p>
        </w:tc>
        <w:tc>
          <w:tcPr>
            <w:tcW w:w="0" w:type="auto"/>
            <w:tcBorders>
              <w:top w:val="single" w:sz="6" w:space="0" w:color="auto"/>
              <w:left w:val="single" w:sz="6" w:space="0" w:color="auto"/>
              <w:bottom w:val="single" w:sz="6" w:space="0" w:color="auto"/>
              <w:right w:val="single" w:sz="6" w:space="0" w:color="auto"/>
            </w:tcBorders>
          </w:tcPr>
          <w:p w14:paraId="003A3B0C"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4F7DCC7" w14:textId="7D708697" w:rsidR="00B44564" w:rsidRPr="005762E6" w:rsidRDefault="00B44564" w:rsidP="00EA69AA">
            <w:pPr>
              <w:spacing w:after="120" w:line="240" w:lineRule="auto"/>
              <w:contextualSpacing/>
              <w:rPr>
                <w:sz w:val="20"/>
                <w:szCs w:val="20"/>
              </w:rPr>
            </w:pPr>
            <w:r w:rsidRPr="005762E6">
              <w:rPr>
                <w:sz w:val="20"/>
                <w:szCs w:val="20"/>
              </w:rPr>
              <w:t xml:space="preserve">Alyssa Marie M </w:t>
            </w:r>
            <w:proofErr w:type="gramStart"/>
            <w:r w:rsidRPr="005762E6">
              <w:rPr>
                <w:sz w:val="20"/>
                <w:szCs w:val="20"/>
              </w:rPr>
              <w:t>Antonio,​</w:t>
            </w:r>
            <w:proofErr w:type="gramEnd"/>
            <w:r w:rsidRPr="005762E6">
              <w:rPr>
                <w:sz w:val="20"/>
                <w:szCs w:val="20"/>
              </w:rPr>
              <w:t xml:space="preserve"> Pebbles Fagan,​ Faith D Hamamura,​ Ian Joseph N Lagua,​ Jenny Liu,​ Devin J Park,​ Pallav Pokhrel,​ Thaddeus A Herzog,​ Ian Pagano,​ Kevin Cassel,​ Angela Sy,​ Dorothy Jorgensen,​ Tania Lynch,​ Crissy Kawamoto,​ Carol J Boushey,​ Adrian Franke,​ Mark S Clanton,​ Eric T Moolchan,​ Linda A Alexander Menthol cigarette smoking and obesity in young adult daily smokers in Hawaii</w:t>
            </w:r>
            <w:r w:rsidR="007F2F01">
              <w:rPr>
                <w:sz w:val="20"/>
                <w:szCs w:val="20"/>
              </w:rPr>
              <w:t>.</w:t>
            </w:r>
            <w:r w:rsidRPr="005762E6">
              <w:rPr>
                <w:sz w:val="20"/>
                <w:szCs w:val="20"/>
              </w:rPr>
              <w:t xml:space="preserve"> Preventive medicine reports; </w:t>
            </w:r>
            <w:proofErr w:type="gramStart"/>
            <w:r w:rsidRPr="005762E6">
              <w:rPr>
                <w:sz w:val="20"/>
                <w:szCs w:val="20"/>
              </w:rPr>
              <w:t>2015;2:946</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This study investigates 1) the relationship between menthol cigarette smoking and obesity and 2) the association of body mass index with the nicotine metabolite ratio among menthol and non-menthol daily smokers aged 18-35 (n = 175). A brief survey on smoking and measures of height and </w:t>
            </w:r>
            <w:proofErr w:type="gramStart"/>
            <w:r w:rsidRPr="005762E6">
              <w:rPr>
                <w:sz w:val="20"/>
                <w:szCs w:val="20"/>
              </w:rPr>
              <w:t>weight,​</w:t>
            </w:r>
            <w:proofErr w:type="gramEnd"/>
            <w:r w:rsidRPr="005762E6">
              <w:rPr>
                <w:sz w:val="20"/>
                <w:szCs w:val="20"/>
              </w:rPr>
              <w:t xml:space="preserve"> carbon monoxide,​ and saliva samples were collected from participants from May to December 2013 in Honolulu,​ Hawaii. Multiple regression was used to estimate differences in body mass index among menthol and non-menthol smokers and the association of menthol smoking with obesity. We calculated the log of the nicotine metabolite ratio to examine differences in the nicotine metabolite ratio among </w:t>
            </w:r>
            <w:proofErr w:type="gramStart"/>
            <w:r w:rsidRPr="005762E6">
              <w:rPr>
                <w:sz w:val="20"/>
                <w:szCs w:val="20"/>
              </w:rPr>
              <w:t>normal,​</w:t>
            </w:r>
            <w:proofErr w:type="gramEnd"/>
            <w:r w:rsidRPr="005762E6">
              <w:rPr>
                <w:sz w:val="20"/>
                <w:szCs w:val="20"/>
              </w:rPr>
              <w:t xml:space="preserve"> overweight,​ and obese smokers. Sixty-eight percent of smokers used menthol cigarettes. Results showed that 62% of </w:t>
            </w:r>
            <w:proofErr w:type="gramStart"/>
            <w:r w:rsidRPr="005762E6">
              <w:rPr>
                <w:sz w:val="20"/>
                <w:szCs w:val="20"/>
              </w:rPr>
              <w:t>normal,​</w:t>
            </w:r>
            <w:proofErr w:type="gramEnd"/>
            <w:r w:rsidRPr="005762E6">
              <w:rPr>
                <w:sz w:val="20"/>
                <w:szCs w:val="20"/>
              </w:rPr>
              <w:t xml:space="preserve"> 54% of overweight,​ and 91% of obese smokers used menthol cigarettes (p = .000). The mean body mass index was significantly higher among menthol compared with non-menthol smokers (29.4 versus </w:t>
            </w:r>
            <w:proofErr w:type="gramStart"/>
            <w:r w:rsidRPr="005762E6">
              <w:rPr>
                <w:sz w:val="20"/>
                <w:szCs w:val="20"/>
              </w:rPr>
              <w:t>24.5,​</w:t>
            </w:r>
            <w:proofErr w:type="gramEnd"/>
            <w:r w:rsidRPr="005762E6">
              <w:rPr>
                <w:sz w:val="20"/>
                <w:szCs w:val="20"/>
              </w:rPr>
              <w:t xml:space="preserve"> p = .000). After controlling for </w:t>
            </w:r>
            <w:proofErr w:type="gramStart"/>
            <w:r w:rsidRPr="005762E6">
              <w:rPr>
                <w:sz w:val="20"/>
                <w:szCs w:val="20"/>
              </w:rPr>
              <w:t>gender,​</w:t>
            </w:r>
            <w:proofErr w:type="gramEnd"/>
            <w:r w:rsidRPr="005762E6">
              <w:rPr>
                <w:sz w:val="20"/>
                <w:szCs w:val="20"/>
              </w:rPr>
              <w:t xml:space="preserve"> marital status,​ educational attainment,​ employment status,​ and race/ethnicity,​ menthol smokers were more than 3 times as likely as non-menthol smokers to be obese (p = .04). The nicotine metabolite ratio was significantly lower for overweight menthol smokers compared with non-menthol smokers (.16 versus .</w:t>
            </w:r>
            <w:proofErr w:type="gramStart"/>
            <w:r w:rsidRPr="005762E6">
              <w:rPr>
                <w:sz w:val="20"/>
                <w:szCs w:val="20"/>
              </w:rPr>
              <w:t>26,​</w:t>
            </w:r>
            <w:proofErr w:type="gramEnd"/>
            <w:r w:rsidRPr="005762E6">
              <w:rPr>
                <w:sz w:val="20"/>
                <w:szCs w:val="20"/>
              </w:rPr>
              <w:t xml:space="preserve"> p = .02) in the unadjusted model,​ but was not significant after adjusting for the covariates. Consistent with prior </w:t>
            </w:r>
            <w:proofErr w:type="gramStart"/>
            <w:r w:rsidRPr="005762E6">
              <w:rPr>
                <w:sz w:val="20"/>
                <w:szCs w:val="20"/>
              </w:rPr>
              <w:t>studies,​</w:t>
            </w:r>
            <w:proofErr w:type="gramEnd"/>
            <w:r w:rsidRPr="005762E6">
              <w:rPr>
                <w:sz w:val="20"/>
                <w:szCs w:val="20"/>
              </w:rPr>
              <w:t xml:space="preserve"> our data show that menthol smokers are more likely to be obese compared with non-menthol smokers. Future studies are needed to determine how flavored tobacco products influence obesity among smokers.</w:t>
            </w:r>
          </w:p>
        </w:tc>
      </w:tr>
      <w:tr w:rsidR="00B44564" w:rsidRPr="005762E6" w14:paraId="16B463C1"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7336FA3" w14:textId="77777777" w:rsidR="00B44564" w:rsidRPr="005762E6" w:rsidRDefault="00B44564" w:rsidP="00EA69AA">
            <w:pPr>
              <w:spacing w:after="120" w:line="240" w:lineRule="auto"/>
              <w:contextualSpacing/>
              <w:rPr>
                <w:sz w:val="20"/>
                <w:szCs w:val="20"/>
              </w:rPr>
            </w:pPr>
            <w:r w:rsidRPr="005762E6">
              <w:rPr>
                <w:sz w:val="20"/>
                <w:szCs w:val="20"/>
              </w:rPr>
              <w:t>282</w:t>
            </w:r>
          </w:p>
        </w:tc>
        <w:tc>
          <w:tcPr>
            <w:tcW w:w="0" w:type="auto"/>
            <w:tcBorders>
              <w:top w:val="single" w:sz="6" w:space="0" w:color="auto"/>
              <w:left w:val="single" w:sz="6" w:space="0" w:color="auto"/>
              <w:bottom w:val="single" w:sz="6" w:space="0" w:color="auto"/>
              <w:right w:val="single" w:sz="6" w:space="0" w:color="auto"/>
            </w:tcBorders>
          </w:tcPr>
          <w:p w14:paraId="7B4E7C14"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CFB107E" w14:textId="60E85367" w:rsidR="00B44564" w:rsidRPr="005762E6" w:rsidRDefault="00B44564" w:rsidP="00EA69AA">
            <w:pPr>
              <w:spacing w:after="120" w:line="240" w:lineRule="auto"/>
              <w:contextualSpacing/>
              <w:rPr>
                <w:sz w:val="20"/>
                <w:szCs w:val="20"/>
              </w:rPr>
            </w:pPr>
            <w:r w:rsidRPr="005762E6">
              <w:rPr>
                <w:sz w:val="20"/>
                <w:szCs w:val="20"/>
              </w:rPr>
              <w:t xml:space="preserve">Peter </w:t>
            </w:r>
            <w:proofErr w:type="gramStart"/>
            <w:r w:rsidRPr="005762E6">
              <w:rPr>
                <w:sz w:val="20"/>
                <w:szCs w:val="20"/>
              </w:rPr>
              <w:t>Jatlow,​</w:t>
            </w:r>
            <w:proofErr w:type="gramEnd"/>
            <w:r w:rsidRPr="005762E6">
              <w:rPr>
                <w:sz w:val="20"/>
                <w:szCs w:val="20"/>
              </w:rPr>
              <w:t xml:space="preserve"> Gerald Valentine,​ Ralitza Gueorguieva,​ Haleh Nadim,​ Ran Wu,​ Stephanie S O'Malley,​ Mehmet Sofuoglu Plasma Menthol Glucuronide as a Biomarker of Acute Menthol Inhalation</w:t>
            </w:r>
            <w:r w:rsidR="007F2F01">
              <w:rPr>
                <w:sz w:val="20"/>
                <w:szCs w:val="20"/>
              </w:rPr>
              <w:t>.</w:t>
            </w:r>
            <w:r w:rsidRPr="005762E6">
              <w:rPr>
                <w:sz w:val="20"/>
                <w:szCs w:val="20"/>
              </w:rPr>
              <w:t xml:space="preserve"> Tobacco regulatory science; </w:t>
            </w:r>
            <w:proofErr w:type="gramStart"/>
            <w:r w:rsidRPr="005762E6">
              <w:rPr>
                <w:sz w:val="20"/>
                <w:szCs w:val="20"/>
              </w:rPr>
              <w:t>2018;4:586</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Objectives: Menthol is often added to cigarettes and e-cigarette solutions for its cooling and anti-irritant effects,​ and may contribute to development of nicotine dependence,​ particularly in vulnerable populations such as adolescents,​ and among African Americans. Menthol is rapidly metabolized to menthol glucuronide (MG) with little or no unconjugated menthol measurable in venous blood. Human challenge studies of the effects of inhaled </w:t>
            </w:r>
            <w:proofErr w:type="gramStart"/>
            <w:r w:rsidRPr="005762E6">
              <w:rPr>
                <w:sz w:val="20"/>
                <w:szCs w:val="20"/>
              </w:rPr>
              <w:t>menthol,​</w:t>
            </w:r>
            <w:proofErr w:type="gramEnd"/>
            <w:r w:rsidRPr="005762E6">
              <w:rPr>
                <w:sz w:val="20"/>
                <w:szCs w:val="20"/>
              </w:rPr>
              <w:t xml:space="preserve"> and of its interactions with nicotine,​ would benefit from a quantitative measure of acute menthol exposure. Our objective was to determine whether plasma MG concentrations might be a suitable quantitative biomarker of acute menthol exposure following its inhalation</w:t>
            </w:r>
            <w:proofErr w:type="gramStart"/>
            <w:r w:rsidRPr="005762E6">
              <w:rPr>
                <w:sz w:val="20"/>
                <w:szCs w:val="20"/>
              </w:rPr>
              <w:t>.,​</w:t>
            </w:r>
            <w:proofErr w:type="gramEnd"/>
            <w:r w:rsidRPr="005762E6">
              <w:rPr>
                <w:sz w:val="20"/>
                <w:szCs w:val="20"/>
              </w:rPr>
              <w:t xml:space="preserve"> Methods: We performed a secondary analysis of plasma MG concentrations obtained during a study of the effects of inhaled menthol on behavioral responses to intravenous nicotine. MG concentrations were followed over time in venous plasma from 48 participants following inhalation of aerosols from e-cigarettes employing solutions containing either of 2 menthol concentrations or placebo.,​ Results: Whereas </w:t>
            </w:r>
            <w:r w:rsidRPr="005762E6">
              <w:rPr>
                <w:sz w:val="20"/>
                <w:szCs w:val="20"/>
              </w:rPr>
              <w:lastRenderedPageBreak/>
              <w:t>plasma MG concentrations were variable,​ they showed a dose-dependent increase following menthol inhalation.,​ Conclusions: Measurement of plasma MG may be useful to assess inter-individual differences in acute menthol exposure in human challenge studies involving menthol inhalation.</w:t>
            </w:r>
          </w:p>
        </w:tc>
      </w:tr>
      <w:tr w:rsidR="00B44564" w:rsidRPr="005762E6" w14:paraId="01C6E492"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1639C83" w14:textId="77777777" w:rsidR="00B44564" w:rsidRPr="005762E6" w:rsidRDefault="00B44564" w:rsidP="00EA69AA">
            <w:pPr>
              <w:spacing w:after="120" w:line="240" w:lineRule="auto"/>
              <w:contextualSpacing/>
              <w:rPr>
                <w:sz w:val="20"/>
                <w:szCs w:val="20"/>
              </w:rPr>
            </w:pPr>
            <w:r w:rsidRPr="005762E6">
              <w:rPr>
                <w:sz w:val="20"/>
                <w:szCs w:val="20"/>
              </w:rPr>
              <w:lastRenderedPageBreak/>
              <w:t>284</w:t>
            </w:r>
          </w:p>
        </w:tc>
        <w:tc>
          <w:tcPr>
            <w:tcW w:w="0" w:type="auto"/>
            <w:tcBorders>
              <w:top w:val="single" w:sz="6" w:space="0" w:color="auto"/>
              <w:left w:val="single" w:sz="6" w:space="0" w:color="auto"/>
              <w:bottom w:val="single" w:sz="6" w:space="0" w:color="auto"/>
              <w:right w:val="single" w:sz="6" w:space="0" w:color="auto"/>
            </w:tcBorders>
          </w:tcPr>
          <w:p w14:paraId="0578065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896F1CB" w14:textId="4BD47CB2" w:rsidR="00B44564" w:rsidRPr="005762E6" w:rsidRDefault="00B44564" w:rsidP="00EA69AA">
            <w:pPr>
              <w:spacing w:after="120" w:line="240" w:lineRule="auto"/>
              <w:contextualSpacing/>
              <w:rPr>
                <w:sz w:val="20"/>
                <w:szCs w:val="20"/>
              </w:rPr>
            </w:pPr>
            <w:r w:rsidRPr="005762E6">
              <w:rPr>
                <w:sz w:val="20"/>
                <w:szCs w:val="20"/>
              </w:rPr>
              <w:t xml:space="preserve">Tameka S </w:t>
            </w:r>
            <w:proofErr w:type="gramStart"/>
            <w:r w:rsidRPr="005762E6">
              <w:rPr>
                <w:sz w:val="20"/>
                <w:szCs w:val="20"/>
              </w:rPr>
              <w:t>Lawler,​</w:t>
            </w:r>
            <w:proofErr w:type="gramEnd"/>
            <w:r w:rsidRPr="005762E6">
              <w:rPr>
                <w:sz w:val="20"/>
                <w:szCs w:val="20"/>
              </w:rPr>
              <w:t xml:space="preserve"> Stephen B Stanfill,​ B Rey deCastro,​ Joseph G Lisko,​ Bryce W Duncan,​ Patricia Richter,​ Clifford H Watson Surveillance of Nicotine and pH in Cigarette and Cigar Filler</w:t>
            </w:r>
            <w:r w:rsidR="007F2F01">
              <w:rPr>
                <w:sz w:val="20"/>
                <w:szCs w:val="20"/>
              </w:rPr>
              <w:t>.</w:t>
            </w:r>
            <w:r w:rsidRPr="005762E6">
              <w:rPr>
                <w:sz w:val="20"/>
                <w:szCs w:val="20"/>
              </w:rPr>
              <w:t xml:space="preserve"> Tobacco regulatory science; </w:t>
            </w:r>
            <w:proofErr w:type="gramStart"/>
            <w:r w:rsidRPr="005762E6">
              <w:rPr>
                <w:sz w:val="20"/>
                <w:szCs w:val="20"/>
              </w:rPr>
              <w:t>2017;3:101</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OBJECTIVE: We examined differences between nicotine concentrations and pH in cigarette and cigar tobacco filler.,​ METHODS: Nicotine and pH levels for 50 cigarette and 75 cigar brands were measured. Non-mentholated and mentholated cigarette products were included in the analysis along with several cigar types as identified by the manufacturer: large </w:t>
            </w:r>
            <w:proofErr w:type="gramStart"/>
            <w:r w:rsidRPr="005762E6">
              <w:rPr>
                <w:sz w:val="20"/>
                <w:szCs w:val="20"/>
              </w:rPr>
              <w:t>cigars,​</w:t>
            </w:r>
            <w:proofErr w:type="gramEnd"/>
            <w:r w:rsidRPr="005762E6">
              <w:rPr>
                <w:sz w:val="20"/>
                <w:szCs w:val="20"/>
              </w:rPr>
              <w:t xml:space="preserve"> pipe tobacco cigars,​ cigarillos,​ mini cigarillos,​ and little cigars.,​ RESULTS: There were significant differences found between pH and nicotine for cigarette and cigar tobacco products. Mean nicotine concentrations in cigarettes (19.2 mg/g) and large cigars (15.4 mg/g) were higher than the other cigars </w:t>
            </w:r>
            <w:proofErr w:type="gramStart"/>
            <w:r w:rsidRPr="005762E6">
              <w:rPr>
                <w:sz w:val="20"/>
                <w:szCs w:val="20"/>
              </w:rPr>
              <w:t>types,​</w:t>
            </w:r>
            <w:proofErr w:type="gramEnd"/>
            <w:r w:rsidRPr="005762E6">
              <w:rPr>
                <w:sz w:val="20"/>
                <w:szCs w:val="20"/>
              </w:rPr>
              <w:t xml:space="preserve"> especially the pipe tobacco cigars (8.79 mg/g). The mean pH for cigarettes was pH 5.46. Large cigars had the highest mean pH value (pH 6.10) and pipe tobacco cigars had the lowest (pH 5.05)</w:t>
            </w:r>
            <w:proofErr w:type="gramStart"/>
            <w:r w:rsidRPr="005762E6">
              <w:rPr>
                <w:sz w:val="20"/>
                <w:szCs w:val="20"/>
              </w:rPr>
              <w:t>.,​</w:t>
            </w:r>
            <w:proofErr w:type="gramEnd"/>
            <w:r w:rsidRPr="005762E6">
              <w:rPr>
                <w:sz w:val="20"/>
                <w:szCs w:val="20"/>
              </w:rPr>
              <w:t xml:space="preserve"> CONCLUSIONS: Although cigarettes are the most common combustible tobacco product used worldwide,​ cigar use remains popular. Our research provides a means to investigate the possibility of distinguishing the 2 tobacco product types and offers information on nicotine and pH across a wide range of cigarette and cigar varieties that may be beneficial to help establish tobacco policies and regulations across product types.</w:t>
            </w:r>
          </w:p>
        </w:tc>
      </w:tr>
      <w:tr w:rsidR="00B44564" w:rsidRPr="005762E6" w14:paraId="7A5CF616"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63B7720" w14:textId="77777777" w:rsidR="00B44564" w:rsidRPr="005762E6" w:rsidRDefault="00B44564" w:rsidP="00EA69AA">
            <w:pPr>
              <w:spacing w:after="120" w:line="240" w:lineRule="auto"/>
              <w:contextualSpacing/>
              <w:rPr>
                <w:sz w:val="20"/>
                <w:szCs w:val="20"/>
              </w:rPr>
            </w:pPr>
            <w:r w:rsidRPr="005762E6">
              <w:rPr>
                <w:sz w:val="20"/>
                <w:szCs w:val="20"/>
              </w:rPr>
              <w:t>285</w:t>
            </w:r>
          </w:p>
        </w:tc>
        <w:tc>
          <w:tcPr>
            <w:tcW w:w="0" w:type="auto"/>
            <w:tcBorders>
              <w:top w:val="single" w:sz="6" w:space="0" w:color="auto"/>
              <w:left w:val="single" w:sz="6" w:space="0" w:color="auto"/>
              <w:bottom w:val="single" w:sz="6" w:space="0" w:color="auto"/>
              <w:right w:val="single" w:sz="6" w:space="0" w:color="auto"/>
            </w:tcBorders>
          </w:tcPr>
          <w:p w14:paraId="7255E868"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4C1D032" w14:textId="31C0902E" w:rsidR="00B44564" w:rsidRPr="005762E6" w:rsidRDefault="00B44564" w:rsidP="00EA69AA">
            <w:pPr>
              <w:spacing w:after="120" w:line="240" w:lineRule="auto"/>
              <w:contextualSpacing/>
              <w:rPr>
                <w:sz w:val="20"/>
                <w:szCs w:val="20"/>
              </w:rPr>
            </w:pPr>
            <w:r w:rsidRPr="005762E6">
              <w:rPr>
                <w:sz w:val="20"/>
                <w:szCs w:val="20"/>
              </w:rPr>
              <w:t xml:space="preserve">Noah R </w:t>
            </w:r>
            <w:proofErr w:type="gramStart"/>
            <w:r w:rsidRPr="005762E6">
              <w:rPr>
                <w:sz w:val="20"/>
                <w:szCs w:val="20"/>
              </w:rPr>
              <w:t>Gubner,​</w:t>
            </w:r>
            <w:proofErr w:type="gramEnd"/>
            <w:r w:rsidRPr="005762E6">
              <w:rPr>
                <w:sz w:val="20"/>
                <w:szCs w:val="20"/>
              </w:rPr>
              <w:t xml:space="preserve"> Denise D Williams,​ Anna Pagano,​ Barbara K Campbell,​ Joseph Guydish Menthol cigarette smoking among individuals in treatment for substance use disorders</w:t>
            </w:r>
            <w:r w:rsidR="007F2F01">
              <w:rPr>
                <w:sz w:val="20"/>
                <w:szCs w:val="20"/>
              </w:rPr>
              <w:t>.</w:t>
            </w:r>
            <w:r w:rsidRPr="005762E6">
              <w:rPr>
                <w:sz w:val="20"/>
                <w:szCs w:val="20"/>
              </w:rPr>
              <w:t xml:space="preserve"> Addictive behaviors; </w:t>
            </w:r>
            <w:proofErr w:type="gramStart"/>
            <w:r w:rsidRPr="005762E6">
              <w:rPr>
                <w:sz w:val="20"/>
                <w:szCs w:val="20"/>
              </w:rPr>
              <w:t>2018;80:135</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There are higher rates of menthol cigarette smoking within certain population subgroups. Limited research has examined menthol use among individuals in treatment for substance use disorders (SUD</w:t>
            </w:r>
            <w:proofErr w:type="gramStart"/>
            <w:r w:rsidRPr="005762E6">
              <w:rPr>
                <w:sz w:val="20"/>
                <w:szCs w:val="20"/>
              </w:rPr>
              <w:t>),​</w:t>
            </w:r>
            <w:proofErr w:type="gramEnd"/>
            <w:r w:rsidRPr="005762E6">
              <w:rPr>
                <w:sz w:val="20"/>
                <w:szCs w:val="20"/>
              </w:rPr>
              <w:t xml:space="preserve"> a population with a high prevalence of cigarette smoking,​ poor smoking cessation outcomes,​ and high tobacco disease burden. Survey data were collected from 863 smokers sampled from 24 SUD treatment programs affiliated with the NIDA Clinical Trials Network (CTN) in the United States. Prevalence of menthol cigarette smoking was examined for the sample. Bivariate and multivariate analyses were used to examine demographic and tobacco use characteristics associated with menthol cigarette smoking. </w:t>
            </w:r>
            <w:proofErr w:type="gramStart"/>
            <w:r w:rsidRPr="005762E6">
              <w:rPr>
                <w:sz w:val="20"/>
                <w:szCs w:val="20"/>
              </w:rPr>
              <w:t>Overall,​</w:t>
            </w:r>
            <w:proofErr w:type="gramEnd"/>
            <w:r w:rsidRPr="005762E6">
              <w:rPr>
                <w:sz w:val="20"/>
                <w:szCs w:val="20"/>
              </w:rPr>
              <w:t xml:space="preserve"> the prevalence of menthol smoking among individuals in SUD treatment was 53.3%. Smoking menthol versus non-menthol cigarettes was associated with being female (AOR=1.</w:t>
            </w:r>
            <w:proofErr w:type="gramStart"/>
            <w:r w:rsidRPr="005762E6">
              <w:rPr>
                <w:sz w:val="20"/>
                <w:szCs w:val="20"/>
              </w:rPr>
              <w:t>61,​</w:t>
            </w:r>
            <w:proofErr w:type="gramEnd"/>
            <w:r w:rsidRPr="005762E6">
              <w:rPr>
                <w:sz w:val="20"/>
                <w:szCs w:val="20"/>
              </w:rPr>
              <w:t xml:space="preserve"> p=0.003),​ African American (AOR=7.89,​ p&lt;0.001),​ Hispanic/Latino (AOR=3.39,​ p&lt;0.001),​ and lower odds of having a college degree (AOR=0.49,​ p=0.015). Controlling for demographic </w:t>
            </w:r>
            <w:proofErr w:type="gramStart"/>
            <w:r w:rsidRPr="005762E6">
              <w:rPr>
                <w:sz w:val="20"/>
                <w:szCs w:val="20"/>
              </w:rPr>
              <w:t>factors,​</w:t>
            </w:r>
            <w:proofErr w:type="gramEnd"/>
            <w:r w:rsidRPr="005762E6">
              <w:rPr>
                <w:sz w:val="20"/>
                <w:szCs w:val="20"/>
              </w:rPr>
              <w:t xml:space="preserve"> menthol smokers were more likely to report marijuana (AOR=3.33,​ p&lt;0.007) as their primary drug compared to alcohol. </w:t>
            </w:r>
            <w:proofErr w:type="gramStart"/>
            <w:r w:rsidRPr="005762E6">
              <w:rPr>
                <w:sz w:val="20"/>
                <w:szCs w:val="20"/>
              </w:rPr>
              <w:t>Lastly,​</w:t>
            </w:r>
            <w:proofErr w:type="gramEnd"/>
            <w:r w:rsidRPr="005762E6">
              <w:rPr>
                <w:sz w:val="20"/>
                <w:szCs w:val="20"/>
              </w:rPr>
              <w:t xml:space="preserve"> menthol smokers were more likely to report interest in getting help for quitting smoking (AOR=1.53,​ p=0.01),​ although they were not more likely to report making a past year quit attempt. In </w:t>
            </w:r>
            <w:proofErr w:type="gramStart"/>
            <w:r w:rsidRPr="005762E6">
              <w:rPr>
                <w:sz w:val="20"/>
                <w:szCs w:val="20"/>
              </w:rPr>
              <w:t>conclusion,​</w:t>
            </w:r>
            <w:proofErr w:type="gramEnd"/>
            <w:r w:rsidRPr="005762E6">
              <w:rPr>
                <w:sz w:val="20"/>
                <w:szCs w:val="20"/>
              </w:rPr>
              <w:t xml:space="preserve"> use of menthol cigarettes was higher among smokers in SUD treatment than in general population smokers. Regulatory policies targeting the </w:t>
            </w:r>
            <w:proofErr w:type="gramStart"/>
            <w:r w:rsidRPr="005762E6">
              <w:rPr>
                <w:sz w:val="20"/>
                <w:szCs w:val="20"/>
              </w:rPr>
              <w:t>manufacture,​</w:t>
            </w:r>
            <w:proofErr w:type="gramEnd"/>
            <w:r w:rsidRPr="005762E6">
              <w:rPr>
                <w:sz w:val="20"/>
                <w:szCs w:val="20"/>
              </w:rPr>
              <w:t xml:space="preserve"> marketing,​ or sale of menthol cigarettes may benefit vulnerable populations,​ including smokers in SUD treatment. Copyright © 2018 Elsevier Ltd. All rights reserved.</w:t>
            </w:r>
          </w:p>
        </w:tc>
      </w:tr>
      <w:tr w:rsidR="00B44564" w:rsidRPr="005762E6" w14:paraId="3AD11BAB"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B59A7B8" w14:textId="77777777" w:rsidR="00B44564" w:rsidRPr="005762E6" w:rsidRDefault="00B44564" w:rsidP="00EA69AA">
            <w:pPr>
              <w:spacing w:after="120" w:line="240" w:lineRule="auto"/>
              <w:contextualSpacing/>
              <w:rPr>
                <w:sz w:val="20"/>
                <w:szCs w:val="20"/>
              </w:rPr>
            </w:pPr>
            <w:r w:rsidRPr="005762E6">
              <w:rPr>
                <w:sz w:val="20"/>
                <w:szCs w:val="20"/>
              </w:rPr>
              <w:t>286</w:t>
            </w:r>
          </w:p>
        </w:tc>
        <w:tc>
          <w:tcPr>
            <w:tcW w:w="0" w:type="auto"/>
            <w:tcBorders>
              <w:top w:val="single" w:sz="6" w:space="0" w:color="auto"/>
              <w:left w:val="single" w:sz="6" w:space="0" w:color="auto"/>
              <w:bottom w:val="single" w:sz="6" w:space="0" w:color="auto"/>
              <w:right w:val="single" w:sz="6" w:space="0" w:color="auto"/>
            </w:tcBorders>
          </w:tcPr>
          <w:p w14:paraId="19843642"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022317C" w14:textId="4368148B" w:rsidR="00B44564" w:rsidRPr="005762E6" w:rsidRDefault="00B44564" w:rsidP="00EA69AA">
            <w:pPr>
              <w:spacing w:after="120" w:line="240" w:lineRule="auto"/>
              <w:contextualSpacing/>
              <w:rPr>
                <w:sz w:val="20"/>
                <w:szCs w:val="20"/>
              </w:rPr>
            </w:pPr>
            <w:r w:rsidRPr="005762E6">
              <w:rPr>
                <w:sz w:val="20"/>
                <w:szCs w:val="20"/>
              </w:rPr>
              <w:t xml:space="preserve">Kenneth A </w:t>
            </w:r>
            <w:proofErr w:type="gramStart"/>
            <w:r w:rsidRPr="005762E6">
              <w:rPr>
                <w:sz w:val="20"/>
                <w:szCs w:val="20"/>
              </w:rPr>
              <w:t>Perkins,​</w:t>
            </w:r>
            <w:proofErr w:type="gramEnd"/>
            <w:r w:rsidRPr="005762E6">
              <w:rPr>
                <w:sz w:val="20"/>
                <w:szCs w:val="20"/>
              </w:rPr>
              <w:t xml:space="preserve"> Joshua L Karelitz,​ Nicole Kunkle Evaluation of menthol per se on acute perceptions and behavioral choice of cigarettes differing in nicotine content</w:t>
            </w:r>
            <w:r w:rsidR="007F2F01">
              <w:rPr>
                <w:sz w:val="20"/>
                <w:szCs w:val="20"/>
              </w:rPr>
              <w:t>.</w:t>
            </w:r>
            <w:r w:rsidRPr="005762E6">
              <w:rPr>
                <w:sz w:val="20"/>
                <w:szCs w:val="20"/>
              </w:rPr>
              <w:t xml:space="preserve"> Journal of psychopharmacology (</w:t>
            </w:r>
            <w:proofErr w:type="gramStart"/>
            <w:r w:rsidRPr="005762E6">
              <w:rPr>
                <w:sz w:val="20"/>
                <w:szCs w:val="20"/>
              </w:rPr>
              <w:t>Oxford,​</w:t>
            </w:r>
            <w:proofErr w:type="gramEnd"/>
            <w:r w:rsidRPr="005762E6">
              <w:rPr>
                <w:sz w:val="20"/>
                <w:szCs w:val="20"/>
              </w:rPr>
              <w:t xml:space="preserve"> England); 2018;32:324.</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Subjective perceptions and self-administration of cigarettes are each influenced by nicotine. </w:t>
            </w:r>
            <w:proofErr w:type="gramStart"/>
            <w:r w:rsidRPr="005762E6">
              <w:rPr>
                <w:sz w:val="20"/>
                <w:szCs w:val="20"/>
              </w:rPr>
              <w:t>Yet,​</w:t>
            </w:r>
            <w:proofErr w:type="gramEnd"/>
            <w:r w:rsidRPr="005762E6">
              <w:rPr>
                <w:sz w:val="20"/>
                <w:szCs w:val="20"/>
              </w:rPr>
              <w:t xml:space="preserve"> differences specifically due to menthol in perceptions and choice of cigarettes varying in nicotine,​ and the </w:t>
            </w:r>
            <w:r w:rsidRPr="005762E6">
              <w:rPr>
                <w:sz w:val="20"/>
                <w:szCs w:val="20"/>
              </w:rPr>
              <w:lastRenderedPageBreak/>
              <w:t xml:space="preserve">association between these responses,​ have not been directly tested. Using a mixed between- and within-subjects </w:t>
            </w:r>
            <w:proofErr w:type="gramStart"/>
            <w:r w:rsidRPr="005762E6">
              <w:rPr>
                <w:sz w:val="20"/>
                <w:szCs w:val="20"/>
              </w:rPr>
              <w:t>design,​</w:t>
            </w:r>
            <w:proofErr w:type="gramEnd"/>
            <w:r w:rsidRPr="005762E6">
              <w:rPr>
                <w:sz w:val="20"/>
                <w:szCs w:val="20"/>
              </w:rPr>
              <w:t xml:space="preserve"> acute responses to each of two menthol or non-menthol Spectrum research cigarettes,​ moderate (16-17 mg/g) versus very low (0.4 mg/g) in nicotine contents,​ were compared following brief abstinence in adult smokers preferring menthol ( n=44) or non-menthol ( n=29) brands. To ensure reliable </w:t>
            </w:r>
            <w:proofErr w:type="gramStart"/>
            <w:r w:rsidRPr="005762E6">
              <w:rPr>
                <w:sz w:val="20"/>
                <w:szCs w:val="20"/>
              </w:rPr>
              <w:t>perceptions,​</w:t>
            </w:r>
            <w:proofErr w:type="gramEnd"/>
            <w:r w:rsidRPr="005762E6">
              <w:rPr>
                <w:sz w:val="20"/>
                <w:szCs w:val="20"/>
              </w:rPr>
              <w:t xml:space="preserve"> they experienced five exposures to each cigarette,​ then choose between them. All perceptions and choices were greater for moderate vs very low </w:t>
            </w:r>
            <w:proofErr w:type="gramStart"/>
            <w:r w:rsidRPr="005762E6">
              <w:rPr>
                <w:sz w:val="20"/>
                <w:szCs w:val="20"/>
              </w:rPr>
              <w:t>nicotine,​</w:t>
            </w:r>
            <w:proofErr w:type="gramEnd"/>
            <w:r w:rsidRPr="005762E6">
              <w:rPr>
                <w:sz w:val="20"/>
                <w:szCs w:val="20"/>
              </w:rPr>
              <w:t xml:space="preserve"> as expected,​ and the magnitude of difference in four of six perceptions was associated with subsequently greater choice of the moderate nicotine cigarette. </w:t>
            </w:r>
            <w:proofErr w:type="gramStart"/>
            <w:r w:rsidRPr="005762E6">
              <w:rPr>
                <w:sz w:val="20"/>
                <w:szCs w:val="20"/>
              </w:rPr>
              <w:t>Importantly,​</w:t>
            </w:r>
            <w:proofErr w:type="gramEnd"/>
            <w:r w:rsidRPr="005762E6">
              <w:rPr>
                <w:sz w:val="20"/>
                <w:szCs w:val="20"/>
              </w:rPr>
              <w:t xml:space="preserve"> virtually no differences were found between menthol and non-menthol,​ as nearly all perceptions,​ cigarette choices,​ and the association between perceptions and choice were not moderated by menthol or the interaction of nicotine by menthol. Our results indicate perceptions and reinforcement from cigarettes do not differ due to menthol when nicotine content and smoking topography are carefully controlled. </w:t>
            </w:r>
            <w:proofErr w:type="gramStart"/>
            <w:r w:rsidRPr="005762E6">
              <w:rPr>
                <w:sz w:val="20"/>
                <w:szCs w:val="20"/>
              </w:rPr>
              <w:t>Thus,​</w:t>
            </w:r>
            <w:proofErr w:type="gramEnd"/>
            <w:r w:rsidRPr="005762E6">
              <w:rPr>
                <w:sz w:val="20"/>
                <w:szCs w:val="20"/>
              </w:rPr>
              <w:t xml:space="preserve"> regardless of menthol,​ smoking perceptions directly predict self-administration behavior.</w:t>
            </w:r>
          </w:p>
        </w:tc>
      </w:tr>
      <w:tr w:rsidR="00B44564" w:rsidRPr="005762E6" w14:paraId="1CC4495E"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31F3CC1" w14:textId="77777777" w:rsidR="00B44564" w:rsidRPr="005762E6" w:rsidRDefault="00B44564" w:rsidP="00EA69AA">
            <w:pPr>
              <w:spacing w:after="120" w:line="240" w:lineRule="auto"/>
              <w:contextualSpacing/>
              <w:rPr>
                <w:sz w:val="20"/>
                <w:szCs w:val="20"/>
              </w:rPr>
            </w:pPr>
            <w:r w:rsidRPr="005762E6">
              <w:rPr>
                <w:sz w:val="20"/>
                <w:szCs w:val="20"/>
              </w:rPr>
              <w:lastRenderedPageBreak/>
              <w:t>289</w:t>
            </w:r>
          </w:p>
        </w:tc>
        <w:tc>
          <w:tcPr>
            <w:tcW w:w="0" w:type="auto"/>
            <w:tcBorders>
              <w:top w:val="single" w:sz="6" w:space="0" w:color="auto"/>
              <w:left w:val="single" w:sz="6" w:space="0" w:color="auto"/>
              <w:bottom w:val="single" w:sz="6" w:space="0" w:color="auto"/>
              <w:right w:val="single" w:sz="6" w:space="0" w:color="auto"/>
            </w:tcBorders>
          </w:tcPr>
          <w:p w14:paraId="606A5A8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B1EEF03" w14:textId="0AE8FE8D" w:rsidR="00B44564" w:rsidRPr="005762E6" w:rsidRDefault="00B44564" w:rsidP="00EA69AA">
            <w:pPr>
              <w:spacing w:after="120" w:line="240" w:lineRule="auto"/>
              <w:contextualSpacing/>
              <w:rPr>
                <w:sz w:val="20"/>
                <w:szCs w:val="20"/>
              </w:rPr>
            </w:pPr>
            <w:r w:rsidRPr="005762E6">
              <w:rPr>
                <w:sz w:val="20"/>
                <w:szCs w:val="20"/>
              </w:rPr>
              <w:t xml:space="preserve">Gillian L </w:t>
            </w:r>
            <w:proofErr w:type="gramStart"/>
            <w:r w:rsidRPr="005762E6">
              <w:rPr>
                <w:sz w:val="20"/>
                <w:szCs w:val="20"/>
              </w:rPr>
              <w:t>Schauer,​</w:t>
            </w:r>
            <w:proofErr w:type="gramEnd"/>
            <w:r w:rsidRPr="005762E6">
              <w:rPr>
                <w:sz w:val="20"/>
                <w:szCs w:val="20"/>
              </w:rPr>
              <w:t xml:space="preserve"> Erica N Peters,​ Zachary R Rosenberry,​ Hyoshin Kim Trends in and Characteristics of Marijuana and Menthol Cigarette Use Among Current Cigarette Smokers,​ 2005-2014</w:t>
            </w:r>
            <w:r w:rsidR="007F2F01">
              <w:rPr>
                <w:sz w:val="20"/>
                <w:szCs w:val="20"/>
              </w:rPr>
              <w:t>.</w:t>
            </w:r>
            <w:r w:rsidRPr="005762E6">
              <w:rPr>
                <w:sz w:val="20"/>
                <w:szCs w:val="20"/>
              </w:rPr>
              <w:t xml:space="preserve"> Nicotine &amp; tobacco research : official journal of the Society for Research on Nicotine and Tobacco; 2018;20:362.</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Given increasing co-marijuana and tobacco use in the United States,​ this study aimed to explore the overlap between menthol cigarette use (MCU) and marijuana.,​ Methods: Data came from past month US cigarette smokers 12 years and older responding to the National Survey on Drug Use and Health between 2005 and 2014 (N = 51 500). </w:t>
            </w:r>
            <w:proofErr w:type="gramStart"/>
            <w:r w:rsidRPr="005762E6">
              <w:rPr>
                <w:sz w:val="20"/>
                <w:szCs w:val="20"/>
              </w:rPr>
              <w:t>Prevalence,​</w:t>
            </w:r>
            <w:proofErr w:type="gramEnd"/>
            <w:r w:rsidRPr="005762E6">
              <w:rPr>
                <w:sz w:val="20"/>
                <w:szCs w:val="20"/>
              </w:rPr>
              <w:t xml:space="preserve"> demographics and substance use characteristics from 2013 to 2014 were assessed across four groups,​ based on past month marijuana and tobacco use: cigarette smokers with marijuana and MCU,​ with marijuana but no MCU,​ with no marijuana but MCU,​ and with use of neither. Multivariable logistic regression explored the relationship between </w:t>
            </w:r>
            <w:proofErr w:type="gramStart"/>
            <w:r w:rsidRPr="005762E6">
              <w:rPr>
                <w:sz w:val="20"/>
                <w:szCs w:val="20"/>
              </w:rPr>
              <w:t>MCU,​</w:t>
            </w:r>
            <w:proofErr w:type="gramEnd"/>
            <w:r w:rsidRPr="005762E6">
              <w:rPr>
                <w:sz w:val="20"/>
                <w:szCs w:val="20"/>
              </w:rPr>
              <w:t xml:space="preserve"> marijuana,​ and dependence. Linear and quadratic trends were assessed using logistic regression with orthogonal polynomials</w:t>
            </w:r>
            <w:proofErr w:type="gramStart"/>
            <w:r w:rsidRPr="005762E6">
              <w:rPr>
                <w:sz w:val="20"/>
                <w:szCs w:val="20"/>
              </w:rPr>
              <w:t>.,​</w:t>
            </w:r>
            <w:proofErr w:type="gramEnd"/>
            <w:r w:rsidRPr="005762E6">
              <w:rPr>
                <w:sz w:val="20"/>
                <w:szCs w:val="20"/>
              </w:rPr>
              <w:t xml:space="preserve"> Results: Past month marijuana/MCU among cigarette smokers was 8.3% in 2013-2014. </w:t>
            </w:r>
            <w:proofErr w:type="gramStart"/>
            <w:r w:rsidRPr="005762E6">
              <w:rPr>
                <w:sz w:val="20"/>
                <w:szCs w:val="20"/>
              </w:rPr>
              <w:t>Overall,​</w:t>
            </w:r>
            <w:proofErr w:type="gramEnd"/>
            <w:r w:rsidRPr="005762E6">
              <w:rPr>
                <w:sz w:val="20"/>
                <w:szCs w:val="20"/>
              </w:rPr>
              <w:t xml:space="preserve"> marijuana/MCU was significantly higher among blacks versus whites (20.8% vs. 5.8%,​ p &lt; .0001),​ though among 12-25 year olds,​ prevalence was significantly higher among whites versus blacks (6.3% vs. 0.9% for 12-17-year-olds; 39.2% vs. 26.8% for 18-25-year-olds). Marijuana/MCU increased significantly between 2005 and 2014 </w:t>
            </w:r>
            <w:proofErr w:type="gramStart"/>
            <w:r w:rsidRPr="005762E6">
              <w:rPr>
                <w:sz w:val="20"/>
                <w:szCs w:val="20"/>
              </w:rPr>
              <w:t>overall,​</w:t>
            </w:r>
            <w:proofErr w:type="gramEnd"/>
            <w:r w:rsidRPr="005762E6">
              <w:rPr>
                <w:sz w:val="20"/>
                <w:szCs w:val="20"/>
              </w:rPr>
              <w:t xml:space="preserve"> and among whites and blacks. No adjusted associations were found between </w:t>
            </w:r>
            <w:proofErr w:type="gramStart"/>
            <w:r w:rsidRPr="005762E6">
              <w:rPr>
                <w:sz w:val="20"/>
                <w:szCs w:val="20"/>
              </w:rPr>
              <w:t>marijuana,​</w:t>
            </w:r>
            <w:proofErr w:type="gramEnd"/>
            <w:r w:rsidRPr="005762E6">
              <w:rPr>
                <w:sz w:val="20"/>
                <w:szCs w:val="20"/>
              </w:rPr>
              <w:t xml:space="preserve"> MCU and nicotine or marijuana dependence.,​ Conclusions: Past month marijuana/MCU among cigarette smokers is increasing in the United States,​ with specific racial and age-based disparities. Research about the implications of consuming both marijuana and </w:t>
            </w:r>
            <w:proofErr w:type="gramStart"/>
            <w:r w:rsidRPr="005762E6">
              <w:rPr>
                <w:sz w:val="20"/>
                <w:szCs w:val="20"/>
              </w:rPr>
              <w:t>menthol,​</w:t>
            </w:r>
            <w:proofErr w:type="gramEnd"/>
            <w:r w:rsidRPr="005762E6">
              <w:rPr>
                <w:sz w:val="20"/>
                <w:szCs w:val="20"/>
              </w:rPr>
              <w:t xml:space="preserve"> and the potential overlap in consumption of flavors across the products is warranted to better inform future preventive and treatment approaches.,​ Implications: This is the first study to assess the overlap between MCU and marijuana use among a nationally representative sample of US current smokers ages 12 and older. Findings from this study suggest that past month marijuana and menthol use among cigarette smokers is increasing in the United </w:t>
            </w:r>
            <w:proofErr w:type="gramStart"/>
            <w:r w:rsidRPr="005762E6">
              <w:rPr>
                <w:sz w:val="20"/>
                <w:szCs w:val="20"/>
              </w:rPr>
              <w:t>States,​</w:t>
            </w:r>
            <w:proofErr w:type="gramEnd"/>
            <w:r w:rsidRPr="005762E6">
              <w:rPr>
                <w:sz w:val="20"/>
                <w:szCs w:val="20"/>
              </w:rPr>
              <w:t xml:space="preserve"> with specific racial/ethnic and age-based disparities. More research about the implications of consuming both marijuana and </w:t>
            </w:r>
            <w:proofErr w:type="gramStart"/>
            <w:r w:rsidRPr="005762E6">
              <w:rPr>
                <w:sz w:val="20"/>
                <w:szCs w:val="20"/>
              </w:rPr>
              <w:t>menthol,​</w:t>
            </w:r>
            <w:proofErr w:type="gramEnd"/>
            <w:r w:rsidRPr="005762E6">
              <w:rPr>
                <w:sz w:val="20"/>
                <w:szCs w:val="20"/>
              </w:rPr>
              <w:t xml:space="preserve"> and the potential overlap in consumption of flavors in marijuana and tobacco products is warranted to better understand what preventive and treatment approaches may be needed. Copyright © The Author(s) 2017. Published by Oxford University Press on behalf of the Society for Research on Nicotine and Tobacco. All rights reserved. For </w:t>
            </w:r>
            <w:proofErr w:type="gramStart"/>
            <w:r w:rsidRPr="005762E6">
              <w:rPr>
                <w:sz w:val="20"/>
                <w:szCs w:val="20"/>
              </w:rPr>
              <w:t>permissions,​</w:t>
            </w:r>
            <w:proofErr w:type="gramEnd"/>
            <w:r w:rsidRPr="005762E6">
              <w:rPr>
                <w:sz w:val="20"/>
                <w:szCs w:val="20"/>
              </w:rPr>
              <w:t xml:space="preserve"> please e-mail: journals.permissions@oup.com.</w:t>
            </w:r>
          </w:p>
        </w:tc>
      </w:tr>
      <w:tr w:rsidR="00B44564" w:rsidRPr="005762E6" w14:paraId="1B7C5D0F"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13F579E" w14:textId="77777777" w:rsidR="00B44564" w:rsidRPr="005762E6" w:rsidRDefault="00B44564" w:rsidP="00EA69AA">
            <w:pPr>
              <w:spacing w:after="120" w:line="240" w:lineRule="auto"/>
              <w:contextualSpacing/>
              <w:rPr>
                <w:sz w:val="20"/>
                <w:szCs w:val="20"/>
              </w:rPr>
            </w:pPr>
            <w:r w:rsidRPr="005762E6">
              <w:rPr>
                <w:sz w:val="20"/>
                <w:szCs w:val="20"/>
              </w:rPr>
              <w:t>290</w:t>
            </w:r>
          </w:p>
        </w:tc>
        <w:tc>
          <w:tcPr>
            <w:tcW w:w="0" w:type="auto"/>
            <w:tcBorders>
              <w:top w:val="single" w:sz="6" w:space="0" w:color="auto"/>
              <w:left w:val="single" w:sz="6" w:space="0" w:color="auto"/>
              <w:bottom w:val="single" w:sz="6" w:space="0" w:color="auto"/>
              <w:right w:val="single" w:sz="6" w:space="0" w:color="auto"/>
            </w:tcBorders>
          </w:tcPr>
          <w:p w14:paraId="66111247"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7F70B61" w14:textId="277A29D6" w:rsidR="00B44564" w:rsidRPr="005762E6" w:rsidRDefault="00B44564" w:rsidP="00EA69AA">
            <w:pPr>
              <w:spacing w:after="120" w:line="240" w:lineRule="auto"/>
              <w:contextualSpacing/>
              <w:rPr>
                <w:sz w:val="20"/>
                <w:szCs w:val="20"/>
              </w:rPr>
            </w:pPr>
            <w:r w:rsidRPr="005762E6">
              <w:rPr>
                <w:sz w:val="20"/>
                <w:szCs w:val="20"/>
              </w:rPr>
              <w:t xml:space="preserve">Philip H </w:t>
            </w:r>
            <w:proofErr w:type="gramStart"/>
            <w:r w:rsidRPr="005762E6">
              <w:rPr>
                <w:sz w:val="20"/>
                <w:szCs w:val="20"/>
              </w:rPr>
              <w:t>Smith,​</w:t>
            </w:r>
            <w:proofErr w:type="gramEnd"/>
            <w:r w:rsidRPr="005762E6">
              <w:rPr>
                <w:sz w:val="20"/>
                <w:szCs w:val="20"/>
              </w:rPr>
              <w:t xml:space="preserve"> Ezinne Akpara,​ Raisa Haq,​ Mark El-Miniawi,​ Azure B Thompson Gender and Menthol Cigarette Use in the United States: A Systematic Review of the Recent Literature (2011 - May 2017)</w:t>
            </w:r>
            <w:r w:rsidR="007F2F01">
              <w:rPr>
                <w:sz w:val="20"/>
                <w:szCs w:val="20"/>
              </w:rPr>
              <w:t>.</w:t>
            </w:r>
            <w:r w:rsidRPr="005762E6">
              <w:rPr>
                <w:sz w:val="20"/>
                <w:szCs w:val="20"/>
              </w:rPr>
              <w:t xml:space="preserve"> Current addiction reports; </w:t>
            </w:r>
            <w:proofErr w:type="gramStart"/>
            <w:r w:rsidRPr="005762E6">
              <w:rPr>
                <w:sz w:val="20"/>
                <w:szCs w:val="20"/>
              </w:rPr>
              <w:t>2017;4:431</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Purpose of review: To summarize current research on gender differences in mentholated cigarette use and related outcomes. </w:t>
            </w:r>
            <w:proofErr w:type="gramStart"/>
            <w:r w:rsidRPr="005762E6">
              <w:rPr>
                <w:sz w:val="20"/>
                <w:szCs w:val="20"/>
              </w:rPr>
              <w:t>Secondarily,​</w:t>
            </w:r>
            <w:proofErr w:type="gramEnd"/>
            <w:r w:rsidRPr="005762E6">
              <w:rPr>
                <w:sz w:val="20"/>
                <w:szCs w:val="20"/>
              </w:rPr>
              <w:t xml:space="preserve"> to summarize literature on gender differences in mentholated cigarette use and related outcomes among Black smokers.,​ Recent findings: Women smokers are more likely </w:t>
            </w:r>
            <w:r w:rsidRPr="005762E6">
              <w:rPr>
                <w:sz w:val="20"/>
                <w:szCs w:val="20"/>
              </w:rPr>
              <w:lastRenderedPageBreak/>
              <w:t xml:space="preserve">to use menthol cigarettes than men. Other than </w:t>
            </w:r>
            <w:proofErr w:type="gramStart"/>
            <w:r w:rsidRPr="005762E6">
              <w:rPr>
                <w:sz w:val="20"/>
                <w:szCs w:val="20"/>
              </w:rPr>
              <w:t>prevalence,​</w:t>
            </w:r>
            <w:proofErr w:type="gramEnd"/>
            <w:r w:rsidRPr="005762E6">
              <w:rPr>
                <w:sz w:val="20"/>
                <w:szCs w:val="20"/>
              </w:rPr>
              <w:t xml:space="preserve"> there is a paucity of research on gender differences in menthol related outcomes (e.g.,​ cessation,​ disease). Among both women and </w:t>
            </w:r>
            <w:proofErr w:type="gramStart"/>
            <w:r w:rsidRPr="005762E6">
              <w:rPr>
                <w:sz w:val="20"/>
                <w:szCs w:val="20"/>
              </w:rPr>
              <w:t>men,​</w:t>
            </w:r>
            <w:proofErr w:type="gramEnd"/>
            <w:r w:rsidRPr="005762E6">
              <w:rPr>
                <w:sz w:val="20"/>
                <w:szCs w:val="20"/>
              </w:rPr>
              <w:t xml:space="preserve"> menthol preference is stable during adolescence and young adulthood. A substantial portion of both women and men who smoke menthol report an expectation of quitting should menthol be banned. We did not identify any studies of gender differences in mentholated cigarette use among Black smokers</w:t>
            </w:r>
            <w:proofErr w:type="gramStart"/>
            <w:r w:rsidRPr="005762E6">
              <w:rPr>
                <w:sz w:val="20"/>
                <w:szCs w:val="20"/>
              </w:rPr>
              <w:t>.,​</w:t>
            </w:r>
            <w:proofErr w:type="gramEnd"/>
            <w:r w:rsidRPr="005762E6">
              <w:rPr>
                <w:sz w:val="20"/>
                <w:szCs w:val="20"/>
              </w:rPr>
              <w:t xml:space="preserve"> Summary: Despite public health relevance,​ there is little current research on gender differences in mentholated cigarette use,​ other than studies of prevalence,​ and very little research on gender differences among Black smokers,​ including prevalence.</w:t>
            </w:r>
          </w:p>
        </w:tc>
      </w:tr>
      <w:tr w:rsidR="00B44564" w:rsidRPr="005762E6" w14:paraId="0CBE0F62"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D0AD39B" w14:textId="77777777" w:rsidR="00B44564" w:rsidRPr="005762E6" w:rsidRDefault="00B44564" w:rsidP="00EA69AA">
            <w:pPr>
              <w:spacing w:after="120" w:line="240" w:lineRule="auto"/>
              <w:contextualSpacing/>
              <w:rPr>
                <w:sz w:val="20"/>
                <w:szCs w:val="20"/>
              </w:rPr>
            </w:pPr>
            <w:r w:rsidRPr="005762E6">
              <w:rPr>
                <w:sz w:val="20"/>
                <w:szCs w:val="20"/>
              </w:rPr>
              <w:lastRenderedPageBreak/>
              <w:t>293</w:t>
            </w:r>
          </w:p>
        </w:tc>
        <w:tc>
          <w:tcPr>
            <w:tcW w:w="0" w:type="auto"/>
            <w:tcBorders>
              <w:top w:val="single" w:sz="6" w:space="0" w:color="auto"/>
              <w:left w:val="single" w:sz="6" w:space="0" w:color="auto"/>
              <w:bottom w:val="single" w:sz="6" w:space="0" w:color="auto"/>
              <w:right w:val="single" w:sz="6" w:space="0" w:color="auto"/>
            </w:tcBorders>
          </w:tcPr>
          <w:p w14:paraId="73649BE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5BDC867" w14:textId="14A3BC94" w:rsidR="00B44564" w:rsidRPr="005762E6" w:rsidRDefault="00B44564" w:rsidP="00EA69AA">
            <w:pPr>
              <w:spacing w:after="120" w:line="240" w:lineRule="auto"/>
              <w:contextualSpacing/>
              <w:rPr>
                <w:sz w:val="20"/>
                <w:szCs w:val="20"/>
              </w:rPr>
            </w:pPr>
            <w:r w:rsidRPr="005762E6">
              <w:rPr>
                <w:sz w:val="20"/>
                <w:szCs w:val="20"/>
              </w:rPr>
              <w:t xml:space="preserve">Patricia </w:t>
            </w:r>
            <w:proofErr w:type="gramStart"/>
            <w:r w:rsidRPr="005762E6">
              <w:rPr>
                <w:sz w:val="20"/>
                <w:szCs w:val="20"/>
              </w:rPr>
              <w:t>Richter,​</w:t>
            </w:r>
            <w:proofErr w:type="gramEnd"/>
            <w:r w:rsidRPr="005762E6">
              <w:rPr>
                <w:sz w:val="20"/>
                <w:szCs w:val="20"/>
              </w:rPr>
              <w:t xml:space="preserve"> Pappas R Steven,​ Roberto Bravo,​ Joseph G Lisko,​ Maria Damian,​ Nathalie Gonzalez-Jimenez,​ Naudia Gray,​ Lisa M Keong,​ Jacob B Kimbrell,​ Peter Kuklenyik,​ Tameka S Lawler,​ Grace E Lee,​ Magaly Mendez,​ Jose Perez,​ Shakia Smith,​ Hang Tran,​ Robert Tyx,​ Clifford H Watson Characterization of SPECTRUM Variable Nicotine Research Cigarettes</w:t>
            </w:r>
            <w:r w:rsidR="007F2F01">
              <w:rPr>
                <w:sz w:val="20"/>
                <w:szCs w:val="20"/>
              </w:rPr>
              <w:t>.</w:t>
            </w:r>
            <w:r w:rsidRPr="005762E6">
              <w:rPr>
                <w:sz w:val="20"/>
                <w:szCs w:val="20"/>
              </w:rPr>
              <w:t xml:space="preserve"> Tobacco regulatory science; 2016;2:94.</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OBJECTIVE: To provide researchers an extensive characterization of the SPECTRUM variable nicotine research cigarettes.,​ METHODS: Data on cigarette physical properties,​ nicotine content,​ harmful and potentially harmful constituents in the tobacco filler was compiled.,​ RESULTS: Data on physical properties,​ concentrations of menthol,​ nicotine and minor alkaloids,​ tobacco-specific nitrosamines,​ polycyclic aromatic hydrocarbons,​ ammonia,​ and toxic metals in the filler tobacco for all available varieties of Spectrum research cigarettes are provided. The similarity in the chemistry and physical properties of SPECTRUM cigarettes to commercial cigarettes renders them acceptable for use in behavioral studies. Baseline information on harmful and potentially harmful constituents in research tobacco products,​ particularly constituent levels such as minor alkaloids that fall outside typical ranges reported for commercial,​ provide researchers with the opportunity to monitor smoking behavior and to identify biomarkers that will inform efforts to understand the role of nicotine in creating and sustaining addiction.,​ CONCLUSIONS: Well characterized research cigarettes suitable for human consumption are an important tool in clinical studies for investigating the physiological impacts of cigarettes delivering various levels of nicotine,​ the impact of reduced nicotine cigarettes on nicotine addiction,​ and the relationship between nicotine dose and smoking behavior.</w:t>
            </w:r>
          </w:p>
        </w:tc>
      </w:tr>
      <w:tr w:rsidR="00B44564" w:rsidRPr="005762E6" w14:paraId="5896561E"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260CEBB" w14:textId="77777777" w:rsidR="00B44564" w:rsidRPr="005762E6" w:rsidRDefault="00B44564" w:rsidP="00EA69AA">
            <w:pPr>
              <w:spacing w:after="120" w:line="240" w:lineRule="auto"/>
              <w:contextualSpacing/>
              <w:rPr>
                <w:sz w:val="20"/>
                <w:szCs w:val="20"/>
              </w:rPr>
            </w:pPr>
            <w:r w:rsidRPr="005762E6">
              <w:rPr>
                <w:sz w:val="20"/>
                <w:szCs w:val="20"/>
              </w:rPr>
              <w:t>295</w:t>
            </w:r>
          </w:p>
        </w:tc>
        <w:tc>
          <w:tcPr>
            <w:tcW w:w="0" w:type="auto"/>
            <w:tcBorders>
              <w:top w:val="single" w:sz="6" w:space="0" w:color="auto"/>
              <w:left w:val="single" w:sz="6" w:space="0" w:color="auto"/>
              <w:bottom w:val="single" w:sz="6" w:space="0" w:color="auto"/>
              <w:right w:val="single" w:sz="6" w:space="0" w:color="auto"/>
            </w:tcBorders>
          </w:tcPr>
          <w:p w14:paraId="06E7DB9D"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7E0DD4C" w14:textId="68863854" w:rsidR="00B44564" w:rsidRPr="005762E6" w:rsidRDefault="00B44564" w:rsidP="00EA69AA">
            <w:pPr>
              <w:spacing w:after="120" w:line="240" w:lineRule="auto"/>
              <w:contextualSpacing/>
              <w:rPr>
                <w:sz w:val="20"/>
                <w:szCs w:val="20"/>
              </w:rPr>
            </w:pPr>
            <w:r w:rsidRPr="005762E6">
              <w:rPr>
                <w:sz w:val="20"/>
                <w:szCs w:val="20"/>
              </w:rPr>
              <w:t xml:space="preserve">Amy </w:t>
            </w:r>
            <w:proofErr w:type="gramStart"/>
            <w:r w:rsidRPr="005762E6">
              <w:rPr>
                <w:sz w:val="20"/>
                <w:szCs w:val="20"/>
              </w:rPr>
              <w:t>Cohn,​</w:t>
            </w:r>
            <w:proofErr w:type="gramEnd"/>
            <w:r w:rsidRPr="005762E6">
              <w:rPr>
                <w:sz w:val="20"/>
                <w:szCs w:val="20"/>
              </w:rPr>
              <w:t xml:space="preserve"> Amanda Johnson,​ Jennifer Pearson,​ Shyanika Rose,​ Sarah Ehlke,​ Ollie Ganz,​ Raymond Niaura Determining non-cigarette tobacco,​ alcohol,​ and substance use typologies across menthol and non-menthol smokers using latent class analysis</w:t>
            </w:r>
            <w:r w:rsidR="007F2F01">
              <w:rPr>
                <w:sz w:val="20"/>
                <w:szCs w:val="20"/>
              </w:rPr>
              <w:t>.</w:t>
            </w:r>
            <w:r w:rsidRPr="005762E6">
              <w:rPr>
                <w:sz w:val="20"/>
                <w:szCs w:val="20"/>
              </w:rPr>
              <w:t xml:space="preserve"> Tobacco induced diseases; </w:t>
            </w:r>
            <w:proofErr w:type="gramStart"/>
            <w:r w:rsidRPr="005762E6">
              <w:rPr>
                <w:sz w:val="20"/>
                <w:szCs w:val="20"/>
              </w:rPr>
              <w:t>2017;15:5</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Substance use and mental health are robustly associated with smoking and poor cessation outcomes,​ but not often examined in combination with menthol cigarette smoking,​ which is also associated with lower quit rates. This study identified classes of Black and White menthol and non-menthol cigarette smokers based on demographics,​ alcohol,​ drug,​ and other tobacco use behaviors.,​ METHODS: Using screening data from two studies,​ latent class analysis (LCA) was conducted to classify n=1177 menthol and non-menthol cigarette smokers on demographic characteristics,​ heavy smoking,​ alcohol and drug use,​ desire to quit smoking,​ other tobacco product use,​ and use of psychotropic medication.,​ RESULTS: Three latent classes were identified that differentiated smokers on substance use,​ menthol cigarette smoking,​ and other tobacco use behavior. One class consisted primarily of young adults who used a wide array of other tobacco </w:t>
            </w:r>
            <w:proofErr w:type="gramStart"/>
            <w:r w:rsidRPr="005762E6">
              <w:rPr>
                <w:sz w:val="20"/>
                <w:szCs w:val="20"/>
              </w:rPr>
              <w:t>products,​</w:t>
            </w:r>
            <w:proofErr w:type="gramEnd"/>
            <w:r w:rsidRPr="005762E6">
              <w:rPr>
                <w:sz w:val="20"/>
                <w:szCs w:val="20"/>
              </w:rPr>
              <w:t xml:space="preserve"> reported the highest prevalence of other drug use,​ and showed the lowest desire to quit smoking cigarettes in the next 6-months. Class 2 comprised primarily of Black male menthol </w:t>
            </w:r>
            <w:proofErr w:type="gramStart"/>
            <w:r w:rsidRPr="005762E6">
              <w:rPr>
                <w:sz w:val="20"/>
                <w:szCs w:val="20"/>
              </w:rPr>
              <w:t>smokers,​</w:t>
            </w:r>
            <w:proofErr w:type="gramEnd"/>
            <w:r w:rsidRPr="005762E6">
              <w:rPr>
                <w:sz w:val="20"/>
                <w:szCs w:val="20"/>
              </w:rPr>
              <w:t xml:space="preserve"> all of whom used cigarillos in addition to cigarettes,​ and who displayed moderate drug use. The third class was categorized as primarily older cigarette </w:t>
            </w:r>
            <w:proofErr w:type="gramStart"/>
            <w:r w:rsidRPr="005762E6">
              <w:rPr>
                <w:sz w:val="20"/>
                <w:szCs w:val="20"/>
              </w:rPr>
              <w:t>smokers,​</w:t>
            </w:r>
            <w:proofErr w:type="gramEnd"/>
            <w:r w:rsidRPr="005762E6">
              <w:rPr>
                <w:sz w:val="20"/>
                <w:szCs w:val="20"/>
              </w:rPr>
              <w:t xml:space="preserve"> who engaged in very little other tobacco use or drug use,​ but who were most likely to self-report being prescribed psychotropic medication.,​ CONCLUSIONS: LCA allowed for the identification of distinct classes of smokers based on factors related to poor cessation outcomes,​ including menthol use,​ that have not previously been examined in combination. Interventions should target specific groups of </w:t>
            </w:r>
            <w:proofErr w:type="gramStart"/>
            <w:r w:rsidRPr="005762E6">
              <w:rPr>
                <w:sz w:val="20"/>
                <w:szCs w:val="20"/>
              </w:rPr>
              <w:t>smokers,​</w:t>
            </w:r>
            <w:proofErr w:type="gramEnd"/>
            <w:r w:rsidRPr="005762E6">
              <w:rPr>
                <w:sz w:val="20"/>
                <w:szCs w:val="20"/>
              </w:rPr>
              <w:t xml:space="preserve"> rather than take a "one size fits all" approach.</w:t>
            </w:r>
          </w:p>
        </w:tc>
      </w:tr>
      <w:tr w:rsidR="00B44564" w:rsidRPr="005762E6" w14:paraId="1FF1B696"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A72AEDE" w14:textId="77777777" w:rsidR="00B44564" w:rsidRPr="005762E6" w:rsidRDefault="00B44564" w:rsidP="00EA69AA">
            <w:pPr>
              <w:spacing w:after="120" w:line="240" w:lineRule="auto"/>
              <w:contextualSpacing/>
              <w:rPr>
                <w:sz w:val="20"/>
                <w:szCs w:val="20"/>
              </w:rPr>
            </w:pPr>
            <w:r w:rsidRPr="005762E6">
              <w:rPr>
                <w:sz w:val="20"/>
                <w:szCs w:val="20"/>
              </w:rPr>
              <w:lastRenderedPageBreak/>
              <w:t>296</w:t>
            </w:r>
          </w:p>
        </w:tc>
        <w:tc>
          <w:tcPr>
            <w:tcW w:w="0" w:type="auto"/>
            <w:tcBorders>
              <w:top w:val="single" w:sz="6" w:space="0" w:color="auto"/>
              <w:left w:val="single" w:sz="6" w:space="0" w:color="auto"/>
              <w:bottom w:val="single" w:sz="6" w:space="0" w:color="auto"/>
              <w:right w:val="single" w:sz="6" w:space="0" w:color="auto"/>
            </w:tcBorders>
          </w:tcPr>
          <w:p w14:paraId="3CAB38B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FAAA111" w14:textId="002BE20F" w:rsidR="00B44564" w:rsidRPr="005762E6" w:rsidRDefault="00B44564" w:rsidP="00EA69AA">
            <w:pPr>
              <w:spacing w:after="120" w:line="240" w:lineRule="auto"/>
              <w:contextualSpacing/>
              <w:rPr>
                <w:sz w:val="20"/>
                <w:szCs w:val="20"/>
              </w:rPr>
            </w:pPr>
            <w:r w:rsidRPr="005762E6">
              <w:rPr>
                <w:sz w:val="20"/>
                <w:szCs w:val="20"/>
              </w:rPr>
              <w:t xml:space="preserve">Amy M </w:t>
            </w:r>
            <w:proofErr w:type="gramStart"/>
            <w:r w:rsidRPr="005762E6">
              <w:rPr>
                <w:sz w:val="20"/>
                <w:szCs w:val="20"/>
              </w:rPr>
              <w:t>Cohn,​</w:t>
            </w:r>
            <w:proofErr w:type="gramEnd"/>
            <w:r w:rsidRPr="005762E6">
              <w:rPr>
                <w:sz w:val="20"/>
                <w:szCs w:val="20"/>
              </w:rPr>
              <w:t xml:space="preserve"> Amanda L Johnson,​ Elizabeth Hair,​ Jessica M Rath,​ Andrea C Villanti Menthol tobacco use is correlated with mental health symptoms in a national sample of young adults: implications for future health risks and policy recommendations</w:t>
            </w:r>
            <w:r w:rsidR="007F2F01">
              <w:rPr>
                <w:sz w:val="20"/>
                <w:szCs w:val="20"/>
              </w:rPr>
              <w:t>.</w:t>
            </w:r>
            <w:r w:rsidRPr="005762E6">
              <w:rPr>
                <w:sz w:val="20"/>
                <w:szCs w:val="20"/>
              </w:rPr>
              <w:t xml:space="preserve"> Tobacco induced diseases; </w:t>
            </w:r>
            <w:proofErr w:type="gramStart"/>
            <w:r w:rsidRPr="005762E6">
              <w:rPr>
                <w:sz w:val="20"/>
                <w:szCs w:val="20"/>
              </w:rPr>
              <w:t>2016;14:1</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Depression and anxiety are correlated with greater nicotine dependence,​ smoking persistence,​ and relapse back to smoking after a quit attempt. Menthol cigarette </w:t>
            </w:r>
            <w:proofErr w:type="gramStart"/>
            <w:r w:rsidRPr="005762E6">
              <w:rPr>
                <w:sz w:val="20"/>
                <w:szCs w:val="20"/>
              </w:rPr>
              <w:t>smoking,​</w:t>
            </w:r>
            <w:proofErr w:type="gramEnd"/>
            <w:r w:rsidRPr="005762E6">
              <w:rPr>
                <w:sz w:val="20"/>
                <w:szCs w:val="20"/>
              </w:rPr>
              <w:t xml:space="preserve"> which is prevalent in young adults,​ is associated with nicotine dependence,​ progression to regular smoking,​ and worse cessation outcomes than non-menthol smoking. Few have established a link between menthol tobacco </w:t>
            </w:r>
            <w:proofErr w:type="gramStart"/>
            <w:r w:rsidRPr="005762E6">
              <w:rPr>
                <w:sz w:val="20"/>
                <w:szCs w:val="20"/>
              </w:rPr>
              <w:t>use,​</w:t>
            </w:r>
            <w:proofErr w:type="gramEnd"/>
            <w:r w:rsidRPr="005762E6">
              <w:rPr>
                <w:sz w:val="20"/>
                <w:szCs w:val="20"/>
              </w:rPr>
              <w:t xml:space="preserve"> beyond just smoking,​ with mental health in this high-risk age group. This study examined the association of menthol tobacco use to anxiety and depression in a national sample of young adults</w:t>
            </w:r>
            <w:proofErr w:type="gramStart"/>
            <w:r w:rsidRPr="005762E6">
              <w:rPr>
                <w:sz w:val="20"/>
                <w:szCs w:val="20"/>
              </w:rPr>
              <w:t>.,​</w:t>
            </w:r>
            <w:proofErr w:type="gramEnd"/>
            <w:r w:rsidRPr="005762E6">
              <w:rPr>
                <w:sz w:val="20"/>
                <w:szCs w:val="20"/>
              </w:rPr>
              <w:t xml:space="preserve"> METHODS: Data were from Waves 1 through 7 (n=9720,​ weighted) of the Truth Initiative Young Adult Cohort,​ a national sample of men and women aged 18 to 34 assessed every 6-months. </w:t>
            </w:r>
            <w:proofErr w:type="gramStart"/>
            <w:r w:rsidRPr="005762E6">
              <w:rPr>
                <w:sz w:val="20"/>
                <w:szCs w:val="20"/>
              </w:rPr>
              <w:t>Demographics,​</w:t>
            </w:r>
            <w:proofErr w:type="gramEnd"/>
            <w:r w:rsidRPr="005762E6">
              <w:rPr>
                <w:sz w:val="20"/>
                <w:szCs w:val="20"/>
              </w:rPr>
              <w:t xml:space="preserve"> past 30-day use of non-menthol and menthol tobacco products,​ and current alcohol,​ marijuana,​ and other drug use were assessed among those with depression and anxiety.,​ RESULTS: Thirty nine percent of current tobacco users used menthol as their preferred brand. Using a cross-sectional analysis (collapsed across waves</w:t>
            </w:r>
            <w:proofErr w:type="gramStart"/>
            <w:r w:rsidRPr="005762E6">
              <w:rPr>
                <w:sz w:val="20"/>
                <w:szCs w:val="20"/>
              </w:rPr>
              <w:t>),​</w:t>
            </w:r>
            <w:proofErr w:type="gramEnd"/>
            <w:r w:rsidRPr="005762E6">
              <w:rPr>
                <w:sz w:val="20"/>
                <w:szCs w:val="20"/>
              </w:rPr>
              <w:t xml:space="preserve"> past 30-day menthol tobacco was uniquely associated with greater odds of both depression and anxiety,​ beyond the effects of demographic and substance correlates and non-menthol tobacco product use.,​ CONCLUSIONS: Menthol is disproportionately used among young adults tobacco users with mental health problems,​ above and beyond the impact of a variety of other mental health and tobacco use risk factors. Findings suggest a strong link between menthol tobacco use and poor health outcomes. Policies should be developed to deter menthol tobacco use in vulnerable groups.</w:t>
            </w:r>
          </w:p>
        </w:tc>
      </w:tr>
      <w:tr w:rsidR="00B44564" w:rsidRPr="005762E6" w14:paraId="6F125F26"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6F64ED1" w14:textId="77777777" w:rsidR="00B44564" w:rsidRPr="005762E6" w:rsidRDefault="00B44564" w:rsidP="00EA69AA">
            <w:pPr>
              <w:spacing w:after="120" w:line="240" w:lineRule="auto"/>
              <w:contextualSpacing/>
              <w:rPr>
                <w:sz w:val="20"/>
                <w:szCs w:val="20"/>
              </w:rPr>
            </w:pPr>
            <w:r w:rsidRPr="005762E6">
              <w:rPr>
                <w:sz w:val="20"/>
                <w:szCs w:val="20"/>
              </w:rPr>
              <w:t>298</w:t>
            </w:r>
          </w:p>
        </w:tc>
        <w:tc>
          <w:tcPr>
            <w:tcW w:w="0" w:type="auto"/>
            <w:tcBorders>
              <w:top w:val="single" w:sz="6" w:space="0" w:color="auto"/>
              <w:left w:val="single" w:sz="6" w:space="0" w:color="auto"/>
              <w:bottom w:val="single" w:sz="6" w:space="0" w:color="auto"/>
              <w:right w:val="single" w:sz="6" w:space="0" w:color="auto"/>
            </w:tcBorders>
          </w:tcPr>
          <w:p w14:paraId="023A75DB"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7C80271" w14:textId="2E8C1060" w:rsidR="00B44564" w:rsidRPr="005762E6" w:rsidRDefault="00B44564" w:rsidP="00EA69AA">
            <w:pPr>
              <w:spacing w:after="120" w:line="240" w:lineRule="auto"/>
              <w:contextualSpacing/>
              <w:rPr>
                <w:sz w:val="20"/>
                <w:szCs w:val="20"/>
              </w:rPr>
            </w:pPr>
            <w:r w:rsidRPr="005762E6">
              <w:rPr>
                <w:sz w:val="20"/>
                <w:szCs w:val="20"/>
              </w:rPr>
              <w:t xml:space="preserve">Judith </w:t>
            </w:r>
            <w:proofErr w:type="gramStart"/>
            <w:r w:rsidRPr="005762E6">
              <w:rPr>
                <w:sz w:val="20"/>
                <w:szCs w:val="20"/>
              </w:rPr>
              <w:t>Rosenbloom,​</w:t>
            </w:r>
            <w:proofErr w:type="gramEnd"/>
            <w:r w:rsidRPr="005762E6">
              <w:rPr>
                <w:sz w:val="20"/>
                <w:szCs w:val="20"/>
              </w:rPr>
              <w:t xml:space="preserve"> Vaughan W Rees,​ Kathleen Reid,​ Jeannie Wong,​ Taru Kinnunen A cross-sectional study on tobacco use and dependence among women: Does menthol matter?</w:t>
            </w:r>
            <w:r w:rsidR="007F2F01">
              <w:rPr>
                <w:sz w:val="20"/>
                <w:szCs w:val="20"/>
              </w:rPr>
              <w:t>.</w:t>
            </w:r>
            <w:r w:rsidRPr="005762E6">
              <w:rPr>
                <w:sz w:val="20"/>
                <w:szCs w:val="20"/>
              </w:rPr>
              <w:t xml:space="preserve"> Tobacco induced diseases; </w:t>
            </w:r>
            <w:proofErr w:type="gramStart"/>
            <w:r w:rsidRPr="005762E6">
              <w:rPr>
                <w:sz w:val="20"/>
                <w:szCs w:val="20"/>
              </w:rPr>
              <w:t>2012;10:19</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UNLABELLED:,​ BACKGROUND: The question of whether mentholation of cigarettes enhances tobacco dependence has generated conflicting findings. Potential mediating factors in a putative relationship between menthol use and tobacco dependence may include race and gender. While an association between menthol use and dependence is </w:t>
            </w:r>
            <w:proofErr w:type="gramStart"/>
            <w:r w:rsidRPr="005762E6">
              <w:rPr>
                <w:sz w:val="20"/>
                <w:szCs w:val="20"/>
              </w:rPr>
              <w:t>mixed,​</w:t>
            </w:r>
            <w:proofErr w:type="gramEnd"/>
            <w:r w:rsidRPr="005762E6">
              <w:rPr>
                <w:sz w:val="20"/>
                <w:szCs w:val="20"/>
              </w:rPr>
              <w:t xml:space="preserve"> research on the role of race solely among women smokers is scarce. This study examined whether women menthol smokers have higher tobacco use and dependence than non-menthol smokers. </w:t>
            </w:r>
            <w:proofErr w:type="gramStart"/>
            <w:r w:rsidRPr="005762E6">
              <w:rPr>
                <w:sz w:val="20"/>
                <w:szCs w:val="20"/>
              </w:rPr>
              <w:t>Further,​</w:t>
            </w:r>
            <w:proofErr w:type="gramEnd"/>
            <w:r w:rsidRPr="005762E6">
              <w:rPr>
                <w:sz w:val="20"/>
                <w:szCs w:val="20"/>
              </w:rPr>
              <w:t xml:space="preserve"> the study investigated differences between White and African American smokers.,​ METHODS: A cross-sectional study was conducted among 928 women seeking tobacco dependence treatment in Boston,​ Massachusetts. Measures obtained included preferred brand and menthol </w:t>
            </w:r>
            <w:proofErr w:type="gramStart"/>
            <w:r w:rsidRPr="005762E6">
              <w:rPr>
                <w:sz w:val="20"/>
                <w:szCs w:val="20"/>
              </w:rPr>
              <w:t>content,​</w:t>
            </w:r>
            <w:proofErr w:type="gramEnd"/>
            <w:r w:rsidRPr="005762E6">
              <w:rPr>
                <w:sz w:val="20"/>
                <w:szCs w:val="20"/>
              </w:rPr>
              <w:t xml:space="preserve"> dependence markers (cigarettes per day (CPD); time to first cigarette in the morning; number of and longest previous quit attempts) and smoking history (age of initiation; years smoking; menthol or non-menthol cigarette preference). Analysis of variance (ANOVA) was used to detect interactions between menthol preference by race for continuous </w:t>
            </w:r>
            <w:proofErr w:type="gramStart"/>
            <w:r w:rsidRPr="005762E6">
              <w:rPr>
                <w:sz w:val="20"/>
                <w:szCs w:val="20"/>
              </w:rPr>
              <w:t>variables,​</w:t>
            </w:r>
            <w:proofErr w:type="gramEnd"/>
            <w:r w:rsidRPr="005762E6">
              <w:rPr>
                <w:sz w:val="20"/>
                <w:szCs w:val="20"/>
              </w:rPr>
              <w:t xml:space="preserve"> and Pearson's chi-squared test was used for analyses with dichotomous variables.,​ RESULTS: A greater proportion of menthol smokers smoked their first cigarette within five minutes of waking (p &lt; 0.01) and were less likely to have a previous quit attempt longer than 90 days (p &lt; 0.01). ANOVAs revealed no main effects for menthol preferences. </w:t>
            </w:r>
            <w:proofErr w:type="gramStart"/>
            <w:r w:rsidRPr="005762E6">
              <w:rPr>
                <w:sz w:val="20"/>
                <w:szCs w:val="20"/>
              </w:rPr>
              <w:t>However,​</w:t>
            </w:r>
            <w:proofErr w:type="gramEnd"/>
            <w:r w:rsidRPr="005762E6">
              <w:rPr>
                <w:sz w:val="20"/>
                <w:szCs w:val="20"/>
              </w:rPr>
              <w:t xml:space="preserve"> African American smokers smoked fewer CPD (p&lt;.001),​ started smoking later in life (p= .04),​ and had been smoking the same brand for longer (p= .04).,​ CONCLUSIONS: Women menthol smokers showed signs of greater tobacco dependence than non-menthol smokers. African Americans smoked fewer CPD but nevertheless had evidence of greater dependence.</w:t>
            </w:r>
          </w:p>
        </w:tc>
      </w:tr>
      <w:tr w:rsidR="00B44564" w:rsidRPr="005762E6" w14:paraId="0A6DCA15"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ED92B31" w14:textId="77777777" w:rsidR="00B44564" w:rsidRPr="005762E6" w:rsidRDefault="00B44564" w:rsidP="00EA69AA">
            <w:pPr>
              <w:spacing w:after="120" w:line="240" w:lineRule="auto"/>
              <w:contextualSpacing/>
              <w:rPr>
                <w:sz w:val="20"/>
                <w:szCs w:val="20"/>
              </w:rPr>
            </w:pPr>
            <w:r w:rsidRPr="005762E6">
              <w:rPr>
                <w:sz w:val="20"/>
                <w:szCs w:val="20"/>
              </w:rPr>
              <w:t>299</w:t>
            </w:r>
          </w:p>
        </w:tc>
        <w:tc>
          <w:tcPr>
            <w:tcW w:w="0" w:type="auto"/>
            <w:tcBorders>
              <w:top w:val="single" w:sz="6" w:space="0" w:color="auto"/>
              <w:left w:val="single" w:sz="6" w:space="0" w:color="auto"/>
              <w:bottom w:val="single" w:sz="6" w:space="0" w:color="auto"/>
              <w:right w:val="single" w:sz="6" w:space="0" w:color="auto"/>
            </w:tcBorders>
          </w:tcPr>
          <w:p w14:paraId="5C5AD057"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2F775C5" w14:textId="4E5CEBD2" w:rsidR="00B44564" w:rsidRPr="005762E6" w:rsidRDefault="00B44564" w:rsidP="00EA69AA">
            <w:pPr>
              <w:spacing w:after="120" w:line="240" w:lineRule="auto"/>
              <w:contextualSpacing/>
              <w:rPr>
                <w:sz w:val="20"/>
                <w:szCs w:val="20"/>
              </w:rPr>
            </w:pPr>
            <w:r w:rsidRPr="005762E6">
              <w:rPr>
                <w:sz w:val="20"/>
                <w:szCs w:val="20"/>
              </w:rPr>
              <w:t>Allison C Hoffman The health effects of menthol cigarettes as compared to non-menthol cigarettes</w:t>
            </w:r>
            <w:r w:rsidR="007F2F01">
              <w:rPr>
                <w:sz w:val="20"/>
                <w:szCs w:val="20"/>
              </w:rPr>
              <w:t>.</w:t>
            </w:r>
            <w:r w:rsidRPr="005762E6">
              <w:rPr>
                <w:sz w:val="20"/>
                <w:szCs w:val="20"/>
              </w:rPr>
              <w:t xml:space="preserve"> Tobacco induced diseases; 2011;9 Suppl </w:t>
            </w:r>
            <w:proofErr w:type="gramStart"/>
            <w:r w:rsidRPr="005762E6">
              <w:rPr>
                <w:sz w:val="20"/>
                <w:szCs w:val="20"/>
              </w:rPr>
              <w:t>1:S</w:t>
            </w:r>
            <w:proofErr w:type="gramEnd"/>
            <w:r w:rsidRPr="005762E6">
              <w:rPr>
                <w:sz w:val="20"/>
                <w:szCs w:val="20"/>
              </w:rPr>
              <w:t>7.</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lastRenderedPageBreak/>
              <w:t xml:space="preserve">Abstract: </w:t>
            </w:r>
            <w:r w:rsidRPr="005762E6">
              <w:rPr>
                <w:sz w:val="20"/>
                <w:szCs w:val="20"/>
              </w:rPr>
              <w:t xml:space="preserve">Since the 1920s,​ menthol has been added to cigarettes and used as a characterizing flavor. The health effects of cigarette smoking are well </w:t>
            </w:r>
            <w:proofErr w:type="gramStart"/>
            <w:r w:rsidRPr="005762E6">
              <w:rPr>
                <w:sz w:val="20"/>
                <w:szCs w:val="20"/>
              </w:rPr>
              <w:t>documented,​</w:t>
            </w:r>
            <w:proofErr w:type="gramEnd"/>
            <w:r w:rsidRPr="005762E6">
              <w:rPr>
                <w:sz w:val="20"/>
                <w:szCs w:val="20"/>
              </w:rPr>
              <w:t xml:space="preserve"> however the health effects of menthol cigarettes as compared to non-menthol cigarettes is less well studied. This review discusses menthol's effects on 1) biomarkers of tobacco smoke </w:t>
            </w:r>
            <w:proofErr w:type="gramStart"/>
            <w:r w:rsidRPr="005762E6">
              <w:rPr>
                <w:sz w:val="20"/>
                <w:szCs w:val="20"/>
              </w:rPr>
              <w:t>exposure,​</w:t>
            </w:r>
            <w:proofErr w:type="gramEnd"/>
            <w:r w:rsidRPr="005762E6">
              <w:rPr>
                <w:sz w:val="20"/>
                <w:szCs w:val="20"/>
              </w:rPr>
              <w:t xml:space="preserve"> 2) toxicity and cellular effects,​ 3) lung function and respiration,​ 4) pulmonary and/or vascular function,​ 5) allergic reactions and inflammation,​ and 6) tobacco-related diseases. It is concluded that menthol is a biologically active compound that has effects by itself and in conjunction with </w:t>
            </w:r>
            <w:proofErr w:type="gramStart"/>
            <w:r w:rsidRPr="005762E6">
              <w:rPr>
                <w:sz w:val="20"/>
                <w:szCs w:val="20"/>
              </w:rPr>
              <w:t>nicotine,​</w:t>
            </w:r>
            <w:proofErr w:type="gramEnd"/>
            <w:r w:rsidRPr="005762E6">
              <w:rPr>
                <w:sz w:val="20"/>
                <w:szCs w:val="20"/>
              </w:rPr>
              <w:t xml:space="preserve"> however much of the data on the other areas of interest are inconclusive and firm conclusions cannot be drawn.</w:t>
            </w:r>
          </w:p>
        </w:tc>
      </w:tr>
      <w:tr w:rsidR="00B44564" w:rsidRPr="005762E6" w14:paraId="2317A7A5"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0EE2DFE" w14:textId="77777777" w:rsidR="00B44564" w:rsidRPr="005762E6" w:rsidRDefault="00B44564" w:rsidP="00EA69AA">
            <w:pPr>
              <w:spacing w:after="120" w:line="240" w:lineRule="auto"/>
              <w:contextualSpacing/>
              <w:rPr>
                <w:sz w:val="20"/>
                <w:szCs w:val="20"/>
              </w:rPr>
            </w:pPr>
            <w:r w:rsidRPr="005762E6">
              <w:rPr>
                <w:sz w:val="20"/>
                <w:szCs w:val="20"/>
              </w:rPr>
              <w:lastRenderedPageBreak/>
              <w:t>300</w:t>
            </w:r>
          </w:p>
        </w:tc>
        <w:tc>
          <w:tcPr>
            <w:tcW w:w="0" w:type="auto"/>
            <w:tcBorders>
              <w:top w:val="single" w:sz="6" w:space="0" w:color="auto"/>
              <w:left w:val="single" w:sz="6" w:space="0" w:color="auto"/>
              <w:bottom w:val="single" w:sz="6" w:space="0" w:color="auto"/>
              <w:right w:val="single" w:sz="6" w:space="0" w:color="auto"/>
            </w:tcBorders>
          </w:tcPr>
          <w:p w14:paraId="3C67431D"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0868135" w14:textId="5DCFC150" w:rsidR="00B44564" w:rsidRPr="005762E6" w:rsidRDefault="00B44564" w:rsidP="00EA69AA">
            <w:pPr>
              <w:spacing w:after="120" w:line="240" w:lineRule="auto"/>
              <w:contextualSpacing/>
              <w:rPr>
                <w:sz w:val="20"/>
                <w:szCs w:val="20"/>
              </w:rPr>
            </w:pPr>
            <w:r w:rsidRPr="005762E6">
              <w:rPr>
                <w:sz w:val="20"/>
                <w:szCs w:val="20"/>
              </w:rPr>
              <w:t xml:space="preserve">Allison C </w:t>
            </w:r>
            <w:proofErr w:type="gramStart"/>
            <w:r w:rsidRPr="005762E6">
              <w:rPr>
                <w:sz w:val="20"/>
                <w:szCs w:val="20"/>
              </w:rPr>
              <w:t>Hoffman,​</w:t>
            </w:r>
            <w:proofErr w:type="gramEnd"/>
            <w:r w:rsidRPr="005762E6">
              <w:rPr>
                <w:sz w:val="20"/>
                <w:szCs w:val="20"/>
              </w:rPr>
              <w:t xml:space="preserve"> Donna Miceli Menthol cigarettes and smoking cessation behavior</w:t>
            </w:r>
            <w:r w:rsidR="007F2F01">
              <w:rPr>
                <w:sz w:val="20"/>
                <w:szCs w:val="20"/>
              </w:rPr>
              <w:t>.</w:t>
            </w:r>
            <w:r w:rsidRPr="005762E6">
              <w:rPr>
                <w:sz w:val="20"/>
                <w:szCs w:val="20"/>
              </w:rPr>
              <w:t xml:space="preserve"> Tobacco induced diseases; 2011;9 Suppl </w:t>
            </w:r>
            <w:proofErr w:type="gramStart"/>
            <w:r w:rsidRPr="005762E6">
              <w:rPr>
                <w:sz w:val="20"/>
                <w:szCs w:val="20"/>
              </w:rPr>
              <w:t>1:S</w:t>
            </w:r>
            <w:proofErr w:type="gramEnd"/>
            <w:r w:rsidRPr="005762E6">
              <w:rPr>
                <w:sz w:val="20"/>
                <w:szCs w:val="20"/>
              </w:rPr>
              <w:t>6.</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Although much is known about smoking cessation behavior,​ the vast majority of research has not assessed menthol as an independent factor. The objective of this review is to assess the </w:t>
            </w:r>
            <w:proofErr w:type="gramStart"/>
            <w:r w:rsidRPr="005762E6">
              <w:rPr>
                <w:sz w:val="20"/>
                <w:szCs w:val="20"/>
              </w:rPr>
              <w:t>effects,​</w:t>
            </w:r>
            <w:proofErr w:type="gramEnd"/>
            <w:r w:rsidRPr="005762E6">
              <w:rPr>
                <w:sz w:val="20"/>
                <w:szCs w:val="20"/>
              </w:rPr>
              <w:t xml:space="preserve"> if any,​ that use of menthol cigarettes has on smoking cessation success in adults and youth. A total of 20 articles are included in this review. Although some studies have found that menthol smokers have less success in quitting </w:t>
            </w:r>
            <w:proofErr w:type="gramStart"/>
            <w:r w:rsidRPr="005762E6">
              <w:rPr>
                <w:sz w:val="20"/>
                <w:szCs w:val="20"/>
              </w:rPr>
              <w:t>smoking,​</w:t>
            </w:r>
            <w:proofErr w:type="gramEnd"/>
            <w:r w:rsidRPr="005762E6">
              <w:rPr>
                <w:sz w:val="20"/>
                <w:szCs w:val="20"/>
              </w:rPr>
              <w:t xml:space="preserve"> others fail to find significant differences between menthol and non-menthol smokers. Some clinical trials evaluating the efficacy of various cessation treatments have suggested that menthol smokers have poorer </w:t>
            </w:r>
            <w:proofErr w:type="gramStart"/>
            <w:r w:rsidRPr="005762E6">
              <w:rPr>
                <w:sz w:val="20"/>
                <w:szCs w:val="20"/>
              </w:rPr>
              <w:t>outcomes,​</w:t>
            </w:r>
            <w:proofErr w:type="gramEnd"/>
            <w:r w:rsidRPr="005762E6">
              <w:rPr>
                <w:sz w:val="20"/>
                <w:szCs w:val="20"/>
              </w:rPr>
              <w:t xml:space="preserve"> however two secondary data analysis studies (which used the same original dataset) failed to find any difference in success rate associated with particular treatments. Although there is some suggestion that smoking menthol cigarettes is associated with worse cessation </w:t>
            </w:r>
            <w:proofErr w:type="gramStart"/>
            <w:r w:rsidRPr="005762E6">
              <w:rPr>
                <w:sz w:val="20"/>
                <w:szCs w:val="20"/>
              </w:rPr>
              <w:t>outcomes,​</w:t>
            </w:r>
            <w:proofErr w:type="gramEnd"/>
            <w:r w:rsidRPr="005762E6">
              <w:rPr>
                <w:sz w:val="20"/>
                <w:szCs w:val="20"/>
              </w:rPr>
              <w:t xml:space="preserve"> differences are not always found. </w:t>
            </w:r>
            <w:proofErr w:type="gramStart"/>
            <w:r w:rsidRPr="005762E6">
              <w:rPr>
                <w:sz w:val="20"/>
                <w:szCs w:val="20"/>
              </w:rPr>
              <w:t>However,​</w:t>
            </w:r>
            <w:proofErr w:type="gramEnd"/>
            <w:r w:rsidRPr="005762E6">
              <w:rPr>
                <w:sz w:val="20"/>
                <w:szCs w:val="20"/>
              </w:rPr>
              <w:t xml:space="preserve"> if there was a difference,​ it was always in the direction of worse outcomes for menthol smokers. Given that Black/African American smokers prefer menthol cigarettes more than White </w:t>
            </w:r>
            <w:proofErr w:type="gramStart"/>
            <w:r w:rsidRPr="005762E6">
              <w:rPr>
                <w:sz w:val="20"/>
                <w:szCs w:val="20"/>
              </w:rPr>
              <w:t>smokers,​</w:t>
            </w:r>
            <w:proofErr w:type="gramEnd"/>
            <w:r w:rsidRPr="005762E6">
              <w:rPr>
                <w:sz w:val="20"/>
                <w:szCs w:val="20"/>
              </w:rPr>
              <w:t xml:space="preserve"> possible interactions with race/ethnicity are discussed.</w:t>
            </w:r>
          </w:p>
        </w:tc>
      </w:tr>
      <w:tr w:rsidR="00B44564" w:rsidRPr="005762E6" w14:paraId="72812613"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D87332A" w14:textId="77777777" w:rsidR="00B44564" w:rsidRPr="005762E6" w:rsidRDefault="00B44564" w:rsidP="00EA69AA">
            <w:pPr>
              <w:spacing w:after="120" w:line="240" w:lineRule="auto"/>
              <w:contextualSpacing/>
              <w:rPr>
                <w:sz w:val="20"/>
                <w:szCs w:val="20"/>
              </w:rPr>
            </w:pPr>
            <w:r w:rsidRPr="005762E6">
              <w:rPr>
                <w:sz w:val="20"/>
                <w:szCs w:val="20"/>
              </w:rPr>
              <w:t>301</w:t>
            </w:r>
          </w:p>
        </w:tc>
        <w:tc>
          <w:tcPr>
            <w:tcW w:w="0" w:type="auto"/>
            <w:tcBorders>
              <w:top w:val="single" w:sz="6" w:space="0" w:color="auto"/>
              <w:left w:val="single" w:sz="6" w:space="0" w:color="auto"/>
              <w:bottom w:val="single" w:sz="6" w:space="0" w:color="auto"/>
              <w:right w:val="single" w:sz="6" w:space="0" w:color="auto"/>
            </w:tcBorders>
          </w:tcPr>
          <w:p w14:paraId="26C2C460"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8F462DB" w14:textId="0637F4BB" w:rsidR="00B44564" w:rsidRPr="005762E6" w:rsidRDefault="00B44564" w:rsidP="00EA69AA">
            <w:pPr>
              <w:spacing w:after="120" w:line="240" w:lineRule="auto"/>
              <w:contextualSpacing/>
              <w:rPr>
                <w:sz w:val="20"/>
                <w:szCs w:val="20"/>
              </w:rPr>
            </w:pPr>
            <w:r w:rsidRPr="005762E6">
              <w:rPr>
                <w:sz w:val="20"/>
                <w:szCs w:val="20"/>
              </w:rPr>
              <w:t xml:space="preserve">Allison C </w:t>
            </w:r>
            <w:proofErr w:type="gramStart"/>
            <w:r w:rsidRPr="005762E6">
              <w:rPr>
                <w:sz w:val="20"/>
                <w:szCs w:val="20"/>
              </w:rPr>
              <w:t>Hoffman,​</w:t>
            </w:r>
            <w:proofErr w:type="gramEnd"/>
            <w:r w:rsidRPr="005762E6">
              <w:rPr>
                <w:sz w:val="20"/>
                <w:szCs w:val="20"/>
              </w:rPr>
              <w:t xml:space="preserve"> Dee Simmons Menthol cigarette smoking and nicotine dependence</w:t>
            </w:r>
            <w:r w:rsidR="007F2F01">
              <w:rPr>
                <w:sz w:val="20"/>
                <w:szCs w:val="20"/>
              </w:rPr>
              <w:t>.</w:t>
            </w:r>
            <w:r w:rsidRPr="005762E6">
              <w:rPr>
                <w:sz w:val="20"/>
                <w:szCs w:val="20"/>
              </w:rPr>
              <w:t xml:space="preserve"> Tobacco induced diseases; 2011;9 Suppl </w:t>
            </w:r>
            <w:proofErr w:type="gramStart"/>
            <w:r w:rsidRPr="005762E6">
              <w:rPr>
                <w:sz w:val="20"/>
                <w:szCs w:val="20"/>
              </w:rPr>
              <w:t>1:S</w:t>
            </w:r>
            <w:proofErr w:type="gramEnd"/>
            <w:r w:rsidRPr="005762E6">
              <w:rPr>
                <w:sz w:val="20"/>
                <w:szCs w:val="20"/>
              </w:rPr>
              <w:t>5.</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Since tobacco use is driven by dependence on nicotine,​ the primary addictive substance in tobacco,​ much research has focused on nicotine dependence. Less well </w:t>
            </w:r>
            <w:proofErr w:type="gramStart"/>
            <w:r w:rsidRPr="005762E6">
              <w:rPr>
                <w:sz w:val="20"/>
                <w:szCs w:val="20"/>
              </w:rPr>
              <w:t>understood,​</w:t>
            </w:r>
            <w:proofErr w:type="gramEnd"/>
            <w:r w:rsidRPr="005762E6">
              <w:rPr>
                <w:sz w:val="20"/>
                <w:szCs w:val="20"/>
              </w:rPr>
              <w:t xml:space="preserve"> however,​ is the role that menthol plays in nicotine dependence. This review seeks to examine what </w:t>
            </w:r>
            <w:proofErr w:type="gramStart"/>
            <w:r w:rsidRPr="005762E6">
              <w:rPr>
                <w:sz w:val="20"/>
                <w:szCs w:val="20"/>
              </w:rPr>
              <w:t>role,​</w:t>
            </w:r>
            <w:proofErr w:type="gramEnd"/>
            <w:r w:rsidRPr="005762E6">
              <w:rPr>
                <w:sz w:val="20"/>
                <w:szCs w:val="20"/>
              </w:rPr>
              <w:t xml:space="preserve"> if any,​ menthol plays in nicotine addiction in adults and youth. Based on research examining several indicators of heaviness of nicotine </w:t>
            </w:r>
            <w:proofErr w:type="gramStart"/>
            <w:r w:rsidRPr="005762E6">
              <w:rPr>
                <w:sz w:val="20"/>
                <w:szCs w:val="20"/>
              </w:rPr>
              <w:t>addiction,​</w:t>
            </w:r>
            <w:proofErr w:type="gramEnd"/>
            <w:r w:rsidRPr="005762E6">
              <w:rPr>
                <w:sz w:val="20"/>
                <w:szCs w:val="20"/>
              </w:rPr>
              <w:t xml:space="preserve"> including time to first cigarette upon waking,​ night waking to smoke,​ as well as some other indications of dependence,​ it is suggested that menthol cigarette smokers are more heavily dependent on nicotine. Although other indicators of nicotine </w:t>
            </w:r>
            <w:proofErr w:type="gramStart"/>
            <w:r w:rsidRPr="005762E6">
              <w:rPr>
                <w:sz w:val="20"/>
                <w:szCs w:val="20"/>
              </w:rPr>
              <w:t>dependence,​</w:t>
            </w:r>
            <w:proofErr w:type="gramEnd"/>
            <w:r w:rsidRPr="005762E6">
              <w:rPr>
                <w:sz w:val="20"/>
                <w:szCs w:val="20"/>
              </w:rPr>
              <w:t xml:space="preserve"> including number of cigarettes per day and the Fagerstrom Test of Nicotine Dependence,​ failed to consistently differentiate menthol and non-menthol smokers,​ these indicators are thought to be less robust than time to first cigarette. </w:t>
            </w:r>
            <w:proofErr w:type="gramStart"/>
            <w:r w:rsidRPr="005762E6">
              <w:rPr>
                <w:sz w:val="20"/>
                <w:szCs w:val="20"/>
              </w:rPr>
              <w:t>Therefore,​</w:t>
            </w:r>
            <w:proofErr w:type="gramEnd"/>
            <w:r w:rsidRPr="005762E6">
              <w:rPr>
                <w:sz w:val="20"/>
                <w:szCs w:val="20"/>
              </w:rPr>
              <w:t xml:space="preserve"> though limited,​ the existing literature suggests that menthol smokers may be more dependence on nicotine.</w:t>
            </w:r>
          </w:p>
        </w:tc>
      </w:tr>
      <w:tr w:rsidR="00B44564" w:rsidRPr="005762E6" w14:paraId="3BEA58BB"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F9EA1C8" w14:textId="77777777" w:rsidR="00B44564" w:rsidRPr="005762E6" w:rsidRDefault="00B44564" w:rsidP="00EA69AA">
            <w:pPr>
              <w:spacing w:after="120" w:line="240" w:lineRule="auto"/>
              <w:contextualSpacing/>
              <w:rPr>
                <w:sz w:val="20"/>
                <w:szCs w:val="20"/>
              </w:rPr>
            </w:pPr>
            <w:r w:rsidRPr="005762E6">
              <w:rPr>
                <w:sz w:val="20"/>
                <w:szCs w:val="20"/>
              </w:rPr>
              <w:t>302</w:t>
            </w:r>
          </w:p>
        </w:tc>
        <w:tc>
          <w:tcPr>
            <w:tcW w:w="0" w:type="auto"/>
            <w:tcBorders>
              <w:top w:val="single" w:sz="6" w:space="0" w:color="auto"/>
              <w:left w:val="single" w:sz="6" w:space="0" w:color="auto"/>
              <w:bottom w:val="single" w:sz="6" w:space="0" w:color="auto"/>
              <w:right w:val="single" w:sz="6" w:space="0" w:color="auto"/>
            </w:tcBorders>
          </w:tcPr>
          <w:p w14:paraId="63B171A9"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96251D6" w14:textId="2BB4552B" w:rsidR="00B44564" w:rsidRPr="005762E6" w:rsidRDefault="00B44564" w:rsidP="00EA69AA">
            <w:pPr>
              <w:spacing w:after="120" w:line="240" w:lineRule="auto"/>
              <w:contextualSpacing/>
              <w:rPr>
                <w:sz w:val="20"/>
                <w:szCs w:val="20"/>
              </w:rPr>
            </w:pPr>
            <w:r w:rsidRPr="005762E6">
              <w:rPr>
                <w:sz w:val="20"/>
                <w:szCs w:val="20"/>
              </w:rPr>
              <w:t xml:space="preserve">Joshua </w:t>
            </w:r>
            <w:proofErr w:type="gramStart"/>
            <w:r w:rsidRPr="005762E6">
              <w:rPr>
                <w:sz w:val="20"/>
                <w:szCs w:val="20"/>
              </w:rPr>
              <w:t>Rising,​</w:t>
            </w:r>
            <w:proofErr w:type="gramEnd"/>
            <w:r w:rsidRPr="005762E6">
              <w:rPr>
                <w:sz w:val="20"/>
                <w:szCs w:val="20"/>
              </w:rPr>
              <w:t xml:space="preserve"> Kristina Wasson-Blader Menthol and initiation of cigarette smoking</w:t>
            </w:r>
            <w:r w:rsidR="007F2F01">
              <w:rPr>
                <w:sz w:val="20"/>
                <w:szCs w:val="20"/>
              </w:rPr>
              <w:t>.</w:t>
            </w:r>
            <w:r w:rsidRPr="005762E6">
              <w:rPr>
                <w:sz w:val="20"/>
                <w:szCs w:val="20"/>
              </w:rPr>
              <w:t xml:space="preserve"> Tobacco induced diseases; 2011;9 Suppl </w:t>
            </w:r>
            <w:proofErr w:type="gramStart"/>
            <w:r w:rsidRPr="005762E6">
              <w:rPr>
                <w:sz w:val="20"/>
                <w:szCs w:val="20"/>
              </w:rPr>
              <w:t>1:S</w:t>
            </w:r>
            <w:proofErr w:type="gramEnd"/>
            <w:r w:rsidRPr="005762E6">
              <w:rPr>
                <w:sz w:val="20"/>
                <w:szCs w:val="20"/>
              </w:rPr>
              <w:t>4.</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The use of tobacco products would not continue without the initiation of their use by youth and adults. Since the vast majority of cigarette smokers begin smoking by age </w:t>
            </w:r>
            <w:proofErr w:type="gramStart"/>
            <w:r w:rsidRPr="005762E6">
              <w:rPr>
                <w:sz w:val="20"/>
                <w:szCs w:val="20"/>
              </w:rPr>
              <w:t>25,​</w:t>
            </w:r>
            <w:proofErr w:type="gramEnd"/>
            <w:r w:rsidRPr="005762E6">
              <w:rPr>
                <w:sz w:val="20"/>
                <w:szCs w:val="20"/>
              </w:rPr>
              <w:t xml:space="preserve"> understanding the role of menthol cigarettes in the initiation of smoking in youth (under the age of 18) and young adults (aged 18-25) is especially relevant. Data demonstrate that menthol cigarettes are disproportionately used by youth and young adults. This review seeks to examine what </w:t>
            </w:r>
            <w:proofErr w:type="gramStart"/>
            <w:r w:rsidRPr="005762E6">
              <w:rPr>
                <w:sz w:val="20"/>
                <w:szCs w:val="20"/>
              </w:rPr>
              <w:t>role,​</w:t>
            </w:r>
            <w:proofErr w:type="gramEnd"/>
            <w:r w:rsidRPr="005762E6">
              <w:rPr>
                <w:sz w:val="20"/>
                <w:szCs w:val="20"/>
              </w:rPr>
              <w:t xml:space="preserve"> if any,​ menthol plays in the initiation of cigarette smoking. </w:t>
            </w:r>
            <w:proofErr w:type="gramStart"/>
            <w:r w:rsidRPr="005762E6">
              <w:rPr>
                <w:sz w:val="20"/>
                <w:szCs w:val="20"/>
              </w:rPr>
              <w:t>Overall,​</w:t>
            </w:r>
            <w:proofErr w:type="gramEnd"/>
            <w:r w:rsidRPr="005762E6">
              <w:rPr>
                <w:sz w:val="20"/>
                <w:szCs w:val="20"/>
              </w:rPr>
              <w:t xml:space="preserve"> there is a paucity of data on this topic. The data that do exist suggests that youth who have smoked for less than 1 year are more likely to smoke menthol cigarettes than youth who have smoked for </w:t>
            </w:r>
            <w:r w:rsidRPr="005762E6">
              <w:rPr>
                <w:sz w:val="20"/>
                <w:szCs w:val="20"/>
              </w:rPr>
              <w:lastRenderedPageBreak/>
              <w:t>more than 1 year. A lack of data prevents further conclusions on the role of menthol cigarettes in the initiation of smoking.</w:t>
            </w:r>
          </w:p>
        </w:tc>
      </w:tr>
      <w:tr w:rsidR="00B44564" w:rsidRPr="005762E6" w14:paraId="36AC4215"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85ADD8B" w14:textId="77777777" w:rsidR="00B44564" w:rsidRPr="005762E6" w:rsidRDefault="00B44564" w:rsidP="00EA69AA">
            <w:pPr>
              <w:spacing w:after="120" w:line="240" w:lineRule="auto"/>
              <w:contextualSpacing/>
              <w:rPr>
                <w:sz w:val="20"/>
                <w:szCs w:val="20"/>
              </w:rPr>
            </w:pPr>
            <w:r w:rsidRPr="005762E6">
              <w:rPr>
                <w:sz w:val="20"/>
                <w:szCs w:val="20"/>
              </w:rPr>
              <w:lastRenderedPageBreak/>
              <w:t>303</w:t>
            </w:r>
          </w:p>
        </w:tc>
        <w:tc>
          <w:tcPr>
            <w:tcW w:w="0" w:type="auto"/>
            <w:tcBorders>
              <w:top w:val="single" w:sz="6" w:space="0" w:color="auto"/>
              <w:left w:val="single" w:sz="6" w:space="0" w:color="auto"/>
              <w:bottom w:val="single" w:sz="6" w:space="0" w:color="auto"/>
              <w:right w:val="single" w:sz="6" w:space="0" w:color="auto"/>
            </w:tcBorders>
          </w:tcPr>
          <w:p w14:paraId="40F1EEA5"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C5CFEEB" w14:textId="4034250B" w:rsidR="00B44564" w:rsidRPr="005762E6" w:rsidRDefault="00B44564" w:rsidP="00EA69AA">
            <w:pPr>
              <w:spacing w:after="120" w:line="240" w:lineRule="auto"/>
              <w:contextualSpacing/>
              <w:rPr>
                <w:sz w:val="20"/>
                <w:szCs w:val="20"/>
              </w:rPr>
            </w:pPr>
            <w:r w:rsidRPr="005762E6">
              <w:rPr>
                <w:sz w:val="20"/>
                <w:szCs w:val="20"/>
              </w:rPr>
              <w:t xml:space="preserve">Deirdre </w:t>
            </w:r>
            <w:proofErr w:type="gramStart"/>
            <w:r w:rsidRPr="005762E6">
              <w:rPr>
                <w:sz w:val="20"/>
                <w:szCs w:val="20"/>
              </w:rPr>
              <w:t>Lawrence,​</w:t>
            </w:r>
            <w:proofErr w:type="gramEnd"/>
            <w:r w:rsidRPr="005762E6">
              <w:rPr>
                <w:sz w:val="20"/>
                <w:szCs w:val="20"/>
              </w:rPr>
              <w:t xml:space="preserve"> Brie Cadman,​ Allison C Hoffman Sensory properties of menthol and smoking topography</w:t>
            </w:r>
            <w:r w:rsidR="007F2F01">
              <w:rPr>
                <w:sz w:val="20"/>
                <w:szCs w:val="20"/>
              </w:rPr>
              <w:t>.</w:t>
            </w:r>
            <w:r w:rsidRPr="005762E6">
              <w:rPr>
                <w:sz w:val="20"/>
                <w:szCs w:val="20"/>
              </w:rPr>
              <w:t xml:space="preserve"> Tobacco induced diseases; 2011;9 Suppl </w:t>
            </w:r>
            <w:proofErr w:type="gramStart"/>
            <w:r w:rsidRPr="005762E6">
              <w:rPr>
                <w:sz w:val="20"/>
                <w:szCs w:val="20"/>
              </w:rPr>
              <w:t>1:S</w:t>
            </w:r>
            <w:proofErr w:type="gramEnd"/>
            <w:r w:rsidRPr="005762E6">
              <w:rPr>
                <w:sz w:val="20"/>
                <w:szCs w:val="20"/>
              </w:rPr>
              <w:t>3.</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Although there is a great deal known about menthol as a flavoring agent in foods and confections,​ less is known about the particular sensory properties of menthol cigarette smoke. </w:t>
            </w:r>
            <w:proofErr w:type="gramStart"/>
            <w:r w:rsidRPr="005762E6">
              <w:rPr>
                <w:sz w:val="20"/>
                <w:szCs w:val="20"/>
              </w:rPr>
              <w:t>Similarly,​</w:t>
            </w:r>
            <w:proofErr w:type="gramEnd"/>
            <w:r w:rsidRPr="005762E6">
              <w:rPr>
                <w:sz w:val="20"/>
                <w:szCs w:val="20"/>
              </w:rPr>
              <w:t xml:space="preserve"> although smoking topography (the unique way an individual smokes a cigarette) has been well studied using non-menthol cigarettes,​ there is relatively less known about how menthol affects smoking behavior. The objective of this review is to assess the sensory properties of menthol tobacco </w:t>
            </w:r>
            <w:proofErr w:type="gramStart"/>
            <w:r w:rsidRPr="005762E6">
              <w:rPr>
                <w:sz w:val="20"/>
                <w:szCs w:val="20"/>
              </w:rPr>
              <w:t>smoke,​</w:t>
            </w:r>
            <w:proofErr w:type="gramEnd"/>
            <w:r w:rsidRPr="005762E6">
              <w:rPr>
                <w:sz w:val="20"/>
                <w:szCs w:val="20"/>
              </w:rPr>
              <w:t xml:space="preserve"> and smoking topography associated with menthol cigarettes. The </w:t>
            </w:r>
            <w:proofErr w:type="gramStart"/>
            <w:r w:rsidRPr="005762E6">
              <w:rPr>
                <w:sz w:val="20"/>
                <w:szCs w:val="20"/>
              </w:rPr>
              <w:t>cooling,​</w:t>
            </w:r>
            <w:proofErr w:type="gramEnd"/>
            <w:r w:rsidRPr="005762E6">
              <w:rPr>
                <w:sz w:val="20"/>
                <w:szCs w:val="20"/>
              </w:rPr>
              <w:t xml:space="preserve"> analgesic,​ taste,​ and respiratory effects of menthol are well established,​ and studies have indicated that menthol's sensory attributes can have an influence on the positive,​ or rewarding,​ properties associated smoking,​ including ratings of satisfaction,​ taste,​ perceived smoothness,​ and perceived irritation. Despite these sensory </w:t>
            </w:r>
            <w:proofErr w:type="gramStart"/>
            <w:r w:rsidRPr="005762E6">
              <w:rPr>
                <w:sz w:val="20"/>
                <w:szCs w:val="20"/>
              </w:rPr>
              <w:t>properties,​</w:t>
            </w:r>
            <w:proofErr w:type="gramEnd"/>
            <w:r w:rsidRPr="005762E6">
              <w:rPr>
                <w:sz w:val="20"/>
                <w:szCs w:val="20"/>
              </w:rPr>
              <w:t xml:space="preserve"> the data regarding menthol's effect on smoking topography are inconsistent. Many of the topography studies have limitations due to various methodological issues.</w:t>
            </w:r>
          </w:p>
        </w:tc>
      </w:tr>
      <w:tr w:rsidR="00B44564" w:rsidRPr="005762E6" w14:paraId="5EB0FDBA"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96FE8C3" w14:textId="77777777" w:rsidR="00B44564" w:rsidRPr="005762E6" w:rsidRDefault="00B44564" w:rsidP="00EA69AA">
            <w:pPr>
              <w:spacing w:after="120" w:line="240" w:lineRule="auto"/>
              <w:contextualSpacing/>
              <w:rPr>
                <w:sz w:val="20"/>
                <w:szCs w:val="20"/>
              </w:rPr>
            </w:pPr>
            <w:r w:rsidRPr="005762E6">
              <w:rPr>
                <w:sz w:val="20"/>
                <w:szCs w:val="20"/>
              </w:rPr>
              <w:t>305</w:t>
            </w:r>
          </w:p>
        </w:tc>
        <w:tc>
          <w:tcPr>
            <w:tcW w:w="0" w:type="auto"/>
            <w:tcBorders>
              <w:top w:val="single" w:sz="6" w:space="0" w:color="auto"/>
              <w:left w:val="single" w:sz="6" w:space="0" w:color="auto"/>
              <w:bottom w:val="single" w:sz="6" w:space="0" w:color="auto"/>
              <w:right w:val="single" w:sz="6" w:space="0" w:color="auto"/>
            </w:tcBorders>
          </w:tcPr>
          <w:p w14:paraId="25413F1B"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31EC679" w14:textId="2B7DE958" w:rsidR="00B44564" w:rsidRPr="005762E6" w:rsidRDefault="00B44564" w:rsidP="00EA69AA">
            <w:pPr>
              <w:spacing w:after="120" w:line="240" w:lineRule="auto"/>
              <w:contextualSpacing/>
              <w:rPr>
                <w:sz w:val="20"/>
                <w:szCs w:val="20"/>
              </w:rPr>
            </w:pPr>
            <w:r w:rsidRPr="005762E6">
              <w:rPr>
                <w:sz w:val="20"/>
                <w:szCs w:val="20"/>
              </w:rPr>
              <w:t xml:space="preserve">Ralph S </w:t>
            </w:r>
            <w:proofErr w:type="gramStart"/>
            <w:r w:rsidRPr="005762E6">
              <w:rPr>
                <w:sz w:val="20"/>
                <w:szCs w:val="20"/>
              </w:rPr>
              <w:t>Caraballo,​</w:t>
            </w:r>
            <w:proofErr w:type="gramEnd"/>
            <w:r w:rsidRPr="005762E6">
              <w:rPr>
                <w:sz w:val="20"/>
                <w:szCs w:val="20"/>
              </w:rPr>
              <w:t xml:space="preserve"> Katherine Asman Epidemiology of menthol cigarette use in the United States</w:t>
            </w:r>
            <w:r w:rsidR="007F2F01">
              <w:rPr>
                <w:sz w:val="20"/>
                <w:szCs w:val="20"/>
              </w:rPr>
              <w:t>.</w:t>
            </w:r>
            <w:r w:rsidRPr="005762E6">
              <w:rPr>
                <w:sz w:val="20"/>
                <w:szCs w:val="20"/>
              </w:rPr>
              <w:t xml:space="preserve"> Tobacco induced diseases; 2011;9 Suppl </w:t>
            </w:r>
            <w:proofErr w:type="gramStart"/>
            <w:r w:rsidRPr="005762E6">
              <w:rPr>
                <w:sz w:val="20"/>
                <w:szCs w:val="20"/>
              </w:rPr>
              <w:t>1:S</w:t>
            </w:r>
            <w:proofErr w:type="gramEnd"/>
            <w:r w:rsidRPr="005762E6">
              <w:rPr>
                <w:sz w:val="20"/>
                <w:szCs w:val="20"/>
              </w:rPr>
              <w:t>1.</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Approximately one-fourth of all cigarettes sold in the United States have the descriptor "menthol" on the cigarette pack. It is important to determine what socio-demographic factors are associated with smoking menthol cigarettes if indeed these types of cigarettes are related to smoking </w:t>
            </w:r>
            <w:proofErr w:type="gramStart"/>
            <w:r w:rsidRPr="005762E6">
              <w:rPr>
                <w:sz w:val="20"/>
                <w:szCs w:val="20"/>
              </w:rPr>
              <w:t>initiation,​</w:t>
            </w:r>
            <w:proofErr w:type="gramEnd"/>
            <w:r w:rsidRPr="005762E6">
              <w:rPr>
                <w:sz w:val="20"/>
                <w:szCs w:val="20"/>
              </w:rPr>
              <w:t xml:space="preserve"> higher exposure to smoke constituents,​ nicotine dependence,​ or reduced smoking cessation.,​ METHODS: The National Cancer Institute (NCI) conducted a review of the scientific literature on this topic which we completed by adding more recently published articles via PubMed. We also conducted further data analyses using the National Survey on Drug Use and </w:t>
            </w:r>
            <w:proofErr w:type="gramStart"/>
            <w:r w:rsidRPr="005762E6">
              <w:rPr>
                <w:sz w:val="20"/>
                <w:szCs w:val="20"/>
              </w:rPr>
              <w:t>Health,​</w:t>
            </w:r>
            <w:proofErr w:type="gramEnd"/>
            <w:r w:rsidRPr="005762E6">
              <w:rPr>
                <w:sz w:val="20"/>
                <w:szCs w:val="20"/>
              </w:rPr>
              <w:t xml:space="preserve"> the National Youth Tobacco Survey,​ the Monitoring the Future Survey,​ and the National Health and Nutrition Examination Survey to provide up-to-date information on this topic.,​ RESULTS: Menthol cigarettes are disproportionately smoked by adolescents,​ blacks/African Americans,​ adult females,​ those living in the Northeast of the United States and those with family incomes lower than ,​000. Based on self-reports of menthol cigarette </w:t>
            </w:r>
            <w:proofErr w:type="gramStart"/>
            <w:r w:rsidRPr="005762E6">
              <w:rPr>
                <w:sz w:val="20"/>
                <w:szCs w:val="20"/>
              </w:rPr>
              <w:t>use,​</w:t>
            </w:r>
            <w:proofErr w:type="gramEnd"/>
            <w:r w:rsidRPr="005762E6">
              <w:rPr>
                <w:sz w:val="20"/>
                <w:szCs w:val="20"/>
              </w:rPr>
              <w:t xml:space="preserve"> menthol cigarette use among smokers have increased from 2004 to 2008. </w:t>
            </w:r>
            <w:proofErr w:type="gramStart"/>
            <w:r w:rsidRPr="005762E6">
              <w:rPr>
                <w:sz w:val="20"/>
                <w:szCs w:val="20"/>
              </w:rPr>
              <w:t>However,​</w:t>
            </w:r>
            <w:proofErr w:type="gramEnd"/>
            <w:r w:rsidRPr="005762E6">
              <w:rPr>
                <w:sz w:val="20"/>
                <w:szCs w:val="20"/>
              </w:rPr>
              <w:t xml:space="preserve"> no increase was observed during these years for predominantly menthol brands like NewportTM,​ Kool,​TM and SalemTM,​ however,​ this lack of significant trend may be due,​ at least in part,​ due to smaller numbers of smokers of specific brands or sub-brands,​ which provide estimates which are less precise.,​ CONCLUSION: Menthol cigarettes are disproportionately smoked by groups of U.S. cigarette smokers. It is likely that other disparities in menthol cigarette use exist that we have not covered or have not been studied yet.</w:t>
            </w:r>
          </w:p>
        </w:tc>
      </w:tr>
      <w:tr w:rsidR="00B44564" w:rsidRPr="005762E6" w14:paraId="3F740A66"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702A661" w14:textId="77777777" w:rsidR="00B44564" w:rsidRPr="005762E6" w:rsidRDefault="00B44564" w:rsidP="00EA69AA">
            <w:pPr>
              <w:spacing w:after="120" w:line="240" w:lineRule="auto"/>
              <w:contextualSpacing/>
              <w:rPr>
                <w:sz w:val="20"/>
                <w:szCs w:val="20"/>
              </w:rPr>
            </w:pPr>
            <w:r w:rsidRPr="005762E6">
              <w:rPr>
                <w:sz w:val="20"/>
                <w:szCs w:val="20"/>
              </w:rPr>
              <w:t>306</w:t>
            </w:r>
          </w:p>
        </w:tc>
        <w:tc>
          <w:tcPr>
            <w:tcW w:w="0" w:type="auto"/>
            <w:tcBorders>
              <w:top w:val="single" w:sz="6" w:space="0" w:color="auto"/>
              <w:left w:val="single" w:sz="6" w:space="0" w:color="auto"/>
              <w:bottom w:val="single" w:sz="6" w:space="0" w:color="auto"/>
              <w:right w:val="single" w:sz="6" w:space="0" w:color="auto"/>
            </w:tcBorders>
          </w:tcPr>
          <w:p w14:paraId="4BB5C0F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6B88286" w14:textId="186DA059" w:rsidR="00B44564" w:rsidRPr="005762E6" w:rsidRDefault="00B44564" w:rsidP="00EA69AA">
            <w:pPr>
              <w:spacing w:after="120" w:line="240" w:lineRule="auto"/>
              <w:contextualSpacing/>
              <w:rPr>
                <w:sz w:val="20"/>
                <w:szCs w:val="20"/>
              </w:rPr>
            </w:pPr>
            <w:r w:rsidRPr="005762E6">
              <w:rPr>
                <w:sz w:val="20"/>
                <w:szCs w:val="20"/>
              </w:rPr>
              <w:t>Allison C Hoffman Introduction: Mentholated cigarettes and public health</w:t>
            </w:r>
            <w:r w:rsidR="007F2F01">
              <w:rPr>
                <w:sz w:val="20"/>
                <w:szCs w:val="20"/>
              </w:rPr>
              <w:t>.</w:t>
            </w:r>
            <w:r w:rsidRPr="005762E6">
              <w:rPr>
                <w:sz w:val="20"/>
                <w:szCs w:val="20"/>
              </w:rPr>
              <w:t xml:space="preserve"> Tobacco induced diseases; 2011;9 Suppl </w:t>
            </w:r>
            <w:proofErr w:type="gramStart"/>
            <w:r w:rsidRPr="005762E6">
              <w:rPr>
                <w:sz w:val="20"/>
                <w:szCs w:val="20"/>
              </w:rPr>
              <w:t>1:I</w:t>
            </w:r>
            <w:proofErr w:type="gramEnd"/>
            <w:r w:rsidRPr="005762E6">
              <w:rPr>
                <w:sz w:val="20"/>
                <w:szCs w:val="20"/>
              </w:rPr>
              <w:t>1.</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0D04B3F2"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1BFBBFA" w14:textId="77777777" w:rsidR="00B44564" w:rsidRPr="005762E6" w:rsidRDefault="00B44564" w:rsidP="00EA69AA">
            <w:pPr>
              <w:spacing w:after="120" w:line="240" w:lineRule="auto"/>
              <w:contextualSpacing/>
              <w:rPr>
                <w:sz w:val="20"/>
                <w:szCs w:val="20"/>
              </w:rPr>
            </w:pPr>
            <w:r w:rsidRPr="005762E6">
              <w:rPr>
                <w:sz w:val="20"/>
                <w:szCs w:val="20"/>
              </w:rPr>
              <w:t>311</w:t>
            </w:r>
          </w:p>
        </w:tc>
        <w:tc>
          <w:tcPr>
            <w:tcW w:w="0" w:type="auto"/>
            <w:tcBorders>
              <w:top w:val="single" w:sz="6" w:space="0" w:color="auto"/>
              <w:left w:val="single" w:sz="6" w:space="0" w:color="auto"/>
              <w:bottom w:val="single" w:sz="6" w:space="0" w:color="auto"/>
              <w:right w:val="single" w:sz="6" w:space="0" w:color="auto"/>
            </w:tcBorders>
          </w:tcPr>
          <w:p w14:paraId="139B4642"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6E2FCB0" w14:textId="40AD45D5" w:rsidR="00B44564" w:rsidRPr="005762E6" w:rsidRDefault="00B44564" w:rsidP="00EA69AA">
            <w:pPr>
              <w:spacing w:after="120" w:line="240" w:lineRule="auto"/>
              <w:contextualSpacing/>
              <w:rPr>
                <w:sz w:val="20"/>
                <w:szCs w:val="20"/>
              </w:rPr>
            </w:pPr>
            <w:r w:rsidRPr="005762E6">
              <w:rPr>
                <w:sz w:val="20"/>
                <w:szCs w:val="20"/>
              </w:rPr>
              <w:t xml:space="preserve">Eva O </w:t>
            </w:r>
            <w:proofErr w:type="gramStart"/>
            <w:r w:rsidRPr="005762E6">
              <w:rPr>
                <w:sz w:val="20"/>
                <w:szCs w:val="20"/>
              </w:rPr>
              <w:t>Hansen,​</w:t>
            </w:r>
            <w:proofErr w:type="gramEnd"/>
            <w:r w:rsidRPr="005762E6">
              <w:rPr>
                <w:sz w:val="20"/>
                <w:szCs w:val="20"/>
              </w:rPr>
              <w:t xml:space="preserve"> Lars Arendt-Nielsen,​ Shellie A Boudreau A Comparison of Oral Sensory Effects of Three TRPA1 Agonists in Young Adult Smokers and Non-smokers</w:t>
            </w:r>
            <w:r w:rsidR="007F2F01">
              <w:rPr>
                <w:sz w:val="20"/>
                <w:szCs w:val="20"/>
              </w:rPr>
              <w:t>.</w:t>
            </w:r>
            <w:r w:rsidRPr="005762E6">
              <w:rPr>
                <w:sz w:val="20"/>
                <w:szCs w:val="20"/>
              </w:rPr>
              <w:t xml:space="preserve"> Frontiers in physiology; </w:t>
            </w:r>
            <w:proofErr w:type="gramStart"/>
            <w:r w:rsidRPr="005762E6">
              <w:rPr>
                <w:sz w:val="20"/>
                <w:szCs w:val="20"/>
              </w:rPr>
              <w:t>2017;8:663</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This study profiled intra-oral somatosensory and vasomotor responses to three different transient </w:t>
            </w:r>
            <w:r w:rsidRPr="005762E6">
              <w:rPr>
                <w:sz w:val="20"/>
                <w:szCs w:val="20"/>
              </w:rPr>
              <w:lastRenderedPageBreak/>
              <w:t xml:space="preserve">receptor potential (TRP) channels,​ subfamily A,​ member 1 (TRPA1) agonists (menthol,​ nicotine,​ and cinnamaldehyde) in smoking and non-smoking young adults. Healthy non-smokers (N = 30) and otherwise healthy smokers (N = 25) participated in a </w:t>
            </w:r>
            <w:proofErr w:type="gramStart"/>
            <w:r w:rsidRPr="005762E6">
              <w:rPr>
                <w:sz w:val="20"/>
                <w:szCs w:val="20"/>
              </w:rPr>
              <w:t>randomized,​</w:t>
            </w:r>
            <w:proofErr w:type="gramEnd"/>
            <w:r w:rsidRPr="005762E6">
              <w:rPr>
                <w:sz w:val="20"/>
                <w:szCs w:val="20"/>
              </w:rPr>
              <w:t xml:space="preserve"> double-blinded,​ cross-over study consisting of three experimental sessions in which they received menthol (30 mg),​ nicotine (4 mg),​ or cinnamaldehyde (25 mg) chewing gum. Throughout a standardized 10 min chewing </w:t>
            </w:r>
            <w:proofErr w:type="gramStart"/>
            <w:r w:rsidRPr="005762E6">
              <w:rPr>
                <w:sz w:val="20"/>
                <w:szCs w:val="20"/>
              </w:rPr>
              <w:t>regime,​</w:t>
            </w:r>
            <w:proofErr w:type="gramEnd"/>
            <w:r w:rsidRPr="005762E6">
              <w:rPr>
                <w:sz w:val="20"/>
                <w:szCs w:val="20"/>
              </w:rPr>
              <w:t xml:space="preserve"> burning,​ cooling,​ and irritation intensities,​ and location were recorded. In </w:t>
            </w:r>
            <w:proofErr w:type="gramStart"/>
            <w:r w:rsidRPr="005762E6">
              <w:rPr>
                <w:sz w:val="20"/>
                <w:szCs w:val="20"/>
              </w:rPr>
              <w:t>addition,​</w:t>
            </w:r>
            <w:proofErr w:type="gramEnd"/>
            <w:r w:rsidRPr="005762E6">
              <w:rPr>
                <w:sz w:val="20"/>
                <w:szCs w:val="20"/>
              </w:rPr>
              <w:t xml:space="preserve"> blood pressure,​ heart rate and intra-oral temperature were assessed before,​ during,​ and after chewing. Basal intra-oral temperature was lower in smokers (35.2degreeC +/- 1.58) as compared to non-smokers (35.9degreeC +/- 1.61) [</w:t>
            </w:r>
            <w:proofErr w:type="gramStart"/>
            <w:r w:rsidRPr="005762E6">
              <w:rPr>
                <w:sz w:val="20"/>
                <w:szCs w:val="20"/>
              </w:rPr>
              <w:t>F(</w:t>
            </w:r>
            <w:proofErr w:type="gramEnd"/>
            <w:r w:rsidRPr="005762E6">
              <w:rPr>
                <w:sz w:val="20"/>
                <w:szCs w:val="20"/>
              </w:rPr>
              <w:t xml:space="preserve">1,​ 52) = 8.5,​ P = 0.005,​ post hoc,​ p = 0.005]. </w:t>
            </w:r>
            <w:proofErr w:type="gramStart"/>
            <w:r w:rsidRPr="005762E6">
              <w:rPr>
                <w:sz w:val="20"/>
                <w:szCs w:val="20"/>
              </w:rPr>
              <w:t>However,​</w:t>
            </w:r>
            <w:proofErr w:type="gramEnd"/>
            <w:r w:rsidRPr="005762E6">
              <w:rPr>
                <w:sz w:val="20"/>
                <w:szCs w:val="20"/>
              </w:rPr>
              <w:t xml:space="preserve"> the increase in temperature,​ heart rate,​ and blood pressure in response to chewing menthol,​ nicotine,​ and cinnamaldehyde gums were similar between smokers and non-smokers. Although smoking status did not influence the intensity of </w:t>
            </w:r>
            <w:proofErr w:type="gramStart"/>
            <w:r w:rsidRPr="005762E6">
              <w:rPr>
                <w:sz w:val="20"/>
                <w:szCs w:val="20"/>
              </w:rPr>
              <w:t>burning,​</w:t>
            </w:r>
            <w:proofErr w:type="gramEnd"/>
            <w:r w:rsidRPr="005762E6">
              <w:rPr>
                <w:sz w:val="20"/>
                <w:szCs w:val="20"/>
              </w:rPr>
              <w:t xml:space="preserve"> cooling,​ and irritation,​ smokers did report nicotine burn more often (92%) than non-smokers (63%) [[Formula: see text] = 6.208,​ P = 0.013]. Reports of nicotine burn consistently occurred at the back of the throat and cinnamaldehyde burn on the tongue. The cooling sensation of menthol was more widely distributed in the mouth of non-smokers as compared to smokers. Smoking alters </w:t>
            </w:r>
            <w:proofErr w:type="gramStart"/>
            <w:r w:rsidRPr="005762E6">
              <w:rPr>
                <w:sz w:val="20"/>
                <w:szCs w:val="20"/>
              </w:rPr>
              <w:t>thermoregulation,​</w:t>
            </w:r>
            <w:proofErr w:type="gramEnd"/>
            <w:r w:rsidRPr="005762E6">
              <w:rPr>
                <w:sz w:val="20"/>
                <w:szCs w:val="20"/>
              </w:rPr>
              <w:t xml:space="preserve"> somatosensory,​ and possibly TRPA1 receptor responsiveness and suggests that accumulated exposure of nicotine by way of cigarette smoke alters oral sensory and vasomotor sensitivity.</w:t>
            </w:r>
          </w:p>
        </w:tc>
      </w:tr>
      <w:tr w:rsidR="00B44564" w:rsidRPr="005762E6" w14:paraId="47A49D58"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87813C0" w14:textId="77777777" w:rsidR="00B44564" w:rsidRPr="005762E6" w:rsidRDefault="00B44564" w:rsidP="00EA69AA">
            <w:pPr>
              <w:spacing w:after="120" w:line="240" w:lineRule="auto"/>
              <w:contextualSpacing/>
              <w:rPr>
                <w:sz w:val="20"/>
                <w:szCs w:val="20"/>
              </w:rPr>
            </w:pPr>
            <w:r w:rsidRPr="005762E6">
              <w:rPr>
                <w:sz w:val="20"/>
                <w:szCs w:val="20"/>
              </w:rPr>
              <w:lastRenderedPageBreak/>
              <w:t>313</w:t>
            </w:r>
          </w:p>
        </w:tc>
        <w:tc>
          <w:tcPr>
            <w:tcW w:w="0" w:type="auto"/>
            <w:tcBorders>
              <w:top w:val="single" w:sz="6" w:space="0" w:color="auto"/>
              <w:left w:val="single" w:sz="6" w:space="0" w:color="auto"/>
              <w:bottom w:val="single" w:sz="6" w:space="0" w:color="auto"/>
              <w:right w:val="single" w:sz="6" w:space="0" w:color="auto"/>
            </w:tcBorders>
          </w:tcPr>
          <w:p w14:paraId="019A4F25"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7DB003B" w14:textId="525CCB81" w:rsidR="00B44564" w:rsidRPr="005762E6" w:rsidRDefault="00B44564" w:rsidP="00EA69AA">
            <w:pPr>
              <w:spacing w:after="120" w:line="240" w:lineRule="auto"/>
              <w:contextualSpacing/>
              <w:rPr>
                <w:sz w:val="20"/>
                <w:szCs w:val="20"/>
              </w:rPr>
            </w:pPr>
            <w:r w:rsidRPr="005762E6">
              <w:rPr>
                <w:sz w:val="20"/>
                <w:szCs w:val="20"/>
              </w:rPr>
              <w:t xml:space="preserve">An-Hsuan </w:t>
            </w:r>
            <w:proofErr w:type="gramStart"/>
            <w:r w:rsidRPr="005762E6">
              <w:rPr>
                <w:sz w:val="20"/>
                <w:szCs w:val="20"/>
              </w:rPr>
              <w:t>Lin,​</w:t>
            </w:r>
            <w:proofErr w:type="gramEnd"/>
            <w:r w:rsidRPr="005762E6">
              <w:rPr>
                <w:sz w:val="20"/>
                <w:szCs w:val="20"/>
              </w:rPr>
              <w:t xml:space="preserve"> Meng-Han Liu,​ Hsin-Kuo B Ko,​ Diahn-Warng Perng,​ Tzong-Shyuan Lee,​ Yu Ru Kou Inflammatory Effects of Menthol vs. Non-menthol Cigarette Smoke Extract on Human Lung Epithelial Cells: A Double-Hit on TRPM8 by Reactive Oxygen Species and Menthol</w:t>
            </w:r>
            <w:r w:rsidR="007F2F01">
              <w:rPr>
                <w:sz w:val="20"/>
                <w:szCs w:val="20"/>
              </w:rPr>
              <w:t>.</w:t>
            </w:r>
            <w:r w:rsidRPr="005762E6">
              <w:rPr>
                <w:sz w:val="20"/>
                <w:szCs w:val="20"/>
              </w:rPr>
              <w:t xml:space="preserve"> Frontiers in physiology; </w:t>
            </w:r>
            <w:proofErr w:type="gramStart"/>
            <w:r w:rsidRPr="005762E6">
              <w:rPr>
                <w:sz w:val="20"/>
                <w:szCs w:val="20"/>
              </w:rPr>
              <w:t>2017;8:263</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Clinical studies suggest that smokers with chronic obstructive pulmonary disease who use menthol cigarettes may display more severe lung inflammation than those who smoke non-menthol cigarette. </w:t>
            </w:r>
            <w:proofErr w:type="gramStart"/>
            <w:r w:rsidRPr="005762E6">
              <w:rPr>
                <w:sz w:val="20"/>
                <w:szCs w:val="20"/>
              </w:rPr>
              <w:t>However,​</w:t>
            </w:r>
            <w:proofErr w:type="gramEnd"/>
            <w:r w:rsidRPr="005762E6">
              <w:rPr>
                <w:sz w:val="20"/>
                <w:szCs w:val="20"/>
              </w:rPr>
              <w:t xml:space="preserve"> the mechanisms for this difference remain unclear. Menthol is a ligand of transient receptor potential melastatin-8 (TRPM8</w:t>
            </w:r>
            <w:proofErr w:type="gramStart"/>
            <w:r w:rsidRPr="005762E6">
              <w:rPr>
                <w:sz w:val="20"/>
                <w:szCs w:val="20"/>
              </w:rPr>
              <w:t>),​</w:t>
            </w:r>
            <w:proofErr w:type="gramEnd"/>
            <w:r w:rsidRPr="005762E6">
              <w:rPr>
                <w:sz w:val="20"/>
                <w:szCs w:val="20"/>
              </w:rPr>
              <w:t xml:space="preserve"> a Ca2+-permeant channel sensitive to reactive oxygen species (ROS). We previously reported that exposure of human bronchial epithelial cells (HBECs) to non-menthol cigarette smoke extract (Non-M-CSE) triggers a cascade of inflammatory signaling leading to IL-8 induction. In this </w:t>
            </w:r>
            <w:proofErr w:type="gramStart"/>
            <w:r w:rsidRPr="005762E6">
              <w:rPr>
                <w:sz w:val="20"/>
                <w:szCs w:val="20"/>
              </w:rPr>
              <w:t>study,​</w:t>
            </w:r>
            <w:proofErr w:type="gramEnd"/>
            <w:r w:rsidRPr="005762E6">
              <w:rPr>
                <w:sz w:val="20"/>
                <w:szCs w:val="20"/>
              </w:rPr>
              <w:t xml:space="preserve"> we used this in vitro model to compare the inflammatory effects of menthol cigarette smoke extract (M-CSE) and Non-M-CSE and delineate the mechanisms underlying the differences in their impacts. Compared with Non-M-</w:t>
            </w:r>
            <w:proofErr w:type="gramStart"/>
            <w:r w:rsidRPr="005762E6">
              <w:rPr>
                <w:sz w:val="20"/>
                <w:szCs w:val="20"/>
              </w:rPr>
              <w:t>CSE,​</w:t>
            </w:r>
            <w:proofErr w:type="gramEnd"/>
            <w:r w:rsidRPr="005762E6">
              <w:rPr>
                <w:sz w:val="20"/>
                <w:szCs w:val="20"/>
              </w:rPr>
              <w:t xml:space="preserve"> M-CSE initially increased a similar level of extracellular ROS,​ suggesting the equivalent oxidant potency. </w:t>
            </w:r>
            <w:proofErr w:type="gramStart"/>
            <w:r w:rsidRPr="005762E6">
              <w:rPr>
                <w:sz w:val="20"/>
                <w:szCs w:val="20"/>
              </w:rPr>
              <w:t>However,​</w:t>
            </w:r>
            <w:proofErr w:type="gramEnd"/>
            <w:r w:rsidRPr="005762E6">
              <w:rPr>
                <w:sz w:val="20"/>
                <w:szCs w:val="20"/>
              </w:rPr>
              <w:t xml:space="preserve"> M-CSE subsequently produced more remarkable elevations in intracellular Ca2+,​ activation of the mitogen-activated protein kinases (MAPKs)/nuclear factor-kappaB (NF-kappaB) signaling,​ and IL-8 induction. The extracellular ROS responses to both CSE types were totally inhibited by N-acetyl-cysteine (NAC; a ROS scavenger). The intracellular Ca2+ responses to both CSE types were also totally prevented by </w:t>
            </w:r>
            <w:proofErr w:type="gramStart"/>
            <w:r w:rsidRPr="005762E6">
              <w:rPr>
                <w:sz w:val="20"/>
                <w:szCs w:val="20"/>
              </w:rPr>
              <w:t>NAC,​</w:t>
            </w:r>
            <w:proofErr w:type="gramEnd"/>
            <w:r w:rsidRPr="005762E6">
              <w:rPr>
                <w:sz w:val="20"/>
                <w:szCs w:val="20"/>
              </w:rPr>
              <w:t xml:space="preserve"> AMTB (a TRPM8 antagonist),​ or EGTA (an extracellular Ca2+ chelator). The activation of the MAPK/NF-kappaB signaling and induction of IL-8 to both CSE types were suppressed to similar levels by </w:t>
            </w:r>
            <w:proofErr w:type="gramStart"/>
            <w:r w:rsidRPr="005762E6">
              <w:rPr>
                <w:sz w:val="20"/>
                <w:szCs w:val="20"/>
              </w:rPr>
              <w:t>NAC,​</w:t>
            </w:r>
            <w:proofErr w:type="gramEnd"/>
            <w:r w:rsidRPr="005762E6">
              <w:rPr>
                <w:sz w:val="20"/>
                <w:szCs w:val="20"/>
              </w:rPr>
              <w:t xml:space="preserve"> AMTB,​ or EGTA. These results suggest </w:t>
            </w:r>
            <w:proofErr w:type="gramStart"/>
            <w:r w:rsidRPr="005762E6">
              <w:rPr>
                <w:sz w:val="20"/>
                <w:szCs w:val="20"/>
              </w:rPr>
              <w:t>that,​</w:t>
            </w:r>
            <w:proofErr w:type="gramEnd"/>
            <w:r w:rsidRPr="005762E6">
              <w:rPr>
                <w:sz w:val="20"/>
                <w:szCs w:val="20"/>
              </w:rPr>
              <w:t xml:space="preserve"> in addition to ROS generated by both CSE types,​ the menthol in M-CSE may act as another stimulus to further activate TRPM8 and induce the observed responses. We also found that menthol combined with Non-M-CSE induced greater responses of intracellular Ca2+ and IL-8 compared with Non-M-CSE alone. </w:t>
            </w:r>
            <w:proofErr w:type="gramStart"/>
            <w:r w:rsidRPr="005762E6">
              <w:rPr>
                <w:sz w:val="20"/>
                <w:szCs w:val="20"/>
              </w:rPr>
              <w:t>Moreover,​</w:t>
            </w:r>
            <w:proofErr w:type="gramEnd"/>
            <w:r w:rsidRPr="005762E6">
              <w:rPr>
                <w:sz w:val="20"/>
                <w:szCs w:val="20"/>
              </w:rPr>
              <w:t xml:space="preserve"> we confirmed the essential role of TRPM8 in these responses to Non-M-CSE or M-CSE and the difference in these responses between the both CSE types using HBECs with TRPM8 knockdown and TRPM8 knockout,​ and using HEK293 cells transfected with hTRPM8. </w:t>
            </w:r>
            <w:proofErr w:type="gramStart"/>
            <w:r w:rsidRPr="005762E6">
              <w:rPr>
                <w:sz w:val="20"/>
                <w:szCs w:val="20"/>
              </w:rPr>
              <w:t>Thus,​</w:t>
            </w:r>
            <w:proofErr w:type="gramEnd"/>
            <w:r w:rsidRPr="005762E6">
              <w:rPr>
                <w:sz w:val="20"/>
                <w:szCs w:val="20"/>
              </w:rPr>
              <w:t xml:space="preserve"> compared with exposure to Non-M-CSE,​ exposure to M-CSE induced greater TRPM8-mediated inflammatory responses in HBECs. These augmented effects may be due to a double-hit on lung epithelial TRPM8 by ROS generated from CSE and the menthol in M-CSE.</w:t>
            </w:r>
          </w:p>
        </w:tc>
      </w:tr>
      <w:tr w:rsidR="00B44564" w:rsidRPr="005762E6" w14:paraId="5CDB4CDF"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1350A02" w14:textId="77777777" w:rsidR="00B44564" w:rsidRPr="005762E6" w:rsidRDefault="00B44564" w:rsidP="00EA69AA">
            <w:pPr>
              <w:spacing w:after="120" w:line="240" w:lineRule="auto"/>
              <w:contextualSpacing/>
              <w:rPr>
                <w:sz w:val="20"/>
                <w:szCs w:val="20"/>
              </w:rPr>
            </w:pPr>
            <w:r w:rsidRPr="005762E6">
              <w:rPr>
                <w:sz w:val="20"/>
                <w:szCs w:val="20"/>
              </w:rPr>
              <w:t>314</w:t>
            </w:r>
          </w:p>
        </w:tc>
        <w:tc>
          <w:tcPr>
            <w:tcW w:w="0" w:type="auto"/>
            <w:tcBorders>
              <w:top w:val="single" w:sz="6" w:space="0" w:color="auto"/>
              <w:left w:val="single" w:sz="6" w:space="0" w:color="auto"/>
              <w:bottom w:val="single" w:sz="6" w:space="0" w:color="auto"/>
              <w:right w:val="single" w:sz="6" w:space="0" w:color="auto"/>
            </w:tcBorders>
          </w:tcPr>
          <w:p w14:paraId="3ACDA008"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D811A4F" w14:textId="4CF7E682" w:rsidR="00B44564" w:rsidRPr="005762E6" w:rsidRDefault="00B44564" w:rsidP="00EA69AA">
            <w:pPr>
              <w:spacing w:after="120" w:line="240" w:lineRule="auto"/>
              <w:contextualSpacing/>
              <w:rPr>
                <w:sz w:val="20"/>
                <w:szCs w:val="20"/>
              </w:rPr>
            </w:pPr>
            <w:r w:rsidRPr="005762E6">
              <w:rPr>
                <w:sz w:val="20"/>
                <w:szCs w:val="20"/>
              </w:rPr>
              <w:t xml:space="preserve">Cynthia Van </w:t>
            </w:r>
            <w:proofErr w:type="gramStart"/>
            <w:r w:rsidRPr="005762E6">
              <w:rPr>
                <w:sz w:val="20"/>
                <w:szCs w:val="20"/>
              </w:rPr>
              <w:t>Landingham,​</w:t>
            </w:r>
            <w:proofErr w:type="gramEnd"/>
            <w:r w:rsidRPr="005762E6">
              <w:rPr>
                <w:sz w:val="20"/>
                <w:szCs w:val="20"/>
              </w:rPr>
              <w:t xml:space="preserve"> William Fuller,​ Greg Mariano,​ Kristin Marano,​ Geoffrey Curtin,​ Sandra I Sulsky Data on cardiovascular and pulmonary diseases among smokers of menthol and non-menthol cigarettes compiled from the National Health and Nutrition Examination Survey (NHANES),​ 1999-2012</w:t>
            </w:r>
            <w:r w:rsidR="007F2F01">
              <w:rPr>
                <w:sz w:val="20"/>
                <w:szCs w:val="20"/>
              </w:rPr>
              <w:t>.</w:t>
            </w:r>
            <w:r w:rsidRPr="005762E6">
              <w:rPr>
                <w:sz w:val="20"/>
                <w:szCs w:val="20"/>
              </w:rPr>
              <w:t xml:space="preserve"> Data in brief; </w:t>
            </w:r>
            <w:proofErr w:type="gramStart"/>
            <w:r w:rsidRPr="005762E6">
              <w:rPr>
                <w:sz w:val="20"/>
                <w:szCs w:val="20"/>
              </w:rPr>
              <w:t>2017;12:386</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lastRenderedPageBreak/>
              <w:t xml:space="preserve">Abstract: </w:t>
            </w:r>
            <w:r w:rsidRPr="005762E6">
              <w:rPr>
                <w:sz w:val="20"/>
                <w:szCs w:val="20"/>
              </w:rPr>
              <w:t xml:space="preserve">This Data in Brief contains results from three different survey logistic regression models comparing risks of self-reported diagnoses of cardiovascular and pulmonary diseases among smokers of menthol and non-menthol cigarettes. Analyses employ data from National Health and Nutrition Examination Survey (NHANES) cycles administered between 1999 and </w:t>
            </w:r>
            <w:proofErr w:type="gramStart"/>
            <w:r w:rsidRPr="005762E6">
              <w:rPr>
                <w:sz w:val="20"/>
                <w:szCs w:val="20"/>
              </w:rPr>
              <w:t>2012,​</w:t>
            </w:r>
            <w:proofErr w:type="gramEnd"/>
            <w:r w:rsidRPr="005762E6">
              <w:rPr>
                <w:sz w:val="20"/>
                <w:szCs w:val="20"/>
              </w:rPr>
              <w:t xml:space="preserve"> combined and in subsets. Raw data may be downloaded from the National Center for Health Statistics. Results were not much affected by which covariates were included in the </w:t>
            </w:r>
            <w:proofErr w:type="gramStart"/>
            <w:r w:rsidRPr="005762E6">
              <w:rPr>
                <w:sz w:val="20"/>
                <w:szCs w:val="20"/>
              </w:rPr>
              <w:t>models,​</w:t>
            </w:r>
            <w:proofErr w:type="gramEnd"/>
            <w:r w:rsidRPr="005762E6">
              <w:rPr>
                <w:sz w:val="20"/>
                <w:szCs w:val="20"/>
              </w:rPr>
              <w:t xml:space="preserve"> but depended strongly on the NHANES cycles included in the analysis. All three models returned elevated risk estimates for three endpoints when they were run in individual NHANES cycles (congestive heart failure in 2001-02; hypertension in 2003-04; and chronic obstructive pulmonary disease in 2005-06</w:t>
            </w:r>
            <w:proofErr w:type="gramStart"/>
            <w:r w:rsidRPr="005762E6">
              <w:rPr>
                <w:sz w:val="20"/>
                <w:szCs w:val="20"/>
              </w:rPr>
              <w:t>),​</w:t>
            </w:r>
            <w:proofErr w:type="gramEnd"/>
            <w:r w:rsidRPr="005762E6">
              <w:rPr>
                <w:sz w:val="20"/>
                <w:szCs w:val="20"/>
              </w:rPr>
              <w:t xml:space="preserve"> and all three models returned null results for these endpoints when data from 1999-2012 were combined.</w:t>
            </w:r>
          </w:p>
        </w:tc>
      </w:tr>
      <w:tr w:rsidR="00B44564" w:rsidRPr="005762E6" w14:paraId="415C5AD8"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420F0BC" w14:textId="77777777" w:rsidR="00B44564" w:rsidRPr="005762E6" w:rsidRDefault="00B44564" w:rsidP="00EA69AA">
            <w:pPr>
              <w:spacing w:after="120" w:line="240" w:lineRule="auto"/>
              <w:contextualSpacing/>
              <w:rPr>
                <w:sz w:val="20"/>
                <w:szCs w:val="20"/>
              </w:rPr>
            </w:pPr>
            <w:r w:rsidRPr="005762E6">
              <w:rPr>
                <w:sz w:val="20"/>
                <w:szCs w:val="20"/>
              </w:rPr>
              <w:lastRenderedPageBreak/>
              <w:t>316</w:t>
            </w:r>
          </w:p>
        </w:tc>
        <w:tc>
          <w:tcPr>
            <w:tcW w:w="0" w:type="auto"/>
            <w:tcBorders>
              <w:top w:val="single" w:sz="6" w:space="0" w:color="auto"/>
              <w:left w:val="single" w:sz="6" w:space="0" w:color="auto"/>
              <w:bottom w:val="single" w:sz="6" w:space="0" w:color="auto"/>
              <w:right w:val="single" w:sz="6" w:space="0" w:color="auto"/>
            </w:tcBorders>
          </w:tcPr>
          <w:p w14:paraId="5EC04173"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09BBADD" w14:textId="5D52F07A" w:rsidR="00B44564" w:rsidRPr="005762E6" w:rsidRDefault="00B44564" w:rsidP="00EA69AA">
            <w:pPr>
              <w:spacing w:after="120" w:line="240" w:lineRule="auto"/>
              <w:contextualSpacing/>
              <w:rPr>
                <w:sz w:val="20"/>
                <w:szCs w:val="20"/>
              </w:rPr>
            </w:pPr>
            <w:r w:rsidRPr="005762E6">
              <w:rPr>
                <w:sz w:val="20"/>
                <w:szCs w:val="20"/>
              </w:rPr>
              <w:t xml:space="preserve">Julia N </w:t>
            </w:r>
            <w:proofErr w:type="gramStart"/>
            <w:r w:rsidRPr="005762E6">
              <w:rPr>
                <w:sz w:val="20"/>
                <w:szCs w:val="20"/>
              </w:rPr>
              <w:t>Soulakova,​</w:t>
            </w:r>
            <w:proofErr w:type="gramEnd"/>
            <w:r w:rsidRPr="005762E6">
              <w:rPr>
                <w:sz w:val="20"/>
                <w:szCs w:val="20"/>
              </w:rPr>
              <w:t xml:space="preserve"> Ryan R Danczak Impact of Menthol Smoking on Nicotine Dependence for Diverse Racial/Ethnic Groups of Daily Smokers</w:t>
            </w:r>
            <w:r w:rsidR="007F2F01">
              <w:rPr>
                <w:sz w:val="20"/>
                <w:szCs w:val="20"/>
              </w:rPr>
              <w:t>.</w:t>
            </w:r>
            <w:r w:rsidRPr="005762E6">
              <w:rPr>
                <w:sz w:val="20"/>
                <w:szCs w:val="20"/>
              </w:rPr>
              <w:t xml:space="preserve"> Healthcare (</w:t>
            </w:r>
            <w:proofErr w:type="gramStart"/>
            <w:r w:rsidRPr="005762E6">
              <w:rPr>
                <w:sz w:val="20"/>
                <w:szCs w:val="20"/>
              </w:rPr>
              <w:t>Basel,​</w:t>
            </w:r>
            <w:proofErr w:type="gramEnd"/>
            <w:r w:rsidRPr="005762E6">
              <w:rPr>
                <w:sz w:val="20"/>
                <w:szCs w:val="20"/>
              </w:rPr>
              <w:t xml:space="preserve"> Switzerland); 2017;5:</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The aims of this study were to evaluate whether menthol smoking and race/ethnicity are associated with nicotine dependence in daily smokers. Methods: The study used two subsamples of U.S. daily smokers who responded to the 2010-2011 Tobacco Use Supplement to the Current Population Survey. The larger subsample consisted of </w:t>
            </w:r>
            <w:proofErr w:type="gramStart"/>
            <w:r w:rsidRPr="005762E6">
              <w:rPr>
                <w:sz w:val="20"/>
                <w:szCs w:val="20"/>
              </w:rPr>
              <w:t>18,​</w:t>
            </w:r>
            <w:proofErr w:type="gramEnd"/>
            <w:r w:rsidRPr="005762E6">
              <w:rPr>
                <w:sz w:val="20"/>
                <w:szCs w:val="20"/>
              </w:rPr>
              <w:t>849 non-Hispanic White (NHW),​ non-Hispanic Black (NHB),​ and Hispanic (HISP) smokers. The smaller subsample consisted of 1112 non-Hispanic American Indian/Alaska Native (AIAN</w:t>
            </w:r>
            <w:proofErr w:type="gramStart"/>
            <w:r w:rsidRPr="005762E6">
              <w:rPr>
                <w:sz w:val="20"/>
                <w:szCs w:val="20"/>
              </w:rPr>
              <w:t>),​</w:t>
            </w:r>
            <w:proofErr w:type="gramEnd"/>
            <w:r w:rsidRPr="005762E6">
              <w:rPr>
                <w:sz w:val="20"/>
                <w:szCs w:val="20"/>
              </w:rPr>
              <w:t xml:space="preserve"> non-Hispanic Asian (ASIAN),​ non-Hispanic Hawaiian/Pacific Islander (HPI),​ and non-Hispanic Multiracial (MULT) smokers. Results: For larger (smaller) groups the rates were 45% (33%) for heavy smoking (16+ cig/day</w:t>
            </w:r>
            <w:proofErr w:type="gramStart"/>
            <w:r w:rsidRPr="005762E6">
              <w:rPr>
                <w:sz w:val="20"/>
                <w:szCs w:val="20"/>
              </w:rPr>
              <w:t>),​</w:t>
            </w:r>
            <w:proofErr w:type="gramEnd"/>
            <w:r w:rsidRPr="005762E6">
              <w:rPr>
                <w:sz w:val="20"/>
                <w:szCs w:val="20"/>
              </w:rPr>
              <w:t xml:space="preserve"> 59% (51%) for smoking within 30 min of awakening (Sw30),​ and 14% (14%) for night-smoking. </w:t>
            </w:r>
            <w:proofErr w:type="gramStart"/>
            <w:r w:rsidRPr="005762E6">
              <w:rPr>
                <w:sz w:val="20"/>
                <w:szCs w:val="20"/>
              </w:rPr>
              <w:t>Overall,​</w:t>
            </w:r>
            <w:proofErr w:type="gramEnd"/>
            <w:r w:rsidRPr="005762E6">
              <w:rPr>
                <w:sz w:val="20"/>
                <w:szCs w:val="20"/>
              </w:rPr>
              <w:t xml:space="preserve"> the highest prevalence of menthol smoking corresponded to NHB and HPI (&gt;=65%),​ followed by MULT and HISP (31%-37%),​ and then by AIAN,​ NHW,​ and ASIAN (22%-27%) smokers. For larger racial/ethnic </w:t>
            </w:r>
            <w:proofErr w:type="gramStart"/>
            <w:r w:rsidRPr="005762E6">
              <w:rPr>
                <w:sz w:val="20"/>
                <w:szCs w:val="20"/>
              </w:rPr>
              <w:t>groups,​</w:t>
            </w:r>
            <w:proofErr w:type="gramEnd"/>
            <w:r w:rsidRPr="005762E6">
              <w:rPr>
                <w:sz w:val="20"/>
                <w:szCs w:val="20"/>
              </w:rPr>
              <w:t xml:space="preserve"> menthol smoking was negatively associated with heavy smoking,​ not associated with Sw30,​ and positively associated with night-smoking. For smaller </w:t>
            </w:r>
            <w:proofErr w:type="gramStart"/>
            <w:r w:rsidRPr="005762E6">
              <w:rPr>
                <w:sz w:val="20"/>
                <w:szCs w:val="20"/>
              </w:rPr>
              <w:t>groups,​</w:t>
            </w:r>
            <w:proofErr w:type="gramEnd"/>
            <w:r w:rsidRPr="005762E6">
              <w:rPr>
                <w:sz w:val="20"/>
                <w:szCs w:val="20"/>
              </w:rPr>
              <w:t xml:space="preserve"> menthol smoking was not associated with any measure,​ but the rates of heavy smoking,​ Sw30,​ and night-smoking varied across the groups. Conclusions: The diverse associations between menthol smoking and nicotine dependence maybe due to distinction among the nicotine dependence </w:t>
            </w:r>
            <w:proofErr w:type="gramStart"/>
            <w:r w:rsidRPr="005762E6">
              <w:rPr>
                <w:sz w:val="20"/>
                <w:szCs w:val="20"/>
              </w:rPr>
              <w:t>measures,​</w:t>
            </w:r>
            <w:proofErr w:type="gramEnd"/>
            <w:r w:rsidRPr="005762E6">
              <w:rPr>
                <w:sz w:val="20"/>
                <w:szCs w:val="20"/>
              </w:rPr>
              <w:t xml:space="preserve"> i.e.,​ individually,​ each measure assesses a specific smoking behavior. Menthol smoking may be associated with promoting smoking behaviors.</w:t>
            </w:r>
          </w:p>
        </w:tc>
      </w:tr>
      <w:tr w:rsidR="00B44564" w:rsidRPr="005762E6" w14:paraId="360118FD"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F15F0E8" w14:textId="77777777" w:rsidR="00B44564" w:rsidRPr="005762E6" w:rsidRDefault="00B44564" w:rsidP="00EA69AA">
            <w:pPr>
              <w:spacing w:after="120" w:line="240" w:lineRule="auto"/>
              <w:contextualSpacing/>
              <w:rPr>
                <w:sz w:val="20"/>
                <w:szCs w:val="20"/>
              </w:rPr>
            </w:pPr>
            <w:r w:rsidRPr="005762E6">
              <w:rPr>
                <w:sz w:val="20"/>
                <w:szCs w:val="20"/>
              </w:rPr>
              <w:t>320</w:t>
            </w:r>
          </w:p>
        </w:tc>
        <w:tc>
          <w:tcPr>
            <w:tcW w:w="0" w:type="auto"/>
            <w:tcBorders>
              <w:top w:val="single" w:sz="6" w:space="0" w:color="auto"/>
              <w:left w:val="single" w:sz="6" w:space="0" w:color="auto"/>
              <w:bottom w:val="single" w:sz="6" w:space="0" w:color="auto"/>
              <w:right w:val="single" w:sz="6" w:space="0" w:color="auto"/>
            </w:tcBorders>
          </w:tcPr>
          <w:p w14:paraId="57C79EFD"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02B3E48" w14:textId="51E05DB3" w:rsidR="00B44564" w:rsidRPr="005762E6" w:rsidRDefault="00B44564" w:rsidP="00EA69AA">
            <w:pPr>
              <w:spacing w:after="120" w:line="240" w:lineRule="auto"/>
              <w:contextualSpacing/>
              <w:rPr>
                <w:sz w:val="20"/>
                <w:szCs w:val="20"/>
              </w:rPr>
            </w:pPr>
            <w:r w:rsidRPr="005762E6">
              <w:rPr>
                <w:sz w:val="20"/>
                <w:szCs w:val="20"/>
              </w:rPr>
              <w:t>Jeff Stier Even anti-tobacco studies must be held to basic scientific standards. A response to: Smoking intensity and intent to continue smoking among menthol and non-menthol adolescent smokers in Canada</w:t>
            </w:r>
            <w:r w:rsidR="007F2F01">
              <w:rPr>
                <w:sz w:val="20"/>
                <w:szCs w:val="20"/>
              </w:rPr>
              <w:t>.</w:t>
            </w:r>
            <w:r w:rsidRPr="005762E6">
              <w:rPr>
                <w:sz w:val="20"/>
                <w:szCs w:val="20"/>
              </w:rPr>
              <w:t xml:space="preserve"> Cancer causes &amp; </w:t>
            </w:r>
            <w:proofErr w:type="gramStart"/>
            <w:r w:rsidRPr="005762E6">
              <w:rPr>
                <w:sz w:val="20"/>
                <w:szCs w:val="20"/>
              </w:rPr>
              <w:t>control :</w:t>
            </w:r>
            <w:proofErr w:type="gramEnd"/>
            <w:r w:rsidRPr="005762E6">
              <w:rPr>
                <w:sz w:val="20"/>
                <w:szCs w:val="20"/>
              </w:rPr>
              <w:t xml:space="preserve"> CCC; 2015;26:1053.</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75EE381E"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3286AAA" w14:textId="77777777" w:rsidR="00B44564" w:rsidRPr="005762E6" w:rsidRDefault="00B44564" w:rsidP="00EA69AA">
            <w:pPr>
              <w:spacing w:after="120" w:line="240" w:lineRule="auto"/>
              <w:contextualSpacing/>
              <w:rPr>
                <w:sz w:val="20"/>
                <w:szCs w:val="20"/>
              </w:rPr>
            </w:pPr>
            <w:r w:rsidRPr="005762E6">
              <w:rPr>
                <w:sz w:val="20"/>
                <w:szCs w:val="20"/>
              </w:rPr>
              <w:t>322</w:t>
            </w:r>
          </w:p>
        </w:tc>
        <w:tc>
          <w:tcPr>
            <w:tcW w:w="0" w:type="auto"/>
            <w:tcBorders>
              <w:top w:val="single" w:sz="6" w:space="0" w:color="auto"/>
              <w:left w:val="single" w:sz="6" w:space="0" w:color="auto"/>
              <w:bottom w:val="single" w:sz="6" w:space="0" w:color="auto"/>
              <w:right w:val="single" w:sz="6" w:space="0" w:color="auto"/>
            </w:tcBorders>
          </w:tcPr>
          <w:p w14:paraId="2090E3E9"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184278D" w14:textId="77777777" w:rsidR="00B44564" w:rsidRPr="005762E6" w:rsidRDefault="00B44564" w:rsidP="00EA69AA">
            <w:pPr>
              <w:spacing w:after="120" w:line="240" w:lineRule="auto"/>
              <w:contextualSpacing/>
              <w:rPr>
                <w:sz w:val="20"/>
                <w:szCs w:val="20"/>
              </w:rPr>
            </w:pPr>
            <w:r w:rsidRPr="005762E6">
              <w:rPr>
                <w:sz w:val="20"/>
                <w:szCs w:val="20"/>
              </w:rPr>
              <w:t xml:space="preserve">Md Mizanur </w:t>
            </w:r>
            <w:proofErr w:type="gramStart"/>
            <w:r w:rsidRPr="005762E6">
              <w:rPr>
                <w:sz w:val="20"/>
                <w:szCs w:val="20"/>
              </w:rPr>
              <w:t>Rahman,​</w:t>
            </w:r>
            <w:proofErr w:type="gramEnd"/>
            <w:r w:rsidRPr="005762E6">
              <w:rPr>
                <w:sz w:val="20"/>
                <w:szCs w:val="20"/>
              </w:rPr>
              <w:t xml:space="preserve"> Mohd Taha Arif,​ Mohd Fadzillah Abd Razak,​ Mohd Raili Bin Suhaili,​ Zainab Tambi,​ Clifton Akoi,​ Deburra Peak Ngadan Does menthol-brand cigarette initiate early smoking? Evidence from a cross sectional study in </w:t>
            </w:r>
            <w:proofErr w:type="gramStart"/>
            <w:r w:rsidRPr="005762E6">
              <w:rPr>
                <w:sz w:val="20"/>
                <w:szCs w:val="20"/>
              </w:rPr>
              <w:t>sarawak,​</w:t>
            </w:r>
            <w:proofErr w:type="gramEnd"/>
            <w:r w:rsidRPr="005762E6">
              <w:rPr>
                <w:sz w:val="20"/>
                <w:szCs w:val="20"/>
              </w:rPr>
              <w:t xml:space="preserve"> malaysia. Iranian journal of public health; </w:t>
            </w:r>
            <w:proofErr w:type="gramStart"/>
            <w:r w:rsidRPr="005762E6">
              <w:rPr>
                <w:sz w:val="20"/>
                <w:szCs w:val="20"/>
              </w:rPr>
              <w:t>2014;43:385</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2EC2FB95"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EEBC651" w14:textId="77777777" w:rsidR="00B44564" w:rsidRPr="005762E6" w:rsidRDefault="00B44564" w:rsidP="00EA69AA">
            <w:pPr>
              <w:spacing w:after="120" w:line="240" w:lineRule="auto"/>
              <w:contextualSpacing/>
              <w:rPr>
                <w:sz w:val="20"/>
                <w:szCs w:val="20"/>
              </w:rPr>
            </w:pPr>
            <w:r w:rsidRPr="005762E6">
              <w:rPr>
                <w:sz w:val="20"/>
                <w:szCs w:val="20"/>
              </w:rPr>
              <w:t>324</w:t>
            </w:r>
          </w:p>
        </w:tc>
        <w:tc>
          <w:tcPr>
            <w:tcW w:w="0" w:type="auto"/>
            <w:tcBorders>
              <w:top w:val="single" w:sz="6" w:space="0" w:color="auto"/>
              <w:left w:val="single" w:sz="6" w:space="0" w:color="auto"/>
              <w:bottom w:val="single" w:sz="6" w:space="0" w:color="auto"/>
              <w:right w:val="single" w:sz="6" w:space="0" w:color="auto"/>
            </w:tcBorders>
          </w:tcPr>
          <w:p w14:paraId="4623EF29"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B9ADAA6" w14:textId="27776CA7" w:rsidR="00B44564" w:rsidRPr="005762E6" w:rsidRDefault="00B44564" w:rsidP="00EA69AA">
            <w:pPr>
              <w:spacing w:after="120" w:line="240" w:lineRule="auto"/>
              <w:contextualSpacing/>
              <w:rPr>
                <w:sz w:val="20"/>
                <w:szCs w:val="20"/>
              </w:rPr>
            </w:pPr>
            <w:r w:rsidRPr="005762E6">
              <w:rPr>
                <w:sz w:val="20"/>
                <w:szCs w:val="20"/>
              </w:rPr>
              <w:t>Nadine Kabbani Not so Cool? Menthol's discovered actions on the nicotinic receptor and its implications for nicotine addiction</w:t>
            </w:r>
            <w:r w:rsidR="007F2F01">
              <w:rPr>
                <w:sz w:val="20"/>
                <w:szCs w:val="20"/>
              </w:rPr>
              <w:t>.</w:t>
            </w:r>
            <w:r w:rsidRPr="005762E6">
              <w:rPr>
                <w:sz w:val="20"/>
                <w:szCs w:val="20"/>
              </w:rPr>
              <w:t xml:space="preserve"> Frontiers in pharmacology; </w:t>
            </w:r>
            <w:proofErr w:type="gramStart"/>
            <w:r w:rsidRPr="005762E6">
              <w:rPr>
                <w:sz w:val="20"/>
                <w:szCs w:val="20"/>
              </w:rPr>
              <w:t>2013;4:95</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Nicotine cigarette smoke is a large public health burden worldwide,​ contributing to various types of disease. Anti-tobacco media campaigns and control programs have significantly reduced smoking in the </w:t>
            </w:r>
            <w:r w:rsidRPr="005762E6">
              <w:rPr>
                <w:sz w:val="20"/>
                <w:szCs w:val="20"/>
              </w:rPr>
              <w:lastRenderedPageBreak/>
              <w:t xml:space="preserve">United </w:t>
            </w:r>
            <w:proofErr w:type="gramStart"/>
            <w:r w:rsidRPr="005762E6">
              <w:rPr>
                <w:sz w:val="20"/>
                <w:szCs w:val="20"/>
              </w:rPr>
              <w:t>States,​</w:t>
            </w:r>
            <w:proofErr w:type="gramEnd"/>
            <w:r w:rsidRPr="005762E6">
              <w:rPr>
                <w:sz w:val="20"/>
                <w:szCs w:val="20"/>
              </w:rPr>
              <w:t xml:space="preserve"> yet trends for menthol cigarette smoking have not been as promising. Menthol cigarette smoking is particularly prevalent among young adults and African </w:t>
            </w:r>
            <w:proofErr w:type="gramStart"/>
            <w:r w:rsidRPr="005762E6">
              <w:rPr>
                <w:sz w:val="20"/>
                <w:szCs w:val="20"/>
              </w:rPr>
              <w:t>Americans,​</w:t>
            </w:r>
            <w:proofErr w:type="gramEnd"/>
            <w:r w:rsidRPr="005762E6">
              <w:rPr>
                <w:sz w:val="20"/>
                <w:szCs w:val="20"/>
              </w:rPr>
              <w:t xml:space="preserve"> with implications for long-term impacts on health care. Continuing high rates of menthol cigarette addiction call into question the role of menthol in nicotine addiction. To </w:t>
            </w:r>
            <w:proofErr w:type="gramStart"/>
            <w:r w:rsidRPr="005762E6">
              <w:rPr>
                <w:sz w:val="20"/>
                <w:szCs w:val="20"/>
              </w:rPr>
              <w:t>date,​</w:t>
            </w:r>
            <w:proofErr w:type="gramEnd"/>
            <w:r w:rsidRPr="005762E6">
              <w:rPr>
                <w:sz w:val="20"/>
                <w:szCs w:val="20"/>
              </w:rPr>
              <w:t xml:space="preserve"> a biological basis for the high rate of addiction and relapse among menthol cigarette smokers has not been defined. Studies have demonstrated a role for menthol in the metabolism of nicotine in the body. More recent findings now reveal an interaction between menthol and the nicotinic acetylcholine (nACh) receptor in cells. This receptor is central to the actions of nicotine in the </w:t>
            </w:r>
            <w:proofErr w:type="gramStart"/>
            <w:r w:rsidRPr="005762E6">
              <w:rPr>
                <w:sz w:val="20"/>
                <w:szCs w:val="20"/>
              </w:rPr>
              <w:t>brain,​</w:t>
            </w:r>
            <w:proofErr w:type="gramEnd"/>
            <w:r w:rsidRPr="005762E6">
              <w:rPr>
                <w:sz w:val="20"/>
                <w:szCs w:val="20"/>
              </w:rPr>
              <w:t xml:space="preserve"> and plays an important role in nicotine addiction. The newly discovered effect of menthol on nACh receptors may begin to explain the unique addictive properties of menthol cigarettes.</w:t>
            </w:r>
          </w:p>
        </w:tc>
      </w:tr>
      <w:tr w:rsidR="00B44564" w:rsidRPr="005762E6" w14:paraId="22539A1F"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93A3E8D" w14:textId="77777777" w:rsidR="00B44564" w:rsidRPr="005762E6" w:rsidRDefault="00B44564" w:rsidP="00EA69AA">
            <w:pPr>
              <w:spacing w:after="120" w:line="240" w:lineRule="auto"/>
              <w:contextualSpacing/>
              <w:rPr>
                <w:sz w:val="20"/>
                <w:szCs w:val="20"/>
              </w:rPr>
            </w:pPr>
            <w:r w:rsidRPr="005762E6">
              <w:rPr>
                <w:sz w:val="20"/>
                <w:szCs w:val="20"/>
              </w:rPr>
              <w:lastRenderedPageBreak/>
              <w:t>327</w:t>
            </w:r>
          </w:p>
        </w:tc>
        <w:tc>
          <w:tcPr>
            <w:tcW w:w="0" w:type="auto"/>
            <w:tcBorders>
              <w:top w:val="single" w:sz="6" w:space="0" w:color="auto"/>
              <w:left w:val="single" w:sz="6" w:space="0" w:color="auto"/>
              <w:bottom w:val="single" w:sz="6" w:space="0" w:color="auto"/>
              <w:right w:val="single" w:sz="6" w:space="0" w:color="auto"/>
            </w:tcBorders>
          </w:tcPr>
          <w:p w14:paraId="1A7E5C4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CA6B3FB" w14:textId="2B90073B" w:rsidR="00B44564" w:rsidRPr="005762E6" w:rsidRDefault="00B44564" w:rsidP="00EA69AA">
            <w:pPr>
              <w:spacing w:after="120" w:line="240" w:lineRule="auto"/>
              <w:contextualSpacing/>
              <w:rPr>
                <w:sz w:val="20"/>
                <w:szCs w:val="20"/>
              </w:rPr>
            </w:pPr>
            <w:r w:rsidRPr="005762E6">
              <w:rPr>
                <w:sz w:val="20"/>
                <w:szCs w:val="20"/>
              </w:rPr>
              <w:t xml:space="preserve">Allison M </w:t>
            </w:r>
            <w:proofErr w:type="gramStart"/>
            <w:r w:rsidRPr="005762E6">
              <w:rPr>
                <w:sz w:val="20"/>
                <w:szCs w:val="20"/>
              </w:rPr>
              <w:t>Schmidt,​</w:t>
            </w:r>
            <w:proofErr w:type="gramEnd"/>
            <w:r w:rsidRPr="005762E6">
              <w:rPr>
                <w:sz w:val="20"/>
                <w:szCs w:val="20"/>
              </w:rPr>
              <w:t xml:space="preserve"> Sarah D Kowitt,​ Allison E Myers,​ Adam O Goldstein Attitudes towards Potential New Tobacco Control Regulations among U.S. Adults</w:t>
            </w:r>
            <w:r w:rsidR="007F2F01">
              <w:rPr>
                <w:sz w:val="20"/>
                <w:szCs w:val="20"/>
              </w:rPr>
              <w:t>.</w:t>
            </w:r>
            <w:r w:rsidRPr="005762E6">
              <w:rPr>
                <w:sz w:val="20"/>
                <w:szCs w:val="20"/>
              </w:rPr>
              <w:t xml:space="preserve"> International journal of environmental research and public health; 2018;15:</w:t>
            </w:r>
            <w:r w:rsidRPr="005762E6">
              <w:rPr>
                <w:sz w:val="20"/>
                <w:szCs w:val="20"/>
              </w:rPr>
              <w:br/>
            </w:r>
            <w:r w:rsidRPr="005762E6">
              <w:rPr>
                <w:sz w:val="20"/>
                <w:szCs w:val="20"/>
              </w:rPr>
              <w:br/>
            </w:r>
            <w:r w:rsidRPr="005762E6">
              <w:rPr>
                <w:b/>
                <w:bCs/>
                <w:sz w:val="20"/>
                <w:szCs w:val="20"/>
              </w:rPr>
              <w:t>Keywords:</w:t>
            </w:r>
            <w:r w:rsidRPr="005762E6">
              <w:rPr>
                <w:sz w:val="20"/>
                <w:szCs w:val="20"/>
              </w:rPr>
              <w:br/>
              <w:t>Adult,​Aged,​Aged,​ 80 and over,​Electronic Nicotine Delivery Systems,​Female,​*Health Knowledge,​ Attitudes,​ Practice,​Health Surveys,​Humans,​*Legislation as Topic,​Male,​Middle Aged,​Public Policy,​*Smoking/lj [Legislation &amp; Jurisprudence],​*Smoking Prevention/mt [Methods],​*Tobacco/ae [Adverse Effects],​*Tobacco Products/ae [Adverse Effects],​United States,​*United States Food and Drug Administration/lj [Legislation &amp; Jurisprudence],​Young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Favorable attitudes towards tobacco control policies can facilitate their implementation and success. We examined attitudes toward four potential U.S. Federal tobacco regulations (banning menthol from </w:t>
            </w:r>
            <w:proofErr w:type="gramStart"/>
            <w:r w:rsidRPr="005762E6">
              <w:rPr>
                <w:sz w:val="20"/>
                <w:szCs w:val="20"/>
              </w:rPr>
              <w:t>cigarettes,​</w:t>
            </w:r>
            <w:proofErr w:type="gramEnd"/>
            <w:r w:rsidRPr="005762E6">
              <w:rPr>
                <w:sz w:val="20"/>
                <w:szCs w:val="20"/>
              </w:rPr>
              <w:t xml:space="preserve"> reducing nicotine levels in cigarettes,​ banning candy and fruit flavored electronic cigarettes,​ and banning candy and fruit flavored little cigars and cigarillos) and associations with individual and state variables. A nationally representative phone survey of 4337 adults assessed attitudes toward potential policies. Weighted logistic regression was used to assess relationships between attitudes and demographic </w:t>
            </w:r>
            <w:proofErr w:type="gramStart"/>
            <w:r w:rsidRPr="005762E6">
              <w:rPr>
                <w:sz w:val="20"/>
                <w:szCs w:val="20"/>
              </w:rPr>
              <w:t>factors,​</w:t>
            </w:r>
            <w:proofErr w:type="gramEnd"/>
            <w:r w:rsidRPr="005762E6">
              <w:rPr>
                <w:sz w:val="20"/>
                <w:szCs w:val="20"/>
              </w:rPr>
              <w:t xml:space="preserve"> smoking behavior,​ beliefs about the government (knowledge,​ trust,​ and credibility),​ exposure to tobacco control campaigns,​ and state variables from the US Centers for Disease Control and Prevention (CDC) State Tobacco Activities Tracking and Evaluation (STATE) System. Most respondents supported three out of four policies. Respondents that were </w:t>
            </w:r>
            <w:proofErr w:type="gramStart"/>
            <w:r w:rsidRPr="005762E6">
              <w:rPr>
                <w:sz w:val="20"/>
                <w:szCs w:val="20"/>
              </w:rPr>
              <w:t>female,​</w:t>
            </w:r>
            <w:proofErr w:type="gramEnd"/>
            <w:r w:rsidRPr="005762E6">
              <w:rPr>
                <w:sz w:val="20"/>
                <w:szCs w:val="20"/>
              </w:rPr>
              <w:t xml:space="preserve"> non-white,​ Latino,​ living below the poverty line,​ had less than high school education,​ were of older age,​ did not smoke,​ had higher trust in government,​ and were exposed to national tobacco control campaigns had higher odds of expressing favorable attitudes toward potential new tobacco regulations than did their counterparts. No state-level effects were found. While differences in attitudes were observed by individual demographic </w:t>
            </w:r>
            <w:proofErr w:type="gramStart"/>
            <w:r w:rsidRPr="005762E6">
              <w:rPr>
                <w:sz w:val="20"/>
                <w:szCs w:val="20"/>
              </w:rPr>
              <w:t>characteristics,​</w:t>
            </w:r>
            <w:proofErr w:type="gramEnd"/>
            <w:r w:rsidRPr="005762E6">
              <w:rPr>
                <w:sz w:val="20"/>
                <w:szCs w:val="20"/>
              </w:rPr>
              <w:t xml:space="preserve"> behaviors,​ and beliefs,​ a majority of participants supported most of the potential new tobacco regulations surveyed.</w:t>
            </w:r>
          </w:p>
        </w:tc>
      </w:tr>
      <w:tr w:rsidR="00B44564" w:rsidRPr="005762E6" w14:paraId="4E2C771E"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C4C6D80" w14:textId="77777777" w:rsidR="00B44564" w:rsidRPr="005762E6" w:rsidRDefault="00B44564" w:rsidP="00EA69AA">
            <w:pPr>
              <w:spacing w:after="120" w:line="240" w:lineRule="auto"/>
              <w:contextualSpacing/>
              <w:rPr>
                <w:sz w:val="20"/>
                <w:szCs w:val="20"/>
              </w:rPr>
            </w:pPr>
            <w:r w:rsidRPr="005762E6">
              <w:rPr>
                <w:sz w:val="20"/>
                <w:szCs w:val="20"/>
              </w:rPr>
              <w:t>329</w:t>
            </w:r>
          </w:p>
        </w:tc>
        <w:tc>
          <w:tcPr>
            <w:tcW w:w="0" w:type="auto"/>
            <w:tcBorders>
              <w:top w:val="single" w:sz="6" w:space="0" w:color="auto"/>
              <w:left w:val="single" w:sz="6" w:space="0" w:color="auto"/>
              <w:bottom w:val="single" w:sz="6" w:space="0" w:color="auto"/>
              <w:right w:val="single" w:sz="6" w:space="0" w:color="auto"/>
            </w:tcBorders>
          </w:tcPr>
          <w:p w14:paraId="1B11CA54"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48BB1B0" w14:textId="4F721DA0" w:rsidR="00B44564" w:rsidRPr="005762E6" w:rsidRDefault="00B44564" w:rsidP="00EA69AA">
            <w:pPr>
              <w:spacing w:after="120" w:line="240" w:lineRule="auto"/>
              <w:contextualSpacing/>
              <w:rPr>
                <w:sz w:val="20"/>
                <w:szCs w:val="20"/>
              </w:rPr>
            </w:pPr>
            <w:r w:rsidRPr="005762E6">
              <w:rPr>
                <w:sz w:val="20"/>
                <w:szCs w:val="20"/>
              </w:rPr>
              <w:t>Ruth E Malone It's the 21st century: isn't it past time to ban menthol cigarette sales?</w:t>
            </w:r>
            <w:r w:rsidR="007F2F01">
              <w:rPr>
                <w:sz w:val="20"/>
                <w:szCs w:val="20"/>
              </w:rPr>
              <w:t>.</w:t>
            </w:r>
            <w:r w:rsidRPr="005762E6">
              <w:rPr>
                <w:sz w:val="20"/>
                <w:szCs w:val="20"/>
              </w:rPr>
              <w:t xml:space="preserve"> Tobacco control; </w:t>
            </w:r>
            <w:proofErr w:type="gramStart"/>
            <w:r w:rsidRPr="005762E6">
              <w:rPr>
                <w:sz w:val="20"/>
                <w:szCs w:val="20"/>
              </w:rPr>
              <w:t>2017;26:359</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*Commerce/lj [Legislation &amp; Jurisprudence],​Humans,​*Menthol/ae [Adverse Effects],​*Tobacco Industry/lj [Legislation &amp; Jurisprudence],​*Tobacco Products/ae [Adverse Effects]</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57F8940B"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AE28CFF" w14:textId="77777777" w:rsidR="00B44564" w:rsidRPr="005762E6" w:rsidRDefault="00B44564" w:rsidP="00EA69AA">
            <w:pPr>
              <w:spacing w:after="120" w:line="240" w:lineRule="auto"/>
              <w:contextualSpacing/>
              <w:rPr>
                <w:sz w:val="20"/>
                <w:szCs w:val="20"/>
              </w:rPr>
            </w:pPr>
            <w:r w:rsidRPr="005762E6">
              <w:rPr>
                <w:sz w:val="20"/>
                <w:szCs w:val="20"/>
              </w:rPr>
              <w:t>335</w:t>
            </w:r>
          </w:p>
        </w:tc>
        <w:tc>
          <w:tcPr>
            <w:tcW w:w="0" w:type="auto"/>
            <w:tcBorders>
              <w:top w:val="single" w:sz="6" w:space="0" w:color="auto"/>
              <w:left w:val="single" w:sz="6" w:space="0" w:color="auto"/>
              <w:bottom w:val="single" w:sz="6" w:space="0" w:color="auto"/>
              <w:right w:val="single" w:sz="6" w:space="0" w:color="auto"/>
            </w:tcBorders>
          </w:tcPr>
          <w:p w14:paraId="0047D6FA"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F0EDB1B" w14:textId="67E76FFE" w:rsidR="00B44564" w:rsidRPr="005762E6" w:rsidRDefault="00B44564" w:rsidP="00EA69AA">
            <w:pPr>
              <w:spacing w:after="120" w:line="240" w:lineRule="auto"/>
              <w:contextualSpacing/>
              <w:rPr>
                <w:sz w:val="20"/>
                <w:szCs w:val="20"/>
              </w:rPr>
            </w:pPr>
            <w:r w:rsidRPr="005762E6">
              <w:rPr>
                <w:sz w:val="20"/>
                <w:szCs w:val="20"/>
              </w:rPr>
              <w:t xml:space="preserve">Jennifer </w:t>
            </w:r>
            <w:proofErr w:type="gramStart"/>
            <w:r w:rsidRPr="005762E6">
              <w:rPr>
                <w:sz w:val="20"/>
                <w:szCs w:val="20"/>
              </w:rPr>
              <w:t>Brown,​</w:t>
            </w:r>
            <w:proofErr w:type="gramEnd"/>
            <w:r w:rsidRPr="005762E6">
              <w:rPr>
                <w:sz w:val="20"/>
                <w:szCs w:val="20"/>
              </w:rPr>
              <w:t xml:space="preserve"> Teresa DeAtley,​ Kevin Welding,​ Robert Schwartz,​ Michael Chaiton,​ Deirdre Lawrence Kittner,​ Joanna E Cohen Tobacco industry response to menthol cigarette bans in Alberta and Nova Scotia,​ Canada</w:t>
            </w:r>
            <w:r w:rsidR="007F2F01">
              <w:rPr>
                <w:sz w:val="20"/>
                <w:szCs w:val="20"/>
              </w:rPr>
              <w:t>.</w:t>
            </w:r>
            <w:r w:rsidRPr="005762E6">
              <w:rPr>
                <w:sz w:val="20"/>
                <w:szCs w:val="20"/>
              </w:rPr>
              <w:t xml:space="preserve"> Tobacco control; 2017;</w:t>
            </w:r>
            <w:proofErr w:type="gramStart"/>
            <w:r w:rsidRPr="005762E6">
              <w:rPr>
                <w:sz w:val="20"/>
                <w:szCs w:val="20"/>
              </w:rPr>
              <w:t>26:e</w:t>
            </w:r>
            <w:proofErr w:type="gramEnd"/>
            <w:r w:rsidRPr="005762E6">
              <w:rPr>
                <w:sz w:val="20"/>
                <w:szCs w:val="20"/>
              </w:rPr>
              <w:t>71.</w:t>
            </w:r>
            <w:r w:rsidRPr="005762E6">
              <w:rPr>
                <w:sz w:val="20"/>
                <w:szCs w:val="20"/>
              </w:rPr>
              <w:br/>
            </w:r>
            <w:r w:rsidRPr="005762E6">
              <w:rPr>
                <w:sz w:val="20"/>
                <w:szCs w:val="20"/>
              </w:rPr>
              <w:br/>
            </w:r>
            <w:r w:rsidRPr="005762E6">
              <w:rPr>
                <w:b/>
                <w:bCs/>
                <w:sz w:val="20"/>
                <w:szCs w:val="20"/>
              </w:rPr>
              <w:t>Keywords:</w:t>
            </w:r>
            <w:r w:rsidRPr="005762E6">
              <w:rPr>
                <w:sz w:val="20"/>
                <w:szCs w:val="20"/>
              </w:rPr>
              <w:br/>
              <w:t>Alberta,​Humans,​*Marketing,​*Menthol,​Nova Scotia,​Product Packaging,​*Tobacco Industry/lj [Legislation &amp; Jurisprudence],​Tobacco Industry/mt [Methods],​*Tobacco Products/lj [Legislation &amp; Jurisprudence],​*Tobacco Smoking</w:t>
            </w:r>
            <w:r w:rsidRPr="005762E6">
              <w:rPr>
                <w:sz w:val="20"/>
                <w:szCs w:val="20"/>
              </w:rPr>
              <w:br/>
            </w:r>
            <w:r w:rsidRPr="005762E6">
              <w:rPr>
                <w:sz w:val="20"/>
                <w:szCs w:val="20"/>
              </w:rPr>
              <w:lastRenderedPageBreak/>
              <w:br/>
            </w:r>
            <w:r w:rsidRPr="005762E6">
              <w:rPr>
                <w:b/>
                <w:bCs/>
                <w:sz w:val="20"/>
                <w:szCs w:val="20"/>
              </w:rPr>
              <w:t xml:space="preserve">Abstract: </w:t>
            </w:r>
          </w:p>
        </w:tc>
      </w:tr>
      <w:tr w:rsidR="00B44564" w:rsidRPr="005762E6" w14:paraId="3356FAC3"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6544E2C" w14:textId="77777777" w:rsidR="00B44564" w:rsidRPr="005762E6" w:rsidRDefault="00B44564" w:rsidP="00EA69AA">
            <w:pPr>
              <w:spacing w:after="120" w:line="240" w:lineRule="auto"/>
              <w:contextualSpacing/>
              <w:rPr>
                <w:sz w:val="20"/>
                <w:szCs w:val="20"/>
              </w:rPr>
            </w:pPr>
            <w:r w:rsidRPr="005762E6">
              <w:rPr>
                <w:sz w:val="20"/>
                <w:szCs w:val="20"/>
              </w:rPr>
              <w:lastRenderedPageBreak/>
              <w:t>340</w:t>
            </w:r>
          </w:p>
        </w:tc>
        <w:tc>
          <w:tcPr>
            <w:tcW w:w="0" w:type="auto"/>
            <w:tcBorders>
              <w:top w:val="single" w:sz="6" w:space="0" w:color="auto"/>
              <w:left w:val="single" w:sz="6" w:space="0" w:color="auto"/>
              <w:bottom w:val="single" w:sz="6" w:space="0" w:color="auto"/>
              <w:right w:val="single" w:sz="6" w:space="0" w:color="auto"/>
            </w:tcBorders>
          </w:tcPr>
          <w:p w14:paraId="1B47E892"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0B1E2CF" w14:textId="34C0608E" w:rsidR="00B44564" w:rsidRPr="005762E6" w:rsidRDefault="00B44564" w:rsidP="00EA69AA">
            <w:pPr>
              <w:spacing w:after="120" w:line="240" w:lineRule="auto"/>
              <w:contextualSpacing/>
              <w:rPr>
                <w:sz w:val="20"/>
                <w:szCs w:val="20"/>
              </w:rPr>
            </w:pPr>
            <w:r w:rsidRPr="005762E6">
              <w:rPr>
                <w:sz w:val="20"/>
                <w:szCs w:val="20"/>
              </w:rPr>
              <w:t xml:space="preserve">Mathilde </w:t>
            </w:r>
            <w:proofErr w:type="gramStart"/>
            <w:r w:rsidRPr="005762E6">
              <w:rPr>
                <w:sz w:val="20"/>
                <w:szCs w:val="20"/>
              </w:rPr>
              <w:t>Marchand,​</w:t>
            </w:r>
            <w:proofErr w:type="gramEnd"/>
            <w:r w:rsidRPr="005762E6">
              <w:rPr>
                <w:sz w:val="20"/>
                <w:szCs w:val="20"/>
              </w:rPr>
              <w:t xml:space="preserve"> Patrick Brossard,​ Henri Merdjan,​ Nicola Lama,​ Rolf Weitkunat,​ Frank Ludicke Nicotine Population Pharmacokinetics in Healthy Adult Smokers: A Retrospective Analysis</w:t>
            </w:r>
            <w:r w:rsidR="007F2F01">
              <w:rPr>
                <w:sz w:val="20"/>
                <w:szCs w:val="20"/>
              </w:rPr>
              <w:t>.</w:t>
            </w:r>
            <w:r w:rsidRPr="005762E6">
              <w:rPr>
                <w:sz w:val="20"/>
                <w:szCs w:val="20"/>
              </w:rPr>
              <w:t xml:space="preserve"> European journal of drug metabolism and pharmacokinetics; 2017;42:943.</w:t>
            </w:r>
            <w:r w:rsidRPr="005762E6">
              <w:rPr>
                <w:sz w:val="20"/>
                <w:szCs w:val="20"/>
              </w:rPr>
              <w:br/>
            </w:r>
            <w:r w:rsidRPr="005762E6">
              <w:rPr>
                <w:sz w:val="20"/>
                <w:szCs w:val="20"/>
              </w:rPr>
              <w:br/>
            </w:r>
            <w:r w:rsidRPr="005762E6">
              <w:rPr>
                <w:b/>
                <w:bCs/>
                <w:sz w:val="20"/>
                <w:szCs w:val="20"/>
              </w:rPr>
              <w:t>Keywords:</w:t>
            </w:r>
            <w:r w:rsidRPr="005762E6">
              <w:rPr>
                <w:sz w:val="20"/>
                <w:szCs w:val="20"/>
              </w:rPr>
              <w:br/>
              <w:t>Administration,​ Inhalation,​Administration,​ Intranasal,​Administration,​ Oral,​Adult,​Aged,​Biological Availability,​Female,​Humans,​Male,​Middle Aged,​Models,​ Biological,​Nicotine/ad [Administration &amp; Dosage],​*Nicotine/pk [Pharmacokinetics],​Nicotine Chewing Gum,​*Randomized Controlled Trials as Topic/sn [Statistics &amp; Numerical Data],​Retrospective Studies,​Sex Factors,​*Smokers,​Young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AND OBJECTIVE: Characterizing nicotine pharmacokinetics is challenging in the presence of background exposure. We performed a combined retrospective population pharmacokinetic analysis of 8 </w:t>
            </w:r>
            <w:proofErr w:type="gramStart"/>
            <w:r w:rsidRPr="005762E6">
              <w:rPr>
                <w:sz w:val="20"/>
                <w:szCs w:val="20"/>
              </w:rPr>
              <w:t>trials,​</w:t>
            </w:r>
            <w:proofErr w:type="gramEnd"/>
            <w:r w:rsidRPr="005762E6">
              <w:rPr>
                <w:sz w:val="20"/>
                <w:szCs w:val="20"/>
              </w:rPr>
              <w:t xml:space="preserve"> including exposure to Tobacco Heating System and cigarettes (both inhaled),​ nicotine nasal spray and oral nicotine gum.,​ METHOD: Data from 4 single product use trials were used to develop a population pharmacokinetic model with Phoenix NLMETM and to derive exposure parameters. Data from 4 separate ad libitum use studies were used for external validation. A total of 702 healthy adult smokers (54% males; 21-66 years of age; smoking &gt;=10 cigarettes/day; from </w:t>
            </w:r>
            <w:proofErr w:type="gramStart"/>
            <w:r w:rsidRPr="005762E6">
              <w:rPr>
                <w:sz w:val="20"/>
                <w:szCs w:val="20"/>
              </w:rPr>
              <w:t>US,​</w:t>
            </w:r>
            <w:proofErr w:type="gramEnd"/>
            <w:r w:rsidRPr="005762E6">
              <w:rPr>
                <w:sz w:val="20"/>
                <w:szCs w:val="20"/>
              </w:rPr>
              <w:t xml:space="preserve"> Europe and Japan) were eligible for participation.,​ RESULTS: Two-compartment linear disposition combined with zero-order absorption model was adequate to describe nicotine pharmacokinetics,​ and a mono-exponentially decreasing background component was utilized to account for nicotine carry-over effects. Apparent nicotine clearance was typically 0.407 L/min in males and 26% higher in females (68% inter-individual variability). Bioavailability was product-</w:t>
            </w:r>
            <w:proofErr w:type="gramStart"/>
            <w:r w:rsidRPr="005762E6">
              <w:rPr>
                <w:sz w:val="20"/>
                <w:szCs w:val="20"/>
              </w:rPr>
              <w:t>specific,​</w:t>
            </w:r>
            <w:proofErr w:type="gramEnd"/>
            <w:r w:rsidRPr="005762E6">
              <w:rPr>
                <w:sz w:val="20"/>
                <w:szCs w:val="20"/>
              </w:rPr>
              <w:t xml:space="preserve"> decreased with increasing nicotine ISO yield,​ and increased with increasing body weight. Absorption duration was apparently prolonged with nicotine gum. The typical initial and terminal half-lives were 1.35 and 17 </w:t>
            </w:r>
            <w:proofErr w:type="gramStart"/>
            <w:r w:rsidRPr="005762E6">
              <w:rPr>
                <w:sz w:val="20"/>
                <w:szCs w:val="20"/>
              </w:rPr>
              <w:t>h,​</w:t>
            </w:r>
            <w:proofErr w:type="gramEnd"/>
            <w:r w:rsidRPr="005762E6">
              <w:rPr>
                <w:sz w:val="20"/>
                <w:szCs w:val="20"/>
              </w:rPr>
              <w:t xml:space="preserve"> respectively. The presence of menthol did not impact the determinants of the area under the curve. The model adequately described the external validation data</w:t>
            </w:r>
            <w:proofErr w:type="gramStart"/>
            <w:r w:rsidRPr="005762E6">
              <w:rPr>
                <w:sz w:val="20"/>
                <w:szCs w:val="20"/>
              </w:rPr>
              <w:t>.,​</w:t>
            </w:r>
            <w:proofErr w:type="gramEnd"/>
            <w:r w:rsidRPr="005762E6">
              <w:rPr>
                <w:sz w:val="20"/>
                <w:szCs w:val="20"/>
              </w:rPr>
              <w:t xml:space="preserve"> CONCLUSIONS: The population model was able to describe in different populations the nicotine pharmacokinetics after single product use and after 4 days of ad libitum use of Tobacco Heating System,​ cigarettes,​ and of different nicotine replacement therapies with various routes of administration.</w:t>
            </w:r>
          </w:p>
        </w:tc>
      </w:tr>
      <w:tr w:rsidR="00B44564" w:rsidRPr="005762E6" w14:paraId="373BFF5A"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ADEE355" w14:textId="77777777" w:rsidR="00B44564" w:rsidRPr="005762E6" w:rsidRDefault="00B44564" w:rsidP="00EA69AA">
            <w:pPr>
              <w:spacing w:after="120" w:line="240" w:lineRule="auto"/>
              <w:contextualSpacing/>
              <w:rPr>
                <w:sz w:val="20"/>
                <w:szCs w:val="20"/>
              </w:rPr>
            </w:pPr>
            <w:r w:rsidRPr="005762E6">
              <w:rPr>
                <w:sz w:val="20"/>
                <w:szCs w:val="20"/>
              </w:rPr>
              <w:t>341</w:t>
            </w:r>
          </w:p>
        </w:tc>
        <w:tc>
          <w:tcPr>
            <w:tcW w:w="0" w:type="auto"/>
            <w:tcBorders>
              <w:top w:val="single" w:sz="6" w:space="0" w:color="auto"/>
              <w:left w:val="single" w:sz="6" w:space="0" w:color="auto"/>
              <w:bottom w:val="single" w:sz="6" w:space="0" w:color="auto"/>
              <w:right w:val="single" w:sz="6" w:space="0" w:color="auto"/>
            </w:tcBorders>
          </w:tcPr>
          <w:p w14:paraId="43C3FB3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0891D75" w14:textId="179F97EE" w:rsidR="00B44564" w:rsidRPr="005762E6" w:rsidRDefault="00B44564" w:rsidP="00EA69AA">
            <w:pPr>
              <w:spacing w:after="120" w:line="240" w:lineRule="auto"/>
              <w:contextualSpacing/>
              <w:rPr>
                <w:sz w:val="20"/>
                <w:szCs w:val="20"/>
              </w:rPr>
            </w:pPr>
            <w:r w:rsidRPr="005762E6">
              <w:rPr>
                <w:sz w:val="20"/>
                <w:szCs w:val="20"/>
              </w:rPr>
              <w:t xml:space="preserve">Jessica M </w:t>
            </w:r>
            <w:proofErr w:type="gramStart"/>
            <w:r w:rsidRPr="005762E6">
              <w:rPr>
                <w:sz w:val="20"/>
                <w:szCs w:val="20"/>
              </w:rPr>
              <w:t>Rath,​</w:t>
            </w:r>
            <w:proofErr w:type="gramEnd"/>
            <w:r w:rsidRPr="005762E6">
              <w:rPr>
                <w:sz w:val="20"/>
                <w:szCs w:val="20"/>
              </w:rPr>
              <w:t xml:space="preserve"> Andrea C Villanti,​ Valerie F Williams,​ Amanda Richardson,​ Jennifer L Pearson,​ Donna M Vallone Correlates of current menthol cigarette and flavored other tobacco product use among U.S. young adults</w:t>
            </w:r>
            <w:r w:rsidR="007F2F01">
              <w:rPr>
                <w:sz w:val="20"/>
                <w:szCs w:val="20"/>
              </w:rPr>
              <w:t>.</w:t>
            </w:r>
            <w:r w:rsidRPr="005762E6">
              <w:rPr>
                <w:sz w:val="20"/>
                <w:szCs w:val="20"/>
              </w:rPr>
              <w:t xml:space="preserve"> Addictive behaviors; 2016;62:35.</w:t>
            </w:r>
            <w:r w:rsidRPr="005762E6">
              <w:rPr>
                <w:sz w:val="20"/>
                <w:szCs w:val="20"/>
              </w:rPr>
              <w:br/>
            </w:r>
            <w:r w:rsidRPr="005762E6">
              <w:rPr>
                <w:sz w:val="20"/>
                <w:szCs w:val="20"/>
              </w:rPr>
              <w:br/>
            </w:r>
            <w:r w:rsidRPr="005762E6">
              <w:rPr>
                <w:b/>
                <w:bCs/>
                <w:sz w:val="20"/>
                <w:szCs w:val="20"/>
              </w:rPr>
              <w:t>Keywords:</w:t>
            </w:r>
            <w:r w:rsidRPr="005762E6">
              <w:rPr>
                <w:sz w:val="20"/>
                <w:szCs w:val="20"/>
              </w:rPr>
              <w:br/>
              <w:t>Adult,​Age Distribution,​Cigarette Smoking/ep [Epidemiology],​Electronic Nicotine Delivery Systems/sn [Statistics &amp; Numerical Data],​Female,​*Flavoring Agents,​Humans,​Male,​*Menthol,​Risk Factors,​Sex Distribution,​Smoke-Free Policy,​Smoking Pipes/ut [Utilization],​*Tobacco Products/ut [Utilization],​United States/ep [Epidemiology],​Young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BACKGROUND: Flavored and menthol tobacco products are particularly appealing to young adults. However,​ little is known about factors associated with their use in this population.,​ PURPOSE: To examine characteristics associated with using menthol cigarettes,​ flavored other tobacco products (OTP),​ and flavored e-cigarettes among young adults.,​ METHODS: Using a nationally representative online sample of young adults (n=4239) from the Truth Initiative Young Adult Cohort Study,​ mutually exclusive groups were created from the subset of current tobacco users (N=1037) for users of menthol cigarettes (N=311; 30%),​ non-menthol cigarettes (N=426; 41%),​ flavored OTP only users (N=114; 11%),​ and non-flavored OTP only users (N=186; 18%) to examine factors of being in any one group. Data were collected in July 2012</w:t>
            </w:r>
            <w:proofErr w:type="gramStart"/>
            <w:r w:rsidRPr="005762E6">
              <w:rPr>
                <w:sz w:val="20"/>
                <w:szCs w:val="20"/>
              </w:rPr>
              <w:t>.,​</w:t>
            </w:r>
            <w:proofErr w:type="gramEnd"/>
            <w:r w:rsidRPr="005762E6">
              <w:rPr>
                <w:sz w:val="20"/>
                <w:szCs w:val="20"/>
              </w:rPr>
              <w:t xml:space="preserve"> RESULTS: In the full multivariable model,​ significant correlates of current menthol cigarette use were female gender (AOR=2.08),​ Black race (AOR=5.31),​ other race (AOR=2.72),​ Hispanic ethnicity (AOR=2.46) and self-identifying as a smoker,​ social smoker,​ or occasional smoker (AOR=10.42). Significant correlates of current flavored OTP use were younger age (18-24; AOR=3.50</w:t>
            </w:r>
            <w:proofErr w:type="gramStart"/>
            <w:r w:rsidRPr="005762E6">
              <w:rPr>
                <w:sz w:val="20"/>
                <w:szCs w:val="20"/>
              </w:rPr>
              <w:t>),​</w:t>
            </w:r>
            <w:proofErr w:type="gramEnd"/>
            <w:r w:rsidRPr="005762E6">
              <w:rPr>
                <w:sz w:val="20"/>
                <w:szCs w:val="20"/>
              </w:rPr>
              <w:t xml:space="preserve"> self-identifying as a smoker,​ social smoker,​ or occasional smoker (AOR=30) </w:t>
            </w:r>
            <w:r w:rsidRPr="005762E6">
              <w:rPr>
                <w:sz w:val="20"/>
                <w:szCs w:val="20"/>
              </w:rPr>
              <w:lastRenderedPageBreak/>
              <w:t xml:space="preserve">and generalized anxiety (AOR=0.30).,​ CONCLUSIONS: This study highlights female gender,​ Blacks/other race/Hispanics,​ smokers,​ social smokers and sexual minorities as correlates of menthol cigarette use and younger age as a predictor of flavored OTP use. Restricting access to flavored tobacco products may be one intervention to help slow the tobacco </w:t>
            </w:r>
            <w:proofErr w:type="gramStart"/>
            <w:r w:rsidRPr="005762E6">
              <w:rPr>
                <w:sz w:val="20"/>
                <w:szCs w:val="20"/>
              </w:rPr>
              <w:t>epidemic,​</w:t>
            </w:r>
            <w:proofErr w:type="gramEnd"/>
            <w:r w:rsidRPr="005762E6">
              <w:rPr>
                <w:sz w:val="20"/>
                <w:szCs w:val="20"/>
              </w:rPr>
              <w:t xml:space="preserve"> particularly among many of the most vulnerable groups-young women and racial and/or ethnic minorities. Copyright © 2016 The Authors. Published by Elsevier Ltd</w:t>
            </w:r>
            <w:r w:rsidR="007F2F01">
              <w:rPr>
                <w:sz w:val="20"/>
                <w:szCs w:val="20"/>
              </w:rPr>
              <w:t>.</w:t>
            </w:r>
            <w:r w:rsidRPr="005762E6">
              <w:rPr>
                <w:sz w:val="20"/>
                <w:szCs w:val="20"/>
              </w:rPr>
              <w:t xml:space="preserve"> All rights reserved.</w:t>
            </w:r>
          </w:p>
        </w:tc>
      </w:tr>
      <w:tr w:rsidR="00B44564" w:rsidRPr="005762E6" w14:paraId="14B07911"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3BFDE1D" w14:textId="77777777" w:rsidR="00B44564" w:rsidRPr="005762E6" w:rsidRDefault="00B44564" w:rsidP="00EA69AA">
            <w:pPr>
              <w:spacing w:after="120" w:line="240" w:lineRule="auto"/>
              <w:contextualSpacing/>
              <w:rPr>
                <w:sz w:val="20"/>
                <w:szCs w:val="20"/>
              </w:rPr>
            </w:pPr>
            <w:r w:rsidRPr="005762E6">
              <w:rPr>
                <w:sz w:val="20"/>
                <w:szCs w:val="20"/>
              </w:rPr>
              <w:lastRenderedPageBreak/>
              <w:t>342</w:t>
            </w:r>
          </w:p>
        </w:tc>
        <w:tc>
          <w:tcPr>
            <w:tcW w:w="0" w:type="auto"/>
            <w:tcBorders>
              <w:top w:val="single" w:sz="6" w:space="0" w:color="auto"/>
              <w:left w:val="single" w:sz="6" w:space="0" w:color="auto"/>
              <w:bottom w:val="single" w:sz="6" w:space="0" w:color="auto"/>
              <w:right w:val="single" w:sz="6" w:space="0" w:color="auto"/>
            </w:tcBorders>
          </w:tcPr>
          <w:p w14:paraId="42B8BDC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4553A75" w14:textId="60944513" w:rsidR="00B44564" w:rsidRPr="005762E6" w:rsidRDefault="00B44564" w:rsidP="00EA69AA">
            <w:pPr>
              <w:spacing w:after="120" w:line="240" w:lineRule="auto"/>
              <w:contextualSpacing/>
              <w:rPr>
                <w:sz w:val="20"/>
                <w:szCs w:val="20"/>
              </w:rPr>
            </w:pPr>
            <w:r w:rsidRPr="005762E6">
              <w:rPr>
                <w:sz w:val="20"/>
                <w:szCs w:val="20"/>
              </w:rPr>
              <w:t xml:space="preserve">Brandon J </w:t>
            </w:r>
            <w:proofErr w:type="gramStart"/>
            <w:r w:rsidRPr="005762E6">
              <w:rPr>
                <w:sz w:val="20"/>
                <w:szCs w:val="20"/>
              </w:rPr>
              <w:t>Henderson,​</w:t>
            </w:r>
            <w:proofErr w:type="gramEnd"/>
            <w:r w:rsidRPr="005762E6">
              <w:rPr>
                <w:sz w:val="20"/>
                <w:szCs w:val="20"/>
              </w:rPr>
              <w:t xml:space="preserve"> Teagan R Wall,​ Beverley M Henley,​ Charlene H Kim,​ Sheri McKinney,​ Henry A Lester Menthol Enhances Nicotine Reward-Related Behavior by Potentiating Nicotine-Induced Changes in nAChR Function,​ nAChR Upregulation,​ and DA Neuron Excitability</w:t>
            </w:r>
            <w:r w:rsidR="007F2F01">
              <w:rPr>
                <w:sz w:val="20"/>
                <w:szCs w:val="20"/>
              </w:rPr>
              <w:t>.</w:t>
            </w:r>
            <w:r w:rsidRPr="005762E6">
              <w:rPr>
                <w:sz w:val="20"/>
                <w:szCs w:val="20"/>
              </w:rPr>
              <w:t xml:space="preserve"> Neuropsychopharmacology : official publication of the American College of Neuropsychopharmacology; 2017;42:2285.</w:t>
            </w:r>
            <w:r w:rsidRPr="005762E6">
              <w:rPr>
                <w:sz w:val="20"/>
                <w:szCs w:val="20"/>
              </w:rPr>
              <w:br/>
            </w:r>
            <w:r w:rsidRPr="005762E6">
              <w:rPr>
                <w:sz w:val="20"/>
                <w:szCs w:val="20"/>
              </w:rPr>
              <w:br/>
            </w:r>
            <w:r w:rsidRPr="005762E6">
              <w:rPr>
                <w:b/>
                <w:bCs/>
                <w:sz w:val="20"/>
                <w:szCs w:val="20"/>
              </w:rPr>
              <w:t>Keywords:</w:t>
            </w:r>
            <w:r w:rsidRPr="005762E6">
              <w:rPr>
                <w:sz w:val="20"/>
                <w:szCs w:val="20"/>
              </w:rPr>
              <w:br/>
              <w:t>Action Potentials/de [Drug Effects],​Action Potentials/ph [Physiology],​Animals,​Cell Line,​Dopaminergic Neurons/de [Drug Effects],​*Dopaminergic Neurons/ph [Physiology],​Dose-Response Relationship,​ Drug,​Drug Synergism,​*Menthol/ad [Administration &amp; Dosage],​Mesencephalon/cy [Cytology],​Mesencephalon/de [Drug Effects],​Mesencephalon/ph [Physiology],​Mice,​Mice,​ Inbred C57BL,​Mice,​ Transgenic,​*Nicotine/ad [Administration &amp; Dosage],​Organ Culture Techniques,​*Receptors,​ Nicotinic/ph [Physiology],​*Reward,​Up-Regulation/de [Drug Effects],​*Up-Regulation/ph [Physiology]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Understanding why the quit rate among smokers of menthol cigarettes is lower than non-menthol smokers requires identifying the neurons that are altered by nicotine,​ menthol,​ and acetylcholine. Dopaminergic (DA) neurons in the ventral tegmental area (VTA) mediate the positive reinforcing effects of nicotine. Using mouse </w:t>
            </w:r>
            <w:proofErr w:type="gramStart"/>
            <w:r w:rsidRPr="005762E6">
              <w:rPr>
                <w:sz w:val="20"/>
                <w:szCs w:val="20"/>
              </w:rPr>
              <w:t>models,​</w:t>
            </w:r>
            <w:proofErr w:type="gramEnd"/>
            <w:r w:rsidRPr="005762E6">
              <w:rPr>
                <w:sz w:val="20"/>
                <w:szCs w:val="20"/>
              </w:rPr>
              <w:t xml:space="preserve"> we show that menthol enhances nicotine-induced changes in nicotinic acetylcholine receptors (nAChRs) expressed on midbrain DA neurons. Menthol plus nicotine upregulates nAChR number and function on midbrain DA neurons more than nicotine alone. Menthol also enhances nicotine-induced changes in DA neuron excitability. In a conditioned place preference (CPP) </w:t>
            </w:r>
            <w:proofErr w:type="gramStart"/>
            <w:r w:rsidRPr="005762E6">
              <w:rPr>
                <w:sz w:val="20"/>
                <w:szCs w:val="20"/>
              </w:rPr>
              <w:t>assay,​</w:t>
            </w:r>
            <w:proofErr w:type="gramEnd"/>
            <w:r w:rsidRPr="005762E6">
              <w:rPr>
                <w:sz w:val="20"/>
                <w:szCs w:val="20"/>
              </w:rPr>
              <w:t xml:space="preserve"> we observed that menthol plus nicotine produces greater reward-related behavior than nicotine alone. Our results connect changes in midbrain DA neurons to menthol-induced enhancements of nicotine reward-related behavior and may help explain how smokers of menthol cigarettes exhibit reduced cessation rates.</w:t>
            </w:r>
          </w:p>
        </w:tc>
      </w:tr>
      <w:tr w:rsidR="00B44564" w:rsidRPr="005762E6" w14:paraId="1BC7B2CB"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1213D7E" w14:textId="77777777" w:rsidR="00B44564" w:rsidRPr="005762E6" w:rsidRDefault="00B44564" w:rsidP="00EA69AA">
            <w:pPr>
              <w:spacing w:after="120" w:line="240" w:lineRule="auto"/>
              <w:contextualSpacing/>
              <w:rPr>
                <w:sz w:val="20"/>
                <w:szCs w:val="20"/>
              </w:rPr>
            </w:pPr>
            <w:r w:rsidRPr="005762E6">
              <w:rPr>
                <w:sz w:val="20"/>
                <w:szCs w:val="20"/>
              </w:rPr>
              <w:t>344</w:t>
            </w:r>
          </w:p>
        </w:tc>
        <w:tc>
          <w:tcPr>
            <w:tcW w:w="0" w:type="auto"/>
            <w:tcBorders>
              <w:top w:val="single" w:sz="6" w:space="0" w:color="auto"/>
              <w:left w:val="single" w:sz="6" w:space="0" w:color="auto"/>
              <w:bottom w:val="single" w:sz="6" w:space="0" w:color="auto"/>
              <w:right w:val="single" w:sz="6" w:space="0" w:color="auto"/>
            </w:tcBorders>
          </w:tcPr>
          <w:p w14:paraId="0340ED15"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CD3FE17" w14:textId="332ACBE9" w:rsidR="00B44564" w:rsidRPr="005762E6" w:rsidRDefault="00B44564" w:rsidP="00EA69AA">
            <w:pPr>
              <w:spacing w:after="120" w:line="240" w:lineRule="auto"/>
              <w:contextualSpacing/>
              <w:rPr>
                <w:sz w:val="20"/>
                <w:szCs w:val="20"/>
              </w:rPr>
            </w:pPr>
            <w:r w:rsidRPr="005762E6">
              <w:rPr>
                <w:sz w:val="20"/>
                <w:szCs w:val="20"/>
              </w:rPr>
              <w:t xml:space="preserve">Courtney </w:t>
            </w:r>
            <w:proofErr w:type="gramStart"/>
            <w:r w:rsidRPr="005762E6">
              <w:rPr>
                <w:sz w:val="20"/>
                <w:szCs w:val="20"/>
              </w:rPr>
              <w:t>Keeler,​</w:t>
            </w:r>
            <w:proofErr w:type="gramEnd"/>
            <w:r w:rsidRPr="005762E6">
              <w:rPr>
                <w:sz w:val="20"/>
                <w:szCs w:val="20"/>
              </w:rPr>
              <w:t xml:space="preserve"> Wendy Max,​ Valerie Yerger,​ Tingting Yao,​ Michael K Ong,​ Hai-Yen Sung The Association of Menthol Cigarette Use With Quit Attempts,​ Successful Cessation,​ and Intention to Quit Across Racial/Ethnic Groups in the United States</w:t>
            </w:r>
            <w:r w:rsidR="007F2F01">
              <w:rPr>
                <w:sz w:val="20"/>
                <w:szCs w:val="20"/>
              </w:rPr>
              <w:t>.</w:t>
            </w:r>
            <w:r w:rsidRPr="005762E6">
              <w:rPr>
                <w:sz w:val="20"/>
                <w:szCs w:val="20"/>
              </w:rPr>
              <w:t xml:space="preserve"> Nicotine &amp; tobacco research : official journal of the Society for Research on Nicotine and Tobacco; 2017;19:1450.</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Adolescent,​Adult,​African Americans/eh [Ethnology],​African Americans/px [Psychology],​Aged,​*Cigarette Smoking/eh [Ethnology],​Ethnic Groups/px [Psychology],​European Continental Ancestry Group/eh [Ethnology],​European Continental Ancestry Group/px [Psychology],​Female,​Hispanic Americans/px [Psychology],​Humans,​*Intention,​Male,​*Menthol,​Middle Aged,​Motivation,​*Smokers/px [Psychology],​*Smoking Cessation/eh [Ethnology],​Smoking Cessation/mt [Methods],​*Smoking Cessation/px [Psychology],​Surveys and Questionnaires,​Tobacco Products,​United States/eh [Ethnology],​Young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Few studies have examined the relationship between menthol use and smoking cessation across various racial/ethnic groups; the findings were mixed. This study explored the association of menthol cigarette use with quit </w:t>
            </w:r>
            <w:proofErr w:type="gramStart"/>
            <w:r w:rsidRPr="005762E6">
              <w:rPr>
                <w:sz w:val="20"/>
                <w:szCs w:val="20"/>
              </w:rPr>
              <w:t>attempts,​</w:t>
            </w:r>
            <w:proofErr w:type="gramEnd"/>
            <w:r w:rsidRPr="005762E6">
              <w:rPr>
                <w:sz w:val="20"/>
                <w:szCs w:val="20"/>
              </w:rPr>
              <w:t xml:space="preserve"> smoking cessation,​ and intention-to-quit among US adults and by race/ethnicity.,​ Methods: Using the 2006/2007 and 2010/2011 Tobacco Use Supplements to the Current Population Survey data,​ this study analyzed 54 448 recent active smokers,​ defined as current smokers or former smokers who quit less than 12 months ago. Three behaviors were examined: any quit attempts in the past 12 </w:t>
            </w:r>
            <w:proofErr w:type="gramStart"/>
            <w:r w:rsidRPr="005762E6">
              <w:rPr>
                <w:sz w:val="20"/>
                <w:szCs w:val="20"/>
              </w:rPr>
              <w:t>months,​</w:t>
            </w:r>
            <w:proofErr w:type="gramEnd"/>
            <w:r w:rsidRPr="005762E6">
              <w:rPr>
                <w:sz w:val="20"/>
                <w:szCs w:val="20"/>
              </w:rPr>
              <w:t xml:space="preserve"> successful cessation for &gt;=3 months,​ and intention-to-quit smoking in the next 6 months. For each cessation </w:t>
            </w:r>
            <w:proofErr w:type="gramStart"/>
            <w:r w:rsidRPr="005762E6">
              <w:rPr>
                <w:sz w:val="20"/>
                <w:szCs w:val="20"/>
              </w:rPr>
              <w:t>behavior,​</w:t>
            </w:r>
            <w:proofErr w:type="gramEnd"/>
            <w:r w:rsidRPr="005762E6">
              <w:rPr>
                <w:sz w:val="20"/>
                <w:szCs w:val="20"/>
              </w:rPr>
              <w:t xml:space="preserve"> multiple logistic regression models were estimated separately for the full-sample and stratified racial/ethnic subsamples.,​ Results: While 72.3% of African American recent active smokers typically smoked menthol cigarettes,​ this proportion was 21.7%,​ 21.5%,​ and 28.0% for whites,​ Asians,​ and </w:t>
            </w:r>
            <w:r w:rsidRPr="005762E6">
              <w:rPr>
                <w:sz w:val="20"/>
                <w:szCs w:val="20"/>
              </w:rPr>
              <w:lastRenderedPageBreak/>
              <w:t xml:space="preserve">Hispanics,​ respectively. African American menthol smokers had higher odds of quit attempts compared to non-African </w:t>
            </w:r>
            <w:proofErr w:type="gramStart"/>
            <w:r w:rsidRPr="005762E6">
              <w:rPr>
                <w:sz w:val="20"/>
                <w:szCs w:val="20"/>
              </w:rPr>
              <w:t>American,​</w:t>
            </w:r>
            <w:proofErr w:type="gramEnd"/>
            <w:r w:rsidRPr="005762E6">
              <w:rPr>
                <w:sz w:val="20"/>
                <w:szCs w:val="20"/>
              </w:rPr>
              <w:t xml:space="preserve"> non-menthol smokers (full-sample analysis),​ as well as African American non-menthol smokers (subsample analysis). Menthol use was not significantly associated with quit attempts in other racial/ethnic subsamples. There was no significant difference in either successful cessation or intention-to-quit between menthol and non-menthol smokers</w:t>
            </w:r>
            <w:proofErr w:type="gramStart"/>
            <w:r w:rsidRPr="005762E6">
              <w:rPr>
                <w:sz w:val="20"/>
                <w:szCs w:val="20"/>
              </w:rPr>
              <w:t>.,​</w:t>
            </w:r>
            <w:proofErr w:type="gramEnd"/>
            <w:r w:rsidRPr="005762E6">
              <w:rPr>
                <w:sz w:val="20"/>
                <w:szCs w:val="20"/>
              </w:rPr>
              <w:t xml:space="preserve"> Conclusions: African American menthol smokers were more likely to attempt to quit smoking than non-menthol smokers but these quit attempts did not translate into successful cessation. This study revealed no association of menthol use with quit </w:t>
            </w:r>
            <w:proofErr w:type="gramStart"/>
            <w:r w:rsidRPr="005762E6">
              <w:rPr>
                <w:sz w:val="20"/>
                <w:szCs w:val="20"/>
              </w:rPr>
              <w:t>attempts,​</w:t>
            </w:r>
            <w:proofErr w:type="gramEnd"/>
            <w:r w:rsidRPr="005762E6">
              <w:rPr>
                <w:sz w:val="20"/>
                <w:szCs w:val="20"/>
              </w:rPr>
              <w:t xml:space="preserve"> successful cessation,​ and intention-to-quit among other racial/ethnic groups.,​ Implications: The findings suggested that African American menthol smokers were more motivated to quit smoking; yet,​ the results also indicated no significant differences in successful cessation between African American menthol and non-menthol smokers. Interventions targeting menthol smokers within the African American community may help bridge this gap. While more local sales restrictions are beginning to occur (</w:t>
            </w:r>
            <w:proofErr w:type="gramStart"/>
            <w:r w:rsidRPr="005762E6">
              <w:rPr>
                <w:sz w:val="20"/>
                <w:szCs w:val="20"/>
              </w:rPr>
              <w:t>eg,​</w:t>
            </w:r>
            <w:proofErr w:type="gramEnd"/>
            <w:r w:rsidRPr="005762E6">
              <w:rPr>
                <w:sz w:val="20"/>
                <w:szCs w:val="20"/>
              </w:rPr>
              <w:t xml:space="preserve"> Tobacco 21 efforts),​ additional policies restricting price discounting as well as the regulation of access to and the time,​ place,​ and/or manner of menthol tobacco advertising could also improve cessation rates. Further evaluation is needed to determine the viability of these policies. Copyright © The Author 2016. Published by Oxford University Press on behalf of the Society for Research on Nicotine and Tobacco. All rights reserved. For </w:t>
            </w:r>
            <w:proofErr w:type="gramStart"/>
            <w:r w:rsidRPr="005762E6">
              <w:rPr>
                <w:sz w:val="20"/>
                <w:szCs w:val="20"/>
              </w:rPr>
              <w:t>permissions,​</w:t>
            </w:r>
            <w:proofErr w:type="gramEnd"/>
            <w:r w:rsidRPr="005762E6">
              <w:rPr>
                <w:sz w:val="20"/>
                <w:szCs w:val="20"/>
              </w:rPr>
              <w:t xml:space="preserve"> please e-mail: journals.permissions@oup.com.</w:t>
            </w:r>
          </w:p>
        </w:tc>
      </w:tr>
      <w:tr w:rsidR="00B44564" w:rsidRPr="005762E6" w14:paraId="64733B8E"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722D8A8" w14:textId="77777777" w:rsidR="00B44564" w:rsidRPr="005762E6" w:rsidRDefault="00B44564" w:rsidP="00EA69AA">
            <w:pPr>
              <w:spacing w:after="120" w:line="240" w:lineRule="auto"/>
              <w:contextualSpacing/>
              <w:rPr>
                <w:sz w:val="20"/>
                <w:szCs w:val="20"/>
              </w:rPr>
            </w:pPr>
            <w:r w:rsidRPr="005762E6">
              <w:rPr>
                <w:sz w:val="20"/>
                <w:szCs w:val="20"/>
              </w:rPr>
              <w:lastRenderedPageBreak/>
              <w:t>346</w:t>
            </w:r>
          </w:p>
        </w:tc>
        <w:tc>
          <w:tcPr>
            <w:tcW w:w="0" w:type="auto"/>
            <w:tcBorders>
              <w:top w:val="single" w:sz="6" w:space="0" w:color="auto"/>
              <w:left w:val="single" w:sz="6" w:space="0" w:color="auto"/>
              <w:bottom w:val="single" w:sz="6" w:space="0" w:color="auto"/>
              <w:right w:val="single" w:sz="6" w:space="0" w:color="auto"/>
            </w:tcBorders>
          </w:tcPr>
          <w:p w14:paraId="6EDE86BC"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9E3D51A" w14:textId="0BDD739A" w:rsidR="00B44564" w:rsidRPr="005762E6" w:rsidRDefault="00B44564" w:rsidP="00EA69AA">
            <w:pPr>
              <w:spacing w:after="120" w:line="240" w:lineRule="auto"/>
              <w:contextualSpacing/>
              <w:rPr>
                <w:sz w:val="20"/>
                <w:szCs w:val="20"/>
              </w:rPr>
            </w:pPr>
            <w:r w:rsidRPr="005762E6">
              <w:rPr>
                <w:sz w:val="20"/>
                <w:szCs w:val="20"/>
              </w:rPr>
              <w:t xml:space="preserve">Andrea C </w:t>
            </w:r>
            <w:proofErr w:type="gramStart"/>
            <w:r w:rsidRPr="005762E6">
              <w:rPr>
                <w:sz w:val="20"/>
                <w:szCs w:val="20"/>
              </w:rPr>
              <w:t>Villanti,​</w:t>
            </w:r>
            <w:proofErr w:type="gramEnd"/>
            <w:r w:rsidRPr="005762E6">
              <w:rPr>
                <w:sz w:val="20"/>
                <w:szCs w:val="20"/>
              </w:rPr>
              <w:t xml:space="preserve"> Lauren K Collins,​ Raymond S Niaura,​ Stacey Y Gagosian,​ David B Abrams Menthol cigarettes and the public health standard: a systematic review</w:t>
            </w:r>
            <w:r w:rsidR="007F2F01">
              <w:rPr>
                <w:sz w:val="20"/>
                <w:szCs w:val="20"/>
              </w:rPr>
              <w:t>.</w:t>
            </w:r>
            <w:r w:rsidRPr="005762E6">
              <w:rPr>
                <w:sz w:val="20"/>
                <w:szCs w:val="20"/>
              </w:rPr>
              <w:t xml:space="preserve"> BMC public health; 2017;17:983.</w:t>
            </w:r>
            <w:r w:rsidRPr="005762E6">
              <w:rPr>
                <w:sz w:val="20"/>
                <w:szCs w:val="20"/>
              </w:rPr>
              <w:br/>
            </w:r>
            <w:r w:rsidRPr="005762E6">
              <w:rPr>
                <w:sz w:val="20"/>
                <w:szCs w:val="20"/>
              </w:rPr>
              <w:br/>
            </w:r>
            <w:r w:rsidRPr="005762E6">
              <w:rPr>
                <w:b/>
                <w:bCs/>
                <w:sz w:val="20"/>
                <w:szCs w:val="20"/>
              </w:rPr>
              <w:t>Keywords:</w:t>
            </w:r>
            <w:r w:rsidRPr="005762E6">
              <w:rPr>
                <w:sz w:val="20"/>
                <w:szCs w:val="20"/>
              </w:rPr>
              <w:br/>
              <w:t>*Cigarette Smoking/ep [Epidemiology],​Health Policy,​Humans,​*Menthol/ae [Adverse Effects],​*Public Health/st [Standards],​Randomized Controlled Trials as Topic,​United States/ep [Epidemiology]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Although menthol was not banned under the Tobacco Control Act,​ the law made it clear that this did not prevent the Food and Drug Administration from issuing a product standard to ban menthol to protect public health. The purpose of this review was to update the evidence synthesis regarding the role of menthol in </w:t>
            </w:r>
            <w:proofErr w:type="gramStart"/>
            <w:r w:rsidRPr="005762E6">
              <w:rPr>
                <w:sz w:val="20"/>
                <w:szCs w:val="20"/>
              </w:rPr>
              <w:t>initiation,​</w:t>
            </w:r>
            <w:proofErr w:type="gramEnd"/>
            <w:r w:rsidRPr="005762E6">
              <w:rPr>
                <w:sz w:val="20"/>
                <w:szCs w:val="20"/>
              </w:rPr>
              <w:t xml:space="preserve"> dependence and cessation.,​ METHODS: A systematic review of the peer-reviewed literature on menthol cigarettes via a PubMed search through May 9,​ 2017. The National Cancer Institute's Bibliography of Literature on Menthol and Tobacco and the FDA's 2011 report and 2013 addendum were reviewed for additional publications. Included articles addressing </w:t>
            </w:r>
            <w:proofErr w:type="gramStart"/>
            <w:r w:rsidRPr="005762E6">
              <w:rPr>
                <w:sz w:val="20"/>
                <w:szCs w:val="20"/>
              </w:rPr>
              <w:t>initiation,​</w:t>
            </w:r>
            <w:proofErr w:type="gramEnd"/>
            <w:r w:rsidRPr="005762E6">
              <w:rPr>
                <w:sz w:val="20"/>
                <w:szCs w:val="20"/>
              </w:rPr>
              <w:t xml:space="preserve"> dependence,​ and cessation were synthesized based on study design and quality,​ consistency of evidence across populations and over time,​ coherence of findings across studies,​ and plausibility of the findings.,​ RESULTS: Eighty-two studies on menthol cigarette initiation (n=46),​ dependence (n=14),​ and cessation (n=34) were included. </w:t>
            </w:r>
            <w:proofErr w:type="gramStart"/>
            <w:r w:rsidRPr="005762E6">
              <w:rPr>
                <w:sz w:val="20"/>
                <w:szCs w:val="20"/>
              </w:rPr>
              <w:t>Large,​</w:t>
            </w:r>
            <w:proofErr w:type="gramEnd"/>
            <w:r w:rsidRPr="005762E6">
              <w:rPr>
                <w:sz w:val="20"/>
                <w:szCs w:val="20"/>
              </w:rPr>
              <w:t xml:space="preserve"> representative studies show an association between menthol and youth smoking that is consistent in magnitude and direction. One longitudinal and eight cross-sectional studies demonstrate that menthol smokers report increased nicotine dependence compared to non-menthol smokers. Ten studies support the temporal relationship between menthol and reduced smoking </w:t>
            </w:r>
            <w:proofErr w:type="gramStart"/>
            <w:r w:rsidRPr="005762E6">
              <w:rPr>
                <w:sz w:val="20"/>
                <w:szCs w:val="20"/>
              </w:rPr>
              <w:t>cessation,​</w:t>
            </w:r>
            <w:proofErr w:type="gramEnd"/>
            <w:r w:rsidRPr="005762E6">
              <w:rPr>
                <w:sz w:val="20"/>
                <w:szCs w:val="20"/>
              </w:rPr>
              <w:t xml:space="preserve"> as they measure cessation success at follow-up.,​ CONCLUSIONS: The strength and consistency of the associations in these studies support that the removal of menthol from cigarettes is likely to reduce youth smoking initiation,​ improve smoking cessation outcomes in adult smokers,​ and in turn,​ benefit public health.</w:t>
            </w:r>
          </w:p>
        </w:tc>
      </w:tr>
      <w:tr w:rsidR="00B44564" w:rsidRPr="005762E6" w14:paraId="66A1439C"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3C0B31E" w14:textId="77777777" w:rsidR="00B44564" w:rsidRPr="005762E6" w:rsidRDefault="00B44564" w:rsidP="00EA69AA">
            <w:pPr>
              <w:spacing w:after="120" w:line="240" w:lineRule="auto"/>
              <w:contextualSpacing/>
              <w:rPr>
                <w:sz w:val="20"/>
                <w:szCs w:val="20"/>
              </w:rPr>
            </w:pPr>
            <w:r w:rsidRPr="005762E6">
              <w:rPr>
                <w:sz w:val="20"/>
                <w:szCs w:val="20"/>
              </w:rPr>
              <w:t>347</w:t>
            </w:r>
          </w:p>
        </w:tc>
        <w:tc>
          <w:tcPr>
            <w:tcW w:w="0" w:type="auto"/>
            <w:tcBorders>
              <w:top w:val="single" w:sz="6" w:space="0" w:color="auto"/>
              <w:left w:val="single" w:sz="6" w:space="0" w:color="auto"/>
              <w:bottom w:val="single" w:sz="6" w:space="0" w:color="auto"/>
              <w:right w:val="single" w:sz="6" w:space="0" w:color="auto"/>
            </w:tcBorders>
          </w:tcPr>
          <w:p w14:paraId="02A45B65"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652EED4" w14:textId="49A89923" w:rsidR="00B44564" w:rsidRPr="005762E6" w:rsidRDefault="00B44564" w:rsidP="00EA69AA">
            <w:pPr>
              <w:spacing w:after="120" w:line="240" w:lineRule="auto"/>
              <w:contextualSpacing/>
              <w:rPr>
                <w:sz w:val="20"/>
                <w:szCs w:val="20"/>
              </w:rPr>
            </w:pPr>
            <w:r w:rsidRPr="005762E6">
              <w:rPr>
                <w:sz w:val="20"/>
                <w:szCs w:val="20"/>
              </w:rPr>
              <w:t xml:space="preserve">Christina Vaughan </w:t>
            </w:r>
            <w:proofErr w:type="gramStart"/>
            <w:r w:rsidRPr="005762E6">
              <w:rPr>
                <w:sz w:val="20"/>
                <w:szCs w:val="20"/>
              </w:rPr>
              <w:t>Watson,​</w:t>
            </w:r>
            <w:proofErr w:type="gramEnd"/>
            <w:r w:rsidRPr="005762E6">
              <w:rPr>
                <w:sz w:val="20"/>
                <w:szCs w:val="20"/>
              </w:rPr>
              <w:t xml:space="preserve"> Patricia Richter,​ B Rey de Castro,​ Connie Sosnoff,​ Jennifer Potts,​ Pamela Clark,​ Joan McCraw,​ Xizheng Yan,​ David Chambers,​ Clifford Watson Smoking Behavior and Exposure: Results of a Menthol Cigarette Cross-over Study</w:t>
            </w:r>
            <w:r w:rsidR="007F2F01">
              <w:rPr>
                <w:sz w:val="20"/>
                <w:szCs w:val="20"/>
              </w:rPr>
              <w:t>.</w:t>
            </w:r>
            <w:r w:rsidRPr="005762E6">
              <w:rPr>
                <w:sz w:val="20"/>
                <w:szCs w:val="20"/>
              </w:rPr>
              <w:t xml:space="preserve"> American journal of health behavior; 2017;41:309.</w:t>
            </w:r>
            <w:r w:rsidRPr="005762E6">
              <w:rPr>
                <w:sz w:val="20"/>
                <w:szCs w:val="20"/>
              </w:rPr>
              <w:br/>
            </w:r>
            <w:r w:rsidRPr="005762E6">
              <w:rPr>
                <w:sz w:val="20"/>
                <w:szCs w:val="20"/>
              </w:rPr>
              <w:br/>
            </w:r>
            <w:r w:rsidRPr="005762E6">
              <w:rPr>
                <w:b/>
                <w:bCs/>
                <w:sz w:val="20"/>
                <w:szCs w:val="20"/>
              </w:rPr>
              <w:t>Keywords:</w:t>
            </w:r>
            <w:r w:rsidRPr="005762E6">
              <w:rPr>
                <w:sz w:val="20"/>
                <w:szCs w:val="20"/>
              </w:rPr>
              <w:br/>
              <w:t>Adult,​Cross-Over Studies,​Female,​Humans,​Male,​*Menthol,​Nicotine/an [Analysis],​Saliva/ch [Chemistry],​*Smoking,​Young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OBJECTIVE: Our objective was to improve understanding of the differences in use behavior and exposure when smoking menthol and non-menthol cigarettes using a 2-part cross-over design.,​ METHODS: Adult daily smokers were assigned randomly to alternate between 2 weeks of exclusively smoking a menthol </w:t>
            </w:r>
            <w:r w:rsidRPr="005762E6">
              <w:rPr>
                <w:sz w:val="20"/>
                <w:szCs w:val="20"/>
              </w:rPr>
              <w:lastRenderedPageBreak/>
              <w:t xml:space="preserve">test cigarette or a non-menthol test cigarette. Urine and saliva were collected for biomarker measurements; carbon monoxide (CO) was </w:t>
            </w:r>
            <w:proofErr w:type="gramStart"/>
            <w:r w:rsidRPr="005762E6">
              <w:rPr>
                <w:sz w:val="20"/>
                <w:szCs w:val="20"/>
              </w:rPr>
              <w:t>measured,​</w:t>
            </w:r>
            <w:proofErr w:type="gramEnd"/>
            <w:r w:rsidRPr="005762E6">
              <w:rPr>
                <w:sz w:val="20"/>
                <w:szCs w:val="20"/>
              </w:rPr>
              <w:t xml:space="preserve"> and participants smoked test cigarettes through a CreSS smoking topography device during 3 clinic visits. Participants turned in their cigarette butts from the test periods for determination of mouth level nicotine and completed subjective questionnaires related to the test cigarettes</w:t>
            </w:r>
            <w:proofErr w:type="gramStart"/>
            <w:r w:rsidRPr="005762E6">
              <w:rPr>
                <w:sz w:val="20"/>
                <w:szCs w:val="20"/>
              </w:rPr>
              <w:t>.,​</w:t>
            </w:r>
            <w:proofErr w:type="gramEnd"/>
            <w:r w:rsidRPr="005762E6">
              <w:rPr>
                <w:sz w:val="20"/>
                <w:szCs w:val="20"/>
              </w:rPr>
              <w:t xml:space="preserve"> RESULTS: Regardless of cigarette preference,​ participants had higher salivary cotinine when smoking the non-menthol test cigarette,​ but there were no significant differences detected in urine 4-(methylnitrosamino)-1-(3-pyridyl)-1-butanol between the 2 test cigarettes. Mouth level </w:t>
            </w:r>
            <w:proofErr w:type="gramStart"/>
            <w:r w:rsidRPr="005762E6">
              <w:rPr>
                <w:sz w:val="20"/>
                <w:szCs w:val="20"/>
              </w:rPr>
              <w:t>nicotine,​</w:t>
            </w:r>
            <w:proofErr w:type="gramEnd"/>
            <w:r w:rsidRPr="005762E6">
              <w:rPr>
                <w:sz w:val="20"/>
                <w:szCs w:val="20"/>
              </w:rPr>
              <w:t xml:space="preserve"> puff volume,​ and puff duration were significantly higher when smoking the menthol brand. Both menthol and non-menthol smokers reported significantly lower enjoyment and satisfaction scores for test cigarettes compared with their brand of choice</w:t>
            </w:r>
            <w:proofErr w:type="gramStart"/>
            <w:r w:rsidRPr="005762E6">
              <w:rPr>
                <w:sz w:val="20"/>
                <w:szCs w:val="20"/>
              </w:rPr>
              <w:t>.,​</w:t>
            </w:r>
            <w:proofErr w:type="gramEnd"/>
            <w:r w:rsidRPr="005762E6">
              <w:rPr>
                <w:sz w:val="20"/>
                <w:szCs w:val="20"/>
              </w:rPr>
              <w:t xml:space="preserve"> CONCLUSIONS: Our results suggest that mentholation has an effect on measures of smoking behavior and that mouth level nicotine is a useful indicator of between-brand smoke exposure.</w:t>
            </w:r>
          </w:p>
        </w:tc>
      </w:tr>
      <w:tr w:rsidR="00B44564" w:rsidRPr="005762E6" w14:paraId="66AB9711"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3ABAD88" w14:textId="77777777" w:rsidR="00B44564" w:rsidRPr="005762E6" w:rsidRDefault="00B44564" w:rsidP="00EA69AA">
            <w:pPr>
              <w:spacing w:after="120" w:line="240" w:lineRule="auto"/>
              <w:contextualSpacing/>
              <w:rPr>
                <w:sz w:val="20"/>
                <w:szCs w:val="20"/>
              </w:rPr>
            </w:pPr>
            <w:r w:rsidRPr="005762E6">
              <w:rPr>
                <w:sz w:val="20"/>
                <w:szCs w:val="20"/>
              </w:rPr>
              <w:lastRenderedPageBreak/>
              <w:t>348</w:t>
            </w:r>
          </w:p>
        </w:tc>
        <w:tc>
          <w:tcPr>
            <w:tcW w:w="0" w:type="auto"/>
            <w:tcBorders>
              <w:top w:val="single" w:sz="6" w:space="0" w:color="auto"/>
              <w:left w:val="single" w:sz="6" w:space="0" w:color="auto"/>
              <w:bottom w:val="single" w:sz="6" w:space="0" w:color="auto"/>
              <w:right w:val="single" w:sz="6" w:space="0" w:color="auto"/>
            </w:tcBorders>
          </w:tcPr>
          <w:p w14:paraId="7C2D2FE4"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C9336D6" w14:textId="6407A469" w:rsidR="00B44564" w:rsidRPr="005762E6" w:rsidRDefault="00B44564" w:rsidP="00EA69AA">
            <w:pPr>
              <w:spacing w:after="120" w:line="240" w:lineRule="auto"/>
              <w:contextualSpacing/>
              <w:rPr>
                <w:sz w:val="20"/>
                <w:szCs w:val="20"/>
              </w:rPr>
            </w:pPr>
            <w:r w:rsidRPr="005762E6">
              <w:rPr>
                <w:sz w:val="20"/>
                <w:szCs w:val="20"/>
              </w:rPr>
              <w:t xml:space="preserve">Kathryn C </w:t>
            </w:r>
            <w:proofErr w:type="gramStart"/>
            <w:r w:rsidRPr="005762E6">
              <w:rPr>
                <w:sz w:val="20"/>
                <w:szCs w:val="20"/>
              </w:rPr>
              <w:t>Ross,​</w:t>
            </w:r>
            <w:proofErr w:type="gramEnd"/>
            <w:r w:rsidRPr="005762E6">
              <w:rPr>
                <w:sz w:val="20"/>
                <w:szCs w:val="20"/>
              </w:rPr>
              <w:t xml:space="preserve"> Delia A Dempsey,​ Gideon St Helen,​ Kevin Delucchi,​ Neal L Benowitz The Influence of Puff Characteristics,​ Nicotine Dependence,​ and Rate of Nicotine Metabolism on Daily Nicotine Exposure in African American Smokers</w:t>
            </w:r>
            <w:r w:rsidR="007F2F01">
              <w:rPr>
                <w:sz w:val="20"/>
                <w:szCs w:val="20"/>
              </w:rPr>
              <w:t>.</w:t>
            </w:r>
            <w:r w:rsidRPr="005762E6">
              <w:rPr>
                <w:sz w:val="20"/>
                <w:szCs w:val="20"/>
              </w:rPr>
              <w:t xml:space="preserve"> Cancer epidemiology,​ biomarkers &amp; prevention : a publication of the American Association for Cancer Research,​ cosponsored by the American Society of Preventive Oncology; 2016;25:936.</w:t>
            </w:r>
            <w:r w:rsidRPr="005762E6">
              <w:rPr>
                <w:sz w:val="20"/>
                <w:szCs w:val="20"/>
              </w:rPr>
              <w:br/>
            </w:r>
            <w:r w:rsidRPr="005762E6">
              <w:rPr>
                <w:sz w:val="20"/>
                <w:szCs w:val="20"/>
              </w:rPr>
              <w:br/>
            </w:r>
            <w:r w:rsidRPr="005762E6">
              <w:rPr>
                <w:b/>
                <w:bCs/>
                <w:sz w:val="20"/>
                <w:szCs w:val="20"/>
              </w:rPr>
              <w:t>Keywords:</w:t>
            </w:r>
            <w:r w:rsidRPr="005762E6">
              <w:rPr>
                <w:sz w:val="20"/>
                <w:szCs w:val="20"/>
              </w:rPr>
              <w:br/>
              <w:t>Adult,​African Americans,​Female,​Humans,​Inhalation Exposure,​Male,​Middle Aged,​*Models,​ Biological,​*Nicotine/ad [Administration &amp; Dosage],​*Nicotine/me [Metabolism],​*Smokers,​*Tobacco Use Disorder,​Young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African American (AA) smokers experience greater tobacco-related disease burden than Whites,​ despite smoking fewer cigarettes per day (CPD). Understanding factors that influence daily nicotine intake in AA smokers is an important step toward decreasing tobacco-related health disparities. One factor of interest is smoking topography,​ or the study of puffing behavior.,​ AIMS: (i) to create a model using puff characteristics,​ nicotine dependence,​ and nicotine metabolism to predict daily nicotine exposure,​ and (ii) to compare puff characteristics and nicotine intake from two cigarettes smoked at different times to ensure the reliability of the puff characteristics included in our model.,​ METHODS: Sixty AA smokers smoked their preferred brand of cigarette at two time points through a topography device. Plasma </w:t>
            </w:r>
            <w:proofErr w:type="gramStart"/>
            <w:r w:rsidRPr="005762E6">
              <w:rPr>
                <w:sz w:val="20"/>
                <w:szCs w:val="20"/>
              </w:rPr>
              <w:t>nicotine,​</w:t>
            </w:r>
            <w:proofErr w:type="gramEnd"/>
            <w:r w:rsidRPr="005762E6">
              <w:rPr>
                <w:sz w:val="20"/>
                <w:szCs w:val="20"/>
              </w:rPr>
              <w:t xml:space="preserve"> expired CO,​ and changes in subjective measures were measured before and after each cigarette. Total nicotine equivalents (TNE) was measured from 24-hour urine collected during ad libitum smoking</w:t>
            </w:r>
            <w:proofErr w:type="gramStart"/>
            <w:r w:rsidRPr="005762E6">
              <w:rPr>
                <w:sz w:val="20"/>
                <w:szCs w:val="20"/>
              </w:rPr>
              <w:t>.,​</w:t>
            </w:r>
            <w:proofErr w:type="gramEnd"/>
            <w:r w:rsidRPr="005762E6">
              <w:rPr>
                <w:sz w:val="20"/>
                <w:szCs w:val="20"/>
              </w:rPr>
              <w:t xml:space="preserve"> RESULTS: In a model predicting daily nicotine exposure,​ total puff volume,​ CPD,​ sex,​ and menthol status were significant predictors (R(2) = 0.44,​ P &lt; 0.001). Total puff volume was significantly greater and inter-puff intervals were significantly shorter after ad lib smoking compared with the first cigarette of the day,​ but puffing behaviors for both cigarettes were highly correlated (r range = 0.69-0.89,​ P &lt; 0.001) within-subjects.,​ CONCLUSION: This is the first study,​ to our knowledge,​ to show that puff characteristics of individual cigarettes are predictive of daily nicotine intake.,​ IMPACT: These findings enhance our understanding of the relationship between smoking behavior and nicotine intake in AA smokers. Cancer Epidemiol Biomarkers Prev; 25(6); 936-43. ©2016 AACR.</w:t>
            </w:r>
            <w:r>
              <w:rPr>
                <w:sz w:val="20"/>
                <w:szCs w:val="20"/>
              </w:rPr>
              <w:t xml:space="preserve"> </w:t>
            </w:r>
            <w:r w:rsidRPr="005762E6">
              <w:rPr>
                <w:sz w:val="20"/>
                <w:szCs w:val="20"/>
              </w:rPr>
              <w:t>Copyright ©2016 American Association for Cancer Research.</w:t>
            </w:r>
          </w:p>
        </w:tc>
      </w:tr>
      <w:tr w:rsidR="00B44564" w:rsidRPr="005762E6" w14:paraId="183E52F8"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FCF5398" w14:textId="77777777" w:rsidR="00B44564" w:rsidRPr="005762E6" w:rsidRDefault="00B44564" w:rsidP="00EA69AA">
            <w:pPr>
              <w:spacing w:after="120" w:line="240" w:lineRule="auto"/>
              <w:contextualSpacing/>
              <w:rPr>
                <w:sz w:val="20"/>
                <w:szCs w:val="20"/>
              </w:rPr>
            </w:pPr>
            <w:r w:rsidRPr="005762E6">
              <w:rPr>
                <w:sz w:val="20"/>
                <w:szCs w:val="20"/>
              </w:rPr>
              <w:t>350</w:t>
            </w:r>
          </w:p>
        </w:tc>
        <w:tc>
          <w:tcPr>
            <w:tcW w:w="0" w:type="auto"/>
            <w:tcBorders>
              <w:top w:val="single" w:sz="6" w:space="0" w:color="auto"/>
              <w:left w:val="single" w:sz="6" w:space="0" w:color="auto"/>
              <w:bottom w:val="single" w:sz="6" w:space="0" w:color="auto"/>
              <w:right w:val="single" w:sz="6" w:space="0" w:color="auto"/>
            </w:tcBorders>
          </w:tcPr>
          <w:p w14:paraId="2FC6E80E"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CC121E5" w14:textId="143B420A" w:rsidR="00B44564" w:rsidRPr="005762E6" w:rsidRDefault="00B44564" w:rsidP="00EA69AA">
            <w:pPr>
              <w:spacing w:after="120" w:line="240" w:lineRule="auto"/>
              <w:contextualSpacing/>
              <w:rPr>
                <w:sz w:val="20"/>
                <w:szCs w:val="20"/>
              </w:rPr>
            </w:pPr>
            <w:r w:rsidRPr="005762E6">
              <w:rPr>
                <w:sz w:val="20"/>
                <w:szCs w:val="20"/>
              </w:rPr>
              <w:t xml:space="preserve">Won S </w:t>
            </w:r>
            <w:proofErr w:type="gramStart"/>
            <w:r w:rsidRPr="005762E6">
              <w:rPr>
                <w:sz w:val="20"/>
                <w:szCs w:val="20"/>
              </w:rPr>
              <w:t>Choi,​</w:t>
            </w:r>
            <w:proofErr w:type="gramEnd"/>
            <w:r w:rsidRPr="005762E6">
              <w:rPr>
                <w:sz w:val="20"/>
                <w:szCs w:val="20"/>
              </w:rPr>
              <w:t xml:space="preserve"> Niaman Nazir,​ Christina M Pacheco,​ Melissa K Filippi,​ Joseph Pacheco,​ Julia White Bull,​ Christi Nance,​ Babalola Faseru,​ K Allen Greiner,​ Christine Makosky Daley Recruitment and Baseline Characteristics of American Indian Tribal College Students Participating in a Tribal College Tobacco and Behavioral Survey</w:t>
            </w:r>
            <w:r w:rsidR="007F2F01">
              <w:rPr>
                <w:sz w:val="20"/>
                <w:szCs w:val="20"/>
              </w:rPr>
              <w:t>.</w:t>
            </w:r>
            <w:r w:rsidRPr="005762E6">
              <w:rPr>
                <w:sz w:val="20"/>
                <w:szCs w:val="20"/>
              </w:rPr>
              <w:t xml:space="preserve"> Nicotine &amp; tobacco research : official journal of the Society for Research on Nicotine and Tobacco; 2016;18:1488.</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Adolescent,​Adult,​Cross-Sectional Studies,​Female,​*Health Behavior,​Health Surveys,​Humans,​*Indians,​ North American/sn [Statistics &amp; Numerical Data],​Male,​*Smoking/ep [Epidemiology],​*Students/sn [Statistics &amp; Numerical Data],​United States/ep [Epidemiology],​Universities,​Young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American Indians (AIs) have the highest cigarette smoking rates of any racial/ethnic group in the United States. Although the overall smoking prevalence in the United States for </w:t>
            </w:r>
            <w:r w:rsidRPr="005762E6">
              <w:rPr>
                <w:sz w:val="20"/>
                <w:szCs w:val="20"/>
              </w:rPr>
              <w:lastRenderedPageBreak/>
              <w:t xml:space="preserve">nonminority populations has decreased over the past several </w:t>
            </w:r>
            <w:proofErr w:type="gramStart"/>
            <w:r w:rsidRPr="005762E6">
              <w:rPr>
                <w:sz w:val="20"/>
                <w:szCs w:val="20"/>
              </w:rPr>
              <w:t>decades,​</w:t>
            </w:r>
            <w:proofErr w:type="gramEnd"/>
            <w:r w:rsidRPr="005762E6">
              <w:rPr>
                <w:sz w:val="20"/>
                <w:szCs w:val="20"/>
              </w:rPr>
              <w:t xml:space="preserve"> the same pattern is not observed among AIs. The purpose of this observational study was to collect cigarette smoking and related information from American Indian tribal college students to inform tailored interventions</w:t>
            </w:r>
            <w:proofErr w:type="gramStart"/>
            <w:r w:rsidRPr="005762E6">
              <w:rPr>
                <w:sz w:val="20"/>
                <w:szCs w:val="20"/>
              </w:rPr>
              <w:t>.,​</w:t>
            </w:r>
            <w:proofErr w:type="gramEnd"/>
            <w:r w:rsidRPr="005762E6">
              <w:rPr>
                <w:sz w:val="20"/>
                <w:szCs w:val="20"/>
              </w:rPr>
              <w:t xml:space="preserve"> METHODS: We conducted a repeated cross-sectional survey of American Indian tribal college students,​ Tribal College Tobacco and Behavior Survey (TCTABS),​ with a focus on recruiting all incoming freshman at three participating tribal colleges in the Midwest and Northern Plains regions. A total of 1256 students participated in the baseline surveys between April 2011 and October 2014</w:t>
            </w:r>
            <w:proofErr w:type="gramStart"/>
            <w:r w:rsidRPr="005762E6">
              <w:rPr>
                <w:sz w:val="20"/>
                <w:szCs w:val="20"/>
              </w:rPr>
              <w:t>.,​</w:t>
            </w:r>
            <w:proofErr w:type="gramEnd"/>
            <w:r w:rsidRPr="005762E6">
              <w:rPr>
                <w:sz w:val="20"/>
                <w:szCs w:val="20"/>
              </w:rPr>
              <w:t xml:space="preserve"> RESULTS: The overall smoking prevalence of this sample was 34.7%,​ with differences by region (Northern Plains-44.0% and Midwest-28%). The </w:t>
            </w:r>
            <w:proofErr w:type="gramStart"/>
            <w:r w:rsidRPr="005762E6">
              <w:rPr>
                <w:sz w:val="20"/>
                <w:szCs w:val="20"/>
              </w:rPr>
              <w:t>majority,​</w:t>
            </w:r>
            <w:proofErr w:type="gramEnd"/>
            <w:r w:rsidRPr="005762E6">
              <w:rPr>
                <w:sz w:val="20"/>
                <w:szCs w:val="20"/>
              </w:rPr>
              <w:t xml:space="preserve"> 87.5% of current smokers reported smoking 10 or less cigarettes per day,​ 41% reported smoking menthol cigarettes,​ 52% smoked Marlboro brand,​ and the mean age of their first cigarette was 14 years. The </w:t>
            </w:r>
            <w:proofErr w:type="gramStart"/>
            <w:r w:rsidRPr="005762E6">
              <w:rPr>
                <w:sz w:val="20"/>
                <w:szCs w:val="20"/>
              </w:rPr>
              <w:t>majority,​</w:t>
            </w:r>
            <w:proofErr w:type="gramEnd"/>
            <w:r w:rsidRPr="005762E6">
              <w:rPr>
                <w:sz w:val="20"/>
                <w:szCs w:val="20"/>
              </w:rPr>
              <w:t xml:space="preserve"> 62% had made at least one quit attempt in the past year. The overwhelming majority of respondents,​ regardless of their smoking status,​ thought that the current smoking prevalence on campus was greater than 41% and approximately one-third believed that it was as high as 61%.,​ CONCLUSIONS: Very few studies of smoking have been conducted in this population and results from our study confirm the need for effective interventions.,​ IMPLICATIONS: AIs have the highest cigarette smoking rates compared to other racial/ethnic groups in the United States. </w:t>
            </w:r>
            <w:proofErr w:type="gramStart"/>
            <w:r w:rsidRPr="005762E6">
              <w:rPr>
                <w:sz w:val="20"/>
                <w:szCs w:val="20"/>
              </w:rPr>
              <w:t>Furthermore,​</w:t>
            </w:r>
            <w:proofErr w:type="gramEnd"/>
            <w:r w:rsidRPr="005762E6">
              <w:rPr>
                <w:sz w:val="20"/>
                <w:szCs w:val="20"/>
              </w:rPr>
              <w:t xml:space="preserve"> limited studies have examined the epidemiology of cigarette smoking among tribal college students. This study addresses health disparities related to smoking among college students by examining the </w:t>
            </w:r>
            <w:proofErr w:type="gramStart"/>
            <w:r w:rsidRPr="005762E6">
              <w:rPr>
                <w:sz w:val="20"/>
                <w:szCs w:val="20"/>
              </w:rPr>
              <w:t>demographic,​</w:t>
            </w:r>
            <w:proofErr w:type="gramEnd"/>
            <w:r w:rsidRPr="005762E6">
              <w:rPr>
                <w:sz w:val="20"/>
                <w:szCs w:val="20"/>
              </w:rPr>
              <w:t xml:space="preserve"> cultural,​ and environmental characteristics of smoking and quitting. Results from this study could lead to the development of a culturally-tailored smoking cessation and prevention program for American Indian tribal college students. Copyright © The Author 2015. Published by Oxford University Press on behalf of the Society for Research on Nicotine and Tobacco. All rights reserved. For </w:t>
            </w:r>
            <w:proofErr w:type="gramStart"/>
            <w:r w:rsidRPr="005762E6">
              <w:rPr>
                <w:sz w:val="20"/>
                <w:szCs w:val="20"/>
              </w:rPr>
              <w:t>permissions,​</w:t>
            </w:r>
            <w:proofErr w:type="gramEnd"/>
            <w:r w:rsidRPr="005762E6">
              <w:rPr>
                <w:sz w:val="20"/>
                <w:szCs w:val="20"/>
              </w:rPr>
              <w:t xml:space="preserve"> please e-mail: journals.permissions@oup.com.</w:t>
            </w:r>
          </w:p>
        </w:tc>
      </w:tr>
      <w:tr w:rsidR="00B44564" w:rsidRPr="005762E6" w14:paraId="083043AB"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A01A27A" w14:textId="77777777" w:rsidR="00B44564" w:rsidRPr="005762E6" w:rsidRDefault="00B44564" w:rsidP="00EA69AA">
            <w:pPr>
              <w:spacing w:after="120" w:line="240" w:lineRule="auto"/>
              <w:contextualSpacing/>
              <w:rPr>
                <w:sz w:val="20"/>
                <w:szCs w:val="20"/>
              </w:rPr>
            </w:pPr>
            <w:r w:rsidRPr="005762E6">
              <w:rPr>
                <w:sz w:val="20"/>
                <w:szCs w:val="20"/>
              </w:rPr>
              <w:lastRenderedPageBreak/>
              <w:t>351</w:t>
            </w:r>
          </w:p>
        </w:tc>
        <w:tc>
          <w:tcPr>
            <w:tcW w:w="0" w:type="auto"/>
            <w:tcBorders>
              <w:top w:val="single" w:sz="6" w:space="0" w:color="auto"/>
              <w:left w:val="single" w:sz="6" w:space="0" w:color="auto"/>
              <w:bottom w:val="single" w:sz="6" w:space="0" w:color="auto"/>
              <w:right w:val="single" w:sz="6" w:space="0" w:color="auto"/>
            </w:tcBorders>
          </w:tcPr>
          <w:p w14:paraId="1BC2E682"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F11C7F2" w14:textId="406130B5" w:rsidR="00B44564" w:rsidRPr="005762E6" w:rsidRDefault="00B44564" w:rsidP="00EA69AA">
            <w:pPr>
              <w:spacing w:after="120" w:line="240" w:lineRule="auto"/>
              <w:contextualSpacing/>
              <w:rPr>
                <w:sz w:val="20"/>
                <w:szCs w:val="20"/>
              </w:rPr>
            </w:pPr>
            <w:r w:rsidRPr="005762E6">
              <w:rPr>
                <w:sz w:val="20"/>
                <w:szCs w:val="20"/>
              </w:rPr>
              <w:t xml:space="preserve">Erna Jz </w:t>
            </w:r>
            <w:proofErr w:type="gramStart"/>
            <w:r w:rsidRPr="005762E6">
              <w:rPr>
                <w:sz w:val="20"/>
                <w:szCs w:val="20"/>
              </w:rPr>
              <w:t>Krusemann,​</w:t>
            </w:r>
            <w:proofErr w:type="gramEnd"/>
            <w:r w:rsidRPr="005762E6">
              <w:rPr>
                <w:sz w:val="20"/>
                <w:szCs w:val="20"/>
              </w:rPr>
              <w:t xml:space="preserve"> Wouter F Visser,​ Johannes Wjm Cremers,​ Jeroen LA Pennings,​ Reinskje Talhout Identification of flavour additives in tobacco products to develop a flavour library</w:t>
            </w:r>
            <w:r w:rsidR="007F2F01">
              <w:rPr>
                <w:sz w:val="20"/>
                <w:szCs w:val="20"/>
              </w:rPr>
              <w:t>.</w:t>
            </w:r>
            <w:r w:rsidRPr="005762E6">
              <w:rPr>
                <w:sz w:val="20"/>
                <w:szCs w:val="20"/>
              </w:rPr>
              <w:t xml:space="preserve"> Tobacco control; 2018;27:105.</w:t>
            </w:r>
            <w:r w:rsidRPr="005762E6">
              <w:rPr>
                <w:sz w:val="20"/>
                <w:szCs w:val="20"/>
              </w:rPr>
              <w:br/>
            </w:r>
            <w:r w:rsidRPr="005762E6">
              <w:rPr>
                <w:sz w:val="20"/>
                <w:szCs w:val="20"/>
              </w:rPr>
              <w:br/>
            </w:r>
            <w:r w:rsidRPr="005762E6">
              <w:rPr>
                <w:b/>
                <w:bCs/>
                <w:sz w:val="20"/>
                <w:szCs w:val="20"/>
              </w:rPr>
              <w:t>Keywords:</w:t>
            </w:r>
            <w:r w:rsidRPr="005762E6">
              <w:rPr>
                <w:sz w:val="20"/>
                <w:szCs w:val="20"/>
              </w:rPr>
              <w:br/>
              <w:t>*Flavoring Agents/an [Analysis],​*Gas Chromatography-Mass Spectrometry/mt [Methods],​*Tobacco Products/an [Analysis]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OBJECTIVES: This study combines chemical analysis and flavour descriptions of flavour additives used in tobacco products,​ and provides a starting point to build an extensive library of flavour components,​ useful for product surveillance.,​ METHODS: Headspace gas chromatography-mass spectrometry (GC-MS) was used to compare 22 commercially available tobacco products (cigarettes and roll-your-own) expected to have a characterising flavour and 6 commercially available products not expected to have a characterising flavour with 5 reference products (natural tobacco leaves and research cigarettes containing no flavour additives). The flavour components naturally present in the reference products were excluded from components present in commercially available products containing flavour additives. A description of the remaining flavour additives was used for categorisation</w:t>
            </w:r>
            <w:proofErr w:type="gramStart"/>
            <w:r w:rsidRPr="005762E6">
              <w:rPr>
                <w:sz w:val="20"/>
                <w:szCs w:val="20"/>
              </w:rPr>
              <w:t>.,​</w:t>
            </w:r>
            <w:proofErr w:type="gramEnd"/>
            <w:r w:rsidRPr="005762E6">
              <w:rPr>
                <w:sz w:val="20"/>
                <w:szCs w:val="20"/>
              </w:rPr>
              <w:t xml:space="preserve"> RESULTS: GC-MS measurements of the 33 tobacco products resulted in an overview of 186 chemical compounds. Of </w:t>
            </w:r>
            <w:proofErr w:type="gramStart"/>
            <w:r w:rsidRPr="005762E6">
              <w:rPr>
                <w:sz w:val="20"/>
                <w:szCs w:val="20"/>
              </w:rPr>
              <w:t>these,​</w:t>
            </w:r>
            <w:proofErr w:type="gramEnd"/>
            <w:r w:rsidRPr="005762E6">
              <w:rPr>
                <w:sz w:val="20"/>
                <w:szCs w:val="20"/>
              </w:rPr>
              <w:t xml:space="preserve"> 144 were solely present in commercially available products. These 144 flavour additives were described using 62 different flavour descriptors extracted from flavour </w:t>
            </w:r>
            <w:proofErr w:type="gramStart"/>
            <w:r w:rsidRPr="005762E6">
              <w:rPr>
                <w:sz w:val="20"/>
                <w:szCs w:val="20"/>
              </w:rPr>
              <w:t>databases,​</w:t>
            </w:r>
            <w:proofErr w:type="gramEnd"/>
            <w:r w:rsidRPr="005762E6">
              <w:rPr>
                <w:sz w:val="20"/>
                <w:szCs w:val="20"/>
              </w:rPr>
              <w:t xml:space="preserve"> which were categorised into eight groups largely based on the definition of characterising flavours from the European Tobacco Product Directive: fruit,​ spice,​ herb,​ alcohol,​ menthol,​ sweet,​ floral and miscellaneous.,​ CONCLUSIONS: We developed a method to identify and describe flavour additives in tobacco products. Flavour additives consist of single flavour compounds or mixtures of multiple flavour </w:t>
            </w:r>
            <w:proofErr w:type="gramStart"/>
            <w:r w:rsidRPr="005762E6">
              <w:rPr>
                <w:sz w:val="20"/>
                <w:szCs w:val="20"/>
              </w:rPr>
              <w:t>compounds,​</w:t>
            </w:r>
            <w:proofErr w:type="gramEnd"/>
            <w:r w:rsidRPr="005762E6">
              <w:rPr>
                <w:sz w:val="20"/>
                <w:szCs w:val="20"/>
              </w:rPr>
              <w:t xml:space="preserve"> and different combinations of flavour compounds can cause a certain flavour. A flavour library helps to detect flavour additives that are characteristic for a certain </w:t>
            </w:r>
            <w:proofErr w:type="gramStart"/>
            <w:r w:rsidRPr="005762E6">
              <w:rPr>
                <w:sz w:val="20"/>
                <w:szCs w:val="20"/>
              </w:rPr>
              <w:t>flavour,​</w:t>
            </w:r>
            <w:proofErr w:type="gramEnd"/>
            <w:r w:rsidRPr="005762E6">
              <w:rPr>
                <w:sz w:val="20"/>
                <w:szCs w:val="20"/>
              </w:rPr>
              <w:t xml:space="preserve"> and thus can be useful for regulation of flavours in tobacco and related products. Copyright © Article author(s) (or their employer(s) unless otherwise stated in the text of the article) 2018. All rights reserved. No commercial use is permitted unless otherwise expressly granted.</w:t>
            </w:r>
          </w:p>
        </w:tc>
      </w:tr>
      <w:tr w:rsidR="00B44564" w:rsidRPr="005762E6" w14:paraId="099F0B9D"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EA0A5CD" w14:textId="77777777" w:rsidR="00B44564" w:rsidRPr="005762E6" w:rsidRDefault="00B44564" w:rsidP="00EA69AA">
            <w:pPr>
              <w:spacing w:after="120" w:line="240" w:lineRule="auto"/>
              <w:contextualSpacing/>
              <w:rPr>
                <w:sz w:val="20"/>
                <w:szCs w:val="20"/>
              </w:rPr>
            </w:pPr>
            <w:r w:rsidRPr="005762E6">
              <w:rPr>
                <w:sz w:val="20"/>
                <w:szCs w:val="20"/>
              </w:rPr>
              <w:t>353</w:t>
            </w:r>
          </w:p>
        </w:tc>
        <w:tc>
          <w:tcPr>
            <w:tcW w:w="0" w:type="auto"/>
            <w:tcBorders>
              <w:top w:val="single" w:sz="6" w:space="0" w:color="auto"/>
              <w:left w:val="single" w:sz="6" w:space="0" w:color="auto"/>
              <w:bottom w:val="single" w:sz="6" w:space="0" w:color="auto"/>
              <w:right w:val="single" w:sz="6" w:space="0" w:color="auto"/>
            </w:tcBorders>
          </w:tcPr>
          <w:p w14:paraId="34058988"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379FB00" w14:textId="6B9656A2" w:rsidR="00B44564" w:rsidRPr="005762E6" w:rsidRDefault="00B44564" w:rsidP="00EA69AA">
            <w:pPr>
              <w:spacing w:after="120" w:line="240" w:lineRule="auto"/>
              <w:contextualSpacing/>
              <w:rPr>
                <w:sz w:val="20"/>
                <w:szCs w:val="20"/>
              </w:rPr>
            </w:pPr>
            <w:r w:rsidRPr="005762E6">
              <w:rPr>
                <w:sz w:val="20"/>
                <w:szCs w:val="20"/>
              </w:rPr>
              <w:t xml:space="preserve">Erna J Z </w:t>
            </w:r>
            <w:proofErr w:type="gramStart"/>
            <w:r w:rsidRPr="005762E6">
              <w:rPr>
                <w:sz w:val="20"/>
                <w:szCs w:val="20"/>
              </w:rPr>
              <w:t>Krusemann,​</w:t>
            </w:r>
            <w:proofErr w:type="gramEnd"/>
            <w:r w:rsidRPr="005762E6">
              <w:rPr>
                <w:sz w:val="20"/>
                <w:szCs w:val="20"/>
              </w:rPr>
              <w:t xml:space="preserve"> Johannes W J M Cremers,​ Wouter F Visser,​ Pieter H Punter,​ Reinskje Talhout The Sensory Difference Threshold of Menthol Odor in Flavored Tobacco Determined by Combining Sensory and Chemical </w:t>
            </w:r>
            <w:r w:rsidRPr="005762E6">
              <w:rPr>
                <w:sz w:val="20"/>
                <w:szCs w:val="20"/>
              </w:rPr>
              <w:lastRenderedPageBreak/>
              <w:t>Analysis</w:t>
            </w:r>
            <w:r w:rsidR="007F2F01">
              <w:rPr>
                <w:sz w:val="20"/>
                <w:szCs w:val="20"/>
              </w:rPr>
              <w:t>.</w:t>
            </w:r>
            <w:r w:rsidRPr="005762E6">
              <w:rPr>
                <w:sz w:val="20"/>
                <w:szCs w:val="20"/>
              </w:rPr>
              <w:t xml:space="preserve"> Chemical senses; </w:t>
            </w:r>
            <w:proofErr w:type="gramStart"/>
            <w:r w:rsidRPr="005762E6">
              <w:rPr>
                <w:sz w:val="20"/>
                <w:szCs w:val="20"/>
              </w:rPr>
              <w:t>2017;42:233</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Adult,​Female,​Humans,​*Menthol/an [Analysis],​Middle Aged,​*Odorants/an [Analysis],​Sensory Thresholds,​*Tobacco/ch [Chemistry],​Young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Cigarettes are an often-used consumer product,​ and flavor is an important determinant of their product appeal. Cigarettes with strong nontobacco flavors are popular among young </w:t>
            </w:r>
            <w:proofErr w:type="gramStart"/>
            <w:r w:rsidRPr="005762E6">
              <w:rPr>
                <w:sz w:val="20"/>
                <w:szCs w:val="20"/>
              </w:rPr>
              <w:t>people,​</w:t>
            </w:r>
            <w:proofErr w:type="gramEnd"/>
            <w:r w:rsidRPr="005762E6">
              <w:rPr>
                <w:sz w:val="20"/>
                <w:szCs w:val="20"/>
              </w:rPr>
              <w:t xml:space="preserve"> and may facilitate smoking initiation. Discriminating flavors in tobacco is important for regulation </w:t>
            </w:r>
            <w:proofErr w:type="gramStart"/>
            <w:r w:rsidRPr="005762E6">
              <w:rPr>
                <w:sz w:val="20"/>
                <w:szCs w:val="20"/>
              </w:rPr>
              <w:t>purposes,​</w:t>
            </w:r>
            <w:proofErr w:type="gramEnd"/>
            <w:r w:rsidRPr="005762E6">
              <w:rPr>
                <w:sz w:val="20"/>
                <w:szCs w:val="20"/>
              </w:rPr>
              <w:t xml:space="preserve"> for instance to set upper limits to the levels of important flavor additives. We provide a simple and fast method to determine the human odor difference threshold for flavor additives in a tobacco </w:t>
            </w:r>
            <w:proofErr w:type="gramStart"/>
            <w:r w:rsidRPr="005762E6">
              <w:rPr>
                <w:sz w:val="20"/>
                <w:szCs w:val="20"/>
              </w:rPr>
              <w:t>matrix,​</w:t>
            </w:r>
            <w:proofErr w:type="gramEnd"/>
            <w:r w:rsidRPr="005762E6">
              <w:rPr>
                <w:sz w:val="20"/>
                <w:szCs w:val="20"/>
              </w:rPr>
              <w:t xml:space="preserve"> using a combination of chemical and sensory analysis. For an </w:t>
            </w:r>
            <w:proofErr w:type="gramStart"/>
            <w:r w:rsidRPr="005762E6">
              <w:rPr>
                <w:sz w:val="20"/>
                <w:szCs w:val="20"/>
              </w:rPr>
              <w:t>example,​</w:t>
            </w:r>
            <w:proofErr w:type="gramEnd"/>
            <w:r w:rsidRPr="005762E6">
              <w:rPr>
                <w:sz w:val="20"/>
                <w:szCs w:val="20"/>
              </w:rPr>
              <w:t xml:space="preserve"> the human difference threshold for menthol odor,​ one of the most frequently used tobacco flavors,​ was determined. A consumer panel consisting of 20 women compared different concentrations of menthol-flavored tobacco to unflavored cigarette tobacco using the 2-alternative forced choice method. Components contributing to menthol odor were quantified using headspace GC-MS. The sensory difference threshold of menthol odor corresponded to a mixture of 43 (37-</w:t>
            </w:r>
            <w:proofErr w:type="gramStart"/>
            <w:r w:rsidRPr="005762E6">
              <w:rPr>
                <w:sz w:val="20"/>
                <w:szCs w:val="20"/>
              </w:rPr>
              <w:t>50)%</w:t>
            </w:r>
            <w:proofErr w:type="gramEnd"/>
            <w:r w:rsidRPr="005762E6">
              <w:rPr>
                <w:sz w:val="20"/>
                <w:szCs w:val="20"/>
              </w:rPr>
              <w:t xml:space="preserve"> menthol-flavored tobacco,​ containing 1.8 (1.6-2.1) mg menthol,​ 2.7 (2.3-3.1) micro g menthone,​ and 1.0 (0.9-1.2) micro g neomenthyl acetate per gram of tobacco. Such a method is important in the context of the European Tobacco Product </w:t>
            </w:r>
            <w:proofErr w:type="gramStart"/>
            <w:r w:rsidRPr="005762E6">
              <w:rPr>
                <w:sz w:val="20"/>
                <w:szCs w:val="20"/>
              </w:rPr>
              <w:t>Directive,​</w:t>
            </w:r>
            <w:proofErr w:type="gramEnd"/>
            <w:r w:rsidRPr="005762E6">
              <w:rPr>
                <w:sz w:val="20"/>
                <w:szCs w:val="20"/>
              </w:rPr>
              <w:t xml:space="preserve"> and the US Food and Drug Administration Tobacco Control Act,​ that both prohibit cigarettes and roll-your-own tobacco with a characterizing flavor other than tobacco. Our method can also be adapted for matrices other than </w:t>
            </w:r>
            <w:proofErr w:type="gramStart"/>
            <w:r w:rsidRPr="005762E6">
              <w:rPr>
                <w:sz w:val="20"/>
                <w:szCs w:val="20"/>
              </w:rPr>
              <w:t>tobacco,​</w:t>
            </w:r>
            <w:proofErr w:type="gramEnd"/>
            <w:r w:rsidRPr="005762E6">
              <w:rPr>
                <w:sz w:val="20"/>
                <w:szCs w:val="20"/>
              </w:rPr>
              <w:t xml:space="preserve"> such as food. Copyright © The Author 2016. Published by Oxford University Press.</w:t>
            </w:r>
          </w:p>
        </w:tc>
      </w:tr>
      <w:tr w:rsidR="00B44564" w:rsidRPr="005762E6" w14:paraId="1B5827E1"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58D4CFE" w14:textId="77777777" w:rsidR="00B44564" w:rsidRPr="005762E6" w:rsidRDefault="00B44564" w:rsidP="00EA69AA">
            <w:pPr>
              <w:spacing w:after="120" w:line="240" w:lineRule="auto"/>
              <w:contextualSpacing/>
              <w:rPr>
                <w:sz w:val="20"/>
                <w:szCs w:val="20"/>
              </w:rPr>
            </w:pPr>
            <w:r w:rsidRPr="005762E6">
              <w:rPr>
                <w:sz w:val="20"/>
                <w:szCs w:val="20"/>
              </w:rPr>
              <w:lastRenderedPageBreak/>
              <w:t>355</w:t>
            </w:r>
          </w:p>
        </w:tc>
        <w:tc>
          <w:tcPr>
            <w:tcW w:w="0" w:type="auto"/>
            <w:tcBorders>
              <w:top w:val="single" w:sz="6" w:space="0" w:color="auto"/>
              <w:left w:val="single" w:sz="6" w:space="0" w:color="auto"/>
              <w:bottom w:val="single" w:sz="6" w:space="0" w:color="auto"/>
              <w:right w:val="single" w:sz="6" w:space="0" w:color="auto"/>
            </w:tcBorders>
          </w:tcPr>
          <w:p w14:paraId="08CF86A4"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C6CF74E" w14:textId="01867E9D" w:rsidR="00B44564" w:rsidRPr="005762E6" w:rsidRDefault="00B44564" w:rsidP="00EA69AA">
            <w:pPr>
              <w:spacing w:after="120" w:line="240" w:lineRule="auto"/>
              <w:contextualSpacing/>
              <w:rPr>
                <w:sz w:val="20"/>
                <w:szCs w:val="20"/>
              </w:rPr>
            </w:pPr>
            <w:r w:rsidRPr="005762E6">
              <w:rPr>
                <w:sz w:val="20"/>
                <w:szCs w:val="20"/>
              </w:rPr>
              <w:t xml:space="preserve">Shyanika W </w:t>
            </w:r>
            <w:proofErr w:type="gramStart"/>
            <w:r w:rsidRPr="005762E6">
              <w:rPr>
                <w:sz w:val="20"/>
                <w:szCs w:val="20"/>
              </w:rPr>
              <w:t>Rose,​</w:t>
            </w:r>
            <w:proofErr w:type="gramEnd"/>
            <w:r w:rsidRPr="005762E6">
              <w:rPr>
                <w:sz w:val="20"/>
                <w:szCs w:val="20"/>
              </w:rPr>
              <w:t xml:space="preserve"> Catherine L Jo,​ Steven Binns,​ Melissa Buenger,​ Sherry Emery,​ Kurt M Ribisl Perceptions of Menthol Cigarettes Among Twitter Users: Content and Sentiment Analysis</w:t>
            </w:r>
            <w:r w:rsidR="007F2F01">
              <w:rPr>
                <w:sz w:val="20"/>
                <w:szCs w:val="20"/>
              </w:rPr>
              <w:t>.</w:t>
            </w:r>
            <w:r w:rsidRPr="005762E6">
              <w:rPr>
                <w:sz w:val="20"/>
                <w:szCs w:val="20"/>
              </w:rPr>
              <w:t xml:space="preserve"> Journal of medical Internet research; 2017;</w:t>
            </w:r>
            <w:proofErr w:type="gramStart"/>
            <w:r w:rsidRPr="005762E6">
              <w:rPr>
                <w:sz w:val="20"/>
                <w:szCs w:val="20"/>
              </w:rPr>
              <w:t>19:e</w:t>
            </w:r>
            <w:proofErr w:type="gramEnd"/>
            <w:r w:rsidRPr="005762E6">
              <w:rPr>
                <w:sz w:val="20"/>
                <w:szCs w:val="20"/>
              </w:rPr>
              <w:t>56.</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Adolescent,​Adult,​Female,​Humans,​*Menthol,​Perception,​Public Opinion,​*Smoking/px [Psychology],​*Social Media</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Menthol cigarettes are used disproportionately by African American,​ female,​ and adolescent smokers. Twitter is also used disproportionately by minority and younger </w:t>
            </w:r>
            <w:proofErr w:type="gramStart"/>
            <w:r w:rsidRPr="005762E6">
              <w:rPr>
                <w:sz w:val="20"/>
                <w:szCs w:val="20"/>
              </w:rPr>
              <w:t>populations,​</w:t>
            </w:r>
            <w:proofErr w:type="gramEnd"/>
            <w:r w:rsidRPr="005762E6">
              <w:rPr>
                <w:sz w:val="20"/>
                <w:szCs w:val="20"/>
              </w:rPr>
              <w:t xml:space="preserve"> providing a unique window into conversations reflecting social norms,​ behavioral intentions,​ and sentiment toward menthol cigarettes.,​ OBJECTIVE: Our purpose was to identify the content and frequency of conversations about menthol cigarettes,​ including themes,​ populations,​ user smoking status,​ other tobacco or substances,​ tweet characteristics,​ and sentiment. We also examined differences in menthol cigarette sentiment by prevalent </w:t>
            </w:r>
            <w:proofErr w:type="gramStart"/>
            <w:r w:rsidRPr="005762E6">
              <w:rPr>
                <w:sz w:val="20"/>
                <w:szCs w:val="20"/>
              </w:rPr>
              <w:t>categories,​</w:t>
            </w:r>
            <w:proofErr w:type="gramEnd"/>
            <w:r w:rsidRPr="005762E6">
              <w:rPr>
                <w:sz w:val="20"/>
                <w:szCs w:val="20"/>
              </w:rPr>
              <w:t xml:space="preserve"> which allowed us to assess potential perceptions,​ misperceptions,​ and social norms about menthol cigarettes on Twitter. This approach can inform communication about these </w:t>
            </w:r>
            <w:proofErr w:type="gramStart"/>
            <w:r w:rsidRPr="005762E6">
              <w:rPr>
                <w:sz w:val="20"/>
                <w:szCs w:val="20"/>
              </w:rPr>
              <w:t>products,​</w:t>
            </w:r>
            <w:proofErr w:type="gramEnd"/>
            <w:r w:rsidRPr="005762E6">
              <w:rPr>
                <w:sz w:val="20"/>
                <w:szCs w:val="20"/>
              </w:rPr>
              <w:t xml:space="preserve"> particularly to subgroups who are at risk for menthol cigarette use.,​ METHODS: Through a combination of human and machine classification,​ we identified 94,​627 menthol cigarette-relevant tweets from February 1,​ 2012 to January 31,​ 2013 (1 year) from over 47 million tobacco-related messages gathered prospectively from the Twitter Firehose of all public tweets and metadata. </w:t>
            </w:r>
            <w:proofErr w:type="gramStart"/>
            <w:r w:rsidRPr="005762E6">
              <w:rPr>
                <w:sz w:val="20"/>
                <w:szCs w:val="20"/>
              </w:rPr>
              <w:t>Then,​</w:t>
            </w:r>
            <w:proofErr w:type="gramEnd"/>
            <w:r w:rsidRPr="005762E6">
              <w:rPr>
                <w:sz w:val="20"/>
                <w:szCs w:val="20"/>
              </w:rPr>
              <w:t xml:space="preserve"> 4 human coders evaluated a random sample of 7000 tweets for categories,​ including sentiment toward menthol cigarettes.,​ RESULTS: We found that 47.98% (3194/6657) of tweets expressed positive sentiment,​ while 40.26% (2680/6657) were negative toward menthol cigarettes. The majority of tweets by likely smokers (2653/</w:t>
            </w:r>
            <w:proofErr w:type="gramStart"/>
            <w:r w:rsidRPr="005762E6">
              <w:rPr>
                <w:sz w:val="20"/>
                <w:szCs w:val="20"/>
              </w:rPr>
              <w:t>4038,​</w:t>
            </w:r>
            <w:proofErr w:type="gramEnd"/>
            <w:r w:rsidRPr="005762E6">
              <w:rPr>
                <w:sz w:val="20"/>
                <w:szCs w:val="20"/>
              </w:rPr>
              <w:t xml:space="preserve"> 65.70%) expressed positive sentiment,​ while 91.2% (320/351) of nonsmokers and 71.7% (91/127) of former smokers indicated negative views. Positive views toward menthol cigarettes were predominant in tweets that discussed addiction or </w:t>
            </w:r>
            <w:proofErr w:type="gramStart"/>
            <w:r w:rsidRPr="005762E6">
              <w:rPr>
                <w:sz w:val="20"/>
                <w:szCs w:val="20"/>
              </w:rPr>
              <w:t>craving,​</w:t>
            </w:r>
            <w:proofErr w:type="gramEnd"/>
            <w:r w:rsidRPr="005762E6">
              <w:rPr>
                <w:sz w:val="20"/>
                <w:szCs w:val="20"/>
              </w:rPr>
              <w:t xml:space="preserve"> marijuana,​ smoking,​ taste or sensation,​ song lyrics,​ and tobacco industry or marketing or tweets that were commercial in nature. Negative views toward menthol were more common in tweets about smoking cessation,​ health,​ African Americans,​ women,​ and children and adolescents-largely due to expression of negative stereotypes associated with these groups' use of menthol cigarettes.,​ CONCLUSIONS: Examinations of public opinions toward menthol cigarettes through social media can help to inform the framing of public </w:t>
            </w:r>
            <w:r w:rsidRPr="005762E6">
              <w:rPr>
                <w:sz w:val="20"/>
                <w:szCs w:val="20"/>
              </w:rPr>
              <w:lastRenderedPageBreak/>
              <w:t xml:space="preserve">communication about menthol cigarettes,​ particularly in light of potential regulation by the European Union,​ US Food and Drug Administration,​ other jurisdictions,​ and localities. Copyright ©Shyanika W </w:t>
            </w:r>
            <w:proofErr w:type="gramStart"/>
            <w:r w:rsidRPr="005762E6">
              <w:rPr>
                <w:sz w:val="20"/>
                <w:szCs w:val="20"/>
              </w:rPr>
              <w:t>Rose,​</w:t>
            </w:r>
            <w:proofErr w:type="gramEnd"/>
            <w:r w:rsidRPr="005762E6">
              <w:rPr>
                <w:sz w:val="20"/>
                <w:szCs w:val="20"/>
              </w:rPr>
              <w:t xml:space="preserve"> Catherine L Jo,​ Steven Binns,​ Melissa Buenger,​ Sherry Emery,​ Kurt M Ribisl. Originally published in the Journal of Medical Internet Research (http://www.jmir.org</w:t>
            </w:r>
            <w:proofErr w:type="gramStart"/>
            <w:r w:rsidRPr="005762E6">
              <w:rPr>
                <w:sz w:val="20"/>
                <w:szCs w:val="20"/>
              </w:rPr>
              <w:t>),​</w:t>
            </w:r>
            <w:proofErr w:type="gramEnd"/>
            <w:r w:rsidRPr="005762E6">
              <w:rPr>
                <w:sz w:val="20"/>
                <w:szCs w:val="20"/>
              </w:rPr>
              <w:t xml:space="preserve"> 27.02.2017.</w:t>
            </w:r>
          </w:p>
        </w:tc>
      </w:tr>
      <w:tr w:rsidR="00B44564" w:rsidRPr="005762E6" w14:paraId="4BB0F229"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FFEB397" w14:textId="77777777" w:rsidR="00B44564" w:rsidRPr="005762E6" w:rsidRDefault="00B44564" w:rsidP="00EA69AA">
            <w:pPr>
              <w:spacing w:after="120" w:line="240" w:lineRule="auto"/>
              <w:contextualSpacing/>
              <w:rPr>
                <w:sz w:val="20"/>
                <w:szCs w:val="20"/>
              </w:rPr>
            </w:pPr>
            <w:r w:rsidRPr="005762E6">
              <w:rPr>
                <w:sz w:val="20"/>
                <w:szCs w:val="20"/>
              </w:rPr>
              <w:lastRenderedPageBreak/>
              <w:t>356</w:t>
            </w:r>
          </w:p>
        </w:tc>
        <w:tc>
          <w:tcPr>
            <w:tcW w:w="0" w:type="auto"/>
            <w:tcBorders>
              <w:top w:val="single" w:sz="6" w:space="0" w:color="auto"/>
              <w:left w:val="single" w:sz="6" w:space="0" w:color="auto"/>
              <w:bottom w:val="single" w:sz="6" w:space="0" w:color="auto"/>
              <w:right w:val="single" w:sz="6" w:space="0" w:color="auto"/>
            </w:tcBorders>
          </w:tcPr>
          <w:p w14:paraId="093C5AF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B7A3E32" w14:textId="1FB406F5" w:rsidR="00B44564" w:rsidRPr="005762E6" w:rsidRDefault="00B44564" w:rsidP="00EA69AA">
            <w:pPr>
              <w:spacing w:after="120" w:line="240" w:lineRule="auto"/>
              <w:contextualSpacing/>
              <w:rPr>
                <w:sz w:val="20"/>
                <w:szCs w:val="20"/>
              </w:rPr>
            </w:pPr>
            <w:r w:rsidRPr="005762E6">
              <w:rPr>
                <w:sz w:val="20"/>
                <w:szCs w:val="20"/>
              </w:rPr>
              <w:t xml:space="preserve">Natalie </w:t>
            </w:r>
            <w:proofErr w:type="gramStart"/>
            <w:r w:rsidRPr="005762E6">
              <w:rPr>
                <w:sz w:val="20"/>
                <w:szCs w:val="20"/>
              </w:rPr>
              <w:t>Nardone,​</w:t>
            </w:r>
            <w:proofErr w:type="gramEnd"/>
            <w:r w:rsidRPr="005762E6">
              <w:rPr>
                <w:sz w:val="20"/>
                <w:szCs w:val="20"/>
              </w:rPr>
              <w:t xml:space="preserve"> Eric C Donny,​ Dorothy K Hatsukami,​ Joseph S Koopmeiners,​ Sharon E Murphy,​ Andrew A Strasser,​ Jennifer W Tidey,​ Ryan Vandrey,​ Neal L Benowitz Estimations and predictors of non-compliance in switchers to reduced nicotine content cigarettes</w:t>
            </w:r>
            <w:r w:rsidR="007F2F01">
              <w:rPr>
                <w:sz w:val="20"/>
                <w:szCs w:val="20"/>
              </w:rPr>
              <w:t>.</w:t>
            </w:r>
            <w:r w:rsidRPr="005762E6">
              <w:rPr>
                <w:sz w:val="20"/>
                <w:szCs w:val="20"/>
              </w:rPr>
              <w:t xml:space="preserve"> Addiction (Abingdon,​ England); 2016;111:2208.</w:t>
            </w:r>
            <w:r w:rsidRPr="005762E6">
              <w:rPr>
                <w:sz w:val="20"/>
                <w:szCs w:val="20"/>
              </w:rPr>
              <w:br/>
            </w:r>
            <w:r w:rsidRPr="005762E6">
              <w:rPr>
                <w:sz w:val="20"/>
                <w:szCs w:val="20"/>
              </w:rPr>
              <w:br/>
            </w:r>
            <w:r w:rsidRPr="005762E6">
              <w:rPr>
                <w:b/>
                <w:bCs/>
                <w:sz w:val="20"/>
                <w:szCs w:val="20"/>
              </w:rPr>
              <w:t>Keywords:</w:t>
            </w:r>
            <w:r w:rsidRPr="005762E6">
              <w:rPr>
                <w:sz w:val="20"/>
                <w:szCs w:val="20"/>
              </w:rPr>
              <w:br/>
              <w:t>Adult,​Biomarkers/an [Analysis],​Double-Blind Method,​Female,​*Ganglionic Stimulants/an [Analysis],​Healthy Volunteers,​Humans,​Male,​*Nicotine/an [Analysis],​Patient Compliance,​Saliva/ch [Chemistry],​*Smoking Reduction/mt [Methods],​Smoking Reduction/px [Psychology],​*Tobacco Products,​Urinalysis/mt [Methods]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AND AIMS: Clinical trials on the impact and safety of reduced nicotine content cigarettes (RNCs) are ongoing,​ and an important methodological concern is participant compliance with smoking only RNCs. Our aims were to measure non-compliance biochemically with urine cotinine (COT) and total nicotine equivalents (TNEs),​ compare with self-reported non-compliance and identify associated covariates.,​ DESIGN: Secondary analysis of a double-blind,​ parallel,​ randomized clinical trial.,​ SETTING: Research centers from the United States,​ enrolling participants from June 2013 to July 2014.,​ PARTICIPANTS: Volunteer sample of 242 participants (55% Caucasian),​ average age of 41.2 years,​ smoking at least five cigarettes per day (CPD).,​ INTERVENTION: Smoking very low nicotine cigarettes (VLNCs; 0.4 mg nicotine/g tobacco) for 6 weeks.,​ MEASUREMENTS: The primary outcome was biochemically verified non-compliance,​ measured as thresholds of COT/CPD and TNE/CPD ratios,​ considering changes in nicotine content from conventional levels to VLNCs,​ and as an absolute threshold of week 6 TNEs. Self-reported non-compliance was measured via daily phone calls. Key predictors included </w:t>
            </w:r>
            <w:proofErr w:type="gramStart"/>
            <w:r w:rsidRPr="005762E6">
              <w:rPr>
                <w:sz w:val="20"/>
                <w:szCs w:val="20"/>
              </w:rPr>
              <w:t>age,​</w:t>
            </w:r>
            <w:proofErr w:type="gramEnd"/>
            <w:r w:rsidRPr="005762E6">
              <w:rPr>
                <w:sz w:val="20"/>
                <w:szCs w:val="20"/>
              </w:rPr>
              <w:t xml:space="preserve"> sex,​ race,​ menthol preference,​ nicotine metabolite ratio,​ time to first cigarette,​ dependence,​ CPD,​ TNEs,​ tar level and cigarette evaluation.,​ FINDINGS: Estimates of non-compliance with smoking the VLNCs exclusively include: the biochemical ratios (both 78%),​ the week 6 TNE threshold (76%) and self-report (39%). Of the key </w:t>
            </w:r>
            <w:proofErr w:type="gramStart"/>
            <w:r w:rsidRPr="005762E6">
              <w:rPr>
                <w:sz w:val="20"/>
                <w:szCs w:val="20"/>
              </w:rPr>
              <w:t>covariates,​</w:t>
            </w:r>
            <w:proofErr w:type="gramEnd"/>
            <w:r w:rsidRPr="005762E6">
              <w:rPr>
                <w:sz w:val="20"/>
                <w:szCs w:val="20"/>
              </w:rPr>
              <w:t xml:space="preserve"> age,​ dependence and cigarette evaluations of satisfaction were significant; for age,​ younger participants more likely to be non-compliant [P = 0.01; odds ratio (OR) = 0.98,​ 95% confidence interval (CI) = 0.96-0.99]. Dependence was associated significantly with self-reported non-compliance (P = 0.01; OR = </w:t>
            </w:r>
            <w:proofErr w:type="gramStart"/>
            <w:r w:rsidRPr="005762E6">
              <w:rPr>
                <w:sz w:val="20"/>
                <w:szCs w:val="20"/>
              </w:rPr>
              <w:t>1.28,​</w:t>
            </w:r>
            <w:proofErr w:type="gramEnd"/>
            <w:r w:rsidRPr="005762E6">
              <w:rPr>
                <w:sz w:val="20"/>
                <w:szCs w:val="20"/>
              </w:rPr>
              <w:t xml:space="preserve"> 95% CI = 1.06-1.55). Cigarette evaluations of satisfaction were associated significantly with non-compliance (P = 0.001; OR = </w:t>
            </w:r>
            <w:proofErr w:type="gramStart"/>
            <w:r w:rsidRPr="005762E6">
              <w:rPr>
                <w:sz w:val="20"/>
                <w:szCs w:val="20"/>
              </w:rPr>
              <w:t>0.71,​</w:t>
            </w:r>
            <w:proofErr w:type="gramEnd"/>
            <w:r w:rsidRPr="005762E6">
              <w:rPr>
                <w:sz w:val="20"/>
                <w:szCs w:val="20"/>
              </w:rPr>
              <w:t xml:space="preserve"> 95% CI = 0.61-0.82).,​ CONCLUSIONS: Among smokers volunteering to smoke only very low nicotine cigarettes for 6 weeks,​ non-compliance was common and biochemical assessments detected more cases of non-compliance than self-report. Despite high levels of non-</w:t>
            </w:r>
            <w:proofErr w:type="gramStart"/>
            <w:r w:rsidRPr="005762E6">
              <w:rPr>
                <w:sz w:val="20"/>
                <w:szCs w:val="20"/>
              </w:rPr>
              <w:t>compliance,​</w:t>
            </w:r>
            <w:proofErr w:type="gramEnd"/>
            <w:r w:rsidRPr="005762E6">
              <w:rPr>
                <w:sz w:val="20"/>
                <w:szCs w:val="20"/>
              </w:rPr>
              <w:t xml:space="preserve"> smokers reduced their intake of nicotine by an average of 60%.Copyright © 2016 Society for the Study of Addiction.</w:t>
            </w:r>
          </w:p>
        </w:tc>
      </w:tr>
      <w:tr w:rsidR="00B44564" w:rsidRPr="005762E6" w14:paraId="64AE42C6"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E46DB3F" w14:textId="77777777" w:rsidR="00B44564" w:rsidRPr="005762E6" w:rsidRDefault="00B44564" w:rsidP="00EA69AA">
            <w:pPr>
              <w:spacing w:after="120" w:line="240" w:lineRule="auto"/>
              <w:contextualSpacing/>
              <w:rPr>
                <w:sz w:val="20"/>
                <w:szCs w:val="20"/>
              </w:rPr>
            </w:pPr>
            <w:r w:rsidRPr="005762E6">
              <w:rPr>
                <w:sz w:val="20"/>
                <w:szCs w:val="20"/>
              </w:rPr>
              <w:t>357</w:t>
            </w:r>
          </w:p>
        </w:tc>
        <w:tc>
          <w:tcPr>
            <w:tcW w:w="0" w:type="auto"/>
            <w:tcBorders>
              <w:top w:val="single" w:sz="6" w:space="0" w:color="auto"/>
              <w:left w:val="single" w:sz="6" w:space="0" w:color="auto"/>
              <w:bottom w:val="single" w:sz="6" w:space="0" w:color="auto"/>
              <w:right w:val="single" w:sz="6" w:space="0" w:color="auto"/>
            </w:tcBorders>
          </w:tcPr>
          <w:p w14:paraId="5F55DD3F"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C15A029" w14:textId="587BA824" w:rsidR="00B44564" w:rsidRPr="005762E6" w:rsidRDefault="00B44564" w:rsidP="00EA69AA">
            <w:pPr>
              <w:spacing w:after="120" w:line="240" w:lineRule="auto"/>
              <w:contextualSpacing/>
              <w:rPr>
                <w:sz w:val="20"/>
                <w:szCs w:val="20"/>
              </w:rPr>
            </w:pPr>
            <w:r w:rsidRPr="005762E6">
              <w:rPr>
                <w:sz w:val="20"/>
                <w:szCs w:val="20"/>
              </w:rPr>
              <w:t xml:space="preserve">Elizabeth Needham </w:t>
            </w:r>
            <w:proofErr w:type="gramStart"/>
            <w:r w:rsidRPr="005762E6">
              <w:rPr>
                <w:sz w:val="20"/>
                <w:szCs w:val="20"/>
              </w:rPr>
              <w:t>Waddell,​</w:t>
            </w:r>
            <w:proofErr w:type="gramEnd"/>
            <w:r w:rsidRPr="005762E6">
              <w:rPr>
                <w:sz w:val="20"/>
                <w:szCs w:val="20"/>
              </w:rPr>
              <w:t xml:space="preserve"> Rachel Sacks,​ Shannon M Farley,​ Michael Johns Point-of-Sale Tobacco Marketing to Youth in New York State</w:t>
            </w:r>
            <w:r w:rsidR="007F2F01">
              <w:rPr>
                <w:sz w:val="20"/>
                <w:szCs w:val="20"/>
              </w:rPr>
              <w:t>.</w:t>
            </w:r>
            <w:r w:rsidRPr="005762E6">
              <w:rPr>
                <w:sz w:val="20"/>
                <w:szCs w:val="20"/>
              </w:rPr>
              <w:t xml:space="preserve"> The Journal of adolescent health : official publication of the Society for Adolescent Medicine; 2016;59:365.</w:t>
            </w:r>
            <w:r w:rsidRPr="005762E6">
              <w:rPr>
                <w:sz w:val="20"/>
                <w:szCs w:val="20"/>
              </w:rPr>
              <w:br/>
            </w:r>
            <w:r w:rsidRPr="005762E6">
              <w:rPr>
                <w:sz w:val="20"/>
                <w:szCs w:val="20"/>
              </w:rPr>
              <w:br/>
            </w:r>
            <w:r w:rsidRPr="005762E6">
              <w:rPr>
                <w:b/>
                <w:bCs/>
                <w:sz w:val="20"/>
                <w:szCs w:val="20"/>
              </w:rPr>
              <w:t>Keywords:</w:t>
            </w:r>
            <w:r w:rsidRPr="005762E6">
              <w:rPr>
                <w:sz w:val="20"/>
                <w:szCs w:val="20"/>
              </w:rPr>
              <w:br/>
              <w:t>Adolescent,​Cigarette Smoking,​*Commerce,​Confidence Intervals,​*Direct-to-Consumer Advertising/sn [Statistics &amp; Numerical Data],​Humans,​Menthol,​New York,​Population Density,​Residence Characteristics/sn [Statistics &amp; Numerical Data],​*Tobacco Industry/mt [Methods],​*Tobacco Products/ec [Economics]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PURPOSE: To assess youth exposure to menthol versus nonmenthol cigarette advertising,​ we examined whether menthol cigarette promotions are more likely in neighborhoods with relatively high youth populations.,​ METHODS: We linked 2011 New York State Retail Advertising Tobacco Survey observational data with U.S. Census and American Community Survey demographic data. Multivariable models assessed the relationship between neighborhood youth population and point-of-sale cigarette promotions for three brands of cigarettes,​ adjusting for neighborhood demographic characteristics including race/ethnicity and poverty.,​ RESULTS: Menthol cigarette point-of-sale marketing was more likely in neighborhoods with higher </w:t>
            </w:r>
            <w:r w:rsidRPr="005762E6">
              <w:rPr>
                <w:sz w:val="20"/>
                <w:szCs w:val="20"/>
              </w:rPr>
              <w:lastRenderedPageBreak/>
              <w:t>proportions of youth,​ adjusting for presence of nonmenthol brand marketing,​ neighborhood race/ethnicity,​ neighborhood poverty,​ and urban geography.,​ CONCLUSIONS: Data from the 2011 Retail Advertising Tobacco Study linked to block level census data clearly indicate that price reduction promotions for menthol cigarettes are disproportionately targeted to youth markets in New York State. Copyright Published by Elsevier Inc.</w:t>
            </w:r>
          </w:p>
        </w:tc>
      </w:tr>
      <w:tr w:rsidR="00B44564" w:rsidRPr="005762E6" w14:paraId="2A8DB2AC"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C4485C4" w14:textId="77777777" w:rsidR="00B44564" w:rsidRPr="005762E6" w:rsidRDefault="00B44564" w:rsidP="00EA69AA">
            <w:pPr>
              <w:spacing w:after="120" w:line="240" w:lineRule="auto"/>
              <w:contextualSpacing/>
              <w:rPr>
                <w:sz w:val="20"/>
                <w:szCs w:val="20"/>
              </w:rPr>
            </w:pPr>
            <w:r w:rsidRPr="005762E6">
              <w:rPr>
                <w:sz w:val="20"/>
                <w:szCs w:val="20"/>
              </w:rPr>
              <w:lastRenderedPageBreak/>
              <w:t>360</w:t>
            </w:r>
          </w:p>
        </w:tc>
        <w:tc>
          <w:tcPr>
            <w:tcW w:w="0" w:type="auto"/>
            <w:tcBorders>
              <w:top w:val="single" w:sz="6" w:space="0" w:color="auto"/>
              <w:left w:val="single" w:sz="6" w:space="0" w:color="auto"/>
              <w:bottom w:val="single" w:sz="6" w:space="0" w:color="auto"/>
              <w:right w:val="single" w:sz="6" w:space="0" w:color="auto"/>
            </w:tcBorders>
          </w:tcPr>
          <w:p w14:paraId="3BCC6FE5"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CED66CE" w14:textId="1AEE48D5" w:rsidR="00B44564" w:rsidRPr="005762E6" w:rsidRDefault="00B44564" w:rsidP="00EA69AA">
            <w:pPr>
              <w:spacing w:after="120" w:line="240" w:lineRule="auto"/>
              <w:contextualSpacing/>
              <w:rPr>
                <w:sz w:val="20"/>
                <w:szCs w:val="20"/>
              </w:rPr>
            </w:pPr>
            <w:r w:rsidRPr="005762E6">
              <w:rPr>
                <w:sz w:val="20"/>
                <w:szCs w:val="20"/>
              </w:rPr>
              <w:t xml:space="preserve">Shannon M </w:t>
            </w:r>
            <w:proofErr w:type="gramStart"/>
            <w:r w:rsidRPr="005762E6">
              <w:rPr>
                <w:sz w:val="20"/>
                <w:szCs w:val="20"/>
              </w:rPr>
              <w:t>Farley,​</w:t>
            </w:r>
            <w:proofErr w:type="gramEnd"/>
            <w:r w:rsidRPr="005762E6">
              <w:rPr>
                <w:sz w:val="20"/>
                <w:szCs w:val="20"/>
              </w:rPr>
              <w:t xml:space="preserve"> Michael Johns New York City flavoured tobacco product sales ban evaluation</w:t>
            </w:r>
            <w:r w:rsidR="007F2F01">
              <w:rPr>
                <w:sz w:val="20"/>
                <w:szCs w:val="20"/>
              </w:rPr>
              <w:t>.</w:t>
            </w:r>
            <w:r w:rsidRPr="005762E6">
              <w:rPr>
                <w:sz w:val="20"/>
                <w:szCs w:val="20"/>
              </w:rPr>
              <w:t xml:space="preserve"> Tobacco control; 2017;26:78.</w:t>
            </w:r>
            <w:r w:rsidRPr="005762E6">
              <w:rPr>
                <w:sz w:val="20"/>
                <w:szCs w:val="20"/>
              </w:rPr>
              <w:br/>
            </w:r>
            <w:r w:rsidRPr="005762E6">
              <w:rPr>
                <w:sz w:val="20"/>
                <w:szCs w:val="20"/>
              </w:rPr>
              <w:br/>
            </w:r>
            <w:r w:rsidRPr="005762E6">
              <w:rPr>
                <w:b/>
                <w:bCs/>
                <w:sz w:val="20"/>
                <w:szCs w:val="20"/>
              </w:rPr>
              <w:t>Keywords:</w:t>
            </w:r>
            <w:r w:rsidRPr="005762E6">
              <w:rPr>
                <w:sz w:val="20"/>
                <w:szCs w:val="20"/>
              </w:rPr>
              <w:br/>
              <w:t>Adolescent,​Adolescent Behavior,​*Commerce/sn [Statistics &amp; Numerical Data],​Female,​*Flavoring Agents/ad [Administration &amp; Dosage],​Humans,​Interrupted Time Series Analysis,​Logistic Models,​Male,​New York City/ep [Epidemiology],​Prevalence,​*Smoking/ep [Epidemiology],​Tobacco Products/ec [Economics],​Tobacco Products/lj [Legislation &amp; Jurisprudence],​*Tobacco Products/sn [Statistics &amp; Numerical Data]</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The availability of flavoured tobacco products is associated with increased initiation and youth smoking. New York City prohibited all sales of flavoured </w:t>
            </w:r>
            <w:proofErr w:type="gramStart"/>
            <w:r w:rsidRPr="005762E6">
              <w:rPr>
                <w:sz w:val="20"/>
                <w:szCs w:val="20"/>
              </w:rPr>
              <w:t>cigars,​</w:t>
            </w:r>
            <w:proofErr w:type="gramEnd"/>
            <w:r w:rsidRPr="005762E6">
              <w:rPr>
                <w:sz w:val="20"/>
                <w:szCs w:val="20"/>
              </w:rPr>
              <w:t xml:space="preserve"> cigarillos,​ little cigars,​ chew,​ snuff,​ snus,​ tobacco,​ pipe tobacco,​ roll-your-own tobacco,​ and dissolvables,​ excluding menthol,​ in October 2009; enforcement began in November 2010. This paper describes the sales ban evaluation</w:t>
            </w:r>
            <w:proofErr w:type="gramStart"/>
            <w:r w:rsidRPr="005762E6">
              <w:rPr>
                <w:sz w:val="20"/>
                <w:szCs w:val="20"/>
              </w:rPr>
              <w:t>.,​</w:t>
            </w:r>
            <w:proofErr w:type="gramEnd"/>
            <w:r w:rsidRPr="005762E6">
              <w:rPr>
                <w:sz w:val="20"/>
                <w:szCs w:val="20"/>
              </w:rPr>
              <w:t xml:space="preserve"> METHODS: Data on retail tobacco sales of cigars,​ smokeless and other tobacco products such as pipe tobacco and roll-your-own,​ were analysed using interrupted time series methods,​ estimating changes in flavoured and non-flavoured tobacco product inflation-adjusted dollar sales overall,​ and by product type. Changes in ever use of flavoured tobacco </w:t>
            </w:r>
            <w:proofErr w:type="gramStart"/>
            <w:r w:rsidRPr="005762E6">
              <w:rPr>
                <w:sz w:val="20"/>
                <w:szCs w:val="20"/>
              </w:rPr>
              <w:t>products,​</w:t>
            </w:r>
            <w:proofErr w:type="gramEnd"/>
            <w:r w:rsidRPr="005762E6">
              <w:rPr>
                <w:sz w:val="20"/>
                <w:szCs w:val="20"/>
              </w:rPr>
              <w:t xml:space="preserve"> any tobacco product use,​ and smoking prevalence among adolescents were estimated using multivariable logistic regression.,​ RESULTS: Sales of flavoured tobacco products declined overall (87%; p&lt;0.001),​ and for flavoured cigars (86%; p&lt;0.001) and flavoured pipe and roll-your-own (91%; p&lt;0.001) following ban enforcement,​ while non-flavoured sales increased for cigars (5%; p=0.003) and pipe and roll-your-own (4%,​ p=0.030). In adjusted </w:t>
            </w:r>
            <w:proofErr w:type="gramStart"/>
            <w:r w:rsidRPr="005762E6">
              <w:rPr>
                <w:sz w:val="20"/>
                <w:szCs w:val="20"/>
              </w:rPr>
              <w:t>models,​</w:t>
            </w:r>
            <w:proofErr w:type="gramEnd"/>
            <w:r w:rsidRPr="005762E6">
              <w:rPr>
                <w:sz w:val="20"/>
                <w:szCs w:val="20"/>
              </w:rPr>
              <w:t xml:space="preserve"> teens in 2013 had 37% lower odds of ever trying flavoured tobacco products (p&lt;0.001),​ 28% lower odds of using any type of tobacco product (p=0.025),​ and a non-significant change in current smoking prevalence (p=0.114) compared with teens in 2010.,​ CONCLUSIONS: Flavoured tobacco product sales and odds of ever using flavoured tobacco products or using any tobacco products among teens declined significantly after ban enforcement began. Collectively these findings demonstrate significant evidence that the flavoured tobacco products sales ban was successful in New York </w:t>
            </w:r>
            <w:proofErr w:type="gramStart"/>
            <w:r w:rsidRPr="005762E6">
              <w:rPr>
                <w:sz w:val="20"/>
                <w:szCs w:val="20"/>
              </w:rPr>
              <w:t>City,​</w:t>
            </w:r>
            <w:proofErr w:type="gramEnd"/>
            <w:r w:rsidRPr="005762E6">
              <w:rPr>
                <w:sz w:val="20"/>
                <w:szCs w:val="20"/>
              </w:rPr>
              <w:t xml:space="preserve"> and could succeed elsewhere. Copyright Published by the BMJ Publishing Group Limited. For permission to use (where not already granted under a license) please go to http://www.bmj.com/company/products-services/rights-and-licensing/.</w:t>
            </w:r>
          </w:p>
        </w:tc>
      </w:tr>
      <w:tr w:rsidR="00B44564" w:rsidRPr="005762E6" w14:paraId="63627D6A"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90C2F0D" w14:textId="77777777" w:rsidR="00B44564" w:rsidRPr="005762E6" w:rsidRDefault="00B44564" w:rsidP="00EA69AA">
            <w:pPr>
              <w:spacing w:after="120" w:line="240" w:lineRule="auto"/>
              <w:contextualSpacing/>
              <w:rPr>
                <w:sz w:val="20"/>
                <w:szCs w:val="20"/>
              </w:rPr>
            </w:pPr>
            <w:r w:rsidRPr="005762E6">
              <w:rPr>
                <w:sz w:val="20"/>
                <w:szCs w:val="20"/>
              </w:rPr>
              <w:t>365</w:t>
            </w:r>
          </w:p>
        </w:tc>
        <w:tc>
          <w:tcPr>
            <w:tcW w:w="0" w:type="auto"/>
            <w:tcBorders>
              <w:top w:val="single" w:sz="6" w:space="0" w:color="auto"/>
              <w:left w:val="single" w:sz="6" w:space="0" w:color="auto"/>
              <w:bottom w:val="single" w:sz="6" w:space="0" w:color="auto"/>
              <w:right w:val="single" w:sz="6" w:space="0" w:color="auto"/>
            </w:tcBorders>
          </w:tcPr>
          <w:p w14:paraId="0375D2E7"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A289ED7" w14:textId="426CC3C8" w:rsidR="00B44564" w:rsidRPr="005762E6" w:rsidRDefault="00B44564" w:rsidP="00EA69AA">
            <w:pPr>
              <w:spacing w:after="120" w:line="240" w:lineRule="auto"/>
              <w:contextualSpacing/>
              <w:rPr>
                <w:sz w:val="20"/>
                <w:szCs w:val="20"/>
              </w:rPr>
            </w:pPr>
            <w:r w:rsidRPr="005762E6">
              <w:rPr>
                <w:sz w:val="20"/>
                <w:szCs w:val="20"/>
              </w:rPr>
              <w:t xml:space="preserve">Kenneth A </w:t>
            </w:r>
            <w:proofErr w:type="gramStart"/>
            <w:r w:rsidRPr="005762E6">
              <w:rPr>
                <w:sz w:val="20"/>
                <w:szCs w:val="20"/>
              </w:rPr>
              <w:t>Perkins,​</w:t>
            </w:r>
            <w:proofErr w:type="gramEnd"/>
            <w:r w:rsidRPr="005762E6">
              <w:rPr>
                <w:sz w:val="20"/>
                <w:szCs w:val="20"/>
              </w:rPr>
              <w:t xml:space="preserve"> Nicole Kunkle,​ Joshua L Karelitz Threshold dose for behavioral discrimination of cigarette nicotine content in menthol vs. non-menthol smokers</w:t>
            </w:r>
            <w:r w:rsidR="007F2F01">
              <w:rPr>
                <w:sz w:val="20"/>
                <w:szCs w:val="20"/>
              </w:rPr>
              <w:t>.</w:t>
            </w:r>
            <w:r w:rsidRPr="005762E6">
              <w:rPr>
                <w:sz w:val="20"/>
                <w:szCs w:val="20"/>
              </w:rPr>
              <w:t xml:space="preserve"> Psychopharmacology; 2017;234:1255.</w:t>
            </w:r>
            <w:r w:rsidRPr="005762E6">
              <w:rPr>
                <w:sz w:val="20"/>
                <w:szCs w:val="20"/>
              </w:rPr>
              <w:br/>
            </w:r>
            <w:r w:rsidRPr="005762E6">
              <w:rPr>
                <w:sz w:val="20"/>
                <w:szCs w:val="20"/>
              </w:rPr>
              <w:br/>
            </w:r>
            <w:r w:rsidRPr="005762E6">
              <w:rPr>
                <w:b/>
                <w:bCs/>
                <w:sz w:val="20"/>
                <w:szCs w:val="20"/>
              </w:rPr>
              <w:t>Keywords:</w:t>
            </w:r>
            <w:r w:rsidRPr="005762E6">
              <w:rPr>
                <w:sz w:val="20"/>
                <w:szCs w:val="20"/>
              </w:rPr>
              <w:br/>
              <w:t>Adult,​Analysis of Variance,​Choice Behavior/de [Drug Effects],​*Discrimination Learning/de [Drug Effects],​Dose-Response Relationship,​ Drug,​Female,​Humans,​Male,​*Menthol/ad [Administration &amp; Dosage],​*Nicotine/ad [Administration &amp; Dosage],​Reinforcement (Psychology),​*Sensory Thresholds/ph [Physiology],​*Smoking/px [Psychology],​*Tobacco Use Disorder/px [Psychology]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RATIONALE: The lowest threshold content (or "dose") of nicotine discriminated in cigarettes may differ due to menthol preference.,​ OBJECTIVES: Menthol and non-menthol Spectrum research cigarettes differing in nicotine content were used to determine discrimination thresholds.,​ METHODS: Dependent smokers preferring menthol (n = 40) or non-menthol (n = 21) brands were tested on ability to discriminate cigarettes (matched for their menthol preference) with nicotine contents of 16-17,​ 11-12,​ 5,​ 2,​ and 1 mg/g,​ one per session,​ from an "ultra-low" cigarette with 0.4 mg/g. Controlled exposure to each cigarette was four puffs/trial,​ and the number of sessions was determined by the lowest nicotine content they could discriminate on &gt;80% of trials (i.e.,​ &gt;=5 of 6). We also assessed subjective perceptions and behavioral choice between cigarettes to relate them to discrimination responses</w:t>
            </w:r>
            <w:proofErr w:type="gramStart"/>
            <w:r w:rsidRPr="005762E6">
              <w:rPr>
                <w:sz w:val="20"/>
                <w:szCs w:val="20"/>
              </w:rPr>
              <w:t>.,​</w:t>
            </w:r>
            <w:proofErr w:type="gramEnd"/>
            <w:r w:rsidRPr="005762E6">
              <w:rPr>
                <w:sz w:val="20"/>
                <w:szCs w:val="20"/>
              </w:rPr>
              <w:t xml:space="preserve"> RESULTS: Controlling for Fagerstrom Test of Nicotine Dependence score,​ discrimination thresholds were more likely to be at higher nicotine content </w:t>
            </w:r>
            <w:r w:rsidRPr="005762E6">
              <w:rPr>
                <w:sz w:val="20"/>
                <w:szCs w:val="20"/>
              </w:rPr>
              <w:lastRenderedPageBreak/>
              <w:t>cigarettes for menthol vs. non-menthol smokers (p &lt; .005),​ with medians of 16 vs. 11 mg/g,​ respectively. Compared to the ultra-</w:t>
            </w:r>
            <w:proofErr w:type="gramStart"/>
            <w:r w:rsidRPr="005762E6">
              <w:rPr>
                <w:sz w:val="20"/>
                <w:szCs w:val="20"/>
              </w:rPr>
              <w:t>low,​</w:t>
            </w:r>
            <w:proofErr w:type="gramEnd"/>
            <w:r w:rsidRPr="005762E6">
              <w:rPr>
                <w:sz w:val="20"/>
                <w:szCs w:val="20"/>
              </w:rPr>
              <w:t xml:space="preserve"> threshold and subthreshold (next lowest) cigarettes differed on most perceptions and puff choice,​ but menthol preference did not alter these associations. </w:t>
            </w:r>
            <w:proofErr w:type="gramStart"/>
            <w:r w:rsidRPr="005762E6">
              <w:rPr>
                <w:sz w:val="20"/>
                <w:szCs w:val="20"/>
              </w:rPr>
              <w:t>Notably,​</w:t>
            </w:r>
            <w:proofErr w:type="gramEnd"/>
            <w:r w:rsidRPr="005762E6">
              <w:rPr>
                <w:sz w:val="20"/>
                <w:szCs w:val="20"/>
              </w:rPr>
              <w:t xml:space="preserve"> threshold cigarettes did,​ but subthreshold did not,​ increase choice over the ultra-low.,​ CONCLUSIONS: Threshold for discriminating nicotine via smoking may be generally higher for menthol vs. non-menthol smokers. More research is needed to identify why menthol smoking is related to higher nicotine thresholds and to verify that cigarettes unable to be discriminated do not support reinforcement.</w:t>
            </w:r>
          </w:p>
        </w:tc>
      </w:tr>
      <w:tr w:rsidR="00B44564" w:rsidRPr="005762E6" w14:paraId="6D180334"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4722725" w14:textId="77777777" w:rsidR="00B44564" w:rsidRPr="005762E6" w:rsidRDefault="00B44564" w:rsidP="00EA69AA">
            <w:pPr>
              <w:spacing w:after="120" w:line="240" w:lineRule="auto"/>
              <w:contextualSpacing/>
              <w:rPr>
                <w:sz w:val="20"/>
                <w:szCs w:val="20"/>
              </w:rPr>
            </w:pPr>
            <w:r w:rsidRPr="005762E6">
              <w:rPr>
                <w:sz w:val="20"/>
                <w:szCs w:val="20"/>
              </w:rPr>
              <w:lastRenderedPageBreak/>
              <w:t>367</w:t>
            </w:r>
          </w:p>
        </w:tc>
        <w:tc>
          <w:tcPr>
            <w:tcW w:w="0" w:type="auto"/>
            <w:tcBorders>
              <w:top w:val="single" w:sz="6" w:space="0" w:color="auto"/>
              <w:left w:val="single" w:sz="6" w:space="0" w:color="auto"/>
              <w:bottom w:val="single" w:sz="6" w:space="0" w:color="auto"/>
              <w:right w:val="single" w:sz="6" w:space="0" w:color="auto"/>
            </w:tcBorders>
          </w:tcPr>
          <w:p w14:paraId="3A5495E7"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A078221" w14:textId="619FB688" w:rsidR="00B44564" w:rsidRPr="005762E6" w:rsidRDefault="00B44564" w:rsidP="00EA69AA">
            <w:pPr>
              <w:spacing w:after="120" w:line="240" w:lineRule="auto"/>
              <w:contextualSpacing/>
              <w:rPr>
                <w:sz w:val="20"/>
                <w:szCs w:val="20"/>
              </w:rPr>
            </w:pPr>
            <w:r w:rsidRPr="005762E6">
              <w:rPr>
                <w:sz w:val="20"/>
                <w:szCs w:val="20"/>
              </w:rPr>
              <w:t xml:space="preserve">Andrea C </w:t>
            </w:r>
            <w:proofErr w:type="gramStart"/>
            <w:r w:rsidRPr="005762E6">
              <w:rPr>
                <w:sz w:val="20"/>
                <w:szCs w:val="20"/>
              </w:rPr>
              <w:t>Villanti,​</w:t>
            </w:r>
            <w:proofErr w:type="gramEnd"/>
            <w:r w:rsidRPr="005762E6">
              <w:rPr>
                <w:sz w:val="20"/>
                <w:szCs w:val="20"/>
              </w:rPr>
              <w:t xml:space="preserve"> Amanda L Johnson,​ Bridget K Ambrose,​ K Michael Cummings,​ Cassandra A Stanton,​ Shyanika W Rose,​ Shari P Feirman,​ Cindy Tworek,​ Allison M Glasser,​ Jennifer L Pearson,​ Amy M Cohn,​ Kevin P Conway,​ Raymond S Niaura,​ Maansi Bansal-Travers,​ Andrew Hyland Flavored Tobacco Product Use in Youth and Adults: Findings From the First Wave of the PATH Study (2013-2014)</w:t>
            </w:r>
            <w:r w:rsidR="007F2F01">
              <w:rPr>
                <w:sz w:val="20"/>
                <w:szCs w:val="20"/>
              </w:rPr>
              <w:t>.</w:t>
            </w:r>
            <w:r w:rsidRPr="005762E6">
              <w:rPr>
                <w:sz w:val="20"/>
                <w:szCs w:val="20"/>
              </w:rPr>
              <w:t xml:space="preserve"> American journal of preventive medicine; 2017;53:139.</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Adolescent,​Adult,​Aged,​Cross-Sectional Studies,​Electronic Nicotine Delivery Systems,​Female,​*Flavoring Agents,​Humans,​Male,​Middle Aged,​Multivariate Analysis,​Prevalence,​*Smoking Prevention/lj [Legislation &amp; Jurisprudence],​Tobacco Products/lj [Legislation &amp; Jurisprudence],​*Tobacco Products/ut [Utilization],​Tobacco Use Disorder/ep [Epidemiology],​*Tobacco Use Disorder/pc [Prevention &amp; Control],​United States,​Young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The 2009 Family Smoking Prevention and Tobacco Control Act banned characterizing flavors other than menthol in cigarettes but did not restrict their use in other forms of tobacco (e.g.,​ smokeless,​ cigars,​ hookah,​ e-cigarettes).,​ METHODS: A cross-sectional analysis of </w:t>
            </w:r>
            <w:r w:rsidR="00C840DE">
              <w:rPr>
                <w:sz w:val="20"/>
                <w:szCs w:val="20"/>
              </w:rPr>
              <w:t>wave 1</w:t>
            </w:r>
            <w:r w:rsidRPr="005762E6">
              <w:rPr>
                <w:sz w:val="20"/>
                <w:szCs w:val="20"/>
              </w:rPr>
              <w:t xml:space="preserve"> data from 45,​971 U.S. adults and youth,​ aged &gt;=12 years in the Population Assessment of Tobacco and Health (PATH) Study collected in 2013-2014,​ was conducted in 2016. This study examined (1) the prevalence and reasons for use of flavored tobacco products; (2) the proportion of ever tobacco users reporting that their first product was flavored; and (3) correlates of current flavored tobacco product use.,​ RESULTS: Current flavored (including menthol) tobacco product use was highest in youth (80%,​ aged 12-17 years); and young adult tobacco users (73%,​ aged 18-24 years); and lowest in older adult tobacco users aged &gt;=65 years (29%). Flavor was a primary reason for using a given tobacco </w:t>
            </w:r>
            <w:proofErr w:type="gramStart"/>
            <w:r w:rsidRPr="005762E6">
              <w:rPr>
                <w:sz w:val="20"/>
                <w:szCs w:val="20"/>
              </w:rPr>
              <w:t>product,​</w:t>
            </w:r>
            <w:proofErr w:type="gramEnd"/>
            <w:r w:rsidRPr="005762E6">
              <w:rPr>
                <w:sz w:val="20"/>
                <w:szCs w:val="20"/>
              </w:rPr>
              <w:t xml:space="preserve"> particularly among youth. Eighty-one percent of youth and 86% of young adult ever tobacco users reported that their first product was flavored versus 54% of adults aged &gt;=25 years. In multivariable </w:t>
            </w:r>
            <w:proofErr w:type="gramStart"/>
            <w:r w:rsidRPr="005762E6">
              <w:rPr>
                <w:sz w:val="20"/>
                <w:szCs w:val="20"/>
              </w:rPr>
              <w:t>models,​</w:t>
            </w:r>
            <w:proofErr w:type="gramEnd"/>
            <w:r w:rsidRPr="005762E6">
              <w:rPr>
                <w:sz w:val="20"/>
                <w:szCs w:val="20"/>
              </w:rPr>
              <w:t xml:space="preserve"> reporting that one's first tobacco product was flavored was associated with a 13% higher prevalence of current tobacco use among youth ever tobacco users and a 32% higher prevalence of current tobacco use among adult ever users.,​ CONCLUSIONS: These results add to the evidence base that flavored tobacco products may attract young users and serve as starter products to regular tobacco use. Copyright © 2017 American Journal of Preventive Medicine. All rights reserved.</w:t>
            </w:r>
          </w:p>
        </w:tc>
      </w:tr>
      <w:tr w:rsidR="00B44564" w:rsidRPr="005762E6" w14:paraId="661254C0"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D3FCC37" w14:textId="77777777" w:rsidR="00B44564" w:rsidRPr="005762E6" w:rsidRDefault="00B44564" w:rsidP="00EA69AA">
            <w:pPr>
              <w:spacing w:after="120" w:line="240" w:lineRule="auto"/>
              <w:contextualSpacing/>
              <w:rPr>
                <w:sz w:val="20"/>
                <w:szCs w:val="20"/>
              </w:rPr>
            </w:pPr>
            <w:r w:rsidRPr="005762E6">
              <w:rPr>
                <w:sz w:val="20"/>
                <w:szCs w:val="20"/>
              </w:rPr>
              <w:t>369</w:t>
            </w:r>
          </w:p>
        </w:tc>
        <w:tc>
          <w:tcPr>
            <w:tcW w:w="0" w:type="auto"/>
            <w:tcBorders>
              <w:top w:val="single" w:sz="6" w:space="0" w:color="auto"/>
              <w:left w:val="single" w:sz="6" w:space="0" w:color="auto"/>
              <w:bottom w:val="single" w:sz="6" w:space="0" w:color="auto"/>
              <w:right w:val="single" w:sz="6" w:space="0" w:color="auto"/>
            </w:tcBorders>
          </w:tcPr>
          <w:p w14:paraId="238A2A3B"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682E185" w14:textId="472A684E" w:rsidR="00B44564" w:rsidRPr="005762E6" w:rsidRDefault="00B44564" w:rsidP="00EA69AA">
            <w:pPr>
              <w:spacing w:after="120" w:line="240" w:lineRule="auto"/>
              <w:contextualSpacing/>
              <w:rPr>
                <w:sz w:val="20"/>
                <w:szCs w:val="20"/>
              </w:rPr>
            </w:pPr>
            <w:r w:rsidRPr="005762E6">
              <w:rPr>
                <w:sz w:val="20"/>
                <w:szCs w:val="20"/>
              </w:rPr>
              <w:t xml:space="preserve">K </w:t>
            </w:r>
            <w:proofErr w:type="gramStart"/>
            <w:r w:rsidRPr="005762E6">
              <w:rPr>
                <w:sz w:val="20"/>
                <w:szCs w:val="20"/>
              </w:rPr>
              <w:t>Sterling,​</w:t>
            </w:r>
            <w:proofErr w:type="gramEnd"/>
            <w:r w:rsidRPr="005762E6">
              <w:rPr>
                <w:sz w:val="20"/>
                <w:szCs w:val="20"/>
              </w:rPr>
              <w:t xml:space="preserve"> C Fryer,​ I Pagano,​ D Jones,​ P Fagan Association between menthol-flavoured cigarette smoking and flavoured little cigar and cigarillo use among African-American,​ Hispanic,​ and white young and middle-aged adult smokers</w:t>
            </w:r>
            <w:r w:rsidR="007F2F01">
              <w:rPr>
                <w:sz w:val="20"/>
                <w:szCs w:val="20"/>
              </w:rPr>
              <w:t>.</w:t>
            </w:r>
            <w:r w:rsidRPr="005762E6">
              <w:rPr>
                <w:sz w:val="20"/>
                <w:szCs w:val="20"/>
              </w:rPr>
              <w:t xml:space="preserve"> Tobacco control; 2016;25:ii21.</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Adolescent,​Adult,​African Americans/sn [Statistics &amp; Numerical Data],​*Cigarette Smoking/ep [Epidemiology],​Cigarette Smoking/eh [Ethnology],​European Continental Ancestry Group/sn [Statistics &amp; Numerical Data],​Female,​*Flavoring Agents,​Hispanic Americans/sn [Statistics &amp; Numerical Data],​Humans,​Logistic Models,​Male,​*Menthol,​Smokers/sn [Statistics &amp; Numerical Data],​*Tobacco Products/sn [Statistics &amp; Numerical Data],​Vulnerable Populations/sn [Statistics &amp; Numerical Data],​Young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OBJECTIVES: Flavour additives in cigarettes and little cigars and cigarillos (LCCs),​ which influence smokers' risk perceptions,​ may reinforce dual flavoured tobacco use. We examined the association among mentholated cigarette </w:t>
            </w:r>
            <w:proofErr w:type="gramStart"/>
            <w:r w:rsidRPr="005762E6">
              <w:rPr>
                <w:sz w:val="20"/>
                <w:szCs w:val="20"/>
              </w:rPr>
              <w:t>use,​</w:t>
            </w:r>
            <w:proofErr w:type="gramEnd"/>
            <w:r w:rsidRPr="005762E6">
              <w:rPr>
                <w:sz w:val="20"/>
                <w:szCs w:val="20"/>
              </w:rPr>
              <w:t xml:space="preserve"> risk perceptions for flavour additives in LCCs and flavoured LCC smoking behaviour.,​ METHODS: Data from a national probability sample of 964 young and middle-aged adult current cigarette smokers were analysed. Multinomial logistic regression models examined the relationship among mentholated cigarette </w:t>
            </w:r>
            <w:proofErr w:type="gramStart"/>
            <w:r w:rsidRPr="005762E6">
              <w:rPr>
                <w:sz w:val="20"/>
                <w:szCs w:val="20"/>
              </w:rPr>
              <w:t>smoking,​</w:t>
            </w:r>
            <w:proofErr w:type="gramEnd"/>
            <w:r w:rsidRPr="005762E6">
              <w:rPr>
                <w:sz w:val="20"/>
                <w:szCs w:val="20"/>
              </w:rPr>
              <w:t xml:space="preserve"> risk perceptions and current flavoured LCC use for the analytic sample and </w:t>
            </w:r>
            <w:r w:rsidRPr="005762E6">
              <w:rPr>
                <w:sz w:val="20"/>
                <w:szCs w:val="20"/>
              </w:rPr>
              <w:lastRenderedPageBreak/>
              <w:t xml:space="preserve">gender and race/ethnicity.,​ RESULTS: Daily menthol cigarette smokers,​ compared to occasional,​ non-menthol smokers,​ had increased odds of flavoured LCC smoking (OR=1.75,​ 95% CI 1.02 to 2.98). This relationship was found for </w:t>
            </w:r>
            <w:proofErr w:type="gramStart"/>
            <w:r w:rsidRPr="005762E6">
              <w:rPr>
                <w:sz w:val="20"/>
                <w:szCs w:val="20"/>
              </w:rPr>
              <w:t>males,​</w:t>
            </w:r>
            <w:proofErr w:type="gramEnd"/>
            <w:r w:rsidRPr="005762E6">
              <w:rPr>
                <w:sz w:val="20"/>
                <w:szCs w:val="20"/>
              </w:rPr>
              <w:t xml:space="preserve"> blacks/African-Americans and Hispanics/Latinos (p&lt;0.05). Positive perceptions of menthol-flavoured additives in LCCs was associated with increased odds of flavoured LCC use among the analytic </w:t>
            </w:r>
            <w:proofErr w:type="gramStart"/>
            <w:r w:rsidRPr="005762E6">
              <w:rPr>
                <w:sz w:val="20"/>
                <w:szCs w:val="20"/>
              </w:rPr>
              <w:t>sample,​</w:t>
            </w:r>
            <w:proofErr w:type="gramEnd"/>
            <w:r w:rsidRPr="005762E6">
              <w:rPr>
                <w:sz w:val="20"/>
                <w:szCs w:val="20"/>
              </w:rPr>
              <w:t xml:space="preserve"> males and blacks/African-Americans (p&lt;0.05). Positive perceptions for clove-</w:t>
            </w:r>
            <w:proofErr w:type="gramStart"/>
            <w:r w:rsidRPr="005762E6">
              <w:rPr>
                <w:sz w:val="20"/>
                <w:szCs w:val="20"/>
              </w:rPr>
              <w:t>flavoured,​</w:t>
            </w:r>
            <w:proofErr w:type="gramEnd"/>
            <w:r w:rsidRPr="005762E6">
              <w:rPr>
                <w:sz w:val="20"/>
                <w:szCs w:val="20"/>
              </w:rPr>
              <w:t xml:space="preserve"> spice-flavoured and alcohol-flavoured additives were also associated with flavoured LCC use among the analytic sample (p&lt;0.05).,​ CONCLUSIONS: Use of menthol-flavoured cigarettes and positive perceptions about menthol-flavoured and other flavour additives in LCCs may contribute to dual use with flavoured LCCs among adult cigarette smokers,​ specifically those from vulnerable populations. Copyright Published by the BMJ Publishing Group Limited. For permission to use (where not already granted under a licence) please go to http://www.bmj.com/company/products-services/rights-and-licensing/.</w:t>
            </w:r>
          </w:p>
        </w:tc>
      </w:tr>
      <w:tr w:rsidR="00B44564" w:rsidRPr="005762E6" w14:paraId="2826A3FD"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84A34BF" w14:textId="77777777" w:rsidR="00B44564" w:rsidRPr="005762E6" w:rsidRDefault="00B44564" w:rsidP="00EA69AA">
            <w:pPr>
              <w:spacing w:after="120" w:line="240" w:lineRule="auto"/>
              <w:contextualSpacing/>
              <w:rPr>
                <w:sz w:val="20"/>
                <w:szCs w:val="20"/>
              </w:rPr>
            </w:pPr>
            <w:r w:rsidRPr="005762E6">
              <w:rPr>
                <w:sz w:val="20"/>
                <w:szCs w:val="20"/>
              </w:rPr>
              <w:lastRenderedPageBreak/>
              <w:t>376</w:t>
            </w:r>
          </w:p>
        </w:tc>
        <w:tc>
          <w:tcPr>
            <w:tcW w:w="0" w:type="auto"/>
            <w:tcBorders>
              <w:top w:val="single" w:sz="6" w:space="0" w:color="auto"/>
              <w:left w:val="single" w:sz="6" w:space="0" w:color="auto"/>
              <w:bottom w:val="single" w:sz="6" w:space="0" w:color="auto"/>
              <w:right w:val="single" w:sz="6" w:space="0" w:color="auto"/>
            </w:tcBorders>
          </w:tcPr>
          <w:p w14:paraId="01D66BEA"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9F6B266" w14:textId="40F05D90" w:rsidR="00B44564" w:rsidRPr="005762E6" w:rsidRDefault="00B44564" w:rsidP="00EA69AA">
            <w:pPr>
              <w:spacing w:after="120" w:line="240" w:lineRule="auto"/>
              <w:contextualSpacing/>
              <w:rPr>
                <w:sz w:val="20"/>
                <w:szCs w:val="20"/>
              </w:rPr>
            </w:pPr>
            <w:r w:rsidRPr="005762E6">
              <w:rPr>
                <w:sz w:val="20"/>
                <w:szCs w:val="20"/>
              </w:rPr>
              <w:t xml:space="preserve">P </w:t>
            </w:r>
            <w:proofErr w:type="gramStart"/>
            <w:r w:rsidRPr="005762E6">
              <w:rPr>
                <w:sz w:val="20"/>
                <w:szCs w:val="20"/>
              </w:rPr>
              <w:t>Clemmey,​</w:t>
            </w:r>
            <w:proofErr w:type="gramEnd"/>
            <w:r w:rsidRPr="005762E6">
              <w:rPr>
                <w:sz w:val="20"/>
                <w:szCs w:val="20"/>
              </w:rPr>
              <w:t xml:space="preserve"> R Brooner,​ M A Chutuape,​ M Kidorf,​ M Stitzer Smoking habits and attitudes in a methadone maintenance treatment population</w:t>
            </w:r>
            <w:r w:rsidR="007F2F01">
              <w:rPr>
                <w:sz w:val="20"/>
                <w:szCs w:val="20"/>
              </w:rPr>
              <w:t>.</w:t>
            </w:r>
            <w:r w:rsidRPr="005762E6">
              <w:rPr>
                <w:sz w:val="20"/>
                <w:szCs w:val="20"/>
              </w:rPr>
              <w:t xml:space="preserve"> Drug and alcohol dependence; 1997;44:123.</w:t>
            </w:r>
            <w:r w:rsidRPr="005762E6">
              <w:rPr>
                <w:sz w:val="20"/>
                <w:szCs w:val="20"/>
              </w:rPr>
              <w:br/>
            </w:r>
            <w:r w:rsidRPr="005762E6">
              <w:rPr>
                <w:sz w:val="20"/>
                <w:szCs w:val="20"/>
              </w:rPr>
              <w:br/>
            </w:r>
            <w:r w:rsidRPr="005762E6">
              <w:rPr>
                <w:b/>
                <w:bCs/>
                <w:sz w:val="20"/>
                <w:szCs w:val="20"/>
              </w:rPr>
              <w:t>Keywords:</w:t>
            </w:r>
            <w:r w:rsidRPr="005762E6">
              <w:rPr>
                <w:sz w:val="20"/>
                <w:szCs w:val="20"/>
              </w:rPr>
              <w:br/>
              <w:t>Adult,​Ambulatory Care,​*Attitude to Health,​Cohort Studies,​Comorbidity,​Female,​Heroin Dependence/px [Psychology],​*Heroin Dependence/rh [Rehabilitation],​Humans,​Male,​*Methadone/tu [Therapeutic Use],​Middle Aged,​Motivation,​Personality Inventory,​Smoking/ae [Adverse Effects],​*Smoking/px [Psychology],​*Smoking Cessation/px [Psychology],​Substance Abuse Detection</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This study characterized smoking habits and attitudes about quitting in methadone maintenance treatment (MMT) patients,​ with attention to race and gender differences. Of 179 patients </w:t>
            </w:r>
            <w:proofErr w:type="gramStart"/>
            <w:r w:rsidRPr="005762E6">
              <w:rPr>
                <w:sz w:val="20"/>
                <w:szCs w:val="20"/>
              </w:rPr>
              <w:t>surveyed,​</w:t>
            </w:r>
            <w:proofErr w:type="gramEnd"/>
            <w:r w:rsidRPr="005762E6">
              <w:rPr>
                <w:sz w:val="20"/>
                <w:szCs w:val="20"/>
              </w:rPr>
              <w:t xml:space="preserve"> 92% (n = 165) were current smokers. These patients reported smoking a mean of 24.8 cigarettes per day. Mean age at smoking initiation was 13.6 years with 53% starting at age 13 or younger. The mean Fagerstrom tolerance questionnaire (FTQ) score was 7.5. Blacks as compared to Whites smoked fewer cigarettes per day (21.6 versus 27.5</w:t>
            </w:r>
            <w:proofErr w:type="gramStart"/>
            <w:r w:rsidRPr="005762E6">
              <w:rPr>
                <w:sz w:val="20"/>
                <w:szCs w:val="20"/>
              </w:rPr>
              <w:t>),​</w:t>
            </w:r>
            <w:proofErr w:type="gramEnd"/>
            <w:r w:rsidRPr="005762E6">
              <w:rPr>
                <w:sz w:val="20"/>
                <w:szCs w:val="20"/>
              </w:rPr>
              <w:t xml:space="preserve"> had lower expired CO levels (18.8 versus 21.6 ppm),​ but higher urinary cotinine levels (1812 versus 1419 ng/ml) and were more likely to smoke menthol cigarettes (95 versus 46%). Females scored higher than males on the FTQ measures of nicotine dependence (8.0 versus 7.2</w:t>
            </w:r>
            <w:proofErr w:type="gramStart"/>
            <w:r w:rsidRPr="005762E6">
              <w:rPr>
                <w:sz w:val="20"/>
                <w:szCs w:val="20"/>
              </w:rPr>
              <w:t>),​</w:t>
            </w:r>
            <w:proofErr w:type="gramEnd"/>
            <w:r w:rsidRPr="005762E6">
              <w:rPr>
                <w:sz w:val="20"/>
                <w:szCs w:val="20"/>
              </w:rPr>
              <w:t xml:space="preserve"> and lower than males on a measure of quit smoking self-efficacy. Subjects in the sample as a whole were well aware of health risks of </w:t>
            </w:r>
            <w:proofErr w:type="gramStart"/>
            <w:r w:rsidRPr="005762E6">
              <w:rPr>
                <w:sz w:val="20"/>
                <w:szCs w:val="20"/>
              </w:rPr>
              <w:t>smoking,​</w:t>
            </w:r>
            <w:proofErr w:type="gramEnd"/>
            <w:r w:rsidRPr="005762E6">
              <w:rPr>
                <w:sz w:val="20"/>
                <w:szCs w:val="20"/>
              </w:rPr>
              <w:t xml:space="preserve"> as indicated by high scores on health risk perception questions. Sixty-one percent (n = 110) of subjects planned to quit within the next 6 </w:t>
            </w:r>
            <w:proofErr w:type="gramStart"/>
            <w:r w:rsidRPr="005762E6">
              <w:rPr>
                <w:sz w:val="20"/>
                <w:szCs w:val="20"/>
              </w:rPr>
              <w:t>months,​</w:t>
            </w:r>
            <w:proofErr w:type="gramEnd"/>
            <w:r w:rsidRPr="005762E6">
              <w:rPr>
                <w:sz w:val="20"/>
                <w:szCs w:val="20"/>
              </w:rPr>
              <w:t xml:space="preserve"> 57% were 'very interested' in an on-site quit smoking program and 80% expressed interest in using nicotine replacement products. </w:t>
            </w:r>
            <w:proofErr w:type="gramStart"/>
            <w:r w:rsidRPr="005762E6">
              <w:rPr>
                <w:sz w:val="20"/>
                <w:szCs w:val="20"/>
              </w:rPr>
              <w:t>Overall,​</w:t>
            </w:r>
            <w:proofErr w:type="gramEnd"/>
            <w:r w:rsidRPr="005762E6">
              <w:rPr>
                <w:sz w:val="20"/>
                <w:szCs w:val="20"/>
              </w:rPr>
              <w:t xml:space="preserve"> these results indicate high rates of smoking in MMT patients,​ confirm within a drug abusing population prior findings of racial differences in smoking habits,​ and suggest that MMT patients are interested in quitting and in using nicotine replacement products. The data support feasibility of implementing smoking cessation treatments with this population in a setting that allows for convenient access to patients and close monitoring of progress.</w:t>
            </w:r>
          </w:p>
        </w:tc>
      </w:tr>
      <w:tr w:rsidR="00B44564" w:rsidRPr="005762E6" w14:paraId="5D104F2C"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D6DDC7A" w14:textId="77777777" w:rsidR="00B44564" w:rsidRPr="005762E6" w:rsidRDefault="00B44564" w:rsidP="00EA69AA">
            <w:pPr>
              <w:spacing w:after="120" w:line="240" w:lineRule="auto"/>
              <w:contextualSpacing/>
              <w:rPr>
                <w:sz w:val="20"/>
                <w:szCs w:val="20"/>
              </w:rPr>
            </w:pPr>
            <w:r w:rsidRPr="005762E6">
              <w:rPr>
                <w:sz w:val="20"/>
                <w:szCs w:val="20"/>
              </w:rPr>
              <w:t>379</w:t>
            </w:r>
          </w:p>
        </w:tc>
        <w:tc>
          <w:tcPr>
            <w:tcW w:w="0" w:type="auto"/>
            <w:tcBorders>
              <w:top w:val="single" w:sz="6" w:space="0" w:color="auto"/>
              <w:left w:val="single" w:sz="6" w:space="0" w:color="auto"/>
              <w:bottom w:val="single" w:sz="6" w:space="0" w:color="auto"/>
              <w:right w:val="single" w:sz="6" w:space="0" w:color="auto"/>
            </w:tcBorders>
          </w:tcPr>
          <w:p w14:paraId="2AB01DAC"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16F11F2" w14:textId="6042465C" w:rsidR="00B44564" w:rsidRPr="005762E6" w:rsidRDefault="00B44564" w:rsidP="00EA69AA">
            <w:pPr>
              <w:spacing w:after="120" w:line="240" w:lineRule="auto"/>
              <w:contextualSpacing/>
              <w:rPr>
                <w:sz w:val="20"/>
                <w:szCs w:val="20"/>
              </w:rPr>
            </w:pPr>
            <w:r w:rsidRPr="005762E6">
              <w:rPr>
                <w:sz w:val="20"/>
                <w:szCs w:val="20"/>
              </w:rPr>
              <w:t xml:space="preserve">Nancy C </w:t>
            </w:r>
            <w:proofErr w:type="gramStart"/>
            <w:r w:rsidRPr="005762E6">
              <w:rPr>
                <w:sz w:val="20"/>
                <w:szCs w:val="20"/>
              </w:rPr>
              <w:t>Jao,​</w:t>
            </w:r>
            <w:proofErr w:type="gramEnd"/>
            <w:r w:rsidRPr="005762E6">
              <w:rPr>
                <w:sz w:val="20"/>
                <w:szCs w:val="20"/>
              </w:rPr>
              <w:t xml:space="preserve"> Anna K Veluz-Wilkins,​ Matthew J Smith,​ Allison J Carroll,​ Sonja Blazekovic,​ Frank T Leone,​ Rachel F Tyndale,​ Robert A Schnoll,​ Brian Hitsman Does menthol cigarette use moderate the effect of nicotine metabolism on short-term smoking cessation?</w:t>
            </w:r>
            <w:r w:rsidR="007F2F01">
              <w:rPr>
                <w:sz w:val="20"/>
                <w:szCs w:val="20"/>
              </w:rPr>
              <w:t>.</w:t>
            </w:r>
            <w:r w:rsidRPr="005762E6">
              <w:rPr>
                <w:sz w:val="20"/>
                <w:szCs w:val="20"/>
              </w:rPr>
              <w:t xml:space="preserve"> Experimental and clinical psychopharmacology; 2017;25:216.</w:t>
            </w:r>
            <w:r w:rsidRPr="005762E6">
              <w:rPr>
                <w:sz w:val="20"/>
                <w:szCs w:val="20"/>
              </w:rPr>
              <w:br/>
            </w:r>
            <w:r w:rsidRPr="005762E6">
              <w:rPr>
                <w:sz w:val="20"/>
                <w:szCs w:val="20"/>
              </w:rPr>
              <w:br/>
            </w:r>
            <w:r w:rsidRPr="005762E6">
              <w:rPr>
                <w:b/>
                <w:bCs/>
                <w:sz w:val="20"/>
                <w:szCs w:val="20"/>
              </w:rPr>
              <w:t>Keywords:</w:t>
            </w:r>
            <w:r w:rsidRPr="005762E6">
              <w:rPr>
                <w:sz w:val="20"/>
                <w:szCs w:val="20"/>
              </w:rPr>
              <w:br/>
              <w:t>Adult,​Female,​Humans,​Logistic Models,​Male,​Menthol/ch [Chemistry],​Middle Aged,​Nicotine/ad [Administration &amp; Dosage],​*Nicotine/me [Metabolism],​*Smoking Cessation/mt [Methods],​Smoking Prevention,​Time Factors,​Tobacco Products,​*Tobacco Use Cessation Products,​*Tobacco Use Disorder/rh [Rehabilitation]</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The nicotine metabolite ratio (NMR) has been shown to predict response to the transdermal nicotine patch,​ such that faster nicotine metabolism is associated with a lower abstinence rate. Menthol cigarette </w:t>
            </w:r>
            <w:proofErr w:type="gramStart"/>
            <w:r w:rsidRPr="005762E6">
              <w:rPr>
                <w:sz w:val="20"/>
                <w:szCs w:val="20"/>
              </w:rPr>
              <w:t>use,​</w:t>
            </w:r>
            <w:proofErr w:type="gramEnd"/>
            <w:r w:rsidRPr="005762E6">
              <w:rPr>
                <w:sz w:val="20"/>
                <w:szCs w:val="20"/>
              </w:rPr>
              <w:t xml:space="preserve"> versus nonmenthol cigarette use,​ slows nicotine metabolism and therefore may attenuate the effect of NMR on smoking abstinence. In this </w:t>
            </w:r>
            <w:proofErr w:type="gramStart"/>
            <w:r w:rsidRPr="005762E6">
              <w:rPr>
                <w:sz w:val="20"/>
                <w:szCs w:val="20"/>
              </w:rPr>
              <w:t>study,​</w:t>
            </w:r>
            <w:proofErr w:type="gramEnd"/>
            <w:r w:rsidRPr="005762E6">
              <w:rPr>
                <w:sz w:val="20"/>
                <w:szCs w:val="20"/>
              </w:rPr>
              <w:t xml:space="preserve"> we evaluated whether cigarette type (menthol vs. nonmenthol) modified the association between NMR and short-term abstinence. This was a secondary analysis examining treatment in the first 8 weeks of 21 mg/day nicotine patch therapy in a completed clinical </w:t>
            </w:r>
            <w:r w:rsidRPr="005762E6">
              <w:rPr>
                <w:sz w:val="20"/>
                <w:szCs w:val="20"/>
              </w:rPr>
              <w:lastRenderedPageBreak/>
              <w:t xml:space="preserve">trial (n = 474). Menthol cigarette use was based on self-report. NMR was defined dichotomously (0 = </w:t>
            </w:r>
            <w:proofErr w:type="gramStart"/>
            <w:r w:rsidRPr="005762E6">
              <w:rPr>
                <w:sz w:val="20"/>
                <w:szCs w:val="20"/>
              </w:rPr>
              <w:t>fast,​</w:t>
            </w:r>
            <w:proofErr w:type="gramEnd"/>
            <w:r w:rsidRPr="005762E6">
              <w:rPr>
                <w:sz w:val="20"/>
                <w:szCs w:val="20"/>
              </w:rPr>
              <w:t xml:space="preserve"> 1 = slow) to distinguish between fast (&gt;=0.47) versus slow NMR. Using logistic regression </w:t>
            </w:r>
            <w:proofErr w:type="gramStart"/>
            <w:r w:rsidRPr="005762E6">
              <w:rPr>
                <w:sz w:val="20"/>
                <w:szCs w:val="20"/>
              </w:rPr>
              <w:t>analysis,​</w:t>
            </w:r>
            <w:proofErr w:type="gramEnd"/>
            <w:r w:rsidRPr="005762E6">
              <w:rPr>
                <w:sz w:val="20"/>
                <w:szCs w:val="20"/>
              </w:rPr>
              <w:t xml:space="preserve"> we tested whether cigarette type moderated the association between NMR and bioverified 7-day point prevalence abstinence at Week 8. Covariates include nicotine </w:t>
            </w:r>
            <w:proofErr w:type="gramStart"/>
            <w:r w:rsidRPr="005762E6">
              <w:rPr>
                <w:sz w:val="20"/>
                <w:szCs w:val="20"/>
              </w:rPr>
              <w:t>dependence,​</w:t>
            </w:r>
            <w:proofErr w:type="gramEnd"/>
            <w:r w:rsidRPr="005762E6">
              <w:rPr>
                <w:sz w:val="20"/>
                <w:szCs w:val="20"/>
              </w:rPr>
              <w:t xml:space="preserve"> age,​ race,​ and gender. Three hundred two participants reported smoking menthol </w:t>
            </w:r>
            <w:proofErr w:type="gramStart"/>
            <w:r w:rsidRPr="005762E6">
              <w:rPr>
                <w:sz w:val="20"/>
                <w:szCs w:val="20"/>
              </w:rPr>
              <w:t>cigarettes,​</w:t>
            </w:r>
            <w:proofErr w:type="gramEnd"/>
            <w:r w:rsidRPr="005762E6">
              <w:rPr>
                <w:sz w:val="20"/>
                <w:szCs w:val="20"/>
              </w:rPr>
              <w:t xml:space="preserve"> of which 234 (77%) were classified as slow NMR. Among the 172 nonmenthol </w:t>
            </w:r>
            <w:proofErr w:type="gramStart"/>
            <w:r w:rsidRPr="005762E6">
              <w:rPr>
                <w:sz w:val="20"/>
                <w:szCs w:val="20"/>
              </w:rPr>
              <w:t>smokers,​</w:t>
            </w:r>
            <w:proofErr w:type="gramEnd"/>
            <w:r w:rsidRPr="005762E6">
              <w:rPr>
                <w:sz w:val="20"/>
                <w:szCs w:val="20"/>
              </w:rPr>
              <w:t xml:space="preserve"> 136 were classified as slow NMR (79%). Contrary to our </w:t>
            </w:r>
            <w:proofErr w:type="gramStart"/>
            <w:r w:rsidRPr="005762E6">
              <w:rPr>
                <w:sz w:val="20"/>
                <w:szCs w:val="20"/>
              </w:rPr>
              <w:t>expectations,​</w:t>
            </w:r>
            <w:proofErr w:type="gramEnd"/>
            <w:r w:rsidRPr="005762E6">
              <w:rPr>
                <w:sz w:val="20"/>
                <w:szCs w:val="20"/>
              </w:rPr>
              <w:t xml:space="preserve"> the NMR xCigarette Type interaction effect on abstinence was not significant (odds ratio [OR] = 0.91,​ p = .86). Excluding the interaction </w:t>
            </w:r>
            <w:proofErr w:type="gramStart"/>
            <w:r w:rsidRPr="005762E6">
              <w:rPr>
                <w:sz w:val="20"/>
                <w:szCs w:val="20"/>
              </w:rPr>
              <w:t>variable,​</w:t>
            </w:r>
            <w:proofErr w:type="gramEnd"/>
            <w:r w:rsidRPr="005762E6">
              <w:rPr>
                <w:sz w:val="20"/>
                <w:szCs w:val="20"/>
              </w:rPr>
              <w:t xml:space="preserve"> fast NMR was associated with decreased likelihood of abstinence (OR = 0.55,​ p = .03),​ but menthol cigarette use was not (OR = 1.15,​ p = .56). Further exploration of risk factors among menthol cigarette </w:t>
            </w:r>
            <w:proofErr w:type="gramStart"/>
            <w:r w:rsidRPr="005762E6">
              <w:rPr>
                <w:sz w:val="20"/>
                <w:szCs w:val="20"/>
              </w:rPr>
              <w:t>smokers,​</w:t>
            </w:r>
            <w:proofErr w:type="gramEnd"/>
            <w:r w:rsidRPr="005762E6">
              <w:rPr>
                <w:sz w:val="20"/>
                <w:szCs w:val="20"/>
              </w:rPr>
              <w:t xml:space="preserve"> especially among racially diverse and light smokers,​ could clarify the association between menthol cigarette use and poorer smoking outcomes. (PsycINFO Database Record Copyright (c) 2017 </w:t>
            </w:r>
            <w:proofErr w:type="gramStart"/>
            <w:r w:rsidRPr="005762E6">
              <w:rPr>
                <w:sz w:val="20"/>
                <w:szCs w:val="20"/>
              </w:rPr>
              <w:t>APA,​</w:t>
            </w:r>
            <w:proofErr w:type="gramEnd"/>
            <w:r w:rsidRPr="005762E6">
              <w:rPr>
                <w:sz w:val="20"/>
                <w:szCs w:val="20"/>
              </w:rPr>
              <w:t xml:space="preserve"> all rights reserved).</w:t>
            </w:r>
          </w:p>
        </w:tc>
      </w:tr>
      <w:tr w:rsidR="00B44564" w:rsidRPr="005762E6" w14:paraId="0066A00A"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5BA3827" w14:textId="77777777" w:rsidR="00B44564" w:rsidRPr="005762E6" w:rsidRDefault="00B44564" w:rsidP="00EA69AA">
            <w:pPr>
              <w:spacing w:after="120" w:line="240" w:lineRule="auto"/>
              <w:contextualSpacing/>
              <w:rPr>
                <w:sz w:val="20"/>
                <w:szCs w:val="20"/>
              </w:rPr>
            </w:pPr>
            <w:r w:rsidRPr="005762E6">
              <w:rPr>
                <w:sz w:val="20"/>
                <w:szCs w:val="20"/>
              </w:rPr>
              <w:lastRenderedPageBreak/>
              <w:t>380</w:t>
            </w:r>
          </w:p>
        </w:tc>
        <w:tc>
          <w:tcPr>
            <w:tcW w:w="0" w:type="auto"/>
            <w:tcBorders>
              <w:top w:val="single" w:sz="6" w:space="0" w:color="auto"/>
              <w:left w:val="single" w:sz="6" w:space="0" w:color="auto"/>
              <w:bottom w:val="single" w:sz="6" w:space="0" w:color="auto"/>
              <w:right w:val="single" w:sz="6" w:space="0" w:color="auto"/>
            </w:tcBorders>
          </w:tcPr>
          <w:p w14:paraId="640922F5"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D8EF555" w14:textId="69922A96" w:rsidR="00B44564" w:rsidRPr="005762E6" w:rsidRDefault="00B44564" w:rsidP="00EA69AA">
            <w:pPr>
              <w:spacing w:after="120" w:line="240" w:lineRule="auto"/>
              <w:contextualSpacing/>
              <w:rPr>
                <w:sz w:val="20"/>
                <w:szCs w:val="20"/>
              </w:rPr>
            </w:pPr>
            <w:r w:rsidRPr="005762E6">
              <w:rPr>
                <w:sz w:val="20"/>
                <w:szCs w:val="20"/>
              </w:rPr>
              <w:t xml:space="preserve">N H </w:t>
            </w:r>
            <w:proofErr w:type="gramStart"/>
            <w:r w:rsidRPr="005762E6">
              <w:rPr>
                <w:sz w:val="20"/>
                <w:szCs w:val="20"/>
              </w:rPr>
              <w:t>Caskey,​</w:t>
            </w:r>
            <w:proofErr w:type="gramEnd"/>
            <w:r w:rsidRPr="005762E6">
              <w:rPr>
                <w:sz w:val="20"/>
                <w:szCs w:val="20"/>
              </w:rPr>
              <w:t xml:space="preserve"> M E Jarvik,​ W J McCarthy,​ M R Rosenblatt,​ T M Gross,​ C L Carpenter Rapid smoking of menthol and nonmenthol cigarettes by black and white smokers</w:t>
            </w:r>
            <w:r w:rsidR="007F2F01">
              <w:rPr>
                <w:sz w:val="20"/>
                <w:szCs w:val="20"/>
              </w:rPr>
              <w:t>.</w:t>
            </w:r>
            <w:r w:rsidRPr="005762E6">
              <w:rPr>
                <w:sz w:val="20"/>
                <w:szCs w:val="20"/>
              </w:rPr>
              <w:t xml:space="preserve"> Pharmacology,​ biochemistry,​ and behavior; 1993;46:259.</w:t>
            </w:r>
            <w:r w:rsidRPr="005762E6">
              <w:rPr>
                <w:sz w:val="20"/>
                <w:szCs w:val="20"/>
              </w:rPr>
              <w:br/>
            </w:r>
            <w:r w:rsidRPr="005762E6">
              <w:rPr>
                <w:sz w:val="20"/>
                <w:szCs w:val="20"/>
              </w:rPr>
              <w:br/>
            </w:r>
            <w:r w:rsidRPr="005762E6">
              <w:rPr>
                <w:b/>
                <w:bCs/>
                <w:sz w:val="20"/>
                <w:szCs w:val="20"/>
              </w:rPr>
              <w:t>Keywords:</w:t>
            </w:r>
            <w:r w:rsidRPr="005762E6">
              <w:rPr>
                <w:sz w:val="20"/>
                <w:szCs w:val="20"/>
              </w:rPr>
              <w:br/>
              <w:t>Adult,​African Continental Ancestry Group,​Blood Pressure/de [Drug Effects],​Carbon Monoxide/bl [Blood],​European Continental Ancestry Group,​Female,​Heart Rate/de [Drug Effects],​Humans,​Male,​*Menthol/pd [Pharmacology],​Smoking/pp [Physiopathology],​*Smoking/px [Psychology]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White subjects took significantly more puffs of cigarette smoke before stopping than did black subjects in a modified,​ controlled-dose rapid smoking procedure. </w:t>
            </w:r>
            <w:proofErr w:type="gramStart"/>
            <w:r w:rsidRPr="005762E6">
              <w:rPr>
                <w:sz w:val="20"/>
                <w:szCs w:val="20"/>
              </w:rPr>
              <w:t>Paradoxically,​</w:t>
            </w:r>
            <w:proofErr w:type="gramEnd"/>
            <w:r w:rsidRPr="005762E6">
              <w:rPr>
                <w:sz w:val="20"/>
                <w:szCs w:val="20"/>
              </w:rPr>
              <w:t xml:space="preserve"> however,​ no racial differences were detected for changes in carbon monoxide levels,​ or changes in cardiovascular variables (systolic and diastolic blood pressure,​ and heart rate). Due to the cooling and topical anesthetic properties of </w:t>
            </w:r>
            <w:proofErr w:type="gramStart"/>
            <w:r w:rsidRPr="005762E6">
              <w:rPr>
                <w:sz w:val="20"/>
                <w:szCs w:val="20"/>
              </w:rPr>
              <w:t>menthol,​</w:t>
            </w:r>
            <w:proofErr w:type="gramEnd"/>
            <w:r w:rsidRPr="005762E6">
              <w:rPr>
                <w:sz w:val="20"/>
                <w:szCs w:val="20"/>
              </w:rPr>
              <w:t xml:space="preserve"> it was hypothesized that menthol and regular cigarette smokers would take more puffs from menthol cigarettes than from regular cigarettes before stopping in the controlled-dose rapid smoking procedure. </w:t>
            </w:r>
            <w:proofErr w:type="gramStart"/>
            <w:r w:rsidRPr="005762E6">
              <w:rPr>
                <w:sz w:val="20"/>
                <w:szCs w:val="20"/>
              </w:rPr>
              <w:t>However,​</w:t>
            </w:r>
            <w:proofErr w:type="gramEnd"/>
            <w:r w:rsidRPr="005762E6">
              <w:rPr>
                <w:sz w:val="20"/>
                <w:szCs w:val="20"/>
              </w:rPr>
              <w:t xml:space="preserve"> no difference was observed for the number of puffs taken from regular as opposed to menthol cigarettes (cigarette type condition) and no differences were found for Cigarette Preference (regular smokers vs. menthol smokers).</w:t>
            </w:r>
          </w:p>
        </w:tc>
      </w:tr>
      <w:tr w:rsidR="00B44564" w:rsidRPr="005762E6" w14:paraId="30067D1F"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C165128" w14:textId="77777777" w:rsidR="00B44564" w:rsidRPr="005762E6" w:rsidRDefault="00B44564" w:rsidP="00EA69AA">
            <w:pPr>
              <w:spacing w:after="120" w:line="240" w:lineRule="auto"/>
              <w:contextualSpacing/>
              <w:rPr>
                <w:sz w:val="20"/>
                <w:szCs w:val="20"/>
              </w:rPr>
            </w:pPr>
            <w:r w:rsidRPr="005762E6">
              <w:rPr>
                <w:sz w:val="20"/>
                <w:szCs w:val="20"/>
              </w:rPr>
              <w:t>381</w:t>
            </w:r>
          </w:p>
        </w:tc>
        <w:tc>
          <w:tcPr>
            <w:tcW w:w="0" w:type="auto"/>
            <w:tcBorders>
              <w:top w:val="single" w:sz="6" w:space="0" w:color="auto"/>
              <w:left w:val="single" w:sz="6" w:space="0" w:color="auto"/>
              <w:bottom w:val="single" w:sz="6" w:space="0" w:color="auto"/>
              <w:right w:val="single" w:sz="6" w:space="0" w:color="auto"/>
            </w:tcBorders>
          </w:tcPr>
          <w:p w14:paraId="7F346E34"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974C717" w14:textId="27789D4D" w:rsidR="00B44564" w:rsidRPr="005762E6" w:rsidRDefault="00B44564" w:rsidP="00EA69AA">
            <w:pPr>
              <w:spacing w:after="120" w:line="240" w:lineRule="auto"/>
              <w:contextualSpacing/>
              <w:rPr>
                <w:sz w:val="20"/>
                <w:szCs w:val="20"/>
              </w:rPr>
            </w:pPr>
            <w:r w:rsidRPr="005762E6">
              <w:rPr>
                <w:sz w:val="20"/>
                <w:szCs w:val="20"/>
              </w:rPr>
              <w:t xml:space="preserve">Seoung Ju </w:t>
            </w:r>
            <w:proofErr w:type="gramStart"/>
            <w:r w:rsidRPr="005762E6">
              <w:rPr>
                <w:sz w:val="20"/>
                <w:szCs w:val="20"/>
              </w:rPr>
              <w:t>Park,​</w:t>
            </w:r>
            <w:proofErr w:type="gramEnd"/>
            <w:r w:rsidRPr="005762E6">
              <w:rPr>
                <w:sz w:val="20"/>
                <w:szCs w:val="20"/>
              </w:rPr>
              <w:t xml:space="preserve"> Marilyn G Foreman,​ Dawn L Demeo,​ Surya P Bhatt,​ Nadia N Hansel,​ Robert A Wise,​ Xavier Soler,​ Russell P Bowler Menthol cigarette smoking in the COPDGene cohort: relationship with COPD,​ comorbidities and CT metrics</w:t>
            </w:r>
            <w:r w:rsidR="007F2F01">
              <w:rPr>
                <w:sz w:val="20"/>
                <w:szCs w:val="20"/>
              </w:rPr>
              <w:t>.</w:t>
            </w:r>
            <w:r w:rsidRPr="005762E6">
              <w:rPr>
                <w:sz w:val="20"/>
                <w:szCs w:val="20"/>
              </w:rPr>
              <w:t xml:space="preserve"> Respirology (Carlton,​ Vic.); 2015;20:108.</w:t>
            </w:r>
            <w:r w:rsidRPr="005762E6">
              <w:rPr>
                <w:sz w:val="20"/>
                <w:szCs w:val="20"/>
              </w:rPr>
              <w:br/>
            </w:r>
            <w:r w:rsidRPr="005762E6">
              <w:rPr>
                <w:sz w:val="20"/>
                <w:szCs w:val="20"/>
              </w:rPr>
              <w:br/>
            </w:r>
            <w:r w:rsidRPr="005762E6">
              <w:rPr>
                <w:b/>
                <w:bCs/>
                <w:sz w:val="20"/>
                <w:szCs w:val="20"/>
              </w:rPr>
              <w:t>Keywords:</w:t>
            </w:r>
            <w:r w:rsidRPr="005762E6">
              <w:rPr>
                <w:sz w:val="20"/>
                <w:szCs w:val="20"/>
              </w:rPr>
              <w:br/>
              <w:t>Adult,​African Americans,​Age Factors,​Aged,​Comorbidity,​Disease Progression,​Female,​Humans,​Longitudinal Studies,​Male,​*Menthol,​Middle Aged,​Odds Ratio,​Pulmonary Disease,​ Chronic Obstructive/ep [Epidemiology],​Pulmonary Disease,​ Chronic Obstructive/et [Etiology],​Pulmonary Disease,​ Chronic Obstructive/pp [Physiopathology],​*Pulmonary Disease,​ Chronic Obstructive,​Risk Factors,​Smoking/ae [Adverse Effects],​Smoking/eh [Ethnology],​*Smoking,​*Tobacco Products,​Tomography,​ X-Ray Computed/mt [Methods],​United States/ep [Epidemiology]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AND OBJECTIVE: Menthol cigarettes contain higher levels of menthol to produce a characteristic mint flavour and cooling sensation. Compared with non-menthol </w:t>
            </w:r>
            <w:proofErr w:type="gramStart"/>
            <w:r w:rsidRPr="005762E6">
              <w:rPr>
                <w:sz w:val="20"/>
                <w:szCs w:val="20"/>
              </w:rPr>
              <w:t>cigarettes,​</w:t>
            </w:r>
            <w:proofErr w:type="gramEnd"/>
            <w:r w:rsidRPr="005762E6">
              <w:rPr>
                <w:sz w:val="20"/>
                <w:szCs w:val="20"/>
              </w:rPr>
              <w:t xml:space="preserve"> little information exists on the effects of menthol cigarette smoking on clinical and radiological characteristics of chronic obstructive pulmonary disease (COPD). The main objective of the present study was to examine associations between menthol cigarette use and the risk of COPD and its characteristics,​ such as exacerbation,​ comorbidities and computed tomography (CT) abnormalities.,​ METHODS: We analysed the data from 5699 current smokers in the COPDGene cohort to evaluate whether lung function,​ comorbidities,​ exacerbations and CT parameters were different between menthol and non-menthol cigarette smokers.,​ RESULTS: There were 3758 (65.9%) who reported use of menthol cigarettes. Multivariable regression analysis revealed that younger </w:t>
            </w:r>
            <w:proofErr w:type="gramStart"/>
            <w:r w:rsidRPr="005762E6">
              <w:rPr>
                <w:sz w:val="20"/>
                <w:szCs w:val="20"/>
              </w:rPr>
              <w:t>age,​</w:t>
            </w:r>
            <w:proofErr w:type="gramEnd"/>
            <w:r w:rsidRPr="005762E6">
              <w:rPr>
                <w:sz w:val="20"/>
                <w:szCs w:val="20"/>
              </w:rPr>
              <w:t xml:space="preserve"> female gender and African-American ethnicity were significantly associated with smoking of </w:t>
            </w:r>
            <w:r w:rsidRPr="005762E6">
              <w:rPr>
                <w:sz w:val="20"/>
                <w:szCs w:val="20"/>
              </w:rPr>
              <w:lastRenderedPageBreak/>
              <w:t>menthol cigarettes. No significant associations were found between menthol cigarette use and COPD,​ major CT findings or comorbidities,​ such as cardiovascular disease,​ congestive heart failure,​ peripheral vascular disease,​ cerebrovascular disease,​ hypertension,​ diabetes,​ gastro-oesophageal reflux and osteoporosis; however,​ menthol cigarette smokers were more likely to experience a severe exacerbation of COPD during longitudinal follow-up (odds ratio 1.29; 95% confidence interval: 1.01-1.54) compared with the non-menthol cigarette smokers.,​ CONCLUSIONS: These results confirm that menthol cigarettes are not safer than traditional cigarettes and suggest that menthol cigarette smokers may have more frequent severe exacerbations than non-menthol cigarette smokers. Copyright © 2014 Asian Pacific Society of Respirology.</w:t>
            </w:r>
          </w:p>
        </w:tc>
      </w:tr>
      <w:tr w:rsidR="00B44564" w:rsidRPr="005762E6" w14:paraId="2926181C"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3FAD7D8" w14:textId="77777777" w:rsidR="00B44564" w:rsidRPr="005762E6" w:rsidRDefault="00B44564" w:rsidP="00EA69AA">
            <w:pPr>
              <w:spacing w:after="120" w:line="240" w:lineRule="auto"/>
              <w:contextualSpacing/>
              <w:rPr>
                <w:sz w:val="20"/>
                <w:szCs w:val="20"/>
              </w:rPr>
            </w:pPr>
            <w:r w:rsidRPr="005762E6">
              <w:rPr>
                <w:sz w:val="20"/>
                <w:szCs w:val="20"/>
              </w:rPr>
              <w:lastRenderedPageBreak/>
              <w:t>382</w:t>
            </w:r>
          </w:p>
        </w:tc>
        <w:tc>
          <w:tcPr>
            <w:tcW w:w="0" w:type="auto"/>
            <w:tcBorders>
              <w:top w:val="single" w:sz="6" w:space="0" w:color="auto"/>
              <w:left w:val="single" w:sz="6" w:space="0" w:color="auto"/>
              <w:bottom w:val="single" w:sz="6" w:space="0" w:color="auto"/>
              <w:right w:val="single" w:sz="6" w:space="0" w:color="auto"/>
            </w:tcBorders>
          </w:tcPr>
          <w:p w14:paraId="49373B2E"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6E63903" w14:textId="59376086" w:rsidR="00B44564" w:rsidRPr="005762E6" w:rsidRDefault="00B44564" w:rsidP="00EA69AA">
            <w:pPr>
              <w:spacing w:after="120" w:line="240" w:lineRule="auto"/>
              <w:contextualSpacing/>
              <w:rPr>
                <w:sz w:val="20"/>
                <w:szCs w:val="20"/>
              </w:rPr>
            </w:pPr>
            <w:r w:rsidRPr="005762E6">
              <w:rPr>
                <w:sz w:val="20"/>
                <w:szCs w:val="20"/>
              </w:rPr>
              <w:t xml:space="preserve">Stevens S </w:t>
            </w:r>
            <w:proofErr w:type="gramStart"/>
            <w:r w:rsidRPr="005762E6">
              <w:rPr>
                <w:sz w:val="20"/>
                <w:szCs w:val="20"/>
              </w:rPr>
              <w:t>Smith,​</w:t>
            </w:r>
            <w:proofErr w:type="gramEnd"/>
            <w:r w:rsidRPr="005762E6">
              <w:rPr>
                <w:sz w:val="20"/>
                <w:szCs w:val="20"/>
              </w:rPr>
              <w:t xml:space="preserve"> Michael C Fiore,​ Timothy B Baker Smoking cessation in smokers who smoke menthol and non-menthol cigarettes</w:t>
            </w:r>
            <w:r w:rsidR="007F2F01">
              <w:rPr>
                <w:sz w:val="20"/>
                <w:szCs w:val="20"/>
              </w:rPr>
              <w:t>.</w:t>
            </w:r>
            <w:r w:rsidRPr="005762E6">
              <w:rPr>
                <w:sz w:val="20"/>
                <w:szCs w:val="20"/>
              </w:rPr>
              <w:t xml:space="preserve"> Addiction (Abingdon,​ England); 2014;109:2107.</w:t>
            </w:r>
            <w:r w:rsidRPr="005762E6">
              <w:rPr>
                <w:sz w:val="20"/>
                <w:szCs w:val="20"/>
              </w:rPr>
              <w:br/>
            </w:r>
            <w:r w:rsidRPr="005762E6">
              <w:rPr>
                <w:sz w:val="20"/>
                <w:szCs w:val="20"/>
              </w:rPr>
              <w:br/>
            </w:r>
            <w:r w:rsidRPr="005762E6">
              <w:rPr>
                <w:b/>
                <w:bCs/>
                <w:sz w:val="20"/>
                <w:szCs w:val="20"/>
              </w:rPr>
              <w:t>Keywords:</w:t>
            </w:r>
            <w:r w:rsidRPr="005762E6">
              <w:rPr>
                <w:sz w:val="20"/>
                <w:szCs w:val="20"/>
              </w:rPr>
              <w:br/>
              <w:t>Administration,​ Cutaneous,​Adult,​Bupropion/ad [Administration &amp; Dosage],​Combined Modality Therapy,​Counseling,​Double-Blind Method,​Drug Therapy,​ Combination,​History,​ 15th Century,​Humans,​Longitudinal Studies,​Male,​*Menthol,​Nicotine/ad [Administration &amp; Dosage],​Sex Factors,​*Smoking Cessation/mt [Methods],​*Smoking Cessation/sn [Statistics &amp; Numerical Data],​*Tobacco Products,​Tobacco Use Cessation Products,​Treatment Failure,​Treatment Outcome</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AIMS: To assess the relations of menthol cigarette use with measures of cessation success in a large comparative effectiveness trial (CET).,​ DESIGN: Participants were randomized to one of six medication treatment conditions in a randomized double-blind,​ placebo-controlled clinical trial. All participants received six individual counseling sessions</w:t>
            </w:r>
            <w:proofErr w:type="gramStart"/>
            <w:r w:rsidRPr="005762E6">
              <w:rPr>
                <w:sz w:val="20"/>
                <w:szCs w:val="20"/>
              </w:rPr>
              <w:t>.,​</w:t>
            </w:r>
            <w:proofErr w:type="gramEnd"/>
            <w:r w:rsidRPr="005762E6">
              <w:rPr>
                <w:sz w:val="20"/>
                <w:szCs w:val="20"/>
              </w:rPr>
              <w:t xml:space="preserve"> SETTING: Community-based smokers in two communities in Wisconsin,​ USA.,​ PARTICIPANTS: A total of 1504 adult smokers who smoked at least 10 cigarettes per day during the past 6 months and reported being motivated to quit smoking. The analysis sample comprised 1439 participants: 814 white non-menthol </w:t>
            </w:r>
            <w:proofErr w:type="gramStart"/>
            <w:r w:rsidRPr="005762E6">
              <w:rPr>
                <w:sz w:val="20"/>
                <w:szCs w:val="20"/>
              </w:rPr>
              <w:t>smokers,​</w:t>
            </w:r>
            <w:proofErr w:type="gramEnd"/>
            <w:r w:rsidRPr="005762E6">
              <w:rPr>
                <w:sz w:val="20"/>
                <w:szCs w:val="20"/>
              </w:rPr>
              <w:t xml:space="preserve"> 439 white menthol smokers and 186 African American (AA) menthol smokers. There were too few AA non-menthol smokers (n = 16) to be included in the analyses.,​ INTERVENTIONS: Nicotine lozenge,​ nicotine patch,​ bupropion sustained release,​ nicotine patch + nicotine lozenge,​ bupropion + nicotine lozenge and placebo.,​ MEASUREMENTS: Biochemically confirmed 7-day point-prevalence abstinence assessed at 4,​ 8 and 26 weeks post-quit.,​ FINDINGS: In longitudinal abstinence analyses (generalized estimating equations) controlling for cessation treatment,​ menthol smoking was associated with reduced likelihood of smoking cessation success relative to non-menthol smoking [model-based estimates of abstinence = 31 versus 38%,​ respectively; odds ratio (OR) = 0.71,​ 95% confidence interval (CI) = 0.59,​ 0.86]. In addition,​ among menthol smokers,​ AA women were at especially high risk of cessation failure relative to white women (estimated abstinence = 17 versus 35%,​ respectively; OR = 2.63,​ 95% CI = 1.75,​ 3.96; estimated abstinence rates for AA males and white males were both 30%,​ OR = 1.06,​ 95% CI = 0.60,​ 1.66).,​ CONCLUSION: In the United States,​ smoking menthol cigarettes appears to be associated with reduced cessation success compared with non-menthol smoking,​ especially in African American females. Copyright © 2014 Society for the Study of Addiction.</w:t>
            </w:r>
          </w:p>
        </w:tc>
      </w:tr>
      <w:tr w:rsidR="00B44564" w:rsidRPr="005762E6" w14:paraId="31DBA93A"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577B2DA" w14:textId="77777777" w:rsidR="00B44564" w:rsidRPr="005762E6" w:rsidRDefault="00B44564" w:rsidP="00EA69AA">
            <w:pPr>
              <w:spacing w:after="120" w:line="240" w:lineRule="auto"/>
              <w:contextualSpacing/>
              <w:rPr>
                <w:sz w:val="20"/>
                <w:szCs w:val="20"/>
              </w:rPr>
            </w:pPr>
            <w:r w:rsidRPr="005762E6">
              <w:rPr>
                <w:sz w:val="20"/>
                <w:szCs w:val="20"/>
              </w:rPr>
              <w:t>384</w:t>
            </w:r>
          </w:p>
        </w:tc>
        <w:tc>
          <w:tcPr>
            <w:tcW w:w="0" w:type="auto"/>
            <w:tcBorders>
              <w:top w:val="single" w:sz="6" w:space="0" w:color="auto"/>
              <w:left w:val="single" w:sz="6" w:space="0" w:color="auto"/>
              <w:bottom w:val="single" w:sz="6" w:space="0" w:color="auto"/>
              <w:right w:val="single" w:sz="6" w:space="0" w:color="auto"/>
            </w:tcBorders>
          </w:tcPr>
          <w:p w14:paraId="4C153660"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4D3F144" w14:textId="3C7ECE72" w:rsidR="00B44564" w:rsidRPr="005762E6" w:rsidRDefault="00B44564" w:rsidP="00EA69AA">
            <w:pPr>
              <w:spacing w:after="120" w:line="240" w:lineRule="auto"/>
              <w:contextualSpacing/>
              <w:rPr>
                <w:sz w:val="20"/>
                <w:szCs w:val="20"/>
              </w:rPr>
            </w:pPr>
            <w:r w:rsidRPr="005762E6">
              <w:rPr>
                <w:sz w:val="20"/>
                <w:szCs w:val="20"/>
              </w:rPr>
              <w:t xml:space="preserve">Christine </w:t>
            </w:r>
            <w:proofErr w:type="gramStart"/>
            <w:r w:rsidRPr="005762E6">
              <w:rPr>
                <w:sz w:val="20"/>
                <w:szCs w:val="20"/>
              </w:rPr>
              <w:t>Muench,​</w:t>
            </w:r>
            <w:proofErr w:type="gramEnd"/>
            <w:r w:rsidRPr="005762E6">
              <w:rPr>
                <w:sz w:val="20"/>
                <w:szCs w:val="20"/>
              </w:rPr>
              <w:t xml:space="preserve"> Laura M Juliano Predictors of smoking lapse during a 48-hour laboratory analogue smoking cessation attempt</w:t>
            </w:r>
            <w:r w:rsidR="007F2F01">
              <w:rPr>
                <w:sz w:val="20"/>
                <w:szCs w:val="20"/>
              </w:rPr>
              <w:t>.</w:t>
            </w:r>
            <w:r w:rsidRPr="005762E6">
              <w:rPr>
                <w:sz w:val="20"/>
                <w:szCs w:val="20"/>
              </w:rPr>
              <w:t xml:space="preserve"> Psychology of addictive </w:t>
            </w:r>
            <w:proofErr w:type="gramStart"/>
            <w:r w:rsidRPr="005762E6">
              <w:rPr>
                <w:sz w:val="20"/>
                <w:szCs w:val="20"/>
              </w:rPr>
              <w:t>behaviors :</w:t>
            </w:r>
            <w:proofErr w:type="gramEnd"/>
            <w:r w:rsidRPr="005762E6">
              <w:rPr>
                <w:sz w:val="20"/>
                <w:szCs w:val="20"/>
              </w:rPr>
              <w:t xml:space="preserve"> journal of the Society of Psychologists in Addictive Behaviors; 2017;31:415.</w:t>
            </w:r>
            <w:r w:rsidRPr="005762E6">
              <w:rPr>
                <w:sz w:val="20"/>
                <w:szCs w:val="20"/>
              </w:rPr>
              <w:br/>
            </w:r>
            <w:r w:rsidRPr="005762E6">
              <w:rPr>
                <w:sz w:val="20"/>
                <w:szCs w:val="20"/>
              </w:rPr>
              <w:br/>
            </w:r>
            <w:r w:rsidRPr="005762E6">
              <w:rPr>
                <w:b/>
                <w:bCs/>
                <w:sz w:val="20"/>
                <w:szCs w:val="20"/>
              </w:rPr>
              <w:t>Keywords:</w:t>
            </w:r>
            <w:r w:rsidRPr="005762E6">
              <w:rPr>
                <w:sz w:val="20"/>
                <w:szCs w:val="20"/>
              </w:rPr>
              <w:br/>
              <w:t>Adult,​*Counseling,​Delay Discounting,​Female,​Humans,​Male,​Middle Aged,​Motivation,​Recurrence,​Self-Efficacy,​*Smoking/px [Psychology],​*Smoking Cessation/px [Psychology]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Many individuals who attempt to quit smoking experience a smoking lapse early on in the quitting process,​ with most lapses resulting in a return to regular smoking. Using a novel laboratory </w:t>
            </w:r>
            <w:proofErr w:type="gramStart"/>
            <w:r w:rsidRPr="005762E6">
              <w:rPr>
                <w:sz w:val="20"/>
                <w:szCs w:val="20"/>
              </w:rPr>
              <w:t>model,​</w:t>
            </w:r>
            <w:proofErr w:type="gramEnd"/>
            <w:r w:rsidRPr="005762E6">
              <w:rPr>
                <w:sz w:val="20"/>
                <w:szCs w:val="20"/>
              </w:rPr>
              <w:t xml:space="preserve"> this study sought to investigate baseline predictors of smoking lapse during a brief,​ simulated smoking quit attempt. Self-report baseline measures were completed by 81 </w:t>
            </w:r>
            <w:proofErr w:type="gramStart"/>
            <w:r w:rsidRPr="005762E6">
              <w:rPr>
                <w:sz w:val="20"/>
                <w:szCs w:val="20"/>
              </w:rPr>
              <w:t>smokers,​</w:t>
            </w:r>
            <w:proofErr w:type="gramEnd"/>
            <w:r w:rsidRPr="005762E6">
              <w:rPr>
                <w:sz w:val="20"/>
                <w:szCs w:val="20"/>
              </w:rPr>
              <w:t xml:space="preserve"> who also smoked a cigarette in the laboratory to equate recent smoke exposure. Participants were then given brief face-to-face smoking-cessation counseling along with monetary incentives to abstain from smoking for 48 hr (</w:t>
            </w:r>
            <w:proofErr w:type="gramStart"/>
            <w:r w:rsidRPr="005762E6">
              <w:rPr>
                <w:sz w:val="20"/>
                <w:szCs w:val="20"/>
              </w:rPr>
              <w:t>i.e.,​</w:t>
            </w:r>
            <w:proofErr w:type="gramEnd"/>
            <w:r w:rsidRPr="005762E6">
              <w:rPr>
                <w:sz w:val="20"/>
                <w:szCs w:val="20"/>
              </w:rPr>
              <w:t xml:space="preserve"> ). Participants returned to </w:t>
            </w:r>
            <w:r w:rsidRPr="005762E6">
              <w:rPr>
                <w:sz w:val="20"/>
                <w:szCs w:val="20"/>
              </w:rPr>
              <w:lastRenderedPageBreak/>
              <w:t xml:space="preserve">the laboratory after 24 hr and 48 hr for assessment of smoking behavior. By 48 </w:t>
            </w:r>
            <w:proofErr w:type="gramStart"/>
            <w:r w:rsidRPr="005762E6">
              <w:rPr>
                <w:sz w:val="20"/>
                <w:szCs w:val="20"/>
              </w:rPr>
              <w:t>hr,​</w:t>
            </w:r>
            <w:proofErr w:type="gramEnd"/>
            <w:r w:rsidRPr="005762E6">
              <w:rPr>
                <w:sz w:val="20"/>
                <w:szCs w:val="20"/>
              </w:rPr>
              <w:t xml:space="preserve"> 25 participants lapsed,​ with rates equivalent among men and women (31% vs. 31%). Higher rates of delay discounting and a preference for menthol cigarettes significantly predicted greater odds of lapsing. Shorter time to first cigarette after waking (TTFC) was associated with greater lapse risk at trend levels. No effects were observed for demographic </w:t>
            </w:r>
            <w:proofErr w:type="gramStart"/>
            <w:r w:rsidRPr="005762E6">
              <w:rPr>
                <w:sz w:val="20"/>
                <w:szCs w:val="20"/>
              </w:rPr>
              <w:t>variables,​</w:t>
            </w:r>
            <w:proofErr w:type="gramEnd"/>
            <w:r w:rsidRPr="005762E6">
              <w:rPr>
                <w:sz w:val="20"/>
                <w:szCs w:val="20"/>
              </w:rPr>
              <w:t xml:space="preserve"> cigarettes per day,​ prequit abstinence self-efficacy,​ or depressive symptoms. Future research examining predictors of early lapse and underlying mechanisms is </w:t>
            </w:r>
            <w:proofErr w:type="gramStart"/>
            <w:r w:rsidRPr="005762E6">
              <w:rPr>
                <w:sz w:val="20"/>
                <w:szCs w:val="20"/>
              </w:rPr>
              <w:t>needed,​</w:t>
            </w:r>
            <w:proofErr w:type="gramEnd"/>
            <w:r w:rsidRPr="005762E6">
              <w:rPr>
                <w:sz w:val="20"/>
                <w:szCs w:val="20"/>
              </w:rPr>
              <w:t xml:space="preserve"> and laboratory analogue models offer a controlled time- and cost-effective framework in which to investigate smoking cessation processes. (PsycINFO Database Record Copyright (c) 2017 </w:t>
            </w:r>
            <w:proofErr w:type="gramStart"/>
            <w:r w:rsidRPr="005762E6">
              <w:rPr>
                <w:sz w:val="20"/>
                <w:szCs w:val="20"/>
              </w:rPr>
              <w:t>APA,​</w:t>
            </w:r>
            <w:proofErr w:type="gramEnd"/>
            <w:r w:rsidRPr="005762E6">
              <w:rPr>
                <w:sz w:val="20"/>
                <w:szCs w:val="20"/>
              </w:rPr>
              <w:t xml:space="preserve"> all rights reserved).</w:t>
            </w:r>
          </w:p>
        </w:tc>
      </w:tr>
      <w:tr w:rsidR="00B44564" w:rsidRPr="005762E6" w14:paraId="09BA7F44"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2F7E2A5" w14:textId="77777777" w:rsidR="00B44564" w:rsidRPr="005762E6" w:rsidRDefault="00B44564" w:rsidP="00EA69AA">
            <w:pPr>
              <w:spacing w:after="120" w:line="240" w:lineRule="auto"/>
              <w:contextualSpacing/>
              <w:rPr>
                <w:sz w:val="20"/>
                <w:szCs w:val="20"/>
              </w:rPr>
            </w:pPr>
            <w:r w:rsidRPr="005762E6">
              <w:rPr>
                <w:sz w:val="20"/>
                <w:szCs w:val="20"/>
              </w:rPr>
              <w:lastRenderedPageBreak/>
              <w:t>385</w:t>
            </w:r>
          </w:p>
        </w:tc>
        <w:tc>
          <w:tcPr>
            <w:tcW w:w="0" w:type="auto"/>
            <w:tcBorders>
              <w:top w:val="single" w:sz="6" w:space="0" w:color="auto"/>
              <w:left w:val="single" w:sz="6" w:space="0" w:color="auto"/>
              <w:bottom w:val="single" w:sz="6" w:space="0" w:color="auto"/>
              <w:right w:val="single" w:sz="6" w:space="0" w:color="auto"/>
            </w:tcBorders>
          </w:tcPr>
          <w:p w14:paraId="0ABEC63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3C6B92B" w14:textId="67C2B61E" w:rsidR="00B44564" w:rsidRPr="005762E6" w:rsidRDefault="00B44564" w:rsidP="00EA69AA">
            <w:pPr>
              <w:spacing w:after="120" w:line="240" w:lineRule="auto"/>
              <w:contextualSpacing/>
              <w:rPr>
                <w:sz w:val="20"/>
                <w:szCs w:val="20"/>
              </w:rPr>
            </w:pPr>
            <w:r w:rsidRPr="005762E6">
              <w:rPr>
                <w:sz w:val="20"/>
                <w:szCs w:val="20"/>
              </w:rPr>
              <w:t xml:space="preserve">Pamela </w:t>
            </w:r>
            <w:proofErr w:type="gramStart"/>
            <w:r w:rsidRPr="005762E6">
              <w:rPr>
                <w:sz w:val="20"/>
                <w:szCs w:val="20"/>
              </w:rPr>
              <w:t>Valera,​</w:t>
            </w:r>
            <w:proofErr w:type="gramEnd"/>
            <w:r w:rsidRPr="005762E6">
              <w:rPr>
                <w:sz w:val="20"/>
                <w:szCs w:val="20"/>
              </w:rPr>
              <w:t xml:space="preserve"> F Joseph McClernon,​ Greer Burkholder,​ Michael J Mugavero,​ James Willig,​ Conall O'Cleirigh,​ Karen L Cropsey A Pilot Trial Examining African American and White Responses to Algorithm-Guided Smoking Cessation Medication Selection in Persons Living with HIV</w:t>
            </w:r>
            <w:r w:rsidR="007F2F01">
              <w:rPr>
                <w:sz w:val="20"/>
                <w:szCs w:val="20"/>
              </w:rPr>
              <w:t>.</w:t>
            </w:r>
            <w:r w:rsidRPr="005762E6">
              <w:rPr>
                <w:sz w:val="20"/>
                <w:szCs w:val="20"/>
              </w:rPr>
              <w:t xml:space="preserve"> AIDS and behavior; 2017;21:1975.</w:t>
            </w:r>
            <w:r w:rsidRPr="005762E6">
              <w:rPr>
                <w:sz w:val="20"/>
                <w:szCs w:val="20"/>
              </w:rPr>
              <w:br/>
            </w:r>
            <w:r w:rsidRPr="005762E6">
              <w:rPr>
                <w:sz w:val="20"/>
                <w:szCs w:val="20"/>
              </w:rPr>
              <w:br/>
            </w:r>
            <w:r w:rsidRPr="005762E6">
              <w:rPr>
                <w:b/>
                <w:bCs/>
                <w:sz w:val="20"/>
                <w:szCs w:val="20"/>
              </w:rPr>
              <w:t>Keywords:</w:t>
            </w:r>
            <w:r w:rsidRPr="005762E6">
              <w:rPr>
                <w:sz w:val="20"/>
                <w:szCs w:val="20"/>
              </w:rPr>
              <w:br/>
              <w:t>Adult,​*African Americans,​*Algorithms,​Antidepressive Agents,​ Second-Generation/tu [Therapeutic Use],​Bupropion/tu [Therapeutic Use],​Counseling,​*European Continental Ancestry Group,​Female,​*HIV Infections/ep [Epidemiology],​Humans,​Male,​Middle Aged,​Nicotinic Agonists/tu [Therapeutic Use],​Pilot Projects,​Smoking/ep [Epidemiology],​*Smoking/th [Therapy],​Smoking Cessation/eh [Ethnology],​*Smoking Cessation/mt [Methods],​Tobacco Use Cessation Products,​Treatment Outcome,​Varenicline/tu [Therapeutic Use]</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Algorithm-based treatments (AT) may be an effective clinical tool to aid HIV clinicians in prescribing pharmacotherapy to increase smoking cessation among people living with HIV (PLWH). Initial results from AT indicated significant increases in abstinence self-efficacy and medication utilization and declines in cigarettes smoked per day across time. Given historical racial </w:t>
            </w:r>
            <w:proofErr w:type="gramStart"/>
            <w:r w:rsidRPr="005762E6">
              <w:rPr>
                <w:sz w:val="20"/>
                <w:szCs w:val="20"/>
              </w:rPr>
              <w:t>disparities,​</w:t>
            </w:r>
            <w:proofErr w:type="gramEnd"/>
            <w:r w:rsidRPr="005762E6">
              <w:rPr>
                <w:sz w:val="20"/>
                <w:szCs w:val="20"/>
              </w:rPr>
              <w:t xml:space="preserve"> it is unclear if both African Americans and White smokers would benefit equally from this type of intervention. </w:t>
            </w:r>
            <w:proofErr w:type="gramStart"/>
            <w:r w:rsidRPr="005762E6">
              <w:rPr>
                <w:sz w:val="20"/>
                <w:szCs w:val="20"/>
              </w:rPr>
              <w:t>Thus,​</w:t>
            </w:r>
            <w:proofErr w:type="gramEnd"/>
            <w:r w:rsidRPr="005762E6">
              <w:rPr>
                <w:sz w:val="20"/>
                <w:szCs w:val="20"/>
              </w:rPr>
              <w:t xml:space="preserve"> the aim of this study was to examine racial differences in response to AT guided smoking cessation for African American and White smokers living with HIV. One hundred PLWH smokers (n = 100) were randomized to receive either AT guided smoking cessation or Treatment as Usual (TAU) which consisted of instructing participants to talk to a provider about smoking cessation assistance when ready to make a quit attempt. Participants were African American (75%) and White (25%) and majority men (71%) who had never been married (56%). African Americans smoked fewer cigarettes and were more likely to smoke mentholated cigarettes compared to White smokers at baseline. African Americans increased their use of other tobacco products (cigars/cigarillos) over time relative to White smokers. A significant interaction between race and quit goal was </w:t>
            </w:r>
            <w:proofErr w:type="gramStart"/>
            <w:r w:rsidRPr="005762E6">
              <w:rPr>
                <w:sz w:val="20"/>
                <w:szCs w:val="20"/>
              </w:rPr>
              <w:t>observed,​</w:t>
            </w:r>
            <w:proofErr w:type="gramEnd"/>
            <w:r w:rsidRPr="005762E6">
              <w:rPr>
                <w:sz w:val="20"/>
                <w:szCs w:val="20"/>
              </w:rPr>
              <w:t xml:space="preserve"> with White smokers who reported complete abstinence as their goal having higher quit rates,​ while African Americans who reported a goal other than complete abstinence demonstrating higher quit rates. The increased use of cigars/cigarillos during quit attempts as well as having a goal other than complete abstinence should be considered when applying algorithm based interventions for PLWH African American smokers.</w:t>
            </w:r>
          </w:p>
        </w:tc>
      </w:tr>
      <w:tr w:rsidR="00B44564" w:rsidRPr="005762E6" w14:paraId="0AF93322"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2B1029C" w14:textId="77777777" w:rsidR="00B44564" w:rsidRPr="005762E6" w:rsidRDefault="00B44564" w:rsidP="00EA69AA">
            <w:pPr>
              <w:spacing w:after="120" w:line="240" w:lineRule="auto"/>
              <w:contextualSpacing/>
              <w:rPr>
                <w:sz w:val="20"/>
                <w:szCs w:val="20"/>
              </w:rPr>
            </w:pPr>
            <w:r w:rsidRPr="005762E6">
              <w:rPr>
                <w:sz w:val="20"/>
                <w:szCs w:val="20"/>
              </w:rPr>
              <w:t>387</w:t>
            </w:r>
          </w:p>
        </w:tc>
        <w:tc>
          <w:tcPr>
            <w:tcW w:w="0" w:type="auto"/>
            <w:tcBorders>
              <w:top w:val="single" w:sz="6" w:space="0" w:color="auto"/>
              <w:left w:val="single" w:sz="6" w:space="0" w:color="auto"/>
              <w:bottom w:val="single" w:sz="6" w:space="0" w:color="auto"/>
              <w:right w:val="single" w:sz="6" w:space="0" w:color="auto"/>
            </w:tcBorders>
          </w:tcPr>
          <w:p w14:paraId="6BBDE945"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FAAEAA8" w14:textId="33D17A69" w:rsidR="00B44564" w:rsidRPr="005762E6" w:rsidRDefault="00B44564" w:rsidP="00EA69AA">
            <w:pPr>
              <w:spacing w:after="120" w:line="240" w:lineRule="auto"/>
              <w:contextualSpacing/>
              <w:rPr>
                <w:sz w:val="20"/>
                <w:szCs w:val="20"/>
              </w:rPr>
            </w:pPr>
            <w:r w:rsidRPr="005762E6">
              <w:rPr>
                <w:sz w:val="20"/>
                <w:szCs w:val="20"/>
              </w:rPr>
              <w:t xml:space="preserve">Charles J </w:t>
            </w:r>
            <w:proofErr w:type="gramStart"/>
            <w:r w:rsidRPr="005762E6">
              <w:rPr>
                <w:sz w:val="20"/>
                <w:szCs w:val="20"/>
              </w:rPr>
              <w:t>Courtemanche,​</w:t>
            </w:r>
            <w:proofErr w:type="gramEnd"/>
            <w:r w:rsidRPr="005762E6">
              <w:rPr>
                <w:sz w:val="20"/>
                <w:szCs w:val="20"/>
              </w:rPr>
              <w:t xml:space="preserve"> Makayla K Palmer,​ Michael F Pesko Influence of the Flavored Cigarette Ban on Adolescent Tobacco Use</w:t>
            </w:r>
            <w:r w:rsidR="007F2F01">
              <w:rPr>
                <w:sz w:val="20"/>
                <w:szCs w:val="20"/>
              </w:rPr>
              <w:t>.</w:t>
            </w:r>
            <w:r w:rsidRPr="005762E6">
              <w:rPr>
                <w:sz w:val="20"/>
                <w:szCs w:val="20"/>
              </w:rPr>
              <w:t xml:space="preserve"> American journal of preventive medicine; 2017;52:e139.</w:t>
            </w:r>
            <w:r w:rsidRPr="005762E6">
              <w:rPr>
                <w:sz w:val="20"/>
                <w:szCs w:val="20"/>
              </w:rPr>
              <w:br/>
            </w:r>
            <w:r w:rsidRPr="005762E6">
              <w:rPr>
                <w:sz w:val="20"/>
                <w:szCs w:val="20"/>
              </w:rPr>
              <w:br/>
            </w:r>
            <w:r w:rsidRPr="005762E6">
              <w:rPr>
                <w:b/>
                <w:bCs/>
                <w:sz w:val="20"/>
                <w:szCs w:val="20"/>
              </w:rPr>
              <w:t>Keywords:</w:t>
            </w:r>
            <w:r w:rsidRPr="005762E6">
              <w:rPr>
                <w:sz w:val="20"/>
                <w:szCs w:val="20"/>
              </w:rPr>
              <w:br/>
              <w:t>Adolescent,​Adolescent Behavior,​Cross-Sectional Studies,​Databases,​ Factual,​Female,​*Flavoring Agents,​Humans,​Incidence,​Logistic Models,​Male,​Risk Assessment,​*Smoking/ae [Adverse Effects],​Smoking/lj [Legislation &amp; Jurisprudence],​*Smoking Cessation/lj [Legislation &amp; Jurisprudence],​Students/px [Psychology],​Tobacco Products/ae [Adverse Effects],​*Tobacco Products/lj [Legislation &amp; Jurisprudence],​Tobacco,​ Smokeless/lj [Legislation &amp; Jurisprudence],​United States,​United States Food and Drug Administration</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This paper estimated the association between the U.S. Food and Drug Administration's 2009 ban on flavored cigarettes (which did not apply to menthol cigarettes or tobacco products besides cigarettes) and adolescents' tobacco use.,​ METHODS: Regression modeling was used to evaluate tobacco use before and after the ban. The analyses controlled for a quadratic time </w:t>
            </w:r>
            <w:proofErr w:type="gramStart"/>
            <w:r w:rsidRPr="005762E6">
              <w:rPr>
                <w:sz w:val="20"/>
                <w:szCs w:val="20"/>
              </w:rPr>
              <w:t>trend,​</w:t>
            </w:r>
            <w:proofErr w:type="gramEnd"/>
            <w:r w:rsidRPr="005762E6">
              <w:rPr>
                <w:sz w:val="20"/>
                <w:szCs w:val="20"/>
              </w:rPr>
              <w:t xml:space="preserve"> demographic variables,​ prices of cigarettes and other tobacco products,​ and teenage unemployment rate. </w:t>
            </w:r>
            <w:r w:rsidRPr="005762E6">
              <w:rPr>
                <w:sz w:val="20"/>
                <w:szCs w:val="20"/>
              </w:rPr>
              <w:lastRenderedPageBreak/>
              <w:t xml:space="preserve">Data from the 1999-2013 National Youth Tobacco Surveys were collected and analyzed in 2016. The sample included </w:t>
            </w:r>
            <w:proofErr w:type="gramStart"/>
            <w:r w:rsidRPr="005762E6">
              <w:rPr>
                <w:sz w:val="20"/>
                <w:szCs w:val="20"/>
              </w:rPr>
              <w:t>197,​</w:t>
            </w:r>
            <w:proofErr w:type="gramEnd"/>
            <w:r w:rsidRPr="005762E6">
              <w:rPr>
                <w:sz w:val="20"/>
                <w:szCs w:val="20"/>
              </w:rPr>
              <w:t xml:space="preserve">834 middle and high schoolers. Outcomes were past 30-day cigarette use; cigarettes smoked in the past 30 days among smokers; rate of menthol cigarette use among smokers; and past 30-day use of </w:t>
            </w:r>
            <w:proofErr w:type="gramStart"/>
            <w:r w:rsidRPr="005762E6">
              <w:rPr>
                <w:sz w:val="20"/>
                <w:szCs w:val="20"/>
              </w:rPr>
              <w:t>cigars,​</w:t>
            </w:r>
            <w:proofErr w:type="gramEnd"/>
            <w:r w:rsidRPr="005762E6">
              <w:rPr>
                <w:sz w:val="20"/>
                <w:szCs w:val="20"/>
              </w:rPr>
              <w:t xml:space="preserve"> smokeless tobacco,​ pipes,​ any tobacco products besides cigarettes,​ and any tobacco products including cigarettes.,​ RESULTS: Banning flavored cigarettes was associated with reductions in the probability of being a cigarette smoker (17%,​ p&lt;0.001) and cigarettes smoked by smokers (58%,​ p=0.005). </w:t>
            </w:r>
            <w:proofErr w:type="gramStart"/>
            <w:r w:rsidRPr="005762E6">
              <w:rPr>
                <w:sz w:val="20"/>
                <w:szCs w:val="20"/>
              </w:rPr>
              <w:t>However,​</w:t>
            </w:r>
            <w:proofErr w:type="gramEnd"/>
            <w:r w:rsidRPr="005762E6">
              <w:rPr>
                <w:sz w:val="20"/>
                <w:szCs w:val="20"/>
              </w:rPr>
              <w:t xml:space="preserve"> the ban was positively associated with the use by smokers of menthol cigarettes (45%,​ p&lt;0.001),​ cigars (34%,​ p&lt;0.001),​ and pipes (55%,​ p&lt;0.001),​ implying substitution toward the remaining legal flavored tobacco products. Despite increases in some forms of </w:t>
            </w:r>
            <w:proofErr w:type="gramStart"/>
            <w:r w:rsidRPr="005762E6">
              <w:rPr>
                <w:sz w:val="20"/>
                <w:szCs w:val="20"/>
              </w:rPr>
              <w:t>tobacco,​</w:t>
            </w:r>
            <w:proofErr w:type="gramEnd"/>
            <w:r w:rsidRPr="005762E6">
              <w:rPr>
                <w:sz w:val="20"/>
                <w:szCs w:val="20"/>
              </w:rPr>
              <w:t xml:space="preserve"> overall there was a 6% (p&lt;0.001) reduction in the probability of using any tobacco.,​ CONCLUSIONS: The results suggest the 2009 flavored cigarette ban did achieve its objective of reducing adolescent tobacco use,​ but effects were likely diminished by the continued availability of menthol cigarettes and other flavored tobacco products. Copyright © 2017 American Journal of Preventive Medicine. Published by Elsevier Inc. All rights reserved.</w:t>
            </w:r>
          </w:p>
        </w:tc>
      </w:tr>
      <w:tr w:rsidR="00B44564" w:rsidRPr="005762E6" w14:paraId="593D1212"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52B5BD2" w14:textId="77777777" w:rsidR="00B44564" w:rsidRPr="005762E6" w:rsidRDefault="00B44564" w:rsidP="00EA69AA">
            <w:pPr>
              <w:spacing w:after="120" w:line="240" w:lineRule="auto"/>
              <w:contextualSpacing/>
              <w:rPr>
                <w:sz w:val="20"/>
                <w:szCs w:val="20"/>
              </w:rPr>
            </w:pPr>
            <w:r w:rsidRPr="005762E6">
              <w:rPr>
                <w:sz w:val="20"/>
                <w:szCs w:val="20"/>
              </w:rPr>
              <w:lastRenderedPageBreak/>
              <w:t>389</w:t>
            </w:r>
          </w:p>
        </w:tc>
        <w:tc>
          <w:tcPr>
            <w:tcW w:w="0" w:type="auto"/>
            <w:tcBorders>
              <w:top w:val="single" w:sz="6" w:space="0" w:color="auto"/>
              <w:left w:val="single" w:sz="6" w:space="0" w:color="auto"/>
              <w:bottom w:val="single" w:sz="6" w:space="0" w:color="auto"/>
              <w:right w:val="single" w:sz="6" w:space="0" w:color="auto"/>
            </w:tcBorders>
          </w:tcPr>
          <w:p w14:paraId="3B6E512B"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22CBC36" w14:textId="0651DC00" w:rsidR="00B44564" w:rsidRPr="005762E6" w:rsidRDefault="00B44564" w:rsidP="00EA69AA">
            <w:pPr>
              <w:spacing w:after="120" w:line="240" w:lineRule="auto"/>
              <w:contextualSpacing/>
              <w:rPr>
                <w:sz w:val="20"/>
                <w:szCs w:val="20"/>
              </w:rPr>
            </w:pPr>
            <w:r w:rsidRPr="005762E6">
              <w:rPr>
                <w:sz w:val="20"/>
                <w:szCs w:val="20"/>
              </w:rPr>
              <w:t xml:space="preserve">Arnab </w:t>
            </w:r>
            <w:proofErr w:type="gramStart"/>
            <w:r w:rsidRPr="005762E6">
              <w:rPr>
                <w:sz w:val="20"/>
                <w:szCs w:val="20"/>
              </w:rPr>
              <w:t>Mukherjea,​</w:t>
            </w:r>
            <w:proofErr w:type="gramEnd"/>
            <w:r w:rsidRPr="005762E6">
              <w:rPr>
                <w:sz w:val="20"/>
                <w:szCs w:val="20"/>
              </w:rPr>
              <w:t xml:space="preserve"> Olivia A Wackowski,​ Youn Ok Lee,​ Cristine D Delnevo Asian American,​ Native Hawaiian and Pacific Islander tobacco use patterns</w:t>
            </w:r>
            <w:r w:rsidR="007F2F01">
              <w:rPr>
                <w:sz w:val="20"/>
                <w:szCs w:val="20"/>
              </w:rPr>
              <w:t>.</w:t>
            </w:r>
            <w:r w:rsidRPr="005762E6">
              <w:rPr>
                <w:sz w:val="20"/>
                <w:szCs w:val="20"/>
              </w:rPr>
              <w:t xml:space="preserve"> American journal of health behavior; 2014;38:362.</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Adolescent,​Adult,​Aged,​*Asian Americans,​Female,​Hawaii/eh [Ethnology],​Humans,​Male,​Middle Aged,​*Oceanic Ancestry Group,​Pacific Islands/eh [Ethnology],​Smoking/eh [Ethnology],​*Tobacco Use/eh [Ethnology],​Young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OBJECTIVES: To provide a national depiction of Asian American (AA) and Native Hawaiian/Pacific Islander (NHPI) tobacco use and highlight considerations for targeted interventions.,​ METHODS: We analyzed data from the 2009-2010 National Adult Tobacco Survey for subgroup differences in prevalence and consumption of various tobacco products.,​ RESULTS: Use varies considerably by ethnic subgroups for cigarette smoking (including menthol) and other forms of tobacco. Despite being </w:t>
            </w:r>
            <w:proofErr w:type="gramStart"/>
            <w:r w:rsidRPr="005762E6">
              <w:rPr>
                <w:sz w:val="20"/>
                <w:szCs w:val="20"/>
              </w:rPr>
              <w:t>lighter,​</w:t>
            </w:r>
            <w:proofErr w:type="gramEnd"/>
            <w:r w:rsidRPr="005762E6">
              <w:rPr>
                <w:sz w:val="20"/>
                <w:szCs w:val="20"/>
              </w:rPr>
              <w:t xml:space="preserve"> less frequent,​ and seemingly less dependent smokers,​ AANHPIs had similar quit ratios as non-AANHPIs.,​ CONCLUSIONS: AA and NHPI disparities in tobacco use may be due to underutilization of cessation resources,​ including those for non-cigarette tobacco products,​ and lack of availability of culturally-appropriate resources. Community-based and regulatory approaches should be employed to reduce use of all tobacco </w:t>
            </w:r>
            <w:proofErr w:type="gramStart"/>
            <w:r w:rsidRPr="005762E6">
              <w:rPr>
                <w:sz w:val="20"/>
                <w:szCs w:val="20"/>
              </w:rPr>
              <w:t>products,​</w:t>
            </w:r>
            <w:proofErr w:type="gramEnd"/>
            <w:r w:rsidRPr="005762E6">
              <w:rPr>
                <w:sz w:val="20"/>
                <w:szCs w:val="20"/>
              </w:rPr>
              <w:t xml:space="preserve"> especially among high prevalence subgroups.</w:t>
            </w:r>
          </w:p>
        </w:tc>
      </w:tr>
      <w:tr w:rsidR="00B44564" w:rsidRPr="005762E6" w14:paraId="02667393"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6EB2E0F" w14:textId="77777777" w:rsidR="00B44564" w:rsidRPr="005762E6" w:rsidRDefault="00B44564" w:rsidP="00EA69AA">
            <w:pPr>
              <w:spacing w:after="120" w:line="240" w:lineRule="auto"/>
              <w:contextualSpacing/>
              <w:rPr>
                <w:sz w:val="20"/>
                <w:szCs w:val="20"/>
              </w:rPr>
            </w:pPr>
            <w:r w:rsidRPr="005762E6">
              <w:rPr>
                <w:sz w:val="20"/>
                <w:szCs w:val="20"/>
              </w:rPr>
              <w:t>390</w:t>
            </w:r>
          </w:p>
        </w:tc>
        <w:tc>
          <w:tcPr>
            <w:tcW w:w="0" w:type="auto"/>
            <w:tcBorders>
              <w:top w:val="single" w:sz="6" w:space="0" w:color="auto"/>
              <w:left w:val="single" w:sz="6" w:space="0" w:color="auto"/>
              <w:bottom w:val="single" w:sz="6" w:space="0" w:color="auto"/>
              <w:right w:val="single" w:sz="6" w:space="0" w:color="auto"/>
            </w:tcBorders>
          </w:tcPr>
          <w:p w14:paraId="5752B00B"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A38717C" w14:textId="0D7194EA" w:rsidR="00B44564" w:rsidRPr="005762E6" w:rsidRDefault="00B44564" w:rsidP="00EA69AA">
            <w:pPr>
              <w:spacing w:after="120" w:line="240" w:lineRule="auto"/>
              <w:contextualSpacing/>
              <w:rPr>
                <w:sz w:val="20"/>
                <w:szCs w:val="20"/>
              </w:rPr>
            </w:pPr>
            <w:r w:rsidRPr="005762E6">
              <w:rPr>
                <w:sz w:val="20"/>
                <w:szCs w:val="20"/>
              </w:rPr>
              <w:t xml:space="preserve">Ping-Ching </w:t>
            </w:r>
            <w:proofErr w:type="gramStart"/>
            <w:r w:rsidRPr="005762E6">
              <w:rPr>
                <w:sz w:val="20"/>
                <w:szCs w:val="20"/>
              </w:rPr>
              <w:t>Hsu,​</w:t>
            </w:r>
            <w:proofErr w:type="gramEnd"/>
            <w:r w:rsidRPr="005762E6">
              <w:rPr>
                <w:sz w:val="20"/>
                <w:szCs w:val="20"/>
              </w:rPr>
              <w:t xml:space="preserve"> Renny S Lan,​ Theodore M Brasky,​ Catalin Marian,​ Amrita K Cheema,​ Habtom W Ressom,​ Christopher A Loffredo,​ Wallace B Pickworth,​ Peter G Shields Menthol Smokers: Metabolomic Profiling and Smoking Behavior</w:t>
            </w:r>
            <w:r w:rsidR="007F2F01">
              <w:rPr>
                <w:sz w:val="20"/>
                <w:szCs w:val="20"/>
              </w:rPr>
              <w:t>.</w:t>
            </w:r>
            <w:r w:rsidRPr="005762E6">
              <w:rPr>
                <w:sz w:val="20"/>
                <w:szCs w:val="20"/>
              </w:rPr>
              <w:t xml:space="preserve"> Cancer epidemiology,​ biomarkers &amp; prevention : a publication of the American Association for Cancer Research,​ cosponsored by the American Society of Preventive Oncology; 2017;26:51.</w:t>
            </w:r>
            <w:r w:rsidRPr="005762E6">
              <w:rPr>
                <w:sz w:val="20"/>
                <w:szCs w:val="20"/>
              </w:rPr>
              <w:br/>
            </w:r>
            <w:r w:rsidRPr="005762E6">
              <w:rPr>
                <w:sz w:val="20"/>
                <w:szCs w:val="20"/>
              </w:rPr>
              <w:br/>
            </w:r>
            <w:r w:rsidRPr="005762E6">
              <w:rPr>
                <w:b/>
                <w:bCs/>
                <w:sz w:val="20"/>
                <w:szCs w:val="20"/>
              </w:rPr>
              <w:t>Keywords:</w:t>
            </w:r>
            <w:r w:rsidRPr="005762E6">
              <w:rPr>
                <w:sz w:val="20"/>
                <w:szCs w:val="20"/>
              </w:rPr>
              <w:br/>
              <w:t>Adult,​Age Factors,​Biomarkers/bl [Blood],​*Cigarette Smoking/ae [Adverse Effects],​Cigarette Smoking/bl [Blood],​Cross-Sectional Studies,​Female,​Humans,​Male,​*Menthol,​*Metabolomics,​Middle Aged,​Multivariate Analysis,​*Nicotine/ae [Adverse Effects],​Nicotine/bl [Blood],​Reproducibility of Results,​Risk Assessment,​Sex Factors,​*Smoking/px [Psychology]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The use of menthol in cigarettes and marketing is under consideration for regulation by the FDA. </w:t>
            </w:r>
            <w:proofErr w:type="gramStart"/>
            <w:r w:rsidRPr="005762E6">
              <w:rPr>
                <w:sz w:val="20"/>
                <w:szCs w:val="20"/>
              </w:rPr>
              <w:t>However,​</w:t>
            </w:r>
            <w:proofErr w:type="gramEnd"/>
            <w:r w:rsidRPr="005762E6">
              <w:rPr>
                <w:sz w:val="20"/>
                <w:szCs w:val="20"/>
              </w:rPr>
              <w:t xml:space="preserve"> the effects of menthol on smoking behavior and carcinogen exposure have been inconclusive. We previously reported metabolomic profiling for cigarette </w:t>
            </w:r>
            <w:proofErr w:type="gramStart"/>
            <w:r w:rsidRPr="005762E6">
              <w:rPr>
                <w:sz w:val="20"/>
                <w:szCs w:val="20"/>
              </w:rPr>
              <w:t>smokers,​</w:t>
            </w:r>
            <w:proofErr w:type="gramEnd"/>
            <w:r w:rsidRPr="005762E6">
              <w:rPr>
                <w:sz w:val="20"/>
                <w:szCs w:val="20"/>
              </w:rPr>
              <w:t xml:space="preserve"> and novelly identified a menthol-glucuronide (MG) as the most significant metabolite directly related to smoking. </w:t>
            </w:r>
            <w:proofErr w:type="gramStart"/>
            <w:r w:rsidRPr="005762E6">
              <w:rPr>
                <w:sz w:val="20"/>
                <w:szCs w:val="20"/>
              </w:rPr>
              <w:t>Here,​</w:t>
            </w:r>
            <w:proofErr w:type="gramEnd"/>
            <w:r w:rsidRPr="005762E6">
              <w:rPr>
                <w:sz w:val="20"/>
                <w:szCs w:val="20"/>
              </w:rPr>
              <w:t xml:space="preserve"> MG is studied in relation to smoking behavior and metabolomic profiles.,​ METHODS: This is a cross-sectional study of 105 smokers who smoked two cigarettes in the laboratory one hour apart. Blood </w:t>
            </w:r>
            <w:proofErr w:type="gramStart"/>
            <w:r w:rsidRPr="005762E6">
              <w:rPr>
                <w:sz w:val="20"/>
                <w:szCs w:val="20"/>
              </w:rPr>
              <w:t>nicotine,​</w:t>
            </w:r>
            <w:proofErr w:type="gramEnd"/>
            <w:r w:rsidRPr="005762E6">
              <w:rPr>
                <w:sz w:val="20"/>
                <w:szCs w:val="20"/>
              </w:rPr>
              <w:t xml:space="preserve"> MG,​ and exhaled carbon monoxide (CO) boosts were determined (the difference before and after smoking). Spearman </w:t>
            </w:r>
            <w:proofErr w:type="gramStart"/>
            <w:r w:rsidRPr="005762E6">
              <w:rPr>
                <w:sz w:val="20"/>
                <w:szCs w:val="20"/>
              </w:rPr>
              <w:t>correlation,​</w:t>
            </w:r>
            <w:proofErr w:type="gramEnd"/>
            <w:r w:rsidRPr="005762E6">
              <w:rPr>
                <w:sz w:val="20"/>
                <w:szCs w:val="20"/>
              </w:rPr>
              <w:t xml:space="preserve"> chi2,​ and ANCOVA adjusted for gender,​ race,​ and cotinine levels for menthol smokers assessed the relationship of MG boost,​ smoking behavior,​ and metabolic profiles. Multivariate metabolite characterization using supervised partial least squares-discriminant analysis (PLS-DA) was carried out for the </w:t>
            </w:r>
            <w:r w:rsidRPr="005762E6">
              <w:rPr>
                <w:sz w:val="20"/>
                <w:szCs w:val="20"/>
              </w:rPr>
              <w:lastRenderedPageBreak/>
              <w:t>classification of metabolomics profiles</w:t>
            </w:r>
            <w:proofErr w:type="gramStart"/>
            <w:r w:rsidRPr="005762E6">
              <w:rPr>
                <w:sz w:val="20"/>
                <w:szCs w:val="20"/>
              </w:rPr>
              <w:t>.,​</w:t>
            </w:r>
            <w:proofErr w:type="gramEnd"/>
            <w:r w:rsidRPr="005762E6">
              <w:rPr>
                <w:sz w:val="20"/>
                <w:szCs w:val="20"/>
              </w:rPr>
              <w:t xml:space="preserve"> RESULTS: MG boost was positively correlated with CO boost,​ nicotine boost,​ average puff volume,​ puff duration,​ and total smoke exposure. Classification using PLS-</w:t>
            </w:r>
            <w:proofErr w:type="gramStart"/>
            <w:r w:rsidRPr="005762E6">
              <w:rPr>
                <w:sz w:val="20"/>
                <w:szCs w:val="20"/>
              </w:rPr>
              <w:t>DA,​</w:t>
            </w:r>
            <w:proofErr w:type="gramEnd"/>
            <w:r w:rsidRPr="005762E6">
              <w:rPr>
                <w:sz w:val="20"/>
                <w:szCs w:val="20"/>
              </w:rPr>
              <w:t xml:space="preserve"> MG was the top metabolite discriminating metabolome of menthol versus nonmenthol smokers. Among menthol smokers,​ 42 metabolites were significantly correlated with MG boost,​ which linked to cellular functions,​ such as of cell death,​ survival,​ and movement.,​ CONCLUSIONS: Plasma MG boost is a new smoking behavior biomarker that may provide novel information over self-reported use of menthol cigarettes by integrating different smoking measures for understanding smoking behavior and harm of menthol cigarettes.,​ IMPACT: These results provide insight into the biological effect of menthol smoking. Cancer Epidemiol Biomarkers Prev; 26(1); 51-60. ©2016 AACR.</w:t>
            </w:r>
            <w:r>
              <w:rPr>
                <w:sz w:val="20"/>
                <w:szCs w:val="20"/>
              </w:rPr>
              <w:t xml:space="preserve"> </w:t>
            </w:r>
            <w:r w:rsidRPr="005762E6">
              <w:rPr>
                <w:sz w:val="20"/>
                <w:szCs w:val="20"/>
              </w:rPr>
              <w:t>Copyright ©2016 American Association for Cancer Research.</w:t>
            </w:r>
          </w:p>
        </w:tc>
      </w:tr>
      <w:tr w:rsidR="00B44564" w:rsidRPr="005762E6" w14:paraId="2B6CDE5D"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F6C737E" w14:textId="77777777" w:rsidR="00B44564" w:rsidRPr="005762E6" w:rsidRDefault="00B44564" w:rsidP="00EA69AA">
            <w:pPr>
              <w:spacing w:after="120" w:line="240" w:lineRule="auto"/>
              <w:contextualSpacing/>
              <w:rPr>
                <w:sz w:val="20"/>
                <w:szCs w:val="20"/>
              </w:rPr>
            </w:pPr>
            <w:r w:rsidRPr="005762E6">
              <w:rPr>
                <w:sz w:val="20"/>
                <w:szCs w:val="20"/>
              </w:rPr>
              <w:lastRenderedPageBreak/>
              <w:t>391</w:t>
            </w:r>
          </w:p>
        </w:tc>
        <w:tc>
          <w:tcPr>
            <w:tcW w:w="0" w:type="auto"/>
            <w:tcBorders>
              <w:top w:val="single" w:sz="6" w:space="0" w:color="auto"/>
              <w:left w:val="single" w:sz="6" w:space="0" w:color="auto"/>
              <w:bottom w:val="single" w:sz="6" w:space="0" w:color="auto"/>
              <w:right w:val="single" w:sz="6" w:space="0" w:color="auto"/>
            </w:tcBorders>
          </w:tcPr>
          <w:p w14:paraId="6E977F3E"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4F94F88" w14:textId="596A8F3A" w:rsidR="00B44564" w:rsidRPr="005762E6" w:rsidRDefault="00B44564" w:rsidP="00EA69AA">
            <w:pPr>
              <w:spacing w:after="120" w:line="240" w:lineRule="auto"/>
              <w:contextualSpacing/>
              <w:rPr>
                <w:sz w:val="20"/>
                <w:szCs w:val="20"/>
              </w:rPr>
            </w:pPr>
            <w:r w:rsidRPr="005762E6">
              <w:rPr>
                <w:sz w:val="20"/>
                <w:szCs w:val="20"/>
              </w:rPr>
              <w:t xml:space="preserve">Ping-Ching </w:t>
            </w:r>
            <w:proofErr w:type="gramStart"/>
            <w:r w:rsidRPr="005762E6">
              <w:rPr>
                <w:sz w:val="20"/>
                <w:szCs w:val="20"/>
              </w:rPr>
              <w:t>Hsu,​</w:t>
            </w:r>
            <w:proofErr w:type="gramEnd"/>
            <w:r w:rsidRPr="005762E6">
              <w:rPr>
                <w:sz w:val="20"/>
                <w:szCs w:val="20"/>
              </w:rPr>
              <w:t xml:space="preserve"> Renny S Lan,​ Theodore M Brasky,​ Catalin Marian,​ Amrita K Cheema,​ Habtom W Ressom,​ Christopher A Loffredo,​ Wallace B Pickworth,​ Peter G Shields Metabolomic profiles of current cigarette smokers</w:t>
            </w:r>
            <w:r w:rsidR="007F2F01">
              <w:rPr>
                <w:sz w:val="20"/>
                <w:szCs w:val="20"/>
              </w:rPr>
              <w:t>.</w:t>
            </w:r>
            <w:r w:rsidRPr="005762E6">
              <w:rPr>
                <w:sz w:val="20"/>
                <w:szCs w:val="20"/>
              </w:rPr>
              <w:t xml:space="preserve"> Molecular carcinogenesis; 2017;56:594.</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Adolescent,​Adult,​Aged,​Biomarkers/bl [Blood],​Biomarkers/me [Metabolism],​Female,​*Glucuronates/bl [Blood],​Glucuronates/me [Metabolism],​Humans,​Male,​*Menthol/aa [Analogs &amp; Derivatives],​Menthol/bl [Blood],​Menthol/me [Metabolism],​*Metabolome,​Metabolomics,​Middle Aged,​*Smoking/bl [Blood],​Smoking/me [Metabolism],​Young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Smoking-related biomarkers for lung cancer and other diseases are needed to enhance early detection strategies and to provide a science base for tobacco product regulation. An untargeted metabolomics approach by ultra-performance liquid chromatography-quadrupole-time of flight mass spectrometry (UHPLC-Q-TOF MS) totaling 957 assays was used in a novel experimental design where 105 current smokers smoked two cigarettes 1h apart. Blood was collected immediately before and after each cigarette allowing for within-subject replication. Dynamic changes of the metabolomic profiles from smokers' four blood samples were observed and biomarkers affected by cigarette smoking were identified. Thirty-one metabolites were definitively shown to be affected by acute effect of cigarette </w:t>
            </w:r>
            <w:proofErr w:type="gramStart"/>
            <w:r w:rsidRPr="005762E6">
              <w:rPr>
                <w:sz w:val="20"/>
                <w:szCs w:val="20"/>
              </w:rPr>
              <w:t>smoking,​</w:t>
            </w:r>
            <w:proofErr w:type="gramEnd"/>
            <w:r w:rsidRPr="005762E6">
              <w:rPr>
                <w:sz w:val="20"/>
                <w:szCs w:val="20"/>
              </w:rPr>
              <w:t xml:space="preserve"> uniquely including menthol-glucuronide,​ the reduction of glutamate,​ oleamide,​ and 13 glycerophospholipids. This first time identification of a menthol metabolite in smokers' blood serves as proof-of-principle for using metabolomics to identify new tobacco-exposure </w:t>
            </w:r>
            <w:proofErr w:type="gramStart"/>
            <w:r w:rsidRPr="005762E6">
              <w:rPr>
                <w:sz w:val="20"/>
                <w:szCs w:val="20"/>
              </w:rPr>
              <w:t>biomarkers,​</w:t>
            </w:r>
            <w:proofErr w:type="gramEnd"/>
            <w:r w:rsidRPr="005762E6">
              <w:rPr>
                <w:sz w:val="20"/>
                <w:szCs w:val="20"/>
              </w:rPr>
              <w:t xml:space="preserve"> and also provides new opportunities in studying menthol-containing tobacco products in humans. Gender and race differences also were observed. Network analysis revealed 12 molecules involved in </w:t>
            </w:r>
            <w:proofErr w:type="gramStart"/>
            <w:r w:rsidRPr="005762E6">
              <w:rPr>
                <w:sz w:val="20"/>
                <w:szCs w:val="20"/>
              </w:rPr>
              <w:t>cancer,​</w:t>
            </w:r>
            <w:proofErr w:type="gramEnd"/>
            <w:r w:rsidRPr="005762E6">
              <w:rPr>
                <w:sz w:val="20"/>
                <w:szCs w:val="20"/>
              </w:rPr>
              <w:t xml:space="preserve"> notably inhibition of cAMP. These novel tobacco-related biomarkers provide new insights to the effects of smoking which may be important in carcinogenesis but not previously linked with tobacco-related diseases. © 2016 Wiley </w:t>
            </w:r>
            <w:proofErr w:type="gramStart"/>
            <w:r w:rsidRPr="005762E6">
              <w:rPr>
                <w:sz w:val="20"/>
                <w:szCs w:val="20"/>
              </w:rPr>
              <w:t>Periodicals,​</w:t>
            </w:r>
            <w:proofErr w:type="gramEnd"/>
            <w:r w:rsidRPr="005762E6">
              <w:rPr>
                <w:sz w:val="20"/>
                <w:szCs w:val="20"/>
              </w:rPr>
              <w:t xml:space="preserve"> Inc.</w:t>
            </w:r>
            <w:r>
              <w:rPr>
                <w:sz w:val="20"/>
                <w:szCs w:val="20"/>
              </w:rPr>
              <w:t xml:space="preserve"> </w:t>
            </w:r>
            <w:r w:rsidRPr="005762E6">
              <w:rPr>
                <w:sz w:val="20"/>
                <w:szCs w:val="20"/>
              </w:rPr>
              <w:t>Copyright © 2016 Wiley Periodicals,​ Inc.</w:t>
            </w:r>
          </w:p>
        </w:tc>
      </w:tr>
      <w:tr w:rsidR="00B44564" w:rsidRPr="005762E6" w14:paraId="3A4BCEE8"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A9B53FB" w14:textId="77777777" w:rsidR="00B44564" w:rsidRPr="005762E6" w:rsidRDefault="00B44564" w:rsidP="00EA69AA">
            <w:pPr>
              <w:spacing w:after="120" w:line="240" w:lineRule="auto"/>
              <w:contextualSpacing/>
              <w:rPr>
                <w:sz w:val="20"/>
                <w:szCs w:val="20"/>
              </w:rPr>
            </w:pPr>
            <w:r w:rsidRPr="005762E6">
              <w:rPr>
                <w:sz w:val="20"/>
                <w:szCs w:val="20"/>
              </w:rPr>
              <w:t>393</w:t>
            </w:r>
          </w:p>
        </w:tc>
        <w:tc>
          <w:tcPr>
            <w:tcW w:w="0" w:type="auto"/>
            <w:tcBorders>
              <w:top w:val="single" w:sz="6" w:space="0" w:color="auto"/>
              <w:left w:val="single" w:sz="6" w:space="0" w:color="auto"/>
              <w:bottom w:val="single" w:sz="6" w:space="0" w:color="auto"/>
              <w:right w:val="single" w:sz="6" w:space="0" w:color="auto"/>
            </w:tcBorders>
          </w:tcPr>
          <w:p w14:paraId="03F16E8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029AFD8" w14:textId="68058314" w:rsidR="00B44564" w:rsidRPr="005762E6" w:rsidRDefault="00B44564" w:rsidP="00EA69AA">
            <w:pPr>
              <w:spacing w:after="120" w:line="240" w:lineRule="auto"/>
              <w:contextualSpacing/>
              <w:rPr>
                <w:sz w:val="20"/>
                <w:szCs w:val="20"/>
              </w:rPr>
            </w:pPr>
            <w:r w:rsidRPr="005762E6">
              <w:rPr>
                <w:sz w:val="20"/>
                <w:szCs w:val="20"/>
              </w:rPr>
              <w:t>Stacey J Anderson Menthol cigarettes and smoking cessation behaviour: a review of tobacco industry documents</w:t>
            </w:r>
            <w:r w:rsidR="007F2F01">
              <w:rPr>
                <w:sz w:val="20"/>
                <w:szCs w:val="20"/>
              </w:rPr>
              <w:t>.</w:t>
            </w:r>
            <w:r w:rsidRPr="005762E6">
              <w:rPr>
                <w:sz w:val="20"/>
                <w:szCs w:val="20"/>
              </w:rPr>
              <w:t xml:space="preserve"> Tobacco control; 2011;20 Suppl 2:ii49.</w:t>
            </w:r>
            <w:r w:rsidRPr="005762E6">
              <w:rPr>
                <w:sz w:val="20"/>
                <w:szCs w:val="20"/>
              </w:rPr>
              <w:br/>
            </w:r>
            <w:r w:rsidRPr="005762E6">
              <w:rPr>
                <w:sz w:val="20"/>
                <w:szCs w:val="20"/>
              </w:rPr>
              <w:br/>
            </w:r>
            <w:r w:rsidRPr="005762E6">
              <w:rPr>
                <w:b/>
                <w:bCs/>
                <w:sz w:val="20"/>
                <w:szCs w:val="20"/>
              </w:rPr>
              <w:t>Keywords:</w:t>
            </w:r>
            <w:r w:rsidRPr="005762E6">
              <w:rPr>
                <w:sz w:val="20"/>
                <w:szCs w:val="20"/>
              </w:rPr>
              <w:br/>
              <w:t>Anesthesia,​Documentation,​Female,​*Health Behavior,​Humans,​*Menthol,​*Motivation,​Perception,​Pleasure,​Qualitative Research,​Smoking/ae [Adverse Effects],​*Smoking/px [Psychology],​*Smoking Cessation/px [Psychology],​Social Environment,​Taste,​*Tobacco Industry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OBJECTIVE: To determine what the tobacco industry knew about menthol's relation to smoking cessation behaviour.,​ METHODS: A snowball sampling design was used to systematically search the Legacy Tobacco Documents Library (LTDL) (http://legacy.library.ucsf.edu) between 15 May to 1 August 2010. Of the approximately 11 million documents available in the </w:t>
            </w:r>
            <w:proofErr w:type="gramStart"/>
            <w:r w:rsidRPr="005762E6">
              <w:rPr>
                <w:sz w:val="20"/>
                <w:szCs w:val="20"/>
              </w:rPr>
              <w:t>LTDL,​</w:t>
            </w:r>
            <w:proofErr w:type="gramEnd"/>
            <w:r w:rsidRPr="005762E6">
              <w:rPr>
                <w:sz w:val="20"/>
                <w:szCs w:val="20"/>
              </w:rPr>
              <w:t xml:space="preserve"> the iterative searches returned tens of thousands of results. A final collection of 509 documents relevant to 1 or more of the research questions were qualitatively </w:t>
            </w:r>
            <w:proofErr w:type="gramStart"/>
            <w:r w:rsidRPr="005762E6">
              <w:rPr>
                <w:sz w:val="20"/>
                <w:szCs w:val="20"/>
              </w:rPr>
              <w:t>analysed,​</w:t>
            </w:r>
            <w:proofErr w:type="gramEnd"/>
            <w:r w:rsidRPr="005762E6">
              <w:rPr>
                <w:sz w:val="20"/>
                <w:szCs w:val="20"/>
              </w:rPr>
              <w:t xml:space="preserve"> as follows: (1) perceived sensory and taste rewards of menthol and potential relation to quitting; and (2) motivation to quit among menthol users.,​ RESULTS: Menthol's cooling and anesthetic effects mask the short-term negative physiological effects of smoking such as throat pain,​ burning and cough. This provides superficial physical relief as well as psychological assurance against concerns about the health </w:t>
            </w:r>
            <w:r w:rsidRPr="005762E6">
              <w:rPr>
                <w:sz w:val="20"/>
                <w:szCs w:val="20"/>
              </w:rPr>
              <w:lastRenderedPageBreak/>
              <w:t xml:space="preserve">dangers of smoking that would otherwise motivate smokers to quit. Menthol </w:t>
            </w:r>
            <w:proofErr w:type="gramStart"/>
            <w:r w:rsidRPr="005762E6">
              <w:rPr>
                <w:sz w:val="20"/>
                <w:szCs w:val="20"/>
              </w:rPr>
              <w:t>smokers,​</w:t>
            </w:r>
            <w:proofErr w:type="gramEnd"/>
            <w:r w:rsidRPr="005762E6">
              <w:rPr>
                <w:sz w:val="20"/>
                <w:szCs w:val="20"/>
              </w:rPr>
              <w:t xml:space="preserve"> particularly women,​ perceive the minty aroma of menthol cigarettes to be more socially acceptable than non-menthol cigarettes.,​ DISCUSSION: Consumers believe menthol's sensory effects equate to health protections and that menthol cigarettes are more socially acceptable than non-menthol cigarettes. Menthol in cigarettes may encourage experimenters who find non-mentholated cigarettes too </w:t>
            </w:r>
            <w:proofErr w:type="gramStart"/>
            <w:r w:rsidRPr="005762E6">
              <w:rPr>
                <w:sz w:val="20"/>
                <w:szCs w:val="20"/>
              </w:rPr>
              <w:t>harsh,​</w:t>
            </w:r>
            <w:proofErr w:type="gramEnd"/>
            <w:r w:rsidRPr="005762E6">
              <w:rPr>
                <w:sz w:val="20"/>
                <w:szCs w:val="20"/>
              </w:rPr>
              <w:t xml:space="preserve"> including young or inexperienced users,​ to progress to regular smoking rather than quitting,​ and may lessen the motivation to quit among established menthol smokers. The perception of menthol cigarettes as more socially acceptable lessens the impact of smoking denormalisation on quitting motivation. Menthol makes cigarettes easier and more palatable to smoke and less desirable to quit among established smokers. Fewer smokers quitting contributes to the incidence of tobacco-related diseases.</w:t>
            </w:r>
          </w:p>
        </w:tc>
      </w:tr>
      <w:tr w:rsidR="00B44564" w:rsidRPr="005762E6" w14:paraId="6E8A74E7"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94D612B" w14:textId="77777777" w:rsidR="00B44564" w:rsidRPr="005762E6" w:rsidRDefault="00B44564" w:rsidP="00EA69AA">
            <w:pPr>
              <w:spacing w:after="120" w:line="240" w:lineRule="auto"/>
              <w:contextualSpacing/>
              <w:rPr>
                <w:sz w:val="20"/>
                <w:szCs w:val="20"/>
              </w:rPr>
            </w:pPr>
            <w:r w:rsidRPr="005762E6">
              <w:rPr>
                <w:sz w:val="20"/>
                <w:szCs w:val="20"/>
              </w:rPr>
              <w:lastRenderedPageBreak/>
              <w:t>395</w:t>
            </w:r>
          </w:p>
        </w:tc>
        <w:tc>
          <w:tcPr>
            <w:tcW w:w="0" w:type="auto"/>
            <w:tcBorders>
              <w:top w:val="single" w:sz="6" w:space="0" w:color="auto"/>
              <w:left w:val="single" w:sz="6" w:space="0" w:color="auto"/>
              <w:bottom w:val="single" w:sz="6" w:space="0" w:color="auto"/>
              <w:right w:val="single" w:sz="6" w:space="0" w:color="auto"/>
            </w:tcBorders>
          </w:tcPr>
          <w:p w14:paraId="78955BA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4E9F5E1" w14:textId="36827C65" w:rsidR="00B44564" w:rsidRPr="005762E6" w:rsidRDefault="00B44564" w:rsidP="00EA69AA">
            <w:pPr>
              <w:spacing w:after="120" w:line="240" w:lineRule="auto"/>
              <w:contextualSpacing/>
              <w:rPr>
                <w:sz w:val="20"/>
                <w:szCs w:val="20"/>
              </w:rPr>
            </w:pPr>
            <w:r w:rsidRPr="005762E6">
              <w:rPr>
                <w:sz w:val="20"/>
                <w:szCs w:val="20"/>
              </w:rPr>
              <w:t xml:space="preserve">Valerie B </w:t>
            </w:r>
            <w:proofErr w:type="gramStart"/>
            <w:r w:rsidRPr="005762E6">
              <w:rPr>
                <w:sz w:val="20"/>
                <w:szCs w:val="20"/>
              </w:rPr>
              <w:t>Yerger,​</w:t>
            </w:r>
            <w:proofErr w:type="gramEnd"/>
            <w:r w:rsidRPr="005762E6">
              <w:rPr>
                <w:sz w:val="20"/>
                <w:szCs w:val="20"/>
              </w:rPr>
              <w:t xml:space="preserve"> Phyra M McCandless Menthol sensory qualities and smoking topography: a review of tobacco industry documents</w:t>
            </w:r>
            <w:r w:rsidR="007F2F01">
              <w:rPr>
                <w:sz w:val="20"/>
                <w:szCs w:val="20"/>
              </w:rPr>
              <w:t>.</w:t>
            </w:r>
            <w:r w:rsidRPr="005762E6">
              <w:rPr>
                <w:sz w:val="20"/>
                <w:szCs w:val="20"/>
              </w:rPr>
              <w:t xml:space="preserve"> Tobacco control; 2011;20 Suppl 2:ii37.</w:t>
            </w:r>
            <w:r w:rsidRPr="005762E6">
              <w:rPr>
                <w:sz w:val="20"/>
                <w:szCs w:val="20"/>
              </w:rPr>
              <w:br/>
            </w:r>
            <w:r w:rsidRPr="005762E6">
              <w:rPr>
                <w:sz w:val="20"/>
                <w:szCs w:val="20"/>
              </w:rPr>
              <w:br/>
            </w:r>
            <w:r w:rsidRPr="005762E6">
              <w:rPr>
                <w:b/>
                <w:bCs/>
                <w:sz w:val="20"/>
                <w:szCs w:val="20"/>
              </w:rPr>
              <w:t>Keywords:</w:t>
            </w:r>
            <w:r w:rsidRPr="005762E6">
              <w:rPr>
                <w:sz w:val="20"/>
                <w:szCs w:val="20"/>
              </w:rPr>
              <w:br/>
              <w:t>*Consumer Behavior,​Documentation,​*Habits,​Humans,​*Menthol,​*Pleasure,​Smoke,​*Smoking,​Tobacco,​*Tobacco Industry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OBJECTIVE: To determine what the tobacco industry knew about the potential effects of menthol on smoking topography-how a person smokes a cigarette.,​ METHODS: A snowball strategy was used to systematically search the Legacy Tobacco Documents Library (http://legacy.library.ucsf.edu) between 1 June 2010 and 9 August 2010. We qualitatively analysed a final collection of 252 documents related to menthol and smoking topography</w:t>
            </w:r>
            <w:proofErr w:type="gramStart"/>
            <w:r w:rsidRPr="005762E6">
              <w:rPr>
                <w:sz w:val="20"/>
                <w:szCs w:val="20"/>
              </w:rPr>
              <w:t>.,​</w:t>
            </w:r>
            <w:proofErr w:type="gramEnd"/>
            <w:r w:rsidRPr="005762E6">
              <w:rPr>
                <w:sz w:val="20"/>
                <w:szCs w:val="20"/>
              </w:rPr>
              <w:t xml:space="preserve"> RESULTS: The tobacco industry knew that menthol has cooling,​ anaesthetic and analgesic properties that moderate the harshness and irritation of tobacco. Owing to its physiological </w:t>
            </w:r>
            <w:proofErr w:type="gramStart"/>
            <w:r w:rsidRPr="005762E6">
              <w:rPr>
                <w:sz w:val="20"/>
                <w:szCs w:val="20"/>
              </w:rPr>
              <w:t>effects,​</w:t>
            </w:r>
            <w:proofErr w:type="gramEnd"/>
            <w:r w:rsidRPr="005762E6">
              <w:rPr>
                <w:sz w:val="20"/>
                <w:szCs w:val="20"/>
              </w:rPr>
              <w:t xml:space="preserve"> menthol contributes to the sensory qualities of the smoke and affects smoking topography and cigarette preference.,​ CONCLUSION: Our review of industry studies suggests that the amount of menthol in a cigarette is associated with how the cigarette is smoked and how satisfying it is to the smoker. If menthol in cigarettes was </w:t>
            </w:r>
            <w:proofErr w:type="gramStart"/>
            <w:r w:rsidRPr="005762E6">
              <w:rPr>
                <w:sz w:val="20"/>
                <w:szCs w:val="20"/>
              </w:rPr>
              <w:t>banned,​</w:t>
            </w:r>
            <w:proofErr w:type="gramEnd"/>
            <w:r w:rsidRPr="005762E6">
              <w:rPr>
                <w:sz w:val="20"/>
                <w:szCs w:val="20"/>
              </w:rPr>
              <w:t xml:space="preserve"> as the US Food and Drug Administration (FDA) is currently considering,​ new/experimental smokers might choose not to smoke rather than experience the harshness of tobacco smoke and the irritating qualities of nicotine. </w:t>
            </w:r>
            <w:proofErr w:type="gramStart"/>
            <w:r w:rsidRPr="005762E6">
              <w:rPr>
                <w:sz w:val="20"/>
                <w:szCs w:val="20"/>
              </w:rPr>
              <w:t>Similarly,​</w:t>
            </w:r>
            <w:proofErr w:type="gramEnd"/>
            <w:r w:rsidRPr="005762E6">
              <w:rPr>
                <w:sz w:val="20"/>
                <w:szCs w:val="20"/>
              </w:rPr>
              <w:t xml:space="preserve"> established menthol smokers might choose to quit if faced with an unpleasant smoking alternative.</w:t>
            </w:r>
          </w:p>
        </w:tc>
      </w:tr>
      <w:tr w:rsidR="00B44564" w:rsidRPr="005762E6" w14:paraId="38AF3330"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0B3BCA6" w14:textId="77777777" w:rsidR="00B44564" w:rsidRPr="005762E6" w:rsidRDefault="00B44564" w:rsidP="00EA69AA">
            <w:pPr>
              <w:spacing w:after="120" w:line="240" w:lineRule="auto"/>
              <w:contextualSpacing/>
              <w:rPr>
                <w:sz w:val="20"/>
                <w:szCs w:val="20"/>
              </w:rPr>
            </w:pPr>
            <w:r w:rsidRPr="005762E6">
              <w:rPr>
                <w:sz w:val="20"/>
                <w:szCs w:val="20"/>
              </w:rPr>
              <w:t>396</w:t>
            </w:r>
          </w:p>
        </w:tc>
        <w:tc>
          <w:tcPr>
            <w:tcW w:w="0" w:type="auto"/>
            <w:tcBorders>
              <w:top w:val="single" w:sz="6" w:space="0" w:color="auto"/>
              <w:left w:val="single" w:sz="6" w:space="0" w:color="auto"/>
              <w:bottom w:val="single" w:sz="6" w:space="0" w:color="auto"/>
              <w:right w:val="single" w:sz="6" w:space="0" w:color="auto"/>
            </w:tcBorders>
          </w:tcPr>
          <w:p w14:paraId="1A591A87"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75B67EF" w14:textId="46EAF845" w:rsidR="00B44564" w:rsidRPr="005762E6" w:rsidRDefault="00B44564" w:rsidP="00EA69AA">
            <w:pPr>
              <w:spacing w:after="120" w:line="240" w:lineRule="auto"/>
              <w:contextualSpacing/>
              <w:rPr>
                <w:sz w:val="20"/>
                <w:szCs w:val="20"/>
              </w:rPr>
            </w:pPr>
            <w:r w:rsidRPr="005762E6">
              <w:rPr>
                <w:sz w:val="20"/>
                <w:szCs w:val="20"/>
              </w:rPr>
              <w:t>Valerie B Yerger Menthol's potential effects on nicotine dependence: a tobacco industry perspective</w:t>
            </w:r>
            <w:r w:rsidR="007F2F01">
              <w:rPr>
                <w:sz w:val="20"/>
                <w:szCs w:val="20"/>
              </w:rPr>
              <w:t>.</w:t>
            </w:r>
            <w:r w:rsidRPr="005762E6">
              <w:rPr>
                <w:sz w:val="20"/>
                <w:szCs w:val="20"/>
              </w:rPr>
              <w:t xml:space="preserve"> Tobacco control; 2011;20 Suppl 2:ii29.</w:t>
            </w:r>
            <w:r w:rsidRPr="005762E6">
              <w:rPr>
                <w:sz w:val="20"/>
                <w:szCs w:val="20"/>
              </w:rPr>
              <w:br/>
            </w:r>
            <w:r w:rsidRPr="005762E6">
              <w:rPr>
                <w:sz w:val="20"/>
                <w:szCs w:val="20"/>
              </w:rPr>
              <w:br/>
            </w:r>
            <w:r w:rsidRPr="005762E6">
              <w:rPr>
                <w:b/>
                <w:bCs/>
                <w:sz w:val="20"/>
                <w:szCs w:val="20"/>
              </w:rPr>
              <w:t>Keywords:</w:t>
            </w:r>
            <w:r w:rsidRPr="005762E6">
              <w:rPr>
                <w:sz w:val="20"/>
                <w:szCs w:val="20"/>
              </w:rPr>
              <w:br/>
              <w:t>*Consumer Behavior,​Documentation,​Humans,​*Marketing/mt [Methods],​*Menthol,​*Nicotine,​*Smoking,​Tars,​Taste,​*Tobacco Industry,​*Tobacco Use Disorder</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OBJECTIVE: To examine what the tobacco industry knows about the potential effects menthol may have on nicotine dependence.,​ METHODS: A snowball strategy was used to systematically search the Legacy Tobacco Documents Library (http://legacy.library.ucsf.edu/) between 22 February and 29 April,​ 2010. Of the approximately 11 million documents available in the Legacy Tobacco Documents </w:t>
            </w:r>
            <w:proofErr w:type="gramStart"/>
            <w:r w:rsidRPr="005762E6">
              <w:rPr>
                <w:sz w:val="20"/>
                <w:szCs w:val="20"/>
              </w:rPr>
              <w:t>Library,​</w:t>
            </w:r>
            <w:proofErr w:type="gramEnd"/>
            <w:r w:rsidRPr="005762E6">
              <w:rPr>
                <w:sz w:val="20"/>
                <w:szCs w:val="20"/>
              </w:rPr>
              <w:t xml:space="preserve"> the iterative searches returned tens of thousands of results. We qualitatively analysed a final collection of 309 documents relevant the effects of menthol on nicotine dependence.,​ RESULTS: The tobacco industry knows that menthol overrides the harsh taste of tobacco and alleviates nicotine's irritating effects,​ synergistically interacts with nicotine,​ stimulates the trigeminal nerve to elicit a 'liking' response for a tobacco product,​ and makes low tar,​ low nicotine tobacco products more acceptable to smokers than non-mentholated low delivery products.,​ CONCLUSION: Menthol is not only used in cigarettes as a flavour additive; tobacco companies know that menthol also has sensory effects and interacts with nicotine to produce tobacco products that are easier to smoke,​ thereby making it easier to expose smokers,​ especially those who are new and uninitiated,​ to the addictive power of nicotine.</w:t>
            </w:r>
          </w:p>
        </w:tc>
      </w:tr>
      <w:tr w:rsidR="00B44564" w:rsidRPr="005762E6" w14:paraId="06C7DBE0"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44B797A" w14:textId="77777777" w:rsidR="00B44564" w:rsidRPr="005762E6" w:rsidRDefault="00B44564" w:rsidP="00EA69AA">
            <w:pPr>
              <w:spacing w:after="120" w:line="240" w:lineRule="auto"/>
              <w:contextualSpacing/>
              <w:rPr>
                <w:sz w:val="20"/>
                <w:szCs w:val="20"/>
              </w:rPr>
            </w:pPr>
            <w:r w:rsidRPr="005762E6">
              <w:rPr>
                <w:sz w:val="20"/>
                <w:szCs w:val="20"/>
              </w:rPr>
              <w:t>401</w:t>
            </w:r>
          </w:p>
        </w:tc>
        <w:tc>
          <w:tcPr>
            <w:tcW w:w="0" w:type="auto"/>
            <w:tcBorders>
              <w:top w:val="single" w:sz="6" w:space="0" w:color="auto"/>
              <w:left w:val="single" w:sz="6" w:space="0" w:color="auto"/>
              <w:bottom w:val="single" w:sz="6" w:space="0" w:color="auto"/>
              <w:right w:val="single" w:sz="6" w:space="0" w:color="auto"/>
            </w:tcBorders>
          </w:tcPr>
          <w:p w14:paraId="4E800A45"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116E7D0" w14:textId="3F435724" w:rsidR="00B44564" w:rsidRPr="005762E6" w:rsidRDefault="00B44564" w:rsidP="00EA69AA">
            <w:pPr>
              <w:spacing w:after="120" w:line="240" w:lineRule="auto"/>
              <w:contextualSpacing/>
              <w:rPr>
                <w:sz w:val="20"/>
                <w:szCs w:val="20"/>
              </w:rPr>
            </w:pPr>
            <w:r w:rsidRPr="005762E6">
              <w:rPr>
                <w:sz w:val="20"/>
                <w:szCs w:val="20"/>
              </w:rPr>
              <w:t xml:space="preserve">Megan E </w:t>
            </w:r>
            <w:proofErr w:type="gramStart"/>
            <w:r w:rsidRPr="005762E6">
              <w:rPr>
                <w:sz w:val="20"/>
                <w:szCs w:val="20"/>
              </w:rPr>
              <w:t>Roberts,​</w:t>
            </w:r>
            <w:proofErr w:type="gramEnd"/>
            <w:r w:rsidRPr="005762E6">
              <w:rPr>
                <w:sz w:val="20"/>
                <w:szCs w:val="20"/>
              </w:rPr>
              <w:t xml:space="preserve"> Nathan J Doogan,​ Allison N Kurti,​ Ryan Redner,​ Diann E Gaalema,​ Cassandra A Stanton,​ Thomas J White,​ Stephen T Higgins Rural tobacco use across the United States: How rural and urban areas </w:t>
            </w:r>
            <w:r w:rsidRPr="005762E6">
              <w:rPr>
                <w:sz w:val="20"/>
                <w:szCs w:val="20"/>
              </w:rPr>
              <w:lastRenderedPageBreak/>
              <w:t>differ,​ broken down by census regions and divisions</w:t>
            </w:r>
            <w:r w:rsidR="007F2F01">
              <w:rPr>
                <w:sz w:val="20"/>
                <w:szCs w:val="20"/>
              </w:rPr>
              <w:t>.</w:t>
            </w:r>
            <w:r w:rsidRPr="005762E6">
              <w:rPr>
                <w:sz w:val="20"/>
                <w:szCs w:val="20"/>
              </w:rPr>
              <w:t xml:space="preserve"> Health &amp; place; 2016;39:153.</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Adolescent,​Adult,​*Censuses,​Female,​Health Surveys,​Humans,​Male,​Middle Aged,​Poverty,​Prevalence,​*Rural Population/sn [Statistics &amp; Numerical Data],​Smoking/ep [Epidemiology],​Socioeconomic Factors,​*Tobacco Products/sn [Statistics &amp; Numerical Data],​*Tobacco Use/td [Trends],​United States/ep [Epidemiology],​*Urban Population/sn [Statistics &amp; Numerical Data]</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This project compared urban/rural differences in tobacco use,​ and examined how such differences vary across regions/divisions of the U.S. Using pooled 2012-2013 data from the National Survey on Drug Use and Health (NSDUH</w:t>
            </w:r>
            <w:proofErr w:type="gramStart"/>
            <w:r w:rsidRPr="005762E6">
              <w:rPr>
                <w:sz w:val="20"/>
                <w:szCs w:val="20"/>
              </w:rPr>
              <w:t>),​</w:t>
            </w:r>
            <w:proofErr w:type="gramEnd"/>
            <w:r w:rsidRPr="005762E6">
              <w:rPr>
                <w:sz w:val="20"/>
                <w:szCs w:val="20"/>
              </w:rPr>
              <w:t xml:space="preserve"> we obtained weighted prevalence estimates for the use of cigarettes,​ menthol cigarettes,​ chewing tobacco,​ snuff,​ cigars,​ and pipes. NSDUH also provides information on participants' residence: rural vs. </w:t>
            </w:r>
            <w:proofErr w:type="gramStart"/>
            <w:r w:rsidRPr="005762E6">
              <w:rPr>
                <w:sz w:val="20"/>
                <w:szCs w:val="20"/>
              </w:rPr>
              <w:t>urban,​</w:t>
            </w:r>
            <w:proofErr w:type="gramEnd"/>
            <w:r w:rsidRPr="005762E6">
              <w:rPr>
                <w:sz w:val="20"/>
                <w:szCs w:val="20"/>
              </w:rPr>
              <w:t xml:space="preserve"> and Census region and division. </w:t>
            </w:r>
            <w:proofErr w:type="gramStart"/>
            <w:r w:rsidRPr="005762E6">
              <w:rPr>
                <w:sz w:val="20"/>
                <w:szCs w:val="20"/>
              </w:rPr>
              <w:t>Overall,​</w:t>
            </w:r>
            <w:proofErr w:type="gramEnd"/>
            <w:r w:rsidRPr="005762E6">
              <w:rPr>
                <w:sz w:val="20"/>
                <w:szCs w:val="20"/>
              </w:rPr>
              <w:t xml:space="preserve"> use of cigarettes,​ chew,​ and snuff were higher in rural,​ compared to urban areas. Across all tobacco </w:t>
            </w:r>
            <w:proofErr w:type="gramStart"/>
            <w:r w:rsidRPr="005762E6">
              <w:rPr>
                <w:sz w:val="20"/>
                <w:szCs w:val="20"/>
              </w:rPr>
              <w:t>products,​</w:t>
            </w:r>
            <w:proofErr w:type="gramEnd"/>
            <w:r w:rsidRPr="005762E6">
              <w:rPr>
                <w:sz w:val="20"/>
                <w:szCs w:val="20"/>
              </w:rPr>
              <w:t xml:space="preserve"> urban/rural differences were particularly pronounced in certain divisions (e.g.,​ the South Atlantic). Effects did not appear to be fully explained by differences in poverty. Going beyond previous </w:t>
            </w:r>
            <w:proofErr w:type="gramStart"/>
            <w:r w:rsidRPr="005762E6">
              <w:rPr>
                <w:sz w:val="20"/>
                <w:szCs w:val="20"/>
              </w:rPr>
              <w:t>research,​</w:t>
            </w:r>
            <w:proofErr w:type="gramEnd"/>
            <w:r w:rsidRPr="005762E6">
              <w:rPr>
                <w:sz w:val="20"/>
                <w:szCs w:val="20"/>
              </w:rPr>
              <w:t xml:space="preserve"> these findings show that urban/rural differences vary across different types of tobacco products,​ as well as by division of the country. Results underscore the need for regulatory efforts that will reduce health disparities. Copyright © 2016 Elsevier Ltd. All rights reserved.</w:t>
            </w:r>
          </w:p>
        </w:tc>
      </w:tr>
      <w:tr w:rsidR="00B44564" w:rsidRPr="005762E6" w14:paraId="6B8280AE"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C4AD487" w14:textId="77777777" w:rsidR="00B44564" w:rsidRPr="005762E6" w:rsidRDefault="00B44564" w:rsidP="00EA69AA">
            <w:pPr>
              <w:spacing w:after="120" w:line="240" w:lineRule="auto"/>
              <w:contextualSpacing/>
              <w:rPr>
                <w:sz w:val="20"/>
                <w:szCs w:val="20"/>
              </w:rPr>
            </w:pPr>
            <w:r w:rsidRPr="005762E6">
              <w:rPr>
                <w:sz w:val="20"/>
                <w:szCs w:val="20"/>
              </w:rPr>
              <w:lastRenderedPageBreak/>
              <w:t>402</w:t>
            </w:r>
          </w:p>
        </w:tc>
        <w:tc>
          <w:tcPr>
            <w:tcW w:w="0" w:type="auto"/>
            <w:tcBorders>
              <w:top w:val="single" w:sz="6" w:space="0" w:color="auto"/>
              <w:left w:val="single" w:sz="6" w:space="0" w:color="auto"/>
              <w:bottom w:val="single" w:sz="6" w:space="0" w:color="auto"/>
              <w:right w:val="single" w:sz="6" w:space="0" w:color="auto"/>
            </w:tcBorders>
          </w:tcPr>
          <w:p w14:paraId="1DC802B5"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D1C8E0E" w14:textId="1572E562" w:rsidR="00B44564" w:rsidRPr="005762E6" w:rsidRDefault="00B44564" w:rsidP="00EA69AA">
            <w:pPr>
              <w:spacing w:after="120" w:line="240" w:lineRule="auto"/>
              <w:contextualSpacing/>
              <w:rPr>
                <w:sz w:val="20"/>
                <w:szCs w:val="20"/>
              </w:rPr>
            </w:pPr>
            <w:r w:rsidRPr="005762E6">
              <w:rPr>
                <w:sz w:val="20"/>
                <w:szCs w:val="20"/>
              </w:rPr>
              <w:t xml:space="preserve">Olivia A </w:t>
            </w:r>
            <w:proofErr w:type="gramStart"/>
            <w:r w:rsidRPr="005762E6">
              <w:rPr>
                <w:sz w:val="20"/>
                <w:szCs w:val="20"/>
              </w:rPr>
              <w:t>Wackowski,​</w:t>
            </w:r>
            <w:proofErr w:type="gramEnd"/>
            <w:r w:rsidRPr="005762E6">
              <w:rPr>
                <w:sz w:val="20"/>
                <w:szCs w:val="20"/>
              </w:rPr>
              <w:t xml:space="preserve"> Cristine D Delnevo Young Adults' Risk Perceptions of Various Tobacco Products Relative to Cigarettes: Results From the National Young Adult Health Survey</w:t>
            </w:r>
            <w:r w:rsidR="007F2F01">
              <w:rPr>
                <w:sz w:val="20"/>
                <w:szCs w:val="20"/>
              </w:rPr>
              <w:t>.</w:t>
            </w:r>
            <w:r w:rsidRPr="005762E6">
              <w:rPr>
                <w:sz w:val="20"/>
                <w:szCs w:val="20"/>
              </w:rPr>
              <w:t xml:space="preserve"> Health education &amp; behavior : the official publication of the Society for Public Health Education; 2016;43:328.</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Adolescent,​Adult,​Cigarette Smoking,​*Electronic Nicotine Delivery Systems,​Female,​*Health Knowledge,​ Attitudes,​ Practice,​Health Surveys,​Humans,​Male,​*Perception,​Risk,​Sex Distribution,​Smoking/ep [Epidemiology],​*Smoking/px [Psychology],​Smoking Water Pipes,​*Tobacco Products,​United States/ep [Epidemiology],​Young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Objectives Tobacco product risk perceptions may influence whether individuals use those products instead of or in addition to regular cigarettes. This study aimed to explore risk perceptions of various tobacco products relative to traditional cigarettes with young </w:t>
            </w:r>
            <w:proofErr w:type="gramStart"/>
            <w:r w:rsidRPr="005762E6">
              <w:rPr>
                <w:sz w:val="20"/>
                <w:szCs w:val="20"/>
              </w:rPr>
              <w:t>adults,​</w:t>
            </w:r>
            <w:proofErr w:type="gramEnd"/>
            <w:r w:rsidRPr="005762E6">
              <w:rPr>
                <w:sz w:val="20"/>
                <w:szCs w:val="20"/>
              </w:rPr>
              <w:t xml:space="preserve"> a group with higher rates of tobacco use. Method We examined risk perception responses among a nationally representative sample of young adults (age 18-34 years; n = </w:t>
            </w:r>
            <w:proofErr w:type="gramStart"/>
            <w:r w:rsidRPr="005762E6">
              <w:rPr>
                <w:sz w:val="20"/>
                <w:szCs w:val="20"/>
              </w:rPr>
              <w:t>2,​</w:t>
            </w:r>
            <w:proofErr w:type="gramEnd"/>
            <w:r w:rsidRPr="005762E6">
              <w:rPr>
                <w:sz w:val="20"/>
                <w:szCs w:val="20"/>
              </w:rPr>
              <w:t>871,​ including tobacco and non-tobacco users) from the 2011 National Young Adult Health Survey. Results Most (57.8%) respondents believed that e-cigarettes were less risky than cigarettes. Respondents were more likely to rate combustible products hookah (24.5%) and cigars (13.9%) as being less risky compared to noncombustible snus (10%) and other smokeless tobacco (SLT) products (7.1%) relative to cigarettes. Few (2.5%) rated menthol cigarettes as less risky. For e-</w:t>
            </w:r>
            <w:proofErr w:type="gramStart"/>
            <w:r w:rsidRPr="005762E6">
              <w:rPr>
                <w:sz w:val="20"/>
                <w:szCs w:val="20"/>
              </w:rPr>
              <w:t>cigarettes,​</w:t>
            </w:r>
            <w:proofErr w:type="gramEnd"/>
            <w:r w:rsidRPr="005762E6">
              <w:rPr>
                <w:sz w:val="20"/>
                <w:szCs w:val="20"/>
              </w:rPr>
              <w:t xml:space="preserve"> hookah,​ and SLT,​ less risky beliefs were significantly higher among ever or current versus never product users. Between 22% and 33% of all respondents believed that </w:t>
            </w:r>
            <w:proofErr w:type="gramStart"/>
            <w:r w:rsidRPr="005762E6">
              <w:rPr>
                <w:sz w:val="20"/>
                <w:szCs w:val="20"/>
              </w:rPr>
              <w:t>SLT,​</w:t>
            </w:r>
            <w:proofErr w:type="gramEnd"/>
            <w:r w:rsidRPr="005762E6">
              <w:rPr>
                <w:sz w:val="20"/>
                <w:szCs w:val="20"/>
              </w:rPr>
              <w:t xml:space="preserve"> snus,​ menthol cigarettes,​ and cigars were more risky than cigarettes,​ but differences in this belief between current and nonusers of these products were small and insignificant. Younger young adults were more likely to rate e-cigarettes and hookah as being "less risky" and rate cigars and SLT as being "more risky" than older young adults. Conclusion The public's views of comparative tobacco risk perceptions vary widely by tobacco product type and age-group. While "less risky" perceptions may be associated with product </w:t>
            </w:r>
            <w:proofErr w:type="gramStart"/>
            <w:r w:rsidRPr="005762E6">
              <w:rPr>
                <w:sz w:val="20"/>
                <w:szCs w:val="20"/>
              </w:rPr>
              <w:t>use,​</w:t>
            </w:r>
            <w:proofErr w:type="gramEnd"/>
            <w:r w:rsidRPr="005762E6">
              <w:rPr>
                <w:sz w:val="20"/>
                <w:szCs w:val="20"/>
              </w:rPr>
              <w:t xml:space="preserve"> perceptions that products are "more risky" than cigarettes may not necessarily dissuade people from their use.</w:t>
            </w:r>
            <w:r>
              <w:rPr>
                <w:sz w:val="20"/>
                <w:szCs w:val="20"/>
              </w:rPr>
              <w:t xml:space="preserve"> </w:t>
            </w:r>
            <w:r w:rsidRPr="005762E6">
              <w:rPr>
                <w:sz w:val="20"/>
                <w:szCs w:val="20"/>
              </w:rPr>
              <w:t>Copyright © 2015 Society for Public Health Education.</w:t>
            </w:r>
          </w:p>
        </w:tc>
      </w:tr>
      <w:tr w:rsidR="00B44564" w:rsidRPr="005762E6" w14:paraId="5E00E898"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88F8C00" w14:textId="77777777" w:rsidR="00B44564" w:rsidRPr="005762E6" w:rsidRDefault="00B44564" w:rsidP="00EA69AA">
            <w:pPr>
              <w:spacing w:after="120" w:line="240" w:lineRule="auto"/>
              <w:contextualSpacing/>
              <w:rPr>
                <w:sz w:val="20"/>
                <w:szCs w:val="20"/>
              </w:rPr>
            </w:pPr>
            <w:r w:rsidRPr="005762E6">
              <w:rPr>
                <w:sz w:val="20"/>
                <w:szCs w:val="20"/>
              </w:rPr>
              <w:t>403</w:t>
            </w:r>
          </w:p>
        </w:tc>
        <w:tc>
          <w:tcPr>
            <w:tcW w:w="0" w:type="auto"/>
            <w:tcBorders>
              <w:top w:val="single" w:sz="6" w:space="0" w:color="auto"/>
              <w:left w:val="single" w:sz="6" w:space="0" w:color="auto"/>
              <w:bottom w:val="single" w:sz="6" w:space="0" w:color="auto"/>
              <w:right w:val="single" w:sz="6" w:space="0" w:color="auto"/>
            </w:tcBorders>
          </w:tcPr>
          <w:p w14:paraId="05FA87FD"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73F99EC" w14:textId="73D6AA41" w:rsidR="00B44564" w:rsidRPr="005762E6" w:rsidRDefault="00B44564" w:rsidP="00EA69AA">
            <w:pPr>
              <w:spacing w:after="120" w:line="240" w:lineRule="auto"/>
              <w:contextualSpacing/>
              <w:rPr>
                <w:sz w:val="20"/>
                <w:szCs w:val="20"/>
              </w:rPr>
            </w:pPr>
            <w:r w:rsidRPr="005762E6">
              <w:rPr>
                <w:sz w:val="20"/>
                <w:szCs w:val="20"/>
              </w:rPr>
              <w:t xml:space="preserve">Patricia </w:t>
            </w:r>
            <w:proofErr w:type="gramStart"/>
            <w:r w:rsidRPr="005762E6">
              <w:rPr>
                <w:sz w:val="20"/>
                <w:szCs w:val="20"/>
              </w:rPr>
              <w:t>Folan,​</w:t>
            </w:r>
            <w:proofErr w:type="gramEnd"/>
            <w:r w:rsidRPr="005762E6">
              <w:rPr>
                <w:sz w:val="20"/>
                <w:szCs w:val="20"/>
              </w:rPr>
              <w:t xml:space="preserve"> Raisa Abramova,​ Christine Fardellone What Is Menthol?</w:t>
            </w:r>
            <w:r w:rsidR="007F2F01">
              <w:rPr>
                <w:sz w:val="20"/>
                <w:szCs w:val="20"/>
              </w:rPr>
              <w:t>.</w:t>
            </w:r>
            <w:r w:rsidRPr="005762E6">
              <w:rPr>
                <w:sz w:val="20"/>
                <w:szCs w:val="20"/>
              </w:rPr>
              <w:t xml:space="preserve"> American journal of respiratory and critical care medicine; 2017;</w:t>
            </w:r>
            <w:proofErr w:type="gramStart"/>
            <w:r w:rsidRPr="005762E6">
              <w:rPr>
                <w:sz w:val="20"/>
                <w:szCs w:val="20"/>
              </w:rPr>
              <w:t>196:P</w:t>
            </w:r>
            <w:proofErr w:type="gramEnd"/>
            <w:r w:rsidRPr="005762E6">
              <w:rPr>
                <w:sz w:val="20"/>
                <w:szCs w:val="20"/>
              </w:rPr>
              <w:t>9.</w:t>
            </w:r>
            <w:r w:rsidRPr="005762E6">
              <w:rPr>
                <w:sz w:val="20"/>
                <w:szCs w:val="20"/>
              </w:rPr>
              <w:br/>
            </w:r>
            <w:r w:rsidRPr="005762E6">
              <w:rPr>
                <w:sz w:val="20"/>
                <w:szCs w:val="20"/>
              </w:rPr>
              <w:br/>
            </w:r>
            <w:r w:rsidRPr="005762E6">
              <w:rPr>
                <w:b/>
                <w:bCs/>
                <w:sz w:val="20"/>
                <w:szCs w:val="20"/>
              </w:rPr>
              <w:t>Keywords:</w:t>
            </w:r>
            <w:r w:rsidRPr="005762E6">
              <w:rPr>
                <w:sz w:val="20"/>
                <w:szCs w:val="20"/>
              </w:rPr>
              <w:br/>
              <w:t>African Americans,​*Electronic Nicotine Delivery Systems,​Humans,​*Menthol,​*Smoking,​*Smoking Cessation,​*Tobacco Products,​*Tobacco Use Disorder</w:t>
            </w:r>
            <w:r w:rsidRPr="005762E6">
              <w:rPr>
                <w:sz w:val="20"/>
                <w:szCs w:val="20"/>
              </w:rPr>
              <w:br/>
            </w:r>
            <w:r w:rsidRPr="005762E6">
              <w:rPr>
                <w:sz w:val="20"/>
                <w:szCs w:val="20"/>
              </w:rPr>
              <w:lastRenderedPageBreak/>
              <w:br/>
            </w:r>
            <w:r w:rsidRPr="005762E6">
              <w:rPr>
                <w:b/>
                <w:bCs/>
                <w:sz w:val="20"/>
                <w:szCs w:val="20"/>
              </w:rPr>
              <w:t xml:space="preserve">Abstract: </w:t>
            </w:r>
          </w:p>
        </w:tc>
      </w:tr>
      <w:tr w:rsidR="00B44564" w:rsidRPr="005762E6" w14:paraId="07716BEC"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3E804C8" w14:textId="77777777" w:rsidR="00B44564" w:rsidRPr="005762E6" w:rsidRDefault="00B44564" w:rsidP="00EA69AA">
            <w:pPr>
              <w:spacing w:after="120" w:line="240" w:lineRule="auto"/>
              <w:contextualSpacing/>
              <w:rPr>
                <w:sz w:val="20"/>
                <w:szCs w:val="20"/>
              </w:rPr>
            </w:pPr>
            <w:r w:rsidRPr="005762E6">
              <w:rPr>
                <w:sz w:val="20"/>
                <w:szCs w:val="20"/>
              </w:rPr>
              <w:lastRenderedPageBreak/>
              <w:t>404</w:t>
            </w:r>
          </w:p>
        </w:tc>
        <w:tc>
          <w:tcPr>
            <w:tcW w:w="0" w:type="auto"/>
            <w:tcBorders>
              <w:top w:val="single" w:sz="6" w:space="0" w:color="auto"/>
              <w:left w:val="single" w:sz="6" w:space="0" w:color="auto"/>
              <w:bottom w:val="single" w:sz="6" w:space="0" w:color="auto"/>
              <w:right w:val="single" w:sz="6" w:space="0" w:color="auto"/>
            </w:tcBorders>
          </w:tcPr>
          <w:p w14:paraId="570C4645"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CF0A833" w14:textId="0D4E6EA9" w:rsidR="00B44564" w:rsidRPr="005762E6" w:rsidRDefault="00B44564" w:rsidP="00EA69AA">
            <w:pPr>
              <w:spacing w:after="120" w:line="240" w:lineRule="auto"/>
              <w:contextualSpacing/>
              <w:rPr>
                <w:sz w:val="20"/>
                <w:szCs w:val="20"/>
              </w:rPr>
            </w:pPr>
            <w:r w:rsidRPr="005762E6">
              <w:rPr>
                <w:sz w:val="20"/>
                <w:szCs w:val="20"/>
              </w:rPr>
              <w:t xml:space="preserve">Joelle M </w:t>
            </w:r>
            <w:proofErr w:type="gramStart"/>
            <w:r w:rsidRPr="005762E6">
              <w:rPr>
                <w:sz w:val="20"/>
                <w:szCs w:val="20"/>
              </w:rPr>
              <w:t>Lester,​</w:t>
            </w:r>
            <w:proofErr w:type="gramEnd"/>
            <w:r w:rsidRPr="005762E6">
              <w:rPr>
                <w:sz w:val="20"/>
                <w:szCs w:val="20"/>
              </w:rPr>
              <w:t xml:space="preserve"> Stacey Younger Gagosian Finished with Menthol: An Evidence-Based Policy Option That Will Save Lives</w:t>
            </w:r>
            <w:r w:rsidR="007F2F01">
              <w:rPr>
                <w:sz w:val="20"/>
                <w:szCs w:val="20"/>
              </w:rPr>
              <w:t>.</w:t>
            </w:r>
            <w:r w:rsidRPr="005762E6">
              <w:rPr>
                <w:sz w:val="20"/>
                <w:szCs w:val="20"/>
              </w:rPr>
              <w:t xml:space="preserve"> The Journal of </w:t>
            </w:r>
            <w:proofErr w:type="gramStart"/>
            <w:r w:rsidRPr="005762E6">
              <w:rPr>
                <w:sz w:val="20"/>
                <w:szCs w:val="20"/>
              </w:rPr>
              <w:t>law,​</w:t>
            </w:r>
            <w:proofErr w:type="gramEnd"/>
            <w:r w:rsidRPr="005762E6">
              <w:rPr>
                <w:sz w:val="20"/>
                <w:szCs w:val="20"/>
              </w:rPr>
              <w:t xml:space="preserve"> medicine &amp; ethics : a journal of the American Society of Law,​ Medicine &amp; Ethics; 2017;45:41.</w:t>
            </w:r>
            <w:r w:rsidRPr="005762E6">
              <w:rPr>
                <w:sz w:val="20"/>
                <w:szCs w:val="20"/>
              </w:rPr>
              <w:br/>
            </w:r>
            <w:r w:rsidRPr="005762E6">
              <w:rPr>
                <w:sz w:val="20"/>
                <w:szCs w:val="20"/>
              </w:rPr>
              <w:br/>
            </w:r>
            <w:r w:rsidRPr="005762E6">
              <w:rPr>
                <w:b/>
                <w:bCs/>
                <w:sz w:val="20"/>
                <w:szCs w:val="20"/>
              </w:rPr>
              <w:t>Keywords:</w:t>
            </w:r>
            <w:r w:rsidRPr="005762E6">
              <w:rPr>
                <w:sz w:val="20"/>
                <w:szCs w:val="20"/>
              </w:rPr>
              <w:br/>
              <w:t>Adult,​Commerce,​Female,​*Flavoring Agents,​Humans,​Male,​*Menthol,​Smoking,​Tobacco,​*Tobacco Industry,​*Tobacco Products,​United States,​Vulnerable Populations,​Young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Smoking remains the leading cause of preventable disease and death in the United States,​ killing approximately 480,​000 people each year. This crushing health burden falls </w:t>
            </w:r>
            <w:proofErr w:type="gramStart"/>
            <w:r w:rsidRPr="005762E6">
              <w:rPr>
                <w:sz w:val="20"/>
                <w:szCs w:val="20"/>
              </w:rPr>
              <w:t>disproportionately,​</w:t>
            </w:r>
            <w:proofErr w:type="gramEnd"/>
            <w:r w:rsidRPr="005762E6">
              <w:rPr>
                <w:sz w:val="20"/>
                <w:szCs w:val="20"/>
              </w:rPr>
              <w:t xml:space="preserve"> and recent CDC data shows that large disparities in adult cigarette smoking remain. One factor in these disparities is the use of flavors. Menthol cigarettes and other flavored tobacco products are used at higher rates by vulnerable populations including youth and young </w:t>
            </w:r>
            <w:proofErr w:type="gramStart"/>
            <w:r w:rsidRPr="005762E6">
              <w:rPr>
                <w:sz w:val="20"/>
                <w:szCs w:val="20"/>
              </w:rPr>
              <w:t>adults,​</w:t>
            </w:r>
            <w:proofErr w:type="gramEnd"/>
            <w:r w:rsidRPr="005762E6">
              <w:rPr>
                <w:sz w:val="20"/>
                <w:szCs w:val="20"/>
              </w:rPr>
              <w:t xml:space="preserve"> African Americans,​ women,​ Hispanics and Asian Americans. This is no accident; the tobacco industry has long targeted these same groups. Given FDA's failure to act to ban flavored tobacco </w:t>
            </w:r>
            <w:proofErr w:type="gramStart"/>
            <w:r w:rsidRPr="005762E6">
              <w:rPr>
                <w:sz w:val="20"/>
                <w:szCs w:val="20"/>
              </w:rPr>
              <w:t>products,​</w:t>
            </w:r>
            <w:proofErr w:type="gramEnd"/>
            <w:r w:rsidRPr="005762E6">
              <w:rPr>
                <w:sz w:val="20"/>
                <w:szCs w:val="20"/>
              </w:rPr>
              <w:t xml:space="preserve"> states and municipalities are considering taking matters into their own hands to protect their communities from these dangerous products. The authors will explore state and local authority to restrict the sales of these products and review the evidence base indicating that removing flavored tobacco products - and menthol combustible products in particular - from the market would significantly reduce the toll of illness and death caused by these products.</w:t>
            </w:r>
          </w:p>
        </w:tc>
      </w:tr>
      <w:tr w:rsidR="00B44564" w:rsidRPr="005762E6" w14:paraId="0809DA30"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545E379" w14:textId="77777777" w:rsidR="00B44564" w:rsidRPr="005762E6" w:rsidRDefault="00B44564" w:rsidP="00EA69AA">
            <w:pPr>
              <w:spacing w:after="120" w:line="240" w:lineRule="auto"/>
              <w:contextualSpacing/>
              <w:rPr>
                <w:sz w:val="20"/>
                <w:szCs w:val="20"/>
              </w:rPr>
            </w:pPr>
            <w:r w:rsidRPr="005762E6">
              <w:rPr>
                <w:sz w:val="20"/>
                <w:szCs w:val="20"/>
              </w:rPr>
              <w:t>407</w:t>
            </w:r>
          </w:p>
        </w:tc>
        <w:tc>
          <w:tcPr>
            <w:tcW w:w="0" w:type="auto"/>
            <w:tcBorders>
              <w:top w:val="single" w:sz="6" w:space="0" w:color="auto"/>
              <w:left w:val="single" w:sz="6" w:space="0" w:color="auto"/>
              <w:bottom w:val="single" w:sz="6" w:space="0" w:color="auto"/>
              <w:right w:val="single" w:sz="6" w:space="0" w:color="auto"/>
            </w:tcBorders>
          </w:tcPr>
          <w:p w14:paraId="05346F47"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79DB3DC" w14:textId="14F8045E" w:rsidR="00B44564" w:rsidRPr="005762E6" w:rsidRDefault="00B44564" w:rsidP="00EA69AA">
            <w:pPr>
              <w:spacing w:after="120" w:line="240" w:lineRule="auto"/>
              <w:contextualSpacing/>
              <w:rPr>
                <w:sz w:val="20"/>
                <w:szCs w:val="20"/>
              </w:rPr>
            </w:pPr>
            <w:r w:rsidRPr="005762E6">
              <w:rPr>
                <w:sz w:val="20"/>
                <w:szCs w:val="20"/>
              </w:rPr>
              <w:t xml:space="preserve">Nathan </w:t>
            </w:r>
            <w:proofErr w:type="gramStart"/>
            <w:r w:rsidRPr="005762E6">
              <w:rPr>
                <w:sz w:val="20"/>
                <w:szCs w:val="20"/>
              </w:rPr>
              <w:t>Gale,​</w:t>
            </w:r>
            <w:proofErr w:type="gramEnd"/>
            <w:r w:rsidRPr="005762E6">
              <w:rPr>
                <w:sz w:val="20"/>
                <w:szCs w:val="20"/>
              </w:rPr>
              <w:t xml:space="preserve"> Mike McEwan,​ Alison C Eldridge,​ Neil Sherwood,​ Edward Bowen,​ Simon McDermott,​ Emma Holmes,​ Andrew Hedge,​ Stuart Hossack,​ Oscar M Camacho,​ Graham Errington,​ John McAughey,​ James Murphy,​ Chuan Liu,​ Christopher J Proctor,​ Ian M Fearon A randomised,​ controlled,​ two-Centre open-label study in healthy Japanese subjects to evaluate the effect on biomarkers of exposure of switching from a conventional cigarette to a tobacco heating product</w:t>
            </w:r>
            <w:r w:rsidR="007F2F01">
              <w:rPr>
                <w:sz w:val="20"/>
                <w:szCs w:val="20"/>
              </w:rPr>
              <w:t>.</w:t>
            </w:r>
            <w:r w:rsidRPr="005762E6">
              <w:rPr>
                <w:sz w:val="20"/>
                <w:szCs w:val="20"/>
              </w:rPr>
              <w:t xml:space="preserve"> BMC public health; </w:t>
            </w:r>
            <w:proofErr w:type="gramStart"/>
            <w:r w:rsidRPr="005762E6">
              <w:rPr>
                <w:sz w:val="20"/>
                <w:szCs w:val="20"/>
              </w:rPr>
              <w:t>2017;17:673</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Adult,​*Biomarkers/an [Analysis],​Biomarkers/ur [Urine],​Breath Tests,​Female,​Heating,​Humans,​Japan,​Male,​Middle Aged,​Smoking/ur [Urine],​*Smoking,​*Tobacco Products/sn [Statistics &amp; Numerical Data],​Young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BACKGROUND: Smoking is a leading cause of numerous human disorders including lung cancer,​ chronic obstructive pulmonary disease,​ and atherosclerotic cardiovascular disease. The development of modified risk tobacco products (MRTPs) has been suggested as a possible way to reduce the risks of tobacco smoking by reducing exposure to cigarette smoke toxicants. This study is designed to investigate whether biomarkers of such exposure are reduced when smokers switch from smoking commercial cigarettes to using either a novel or a commercially-available tobacco heating product (THP)</w:t>
            </w:r>
            <w:proofErr w:type="gramStart"/>
            <w:r w:rsidRPr="005762E6">
              <w:rPr>
                <w:sz w:val="20"/>
                <w:szCs w:val="20"/>
              </w:rPr>
              <w:t>.,​</w:t>
            </w:r>
            <w:proofErr w:type="gramEnd"/>
            <w:r w:rsidRPr="005762E6">
              <w:rPr>
                <w:sz w:val="20"/>
                <w:szCs w:val="20"/>
              </w:rPr>
              <w:t xml:space="preserve"> DESIGN AND METHODS: This study will assess biomarkers of exposure in current smokers who either remain smoking,​ switch to THP use,​ or quit all tobacco use completely,​ for 5 days. The study is an in-clinic (confinement) two-</w:t>
            </w:r>
            <w:proofErr w:type="gramStart"/>
            <w:r w:rsidRPr="005762E6">
              <w:rPr>
                <w:sz w:val="20"/>
                <w:szCs w:val="20"/>
              </w:rPr>
              <w:t>centre,​</w:t>
            </w:r>
            <w:proofErr w:type="gramEnd"/>
            <w:r w:rsidRPr="005762E6">
              <w:rPr>
                <w:sz w:val="20"/>
                <w:szCs w:val="20"/>
              </w:rPr>
              <w:t xml:space="preserve"> randomised controlled clinical study with a forced-switching design. Subjects of either gender will be aged 23-55 years (minimum legal smoking age plus 3 years</w:t>
            </w:r>
            <w:proofErr w:type="gramStart"/>
            <w:r w:rsidRPr="005762E6">
              <w:rPr>
                <w:sz w:val="20"/>
                <w:szCs w:val="20"/>
              </w:rPr>
              <w:t>),​</w:t>
            </w:r>
            <w:proofErr w:type="gramEnd"/>
            <w:r w:rsidRPr="005762E6">
              <w:rPr>
                <w:sz w:val="20"/>
                <w:szCs w:val="20"/>
              </w:rPr>
              <w:t xml:space="preserve"> of Japanese origin and with a verified smoking status (assessed by exhaled breath carbon monoxide and urinary cotinine levels). Subjects will have a usual brand cigarette within the International Organisation for Standardisation (ISO) tar band of 6-8 mg and will be judged to be healthy by medical </w:t>
            </w:r>
            <w:proofErr w:type="gramStart"/>
            <w:r w:rsidRPr="005762E6">
              <w:rPr>
                <w:sz w:val="20"/>
                <w:szCs w:val="20"/>
              </w:rPr>
              <w:t>history,​</w:t>
            </w:r>
            <w:proofErr w:type="gramEnd"/>
            <w:r w:rsidRPr="005762E6">
              <w:rPr>
                <w:sz w:val="20"/>
                <w:szCs w:val="20"/>
              </w:rPr>
              <w:t xml:space="preserve"> physical examination,​ vital signs,​ electrocardiography (ECG),​ clinical biochemistry and lung function tests. The primary objective of this study is to assess changes within groups in selected biomarkers of exposure (BoE) and of biological effect (BoBE) after a forced switch from a commercial control cigarette to either a menthol or a non-menthol THP. Secondary objectives are to assess between-group differences,​ to determine nicotine pharmacokinetics for cigarettes and THPs,​ to assess subject's satisfaction with the study products,​ and to monitor additional endpoints related to safety and product use.,​ DISCUSSION: Data from this study will advance our scientific understanding of the changes in exposure to cigarette smoke toxicants in smokers who switch to using a THP.,​ TRIAL REGISTRATIONS: UMIN000024988 (25th November 2016); ISRCTN14301360 (14th December 2016).</w:t>
            </w:r>
          </w:p>
        </w:tc>
      </w:tr>
      <w:tr w:rsidR="00B44564" w:rsidRPr="005762E6" w14:paraId="6664B6E8"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D04200D" w14:textId="77777777" w:rsidR="00B44564" w:rsidRPr="005762E6" w:rsidRDefault="00B44564" w:rsidP="00EA69AA">
            <w:pPr>
              <w:spacing w:after="120" w:line="240" w:lineRule="auto"/>
              <w:contextualSpacing/>
              <w:rPr>
                <w:sz w:val="20"/>
                <w:szCs w:val="20"/>
              </w:rPr>
            </w:pPr>
            <w:r w:rsidRPr="005762E6">
              <w:rPr>
                <w:sz w:val="20"/>
                <w:szCs w:val="20"/>
              </w:rPr>
              <w:lastRenderedPageBreak/>
              <w:t>409</w:t>
            </w:r>
          </w:p>
        </w:tc>
        <w:tc>
          <w:tcPr>
            <w:tcW w:w="0" w:type="auto"/>
            <w:tcBorders>
              <w:top w:val="single" w:sz="6" w:space="0" w:color="auto"/>
              <w:left w:val="single" w:sz="6" w:space="0" w:color="auto"/>
              <w:bottom w:val="single" w:sz="6" w:space="0" w:color="auto"/>
              <w:right w:val="single" w:sz="6" w:space="0" w:color="auto"/>
            </w:tcBorders>
          </w:tcPr>
          <w:p w14:paraId="224E90E7"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B19C343" w14:textId="09CC3BC1" w:rsidR="00B44564" w:rsidRPr="005762E6" w:rsidRDefault="00B44564" w:rsidP="00EA69AA">
            <w:pPr>
              <w:spacing w:after="120" w:line="240" w:lineRule="auto"/>
              <w:contextualSpacing/>
              <w:rPr>
                <w:sz w:val="20"/>
                <w:szCs w:val="20"/>
              </w:rPr>
            </w:pPr>
            <w:r w:rsidRPr="005762E6">
              <w:rPr>
                <w:sz w:val="20"/>
                <w:szCs w:val="20"/>
              </w:rPr>
              <w:t xml:space="preserve">Andrea C </w:t>
            </w:r>
            <w:proofErr w:type="gramStart"/>
            <w:r w:rsidRPr="005762E6">
              <w:rPr>
                <w:sz w:val="20"/>
                <w:szCs w:val="20"/>
              </w:rPr>
              <w:t>Villanti,​</w:t>
            </w:r>
            <w:proofErr w:type="gramEnd"/>
            <w:r w:rsidRPr="005762E6">
              <w:rPr>
                <w:sz w:val="20"/>
                <w:szCs w:val="20"/>
              </w:rPr>
              <w:t xml:space="preserve"> Paul D Mowery,​ Cristine D Delnevo,​ Raymond S Niaura,​ David B Abrams,​ Gary A Giovino Changes in the prevalence and correlates of menthol cigarette use in the USA,​ 2004-2014</w:t>
            </w:r>
            <w:r w:rsidR="007F2F01">
              <w:rPr>
                <w:sz w:val="20"/>
                <w:szCs w:val="20"/>
              </w:rPr>
              <w:t>.</w:t>
            </w:r>
            <w:r w:rsidRPr="005762E6">
              <w:rPr>
                <w:sz w:val="20"/>
                <w:szCs w:val="20"/>
              </w:rPr>
              <w:t xml:space="preserve"> Tobacco control; 2016;25:ii14.</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Adolescent,​Adult,​Age Factors,​Child,​*Commerce/sn [Statistics &amp; Numerical Data],​Continental Population Groups/sn [Statistics &amp; Numerical Data],​Cross-Sectional Studies,​Female,​Health Surveys,​Humans,​Male,​*Menthol,​Prevalence,​Smokers/sn [Statistics &amp; Numerical Data],​*Smoking/ep [Epidemiology],​Smoking/eh [Ethnology],​Tobacco Products/ec [Economics],​*Tobacco Products/sn [Statistics &amp; Numerical Data],​Tobacco,​ Smokeless/ec [Economics],​Tobacco,​ Smokeless/sn [Statistics &amp; Numerical Data],​United States/ep [Epidemiology],​Young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INTRODUCTION: National data from 2004 to 2010 showed that despite decreases in non-menthol cigarette use prevalence,​ menthol cigarette use prevalence remained constant in adolescents and adults and increased in young adults. The purpose of the current study was to extend these analyses through 2014</w:t>
            </w:r>
            <w:proofErr w:type="gramStart"/>
            <w:r w:rsidRPr="005762E6">
              <w:rPr>
                <w:sz w:val="20"/>
                <w:szCs w:val="20"/>
              </w:rPr>
              <w:t>.,​</w:t>
            </w:r>
            <w:proofErr w:type="gramEnd"/>
            <w:r w:rsidRPr="005762E6">
              <w:rPr>
                <w:sz w:val="20"/>
                <w:szCs w:val="20"/>
              </w:rPr>
              <w:t xml:space="preserve"> METHODS: We estimated the prevalence of menthol cigarette smoking in the USA during 2004-2014 using annual cross-sectional data on persons aged &gt;=12 years from the National Survey on Drug Use and Health. Self-reported menthol status for selected brands that were either exclusively menthol or non-menthol were adjusted based on retail sales data. Data were weighted to provide national estimates</w:t>
            </w:r>
            <w:proofErr w:type="gramStart"/>
            <w:r w:rsidRPr="005762E6">
              <w:rPr>
                <w:sz w:val="20"/>
                <w:szCs w:val="20"/>
              </w:rPr>
              <w:t>.,​</w:t>
            </w:r>
            <w:proofErr w:type="gramEnd"/>
            <w:r w:rsidRPr="005762E6">
              <w:rPr>
                <w:sz w:val="20"/>
                <w:szCs w:val="20"/>
              </w:rPr>
              <w:t xml:space="preserve"> RESULTS: Although overall smoking prevalence has decreased,​ the proportion of past 30-day cigarette smokers using menthol cigarettes was higher (39%) in 2012-2014 compared to 2008-2010 (35%). Youth smokers remain the most likely group to use menthol cigarettes compared to all other age groups. Menthol cigarette prevalence has increased in </w:t>
            </w:r>
            <w:proofErr w:type="gramStart"/>
            <w:r w:rsidRPr="005762E6">
              <w:rPr>
                <w:sz w:val="20"/>
                <w:szCs w:val="20"/>
              </w:rPr>
              <w:t>white,​</w:t>
            </w:r>
            <w:proofErr w:type="gramEnd"/>
            <w:r w:rsidRPr="005762E6">
              <w:rPr>
                <w:sz w:val="20"/>
                <w:szCs w:val="20"/>
              </w:rPr>
              <w:t xml:space="preserve"> Asian and Hispanic smokers since 2010. Menthol cigarette prevalence exceeded non-menthol cigarette prevalence in youth and young adult smokers in 2014. Among </w:t>
            </w:r>
            <w:proofErr w:type="gramStart"/>
            <w:r w:rsidRPr="005762E6">
              <w:rPr>
                <w:sz w:val="20"/>
                <w:szCs w:val="20"/>
              </w:rPr>
              <w:t>smokers,​</w:t>
            </w:r>
            <w:proofErr w:type="gramEnd"/>
            <w:r w:rsidRPr="005762E6">
              <w:rPr>
                <w:sz w:val="20"/>
                <w:szCs w:val="20"/>
              </w:rPr>
              <w:t xml:space="preserve"> menthol cigarette use was positively correlated with co-use of cigars. Menthol cigarette and smokeless tobacco co-use also increased from 2004 to 2014</w:t>
            </w:r>
            <w:proofErr w:type="gramStart"/>
            <w:r w:rsidRPr="005762E6">
              <w:rPr>
                <w:sz w:val="20"/>
                <w:szCs w:val="20"/>
              </w:rPr>
              <w:t>.,​</w:t>
            </w:r>
            <w:proofErr w:type="gramEnd"/>
            <w:r w:rsidRPr="005762E6">
              <w:rPr>
                <w:sz w:val="20"/>
                <w:szCs w:val="20"/>
              </w:rPr>
              <w:t xml:space="preserve"> CONCLUSIONS: The youngest smokers are most likely to use menthol cigarettes. Among </w:t>
            </w:r>
            <w:proofErr w:type="gramStart"/>
            <w:r w:rsidRPr="005762E6">
              <w:rPr>
                <w:sz w:val="20"/>
                <w:szCs w:val="20"/>
              </w:rPr>
              <w:t>smokers,​</w:t>
            </w:r>
            <w:proofErr w:type="gramEnd"/>
            <w:r w:rsidRPr="005762E6">
              <w:rPr>
                <w:sz w:val="20"/>
                <w:szCs w:val="20"/>
              </w:rPr>
              <w:t xml:space="preserve"> increases in overall menthol cigarette use and menthol cigarette use in whites,​ Asians and Hispanics since 2010 are of concern. There is tremendous urgency to limit the impact of menthol cigarettes on public </w:t>
            </w:r>
            <w:proofErr w:type="gramStart"/>
            <w:r w:rsidRPr="005762E6">
              <w:rPr>
                <w:sz w:val="20"/>
                <w:szCs w:val="20"/>
              </w:rPr>
              <w:t>health,​</w:t>
            </w:r>
            <w:proofErr w:type="gramEnd"/>
            <w:r w:rsidRPr="005762E6">
              <w:rPr>
                <w:sz w:val="20"/>
                <w:szCs w:val="20"/>
              </w:rPr>
              <w:t xml:space="preserve"> particularly the health of youth and young adults. Copyright Published by the BMJ Publishing Group Limited. For permission to use (where not already granted under a licence) please go to http://www.bmj.com/company/products-services/rights-and-licensing/.</w:t>
            </w:r>
          </w:p>
        </w:tc>
      </w:tr>
      <w:tr w:rsidR="00B44564" w:rsidRPr="005762E6" w14:paraId="12D0AD39"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0C9CCC1" w14:textId="77777777" w:rsidR="00B44564" w:rsidRPr="005762E6" w:rsidRDefault="00B44564" w:rsidP="00EA69AA">
            <w:pPr>
              <w:spacing w:after="120" w:line="240" w:lineRule="auto"/>
              <w:contextualSpacing/>
              <w:rPr>
                <w:sz w:val="20"/>
                <w:szCs w:val="20"/>
              </w:rPr>
            </w:pPr>
            <w:r w:rsidRPr="005762E6">
              <w:rPr>
                <w:sz w:val="20"/>
                <w:szCs w:val="20"/>
              </w:rPr>
              <w:t>411</w:t>
            </w:r>
          </w:p>
        </w:tc>
        <w:tc>
          <w:tcPr>
            <w:tcW w:w="0" w:type="auto"/>
            <w:tcBorders>
              <w:top w:val="single" w:sz="6" w:space="0" w:color="auto"/>
              <w:left w:val="single" w:sz="6" w:space="0" w:color="auto"/>
              <w:bottom w:val="single" w:sz="6" w:space="0" w:color="auto"/>
              <w:right w:val="single" w:sz="6" w:space="0" w:color="auto"/>
            </w:tcBorders>
          </w:tcPr>
          <w:p w14:paraId="18C0E63A"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B4CF7F1" w14:textId="7B1D1807" w:rsidR="00B44564" w:rsidRPr="005762E6" w:rsidRDefault="00B44564" w:rsidP="00EA69AA">
            <w:pPr>
              <w:spacing w:after="120" w:line="240" w:lineRule="auto"/>
              <w:contextualSpacing/>
              <w:rPr>
                <w:sz w:val="20"/>
                <w:szCs w:val="20"/>
              </w:rPr>
            </w:pPr>
            <w:r w:rsidRPr="005762E6">
              <w:rPr>
                <w:sz w:val="20"/>
                <w:szCs w:val="20"/>
              </w:rPr>
              <w:t xml:space="preserve">Danielle M </w:t>
            </w:r>
            <w:proofErr w:type="gramStart"/>
            <w:r w:rsidRPr="005762E6">
              <w:rPr>
                <w:sz w:val="20"/>
                <w:szCs w:val="20"/>
              </w:rPr>
              <w:t>Smith,​</w:t>
            </w:r>
            <w:proofErr w:type="gramEnd"/>
            <w:r w:rsidRPr="005762E6">
              <w:rPr>
                <w:sz w:val="20"/>
                <w:szCs w:val="20"/>
              </w:rPr>
              <w:t xml:space="preserve"> Maansi Bansal-Travers,​ Jidong Huang,​ Dianne Barker,​ Andrew J Hyland,​ Frank Chaloupka Association between use of flavoured tobacco products and quit behaviours: findings from a cross-sectional survey of US adult tobacco users</w:t>
            </w:r>
            <w:r w:rsidR="007F2F01">
              <w:rPr>
                <w:sz w:val="20"/>
                <w:szCs w:val="20"/>
              </w:rPr>
              <w:t>.</w:t>
            </w:r>
            <w:r w:rsidRPr="005762E6">
              <w:rPr>
                <w:sz w:val="20"/>
                <w:szCs w:val="20"/>
              </w:rPr>
              <w:t xml:space="preserve"> Tobacco control; 2016;25:ii73.</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Adolescent,​Adult,​Cross-Sectional Studies,​Electronic Nicotine Delivery Systems,​Female,​*Flavoring Agents/ad [Administration &amp; Dosage],​Humans,​Logistic Models,​Male,​Middle Aged,​*Smoking Cessation/sn [Statistics &amp; Numerical Data],​Surveys and Questionnaires,​*Tobacco Products/sn [Statistics &amp; Numerical Data],​*Tobacco Use/ep [Epidemiology],​Tobacco,​ Smokeless/sn [Statistics &amp; Numerical Data],​United States/ep [Epidemiology],​Young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Non-menthol characterising flavours (eg,​ fruit,​ candy) are banned in cigarettes,​ yet are still permitted in non-cigarette tobacco (NCT) products. This study examined associations between first use and current use of flavoured tobacco </w:t>
            </w:r>
            <w:proofErr w:type="gramStart"/>
            <w:r w:rsidRPr="005762E6">
              <w:rPr>
                <w:sz w:val="20"/>
                <w:szCs w:val="20"/>
              </w:rPr>
              <w:t>products,​</w:t>
            </w:r>
            <w:proofErr w:type="gramEnd"/>
            <w:r w:rsidRPr="005762E6">
              <w:rPr>
                <w:sz w:val="20"/>
                <w:szCs w:val="20"/>
              </w:rPr>
              <w:t xml:space="preserve"> and current flavoured tobacco use and quit behaviours.,​ METHODS: A nationally representative,​ telephone-based survey completed in 2012 by 1443 US adult tobacco users asked about use of 9 tobacco products: cigarettes,​ e-cigarettes,​ cigars,​ cigarillos,​ little filtered cigars,​ pipes,​ hookah,​ smokeless tobacco and snus. Ever users reported first use of flavoured </w:t>
            </w:r>
            <w:proofErr w:type="gramStart"/>
            <w:r w:rsidRPr="005762E6">
              <w:rPr>
                <w:sz w:val="20"/>
                <w:szCs w:val="20"/>
              </w:rPr>
              <w:t>products,​</w:t>
            </w:r>
            <w:proofErr w:type="gramEnd"/>
            <w:r w:rsidRPr="005762E6">
              <w:rPr>
                <w:sz w:val="20"/>
                <w:szCs w:val="20"/>
              </w:rPr>
              <w:t xml:space="preserve"> while current users also reported current flavoured product use. Current users reported quit attempts made in the past year. Data were weighted to reflect the US adult tobacco user population. Logistic regression models were used to examine associations between first/current flavour use and quit behaviours</w:t>
            </w:r>
            <w:proofErr w:type="gramStart"/>
            <w:r w:rsidRPr="005762E6">
              <w:rPr>
                <w:sz w:val="20"/>
                <w:szCs w:val="20"/>
              </w:rPr>
              <w:t>.,​</w:t>
            </w:r>
            <w:proofErr w:type="gramEnd"/>
            <w:r w:rsidRPr="005762E6">
              <w:rPr>
                <w:sz w:val="20"/>
                <w:szCs w:val="20"/>
              </w:rPr>
              <w:t xml:space="preserve"> RESULTS: Over 70% of respondents reported first use of a flavoured tobacco product,​ while 54% reported current use of at least one </w:t>
            </w:r>
            <w:r w:rsidRPr="005762E6">
              <w:rPr>
                <w:sz w:val="20"/>
                <w:szCs w:val="20"/>
              </w:rPr>
              <w:lastRenderedPageBreak/>
              <w:t xml:space="preserve">flavoured product. Odds of current flavoured product use were greater among those who reported first use of a flavoured product (OR </w:t>
            </w:r>
            <w:proofErr w:type="gramStart"/>
            <w:r w:rsidRPr="005762E6">
              <w:rPr>
                <w:sz w:val="20"/>
                <w:szCs w:val="20"/>
              </w:rPr>
              <w:t>14.82,​</w:t>
            </w:r>
            <w:proofErr w:type="gramEnd"/>
            <w:r w:rsidRPr="005762E6">
              <w:rPr>
                <w:sz w:val="20"/>
                <w:szCs w:val="20"/>
              </w:rPr>
              <w:t xml:space="preserve"> 95% CI 9.96 to 22.06). First use of a flavoured product was associated with being a current tobacco user (OR </w:t>
            </w:r>
            <w:proofErr w:type="gramStart"/>
            <w:r w:rsidRPr="005762E6">
              <w:rPr>
                <w:sz w:val="20"/>
                <w:szCs w:val="20"/>
              </w:rPr>
              <w:t>1.55,​</w:t>
            </w:r>
            <w:proofErr w:type="gramEnd"/>
            <w:r w:rsidRPr="005762E6">
              <w:rPr>
                <w:sz w:val="20"/>
                <w:szCs w:val="20"/>
              </w:rPr>
              <w:t xml:space="preserve"> 95% CI 1.08 to 2.22). Compared to single product </w:t>
            </w:r>
            <w:proofErr w:type="gramStart"/>
            <w:r w:rsidRPr="005762E6">
              <w:rPr>
                <w:sz w:val="20"/>
                <w:szCs w:val="20"/>
              </w:rPr>
              <w:t>users,​</w:t>
            </w:r>
            <w:proofErr w:type="gramEnd"/>
            <w:r w:rsidRPr="005762E6">
              <w:rPr>
                <w:sz w:val="20"/>
                <w:szCs w:val="20"/>
              </w:rPr>
              <w:t xml:space="preserve"> polytobacco users exhibited greater odds of reporting current use of flavoured products (OR 2.09,​ 95% CI 1.47 to 2.97). Forty-four percent of current tobacco users reported a past-year quit attempt. Adjusted analyses among current NCT users of at least one flavoured tobacco product showed reduced odds of reporting a quit attempt</w:t>
            </w:r>
            <w:proofErr w:type="gramStart"/>
            <w:r w:rsidRPr="005762E6">
              <w:rPr>
                <w:sz w:val="20"/>
                <w:szCs w:val="20"/>
              </w:rPr>
              <w:t>.,​</w:t>
            </w:r>
            <w:proofErr w:type="gramEnd"/>
            <w:r w:rsidRPr="005762E6">
              <w:rPr>
                <w:sz w:val="20"/>
                <w:szCs w:val="20"/>
              </w:rPr>
              <w:t xml:space="preserve"> CONCLUSIONS: First use of a flavoured tobacco product was associated with current flavoured tobacco use and polytobacco use. Users of only flavoured NCT products exhibited reduced odds of reporting a quit attempt. Findings from this study reinforce the importance of flavoured product availability in the </w:t>
            </w:r>
            <w:proofErr w:type="gramStart"/>
            <w:r w:rsidRPr="005762E6">
              <w:rPr>
                <w:sz w:val="20"/>
                <w:szCs w:val="20"/>
              </w:rPr>
              <w:t>USA,​</w:t>
            </w:r>
            <w:proofErr w:type="gramEnd"/>
            <w:r w:rsidRPr="005762E6">
              <w:rPr>
                <w:sz w:val="20"/>
                <w:szCs w:val="20"/>
              </w:rPr>
              <w:t xml:space="preserve"> which may have significant implications for efforts to reduce tobacco initiation and use at a population level. The relationship between characterising flavours and quit behaviours merits further exploration in </w:t>
            </w:r>
            <w:proofErr w:type="gramStart"/>
            <w:r w:rsidRPr="005762E6">
              <w:rPr>
                <w:sz w:val="20"/>
                <w:szCs w:val="20"/>
              </w:rPr>
              <w:t>longitudinal,​</w:t>
            </w:r>
            <w:proofErr w:type="gramEnd"/>
            <w:r w:rsidRPr="005762E6">
              <w:rPr>
                <w:sz w:val="20"/>
                <w:szCs w:val="20"/>
              </w:rPr>
              <w:t xml:space="preserve"> population-based samples. Copyright Published by the BMJ Publishing Group Limited. For permission to use (where not already granted under a licence) please go to http://www.bmj.com/company/products-services/rights-and-licensing/.</w:t>
            </w:r>
          </w:p>
        </w:tc>
      </w:tr>
      <w:tr w:rsidR="00B44564" w:rsidRPr="005762E6" w14:paraId="09A221E2"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A9220EC" w14:textId="77777777" w:rsidR="00B44564" w:rsidRPr="005762E6" w:rsidRDefault="00B44564" w:rsidP="00EA69AA">
            <w:pPr>
              <w:spacing w:after="120" w:line="240" w:lineRule="auto"/>
              <w:contextualSpacing/>
              <w:rPr>
                <w:sz w:val="20"/>
                <w:szCs w:val="20"/>
              </w:rPr>
            </w:pPr>
            <w:r w:rsidRPr="005762E6">
              <w:rPr>
                <w:sz w:val="20"/>
                <w:szCs w:val="20"/>
              </w:rPr>
              <w:lastRenderedPageBreak/>
              <w:t>414</w:t>
            </w:r>
          </w:p>
        </w:tc>
        <w:tc>
          <w:tcPr>
            <w:tcW w:w="0" w:type="auto"/>
            <w:tcBorders>
              <w:top w:val="single" w:sz="6" w:space="0" w:color="auto"/>
              <w:left w:val="single" w:sz="6" w:space="0" w:color="auto"/>
              <w:bottom w:val="single" w:sz="6" w:space="0" w:color="auto"/>
              <w:right w:val="single" w:sz="6" w:space="0" w:color="auto"/>
            </w:tcBorders>
          </w:tcPr>
          <w:p w14:paraId="0305E6F0"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4793991" w14:textId="262FB83C" w:rsidR="00B44564" w:rsidRPr="005762E6" w:rsidRDefault="00B44564" w:rsidP="00EA69AA">
            <w:pPr>
              <w:spacing w:after="120" w:line="240" w:lineRule="auto"/>
              <w:contextualSpacing/>
              <w:rPr>
                <w:sz w:val="20"/>
                <w:szCs w:val="20"/>
              </w:rPr>
            </w:pPr>
            <w:r w:rsidRPr="005762E6">
              <w:rPr>
                <w:sz w:val="20"/>
                <w:szCs w:val="20"/>
              </w:rPr>
              <w:t xml:space="preserve">Jonathan M </w:t>
            </w:r>
            <w:proofErr w:type="gramStart"/>
            <w:r w:rsidRPr="005762E6">
              <w:rPr>
                <w:sz w:val="20"/>
                <w:szCs w:val="20"/>
              </w:rPr>
              <w:t>Samet,​</w:t>
            </w:r>
            <w:proofErr w:type="gramEnd"/>
            <w:r w:rsidRPr="005762E6">
              <w:rPr>
                <w:sz w:val="20"/>
                <w:szCs w:val="20"/>
              </w:rPr>
              <w:t xml:space="preserve"> Mary Ann Pentz,​ Jennifer B Unger Flavoured tobacco products and the public's health: lessons from the TPSAC menthol report</w:t>
            </w:r>
            <w:r w:rsidR="007F2F01">
              <w:rPr>
                <w:sz w:val="20"/>
                <w:szCs w:val="20"/>
              </w:rPr>
              <w:t>.</w:t>
            </w:r>
            <w:r w:rsidRPr="005762E6">
              <w:rPr>
                <w:sz w:val="20"/>
                <w:szCs w:val="20"/>
              </w:rPr>
              <w:t xml:space="preserve"> Tobacco control; 2016;25:ii103.</w:t>
            </w:r>
            <w:r w:rsidRPr="005762E6">
              <w:rPr>
                <w:sz w:val="20"/>
                <w:szCs w:val="20"/>
              </w:rPr>
              <w:br/>
            </w:r>
            <w:r w:rsidRPr="005762E6">
              <w:rPr>
                <w:sz w:val="20"/>
                <w:szCs w:val="20"/>
              </w:rPr>
              <w:br/>
            </w:r>
            <w:r w:rsidRPr="005762E6">
              <w:rPr>
                <w:b/>
                <w:bCs/>
                <w:sz w:val="20"/>
                <w:szCs w:val="20"/>
              </w:rPr>
              <w:t>Keywords:</w:t>
            </w:r>
            <w:r w:rsidRPr="005762E6">
              <w:rPr>
                <w:sz w:val="20"/>
                <w:szCs w:val="20"/>
              </w:rPr>
              <w:br/>
              <w:t>Advisory Committees,​*Flavoring Agents/ad [Administration &amp; Dosage],​Humans,​*Menthol/ad [Administration &amp; Dosage],​Models,​ Statistical,​*Public Health,​Tobacco Industry/mt [Methods],​*Tobacco Products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The menthol report developed by the Tobacco Products Scientific Advisory Committee (TPSAC) of the Center for Tobacco Products elaborated a methodology for considering the public health impact of menthol in cigarettes that has relevance to flavourings generally. The TPSAC report was based on a conceptual framework on how menthol in cigarettes has public health impact results of evidence from related systematic </w:t>
            </w:r>
            <w:proofErr w:type="gramStart"/>
            <w:r w:rsidRPr="005762E6">
              <w:rPr>
                <w:sz w:val="20"/>
                <w:szCs w:val="20"/>
              </w:rPr>
              <w:t>reviews,​</w:t>
            </w:r>
            <w:proofErr w:type="gramEnd"/>
            <w:r w:rsidRPr="005762E6">
              <w:rPr>
                <w:sz w:val="20"/>
                <w:szCs w:val="20"/>
              </w:rPr>
              <w:t xml:space="preserve"> and an evidence-based statistical model. In extending this approach to flavourings </w:t>
            </w:r>
            <w:proofErr w:type="gramStart"/>
            <w:r w:rsidRPr="005762E6">
              <w:rPr>
                <w:sz w:val="20"/>
                <w:szCs w:val="20"/>
              </w:rPr>
              <w:t>generally,​</w:t>
            </w:r>
            <w:proofErr w:type="gramEnd"/>
            <w:r w:rsidRPr="005762E6">
              <w:rPr>
                <w:sz w:val="20"/>
                <w:szCs w:val="20"/>
              </w:rPr>
              <w:t xml:space="preserve"> consideration will need to be given to the existence of multiple flavourings,​ a very dynamic market place and regulatory interventions and industry activities. Now is the time to begin to develop the research strategies and models needed to extend the TPSAC approach to flavoured tobacco products generally. Copyright Published by the BMJ Publishing Group Limited. For permission to use (where not already granted under a licence) please go to http://www.bmj.com/company/products-services/rights-and-licensing/.</w:t>
            </w:r>
          </w:p>
        </w:tc>
      </w:tr>
      <w:tr w:rsidR="00B44564" w:rsidRPr="005762E6" w14:paraId="5E0D9383"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BFA9A0B" w14:textId="77777777" w:rsidR="00B44564" w:rsidRPr="005762E6" w:rsidRDefault="00B44564" w:rsidP="00EA69AA">
            <w:pPr>
              <w:spacing w:after="120" w:line="240" w:lineRule="auto"/>
              <w:contextualSpacing/>
              <w:rPr>
                <w:sz w:val="20"/>
                <w:szCs w:val="20"/>
              </w:rPr>
            </w:pPr>
            <w:r w:rsidRPr="005762E6">
              <w:rPr>
                <w:sz w:val="20"/>
                <w:szCs w:val="20"/>
              </w:rPr>
              <w:t>416</w:t>
            </w:r>
          </w:p>
        </w:tc>
        <w:tc>
          <w:tcPr>
            <w:tcW w:w="0" w:type="auto"/>
            <w:tcBorders>
              <w:top w:val="single" w:sz="6" w:space="0" w:color="auto"/>
              <w:left w:val="single" w:sz="6" w:space="0" w:color="auto"/>
              <w:bottom w:val="single" w:sz="6" w:space="0" w:color="auto"/>
              <w:right w:val="single" w:sz="6" w:space="0" w:color="auto"/>
            </w:tcBorders>
          </w:tcPr>
          <w:p w14:paraId="47F461A7"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5530C5A" w14:textId="0FBB9AA9" w:rsidR="00B44564" w:rsidRPr="005762E6" w:rsidRDefault="00B44564" w:rsidP="00EA69AA">
            <w:pPr>
              <w:spacing w:after="120" w:line="240" w:lineRule="auto"/>
              <w:contextualSpacing/>
              <w:rPr>
                <w:sz w:val="20"/>
                <w:szCs w:val="20"/>
              </w:rPr>
            </w:pPr>
            <w:r w:rsidRPr="005762E6">
              <w:rPr>
                <w:sz w:val="20"/>
                <w:szCs w:val="20"/>
              </w:rPr>
              <w:t xml:space="preserve">Cristine D </w:t>
            </w:r>
            <w:proofErr w:type="gramStart"/>
            <w:r w:rsidRPr="005762E6">
              <w:rPr>
                <w:sz w:val="20"/>
                <w:szCs w:val="20"/>
              </w:rPr>
              <w:t>Delnevo,​</w:t>
            </w:r>
            <w:proofErr w:type="gramEnd"/>
            <w:r w:rsidRPr="005762E6">
              <w:rPr>
                <w:sz w:val="20"/>
                <w:szCs w:val="20"/>
              </w:rPr>
              <w:t xml:space="preserve"> Andrea C Villanti,​ Olivia A Wackowski,​ Daniel A Gundersen,​ Daniel P Giovenco The influence of menthol,​ e-cigarettes and other tobacco products on young adults' self-reported changes in past year smoking</w:t>
            </w:r>
            <w:r w:rsidR="007F2F01">
              <w:rPr>
                <w:sz w:val="20"/>
                <w:szCs w:val="20"/>
              </w:rPr>
              <w:t>.</w:t>
            </w:r>
            <w:r w:rsidRPr="005762E6">
              <w:rPr>
                <w:sz w:val="20"/>
                <w:szCs w:val="20"/>
              </w:rPr>
              <w:t xml:space="preserve"> Tobacco control; 2016;25:571.</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Adolescent,​Adult,​African Americans/sn [Statistics &amp; Numerical Data],​Age Factors,​Cross-Sectional Studies,​*Electronic Nicotine Delivery Systems,​European Continental Ancestry Group/sn [Statistics &amp; Numerical Data],​Female,​Health Surveys,​Humans,​Male,​*Menthol,​Self-Report,​*Smoking/ep [Epidemiology],​*Tobacco Products/sn [Statistics &amp; Numerical Data],​Tobacco,​ Smokeless/ut [Utilization],​Young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OBJECTIVE: Progression to regular smoking often occurs during young adulthood. This study examines self-reported changes in past year smoking among young adults and the potential influence of tobacco products on these trajectories</w:t>
            </w:r>
            <w:proofErr w:type="gramStart"/>
            <w:r w:rsidRPr="005762E6">
              <w:rPr>
                <w:sz w:val="20"/>
                <w:szCs w:val="20"/>
              </w:rPr>
              <w:t>.,​</w:t>
            </w:r>
            <w:proofErr w:type="gramEnd"/>
            <w:r w:rsidRPr="005762E6">
              <w:rPr>
                <w:sz w:val="20"/>
                <w:szCs w:val="20"/>
              </w:rPr>
              <w:t xml:space="preserve"> METHODS: Respondents to the 2011 National Young Adult Health Survey who smoked 100 cigarettes in their lifetime (n=909) described smoking behaviour at the time of the survey and 1 year prior. Cigarette smoking trajectories were categorised as: no </w:t>
            </w:r>
            <w:proofErr w:type="gramStart"/>
            <w:r w:rsidRPr="005762E6">
              <w:rPr>
                <w:sz w:val="20"/>
                <w:szCs w:val="20"/>
              </w:rPr>
              <w:t>change,​</w:t>
            </w:r>
            <w:proofErr w:type="gramEnd"/>
            <w:r w:rsidRPr="005762E6">
              <w:rPr>
                <w:sz w:val="20"/>
                <w:szCs w:val="20"/>
              </w:rPr>
              <w:t xml:space="preserve"> quit,​ decreased smoking or increased smoking. Participants were also asked about current use of menthol cigarettes and other tobacco products (</w:t>
            </w:r>
            <w:proofErr w:type="gramStart"/>
            <w:r w:rsidRPr="005762E6">
              <w:rPr>
                <w:sz w:val="20"/>
                <w:szCs w:val="20"/>
              </w:rPr>
              <w:t>ie,​</w:t>
            </w:r>
            <w:proofErr w:type="gramEnd"/>
            <w:r w:rsidRPr="005762E6">
              <w:rPr>
                <w:sz w:val="20"/>
                <w:szCs w:val="20"/>
              </w:rPr>
              <w:t xml:space="preserve"> cigars,​ smokeless tobacco,​ hookah) and ever use of e-cigarettes.,​ RESULTS: Most young adults (73.1%) reported stable cigarette smoking behaviours,​ while 8.2% reported having quit,​ 5.8% reported that they smoke on fewer days,​ 5% progressed from someday to daily smoking and 8% increased from not at all to current smoking. The youngest smokers (18-20) had significantly higher odds (adjusted OR (AOR) =2.6) of increasing cigarette use over the past year compared to those aged 30-</w:t>
            </w:r>
            <w:proofErr w:type="gramStart"/>
            <w:r w:rsidRPr="005762E6">
              <w:rPr>
                <w:sz w:val="20"/>
                <w:szCs w:val="20"/>
              </w:rPr>
              <w:t>34,​</w:t>
            </w:r>
            <w:proofErr w:type="gramEnd"/>
            <w:r w:rsidRPr="005762E6">
              <w:rPr>
                <w:sz w:val="20"/>
                <w:szCs w:val="20"/>
              </w:rPr>
              <w:t xml:space="preserve"> as did blacks versus </w:t>
            </w:r>
            <w:r w:rsidRPr="005762E6">
              <w:rPr>
                <w:sz w:val="20"/>
                <w:szCs w:val="20"/>
              </w:rPr>
              <w:lastRenderedPageBreak/>
              <w:t>whites (AOR=2.35). Menthol cigarette use nearly doubled (AOR=1.87) the odds of increased smoking behaviour. E-cigarette and other tobacco product (OTP) use were not associated with increasing smoking but OTP use was negatively associated with remaining quit from cigarettes</w:t>
            </w:r>
            <w:proofErr w:type="gramStart"/>
            <w:r w:rsidRPr="005762E6">
              <w:rPr>
                <w:sz w:val="20"/>
                <w:szCs w:val="20"/>
              </w:rPr>
              <w:t>.,​</w:t>
            </w:r>
            <w:proofErr w:type="gramEnd"/>
            <w:r w:rsidRPr="005762E6">
              <w:rPr>
                <w:sz w:val="20"/>
                <w:szCs w:val="20"/>
              </w:rPr>
              <w:t xml:space="preserve"> CONCLUSIONS: Young adulthood is a critical period for smoking interventions,​ particularly among those most vulnerable to increasing smoking behaviours (ie,​ black and younger young adults). Policy efforts to restrict menthol cigarettes may reduce young adult smoking progression. Copyright Published by the BMJ Publishing Group Limited. For permission to use (where not already granted under a licence) please go to http://www.bmj.com/company/products-services/rights-and-licensing/</w:t>
            </w:r>
          </w:p>
        </w:tc>
      </w:tr>
      <w:tr w:rsidR="00B44564" w:rsidRPr="005762E6" w14:paraId="21DBE4C9"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9E0F8FB" w14:textId="77777777" w:rsidR="00B44564" w:rsidRPr="005762E6" w:rsidRDefault="00B44564" w:rsidP="00EA69AA">
            <w:pPr>
              <w:spacing w:after="120" w:line="240" w:lineRule="auto"/>
              <w:contextualSpacing/>
              <w:rPr>
                <w:sz w:val="20"/>
                <w:szCs w:val="20"/>
              </w:rPr>
            </w:pPr>
            <w:r w:rsidRPr="005762E6">
              <w:rPr>
                <w:sz w:val="20"/>
                <w:szCs w:val="20"/>
              </w:rPr>
              <w:lastRenderedPageBreak/>
              <w:t>418</w:t>
            </w:r>
          </w:p>
        </w:tc>
        <w:tc>
          <w:tcPr>
            <w:tcW w:w="0" w:type="auto"/>
            <w:tcBorders>
              <w:top w:val="single" w:sz="6" w:space="0" w:color="auto"/>
              <w:left w:val="single" w:sz="6" w:space="0" w:color="auto"/>
              <w:bottom w:val="single" w:sz="6" w:space="0" w:color="auto"/>
              <w:right w:val="single" w:sz="6" w:space="0" w:color="auto"/>
            </w:tcBorders>
          </w:tcPr>
          <w:p w14:paraId="56BCA0B4"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D6E0C55" w14:textId="2B28F619" w:rsidR="00B44564" w:rsidRPr="005762E6" w:rsidRDefault="00B44564" w:rsidP="00EA69AA">
            <w:pPr>
              <w:spacing w:after="120" w:line="240" w:lineRule="auto"/>
              <w:contextualSpacing/>
              <w:rPr>
                <w:sz w:val="20"/>
                <w:szCs w:val="20"/>
              </w:rPr>
            </w:pPr>
            <w:r w:rsidRPr="005762E6">
              <w:rPr>
                <w:sz w:val="20"/>
                <w:szCs w:val="20"/>
              </w:rPr>
              <w:t xml:space="preserve">Man Ki </w:t>
            </w:r>
            <w:proofErr w:type="gramStart"/>
            <w:r w:rsidRPr="005762E6">
              <w:rPr>
                <w:sz w:val="20"/>
                <w:szCs w:val="20"/>
              </w:rPr>
              <w:t>Ho,​</w:t>
            </w:r>
            <w:proofErr w:type="gramEnd"/>
            <w:r w:rsidRPr="005762E6">
              <w:rPr>
                <w:sz w:val="20"/>
                <w:szCs w:val="20"/>
              </w:rPr>
              <w:t xml:space="preserve"> Babalola Faseru,​ Won S Choi,​ Nicole L Nollen,​ Matthew S Mayo,​ Janet L Thomas,​ Kolawole S Okuyemi,​ Jasjit S Ahluwalia,​ Neal L Benowitz,​ Rachel F Tyndale Utility and relationships of biomarkers of smoking in African-American light smokers</w:t>
            </w:r>
            <w:r w:rsidR="007F2F01">
              <w:rPr>
                <w:sz w:val="20"/>
                <w:szCs w:val="20"/>
              </w:rPr>
              <w:t>.</w:t>
            </w:r>
            <w:r w:rsidRPr="005762E6">
              <w:rPr>
                <w:sz w:val="20"/>
                <w:szCs w:val="20"/>
              </w:rPr>
              <w:t xml:space="preserve"> Cancer epidemiology,​ biomarkers &amp; prevention : a publication of the American Association for Cancer Research,​ cosponsored by the American Society of Preventive Oncology; 2009;18:3426.</w:t>
            </w:r>
            <w:r w:rsidRPr="005762E6">
              <w:rPr>
                <w:sz w:val="20"/>
                <w:szCs w:val="20"/>
              </w:rPr>
              <w:br/>
            </w:r>
            <w:r w:rsidRPr="005762E6">
              <w:rPr>
                <w:sz w:val="20"/>
                <w:szCs w:val="20"/>
              </w:rPr>
              <w:br/>
            </w:r>
            <w:r w:rsidRPr="005762E6">
              <w:rPr>
                <w:b/>
                <w:bCs/>
                <w:sz w:val="20"/>
                <w:szCs w:val="20"/>
              </w:rPr>
              <w:t>Keywords:</w:t>
            </w:r>
            <w:r w:rsidRPr="005762E6">
              <w:rPr>
                <w:sz w:val="20"/>
                <w:szCs w:val="20"/>
              </w:rPr>
              <w:br/>
              <w:t>Adult,​*African Americans,​Aged,​Aged,​ 80 and over,​*Aryl Hydrocarbon Hydroxylases/ge [Genetics],​*Biomarkers,​ Pharmacological/bl [Blood],​*Carbon Monoxide/bl [Blood],​*Cotinine/bl [Blood],​Cytochrome P-450 CYP2A6,​Double-Blind Method,​Female,​Genotype,​Humans,​Male,​Middle Aged,​Placebos,​Polymorphism,​ Genetic/ge [Genetics],​Prognosis,​Risk Factors,​*Smoking/bl [Blood],​Smoking/eh [Ethnology],​Smoking Cessation,​Young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Although expired carbon monoxide (CO) and plasma cotinine (COT) have been validated as biomarkers of self-reported cigarettes per day (CPD) in heavy smoking Caucasians,​ their utility in light smokers is unknown. </w:t>
            </w:r>
            <w:proofErr w:type="gramStart"/>
            <w:r w:rsidRPr="005762E6">
              <w:rPr>
                <w:sz w:val="20"/>
                <w:szCs w:val="20"/>
              </w:rPr>
              <w:t>Further,​</w:t>
            </w:r>
            <w:proofErr w:type="gramEnd"/>
            <w:r w:rsidRPr="005762E6">
              <w:rPr>
                <w:sz w:val="20"/>
                <w:szCs w:val="20"/>
              </w:rPr>
              <w:t xml:space="preserve"> variability in CYP2A6,​ the enzyme that mediates formation of COT from nicotine and its metabolism to trans-3'-hydroxycotinine (3HC),​ may limit the usefulness of COT. We assessed whether CO and COT are correlated with CPD in African-American light smokers (&lt; or =10 </w:t>
            </w:r>
            <w:proofErr w:type="gramStart"/>
            <w:r w:rsidRPr="005762E6">
              <w:rPr>
                <w:sz w:val="20"/>
                <w:szCs w:val="20"/>
              </w:rPr>
              <w:t>CPD,​</w:t>
            </w:r>
            <w:proofErr w:type="gramEnd"/>
            <w:r w:rsidRPr="005762E6">
              <w:rPr>
                <w:sz w:val="20"/>
                <w:szCs w:val="20"/>
              </w:rPr>
              <w:t xml:space="preserve"> n = 700),​ a population with known reduced CYP2A6 activity and slow COT metabolism. We also examined whether </w:t>
            </w:r>
            <w:proofErr w:type="gramStart"/>
            <w:r w:rsidRPr="005762E6">
              <w:rPr>
                <w:sz w:val="20"/>
                <w:szCs w:val="20"/>
              </w:rPr>
              <w:t>gender,​</w:t>
            </w:r>
            <w:proofErr w:type="gramEnd"/>
            <w:r w:rsidRPr="005762E6">
              <w:rPr>
                <w:sz w:val="20"/>
                <w:szCs w:val="20"/>
              </w:rPr>
              <w:t xml:space="preserve"> age,​ body mass index,​ smoking mentholated cigarettes,​ or rate of CYP2A6 activity,​ by genotype and phenotype measures (3HC/COT),​ influence these relationships. At </w:t>
            </w:r>
            <w:proofErr w:type="gramStart"/>
            <w:r w:rsidRPr="005762E6">
              <w:rPr>
                <w:sz w:val="20"/>
                <w:szCs w:val="20"/>
              </w:rPr>
              <w:t>baseline,​</w:t>
            </w:r>
            <w:proofErr w:type="gramEnd"/>
            <w:r w:rsidRPr="005762E6">
              <w:rPr>
                <w:sz w:val="20"/>
                <w:szCs w:val="20"/>
              </w:rPr>
              <w:t xml:space="preserve"> many participants (42%) exhaled CO of &lt; or =10 ppm,​ the traditional cutoff for smoking,​ whereas few (3.1%) had COT below the cutoff of &lt; or =14 ng/mL; thus,​ COT seems to be a better biomarker of smoking status in this population. CPD was weakly correlated with CO and COT (r = 0.32-0.</w:t>
            </w:r>
            <w:proofErr w:type="gramStart"/>
            <w:r w:rsidRPr="005762E6">
              <w:rPr>
                <w:sz w:val="20"/>
                <w:szCs w:val="20"/>
              </w:rPr>
              <w:t>39,​</w:t>
            </w:r>
            <w:proofErr w:type="gramEnd"/>
            <w:r w:rsidRPr="005762E6">
              <w:rPr>
                <w:sz w:val="20"/>
                <w:szCs w:val="20"/>
              </w:rPr>
              <w:t xml:space="preserve"> P &lt; 0.001),​ and those reporting fewer CPD had higher CO/cigarette and COT/cigarette,​ although the correlations coefficients between these variables were also weak (r = -0.33 and -0.08,​ P &lt; 0.05). The correlation between CPD and CO was not greatly increased when analyzed by CYP2A6 </w:t>
            </w:r>
            <w:proofErr w:type="gramStart"/>
            <w:r w:rsidRPr="005762E6">
              <w:rPr>
                <w:sz w:val="20"/>
                <w:szCs w:val="20"/>
              </w:rPr>
              <w:t>activity,​</w:t>
            </w:r>
            <w:proofErr w:type="gramEnd"/>
            <w:r w:rsidRPr="005762E6">
              <w:rPr>
                <w:sz w:val="20"/>
                <w:szCs w:val="20"/>
              </w:rPr>
              <w:t xml:space="preserve"> smoking mentholated cigarettes,​ or age,​ although it appeared stronger in females (r = 0.38 versus 0.21,​ P &lt; 0.05) and obese individuals (r = 0.38 versus 0.24,​ P &lt; 0.05). </w:t>
            </w:r>
            <w:proofErr w:type="gramStart"/>
            <w:r w:rsidRPr="005762E6">
              <w:rPr>
                <w:sz w:val="20"/>
                <w:szCs w:val="20"/>
              </w:rPr>
              <w:t>Together,​</w:t>
            </w:r>
            <w:proofErr w:type="gramEnd"/>
            <w:r w:rsidRPr="005762E6">
              <w:rPr>
                <w:sz w:val="20"/>
                <w:szCs w:val="20"/>
              </w:rPr>
              <w:t xml:space="preserve"> these results suggest that CO and COT are weakly associated with self-reported cigarette consumption in African-American light smokers,​ and that these relationships are not substantially improved when variables previously reported to influence these biomarkers are considered.</w:t>
            </w:r>
          </w:p>
        </w:tc>
      </w:tr>
      <w:tr w:rsidR="00B44564" w:rsidRPr="005762E6" w14:paraId="65B10448"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BE4A693" w14:textId="77777777" w:rsidR="00B44564" w:rsidRPr="005762E6" w:rsidRDefault="00B44564" w:rsidP="00EA69AA">
            <w:pPr>
              <w:spacing w:after="120" w:line="240" w:lineRule="auto"/>
              <w:contextualSpacing/>
              <w:rPr>
                <w:sz w:val="20"/>
                <w:szCs w:val="20"/>
              </w:rPr>
            </w:pPr>
            <w:r w:rsidRPr="005762E6">
              <w:rPr>
                <w:sz w:val="20"/>
                <w:szCs w:val="20"/>
              </w:rPr>
              <w:t>419</w:t>
            </w:r>
          </w:p>
        </w:tc>
        <w:tc>
          <w:tcPr>
            <w:tcW w:w="0" w:type="auto"/>
            <w:tcBorders>
              <w:top w:val="single" w:sz="6" w:space="0" w:color="auto"/>
              <w:left w:val="single" w:sz="6" w:space="0" w:color="auto"/>
              <w:bottom w:val="single" w:sz="6" w:space="0" w:color="auto"/>
              <w:right w:val="single" w:sz="6" w:space="0" w:color="auto"/>
            </w:tcBorders>
          </w:tcPr>
          <w:p w14:paraId="5DD707AE"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D4E737B" w14:textId="5D75F978" w:rsidR="00B44564" w:rsidRPr="005762E6" w:rsidRDefault="00B44564" w:rsidP="00EA69AA">
            <w:pPr>
              <w:spacing w:after="120" w:line="240" w:lineRule="auto"/>
              <w:contextualSpacing/>
              <w:rPr>
                <w:sz w:val="20"/>
                <w:szCs w:val="20"/>
              </w:rPr>
            </w:pPr>
            <w:r w:rsidRPr="005762E6">
              <w:rPr>
                <w:sz w:val="20"/>
                <w:szCs w:val="20"/>
              </w:rPr>
              <w:t xml:space="preserve">Jill C </w:t>
            </w:r>
            <w:proofErr w:type="gramStart"/>
            <w:r w:rsidRPr="005762E6">
              <w:rPr>
                <w:sz w:val="20"/>
                <w:szCs w:val="20"/>
              </w:rPr>
              <w:t>Mwenifumbo,​</w:t>
            </w:r>
            <w:proofErr w:type="gramEnd"/>
            <w:r w:rsidRPr="005762E6">
              <w:rPr>
                <w:sz w:val="20"/>
                <w:szCs w:val="20"/>
              </w:rPr>
              <w:t xml:space="preserve"> Edward M Sellers,​ Rachel F Tyndale Socioeconomic and drug use determinants of smoking status in an urban adult population of Black African descent</w:t>
            </w:r>
            <w:r w:rsidR="007F2F01">
              <w:rPr>
                <w:sz w:val="20"/>
                <w:szCs w:val="20"/>
              </w:rPr>
              <w:t>.</w:t>
            </w:r>
            <w:r w:rsidRPr="005762E6">
              <w:rPr>
                <w:sz w:val="20"/>
                <w:szCs w:val="20"/>
              </w:rPr>
              <w:t xml:space="preserve"> Nicotine &amp; tobacco research : official journal of the Society for Research on Nicotine and Tobacco; 2008;10:1319.</w:t>
            </w:r>
            <w:r w:rsidRPr="005762E6">
              <w:rPr>
                <w:sz w:val="20"/>
                <w:szCs w:val="20"/>
              </w:rPr>
              <w:br/>
            </w:r>
            <w:r w:rsidRPr="005762E6">
              <w:rPr>
                <w:sz w:val="20"/>
                <w:szCs w:val="20"/>
              </w:rPr>
              <w:br/>
            </w:r>
            <w:r w:rsidRPr="005762E6">
              <w:rPr>
                <w:b/>
                <w:bCs/>
                <w:sz w:val="20"/>
                <w:szCs w:val="20"/>
              </w:rPr>
              <w:t>Keywords:</w:t>
            </w:r>
            <w:r w:rsidRPr="005762E6">
              <w:rPr>
                <w:sz w:val="20"/>
                <w:szCs w:val="20"/>
              </w:rPr>
              <w:br/>
              <w:t>Adult,​African Americans/px [Psychology],​*African Americans/sn [Statistics &amp; Numerical Data],​*Alcohol-Related Disorders/eh [Ethnology],​Alcohol-Related Disorders/px [Psychology],​*Attitude to Health/eh [Ethnology],​Comorbidity,​Educational Status,​Female,​Humans,​Life Style,​Male,​*Marijuana Abuse/eh [Ethnology],​Marijuana Abuse/px [Psychology],​Middle Aged,​Ontario/ep [Epidemiology],​Risk Factors,​*Smoking/eh [Ethnology],​Smoking/px [Psychology],​Smoking Cessation/sn [Statistics &amp; Numerical Data],​Socioeconomic Factors,​Surveys and Questionnaires,​*Urban Population/sn [Statistics &amp; Numerical Data]</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We examined the influence of socioeconomics and drug use on current smokers (N = 137) and </w:t>
            </w:r>
            <w:r w:rsidRPr="005762E6">
              <w:rPr>
                <w:sz w:val="20"/>
                <w:szCs w:val="20"/>
              </w:rPr>
              <w:lastRenderedPageBreak/>
              <w:t xml:space="preserve">nonsmokers (N = 143) from an urban adult population of Black African descent. Median participant age was 33 years (range = 20-59). Smokers consumed a median of eight cigarettes/day (range = 0-35). </w:t>
            </w:r>
            <w:proofErr w:type="gramStart"/>
            <w:r w:rsidRPr="005762E6">
              <w:rPr>
                <w:sz w:val="20"/>
                <w:szCs w:val="20"/>
              </w:rPr>
              <w:t>Interestingly,​</w:t>
            </w:r>
            <w:proofErr w:type="gramEnd"/>
            <w:r w:rsidRPr="005762E6">
              <w:rPr>
                <w:sz w:val="20"/>
                <w:szCs w:val="20"/>
              </w:rPr>
              <w:t xml:space="preserve"> 86% smoked fewer than 15 cigarettes/day and only 8% smoked menthol cigarettes. Socioeconomic and drug use variables significantly associated with smoking status in univariate analyses were included in a multiple logistic regression model that controlled for gender and age. Compared with </w:t>
            </w:r>
            <w:proofErr w:type="gramStart"/>
            <w:r w:rsidRPr="005762E6">
              <w:rPr>
                <w:sz w:val="20"/>
                <w:szCs w:val="20"/>
              </w:rPr>
              <w:t>nonsmokers,​</w:t>
            </w:r>
            <w:proofErr w:type="gramEnd"/>
            <w:r w:rsidRPr="005762E6">
              <w:rPr>
                <w:sz w:val="20"/>
                <w:szCs w:val="20"/>
              </w:rPr>
              <w:t xml:space="preserve"> smokers were less likely to be university educated,​ more likely to be divorced,​ separated,​ or widowed,​ more likely to be current alcohol users,​ and more likely to be current marijuana users. </w:t>
            </w:r>
            <w:proofErr w:type="gramStart"/>
            <w:r w:rsidRPr="005762E6">
              <w:rPr>
                <w:sz w:val="20"/>
                <w:szCs w:val="20"/>
              </w:rPr>
              <w:t>Unexpectedly,​</w:t>
            </w:r>
            <w:proofErr w:type="gramEnd"/>
            <w:r w:rsidRPr="005762E6">
              <w:rPr>
                <w:sz w:val="20"/>
                <w:szCs w:val="20"/>
              </w:rPr>
              <w:t xml:space="preserve"> household income and employment status were not associated with smoking status. Among current alcohol </w:t>
            </w:r>
            <w:proofErr w:type="gramStart"/>
            <w:r w:rsidRPr="005762E6">
              <w:rPr>
                <w:sz w:val="20"/>
                <w:szCs w:val="20"/>
              </w:rPr>
              <w:t>users,​</w:t>
            </w:r>
            <w:proofErr w:type="gramEnd"/>
            <w:r w:rsidRPr="005762E6">
              <w:rPr>
                <w:sz w:val="20"/>
                <w:szCs w:val="20"/>
              </w:rPr>
              <w:t xml:space="preserve"> smokers consumed three times the number of drinks per month that nonsmokers consumed (p&lt;.001). Among current marijuana </w:t>
            </w:r>
            <w:proofErr w:type="gramStart"/>
            <w:r w:rsidRPr="005762E6">
              <w:rPr>
                <w:sz w:val="20"/>
                <w:szCs w:val="20"/>
              </w:rPr>
              <w:t>users,​</w:t>
            </w:r>
            <w:proofErr w:type="gramEnd"/>
            <w:r w:rsidRPr="005762E6">
              <w:rPr>
                <w:sz w:val="20"/>
                <w:szCs w:val="20"/>
              </w:rPr>
              <w:t xml:space="preserve"> smokers consumed more than five times the number of joints per month that nonsmokers consumed (p&lt;.001). </w:t>
            </w:r>
            <w:proofErr w:type="gramStart"/>
            <w:r w:rsidRPr="005762E6">
              <w:rPr>
                <w:sz w:val="20"/>
                <w:szCs w:val="20"/>
              </w:rPr>
              <w:t>Overall,​</w:t>
            </w:r>
            <w:proofErr w:type="gramEnd"/>
            <w:r w:rsidRPr="005762E6">
              <w:rPr>
                <w:sz w:val="20"/>
                <w:szCs w:val="20"/>
              </w:rPr>
              <w:t xml:space="preserve"> lower education levels,​ divorce,​ and alcohol and marijuana use were significantly associated with increased likelihood of smoking among this population.</w:t>
            </w:r>
          </w:p>
        </w:tc>
      </w:tr>
      <w:tr w:rsidR="00B44564" w:rsidRPr="005762E6" w14:paraId="44A2B3E6"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2FE2CC0" w14:textId="77777777" w:rsidR="00B44564" w:rsidRPr="005762E6" w:rsidRDefault="00B44564" w:rsidP="00EA69AA">
            <w:pPr>
              <w:spacing w:after="120" w:line="240" w:lineRule="auto"/>
              <w:contextualSpacing/>
              <w:rPr>
                <w:sz w:val="20"/>
                <w:szCs w:val="20"/>
              </w:rPr>
            </w:pPr>
            <w:r w:rsidRPr="005762E6">
              <w:rPr>
                <w:sz w:val="20"/>
                <w:szCs w:val="20"/>
              </w:rPr>
              <w:lastRenderedPageBreak/>
              <w:t>421</w:t>
            </w:r>
          </w:p>
        </w:tc>
        <w:tc>
          <w:tcPr>
            <w:tcW w:w="0" w:type="auto"/>
            <w:tcBorders>
              <w:top w:val="single" w:sz="6" w:space="0" w:color="auto"/>
              <w:left w:val="single" w:sz="6" w:space="0" w:color="auto"/>
              <w:bottom w:val="single" w:sz="6" w:space="0" w:color="auto"/>
              <w:right w:val="single" w:sz="6" w:space="0" w:color="auto"/>
            </w:tcBorders>
          </w:tcPr>
          <w:p w14:paraId="7C079F7B"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B7E3ACD" w14:textId="11F04903" w:rsidR="00B44564" w:rsidRPr="005762E6" w:rsidRDefault="00B44564" w:rsidP="00EA69AA">
            <w:pPr>
              <w:spacing w:after="120" w:line="240" w:lineRule="auto"/>
              <w:contextualSpacing/>
              <w:rPr>
                <w:sz w:val="20"/>
                <w:szCs w:val="20"/>
              </w:rPr>
            </w:pPr>
            <w:r w:rsidRPr="005762E6">
              <w:rPr>
                <w:sz w:val="20"/>
                <w:szCs w:val="20"/>
              </w:rPr>
              <w:t xml:space="preserve">Wenlin </w:t>
            </w:r>
            <w:proofErr w:type="gramStart"/>
            <w:r w:rsidRPr="005762E6">
              <w:rPr>
                <w:sz w:val="20"/>
                <w:szCs w:val="20"/>
              </w:rPr>
              <w:t>Huang,​</w:t>
            </w:r>
            <w:proofErr w:type="gramEnd"/>
            <w:r w:rsidRPr="005762E6">
              <w:rPr>
                <w:sz w:val="20"/>
                <w:szCs w:val="20"/>
              </w:rPr>
              <w:t xml:space="preserve"> Benjamin C Blount,​ Clifford H Watson,​ Christina Watson,​ David M Chambers Quantitative analysis of menthol in human urine using solid phase microextraction and stable isotope dilution gas chromatography-mass spectrometry</w:t>
            </w:r>
            <w:r w:rsidR="007F2F01">
              <w:rPr>
                <w:sz w:val="20"/>
                <w:szCs w:val="20"/>
              </w:rPr>
              <w:t>.</w:t>
            </w:r>
            <w:r w:rsidRPr="005762E6">
              <w:rPr>
                <w:sz w:val="20"/>
                <w:szCs w:val="20"/>
              </w:rPr>
              <w:t xml:space="preserve"> Journal of chromatography. B,​ Analytical technologies in the biomedical and life sciences; 2017;1044-1045:200.</w:t>
            </w:r>
            <w:r w:rsidRPr="005762E6">
              <w:rPr>
                <w:sz w:val="20"/>
                <w:szCs w:val="20"/>
              </w:rPr>
              <w:br/>
            </w:r>
            <w:r w:rsidRPr="005762E6">
              <w:rPr>
                <w:sz w:val="20"/>
                <w:szCs w:val="20"/>
              </w:rPr>
              <w:br/>
            </w:r>
            <w:r w:rsidRPr="005762E6">
              <w:rPr>
                <w:b/>
                <w:bCs/>
                <w:sz w:val="20"/>
                <w:szCs w:val="20"/>
              </w:rPr>
              <w:t>Keywords:</w:t>
            </w:r>
            <w:r w:rsidRPr="005762E6">
              <w:rPr>
                <w:sz w:val="20"/>
                <w:szCs w:val="20"/>
              </w:rPr>
              <w:br/>
              <w:t>*Gas Chromatography-Mass Spectrometry/mt [Methods],​Humans,​Limit of Detection,​Linear Models,​*Menthol/ur [Urine],​Reproducibility of Results,​Smoking,​*Solid Phase Microextraction/mt [Methods]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To accurately measure menthol levels in human urine,​ we developed a method using gas chromatography/electron ionization mass spectrometry with menthol-d4 stable isotope internal standardization. We used solid phase microextraction (SPME) headspace sampling for </w:t>
            </w:r>
            <w:proofErr w:type="gramStart"/>
            <w:r w:rsidRPr="005762E6">
              <w:rPr>
                <w:sz w:val="20"/>
                <w:szCs w:val="20"/>
              </w:rPr>
              <w:t>collection,​</w:t>
            </w:r>
            <w:proofErr w:type="gramEnd"/>
            <w:r w:rsidRPr="005762E6">
              <w:rPr>
                <w:sz w:val="20"/>
                <w:szCs w:val="20"/>
              </w:rPr>
              <w:t xml:space="preserve"> preconcentration and automation. Conjugated forms of menthol were released using beta-glucuronidase/sulfatase to allow for measuring total menthol. </w:t>
            </w:r>
            <w:proofErr w:type="gramStart"/>
            <w:r w:rsidRPr="005762E6">
              <w:rPr>
                <w:sz w:val="20"/>
                <w:szCs w:val="20"/>
              </w:rPr>
              <w:t>Additionally,​</w:t>
            </w:r>
            <w:proofErr w:type="gramEnd"/>
            <w:r w:rsidRPr="005762E6">
              <w:rPr>
                <w:sz w:val="20"/>
                <w:szCs w:val="20"/>
              </w:rPr>
              <w:t xml:space="preserve"> we processed the specimens without using beta-glucuronidase/sulfatase to quantify the levels of unconjugated (free) menthol in urine. This method was developed to verify mentholated cigarette smoking status to study the influence of menthol on smoking behaviour and exposure. This objective was accomplished with this </w:t>
            </w:r>
            <w:proofErr w:type="gramStart"/>
            <w:r w:rsidRPr="005762E6">
              <w:rPr>
                <w:sz w:val="20"/>
                <w:szCs w:val="20"/>
              </w:rPr>
              <w:t>method,​</w:t>
            </w:r>
            <w:proofErr w:type="gramEnd"/>
            <w:r w:rsidRPr="005762E6">
              <w:rPr>
                <w:sz w:val="20"/>
                <w:szCs w:val="20"/>
              </w:rPr>
              <w:t xml:space="preserve"> which has no carryover or memory from the SPME fiber assembly,​ a method detection limit of 0.0017mug/mL,​ a broad linear range of 0.002-0.5mug/mL for free menthol and 0.01-10mug/mL for total menthol,​ a 7.6% precision and 88.5% accuracy,​ and an analysis runtime of 17min. We applied this method in analysis of urine specimens collected from cigarette smokers who smoke either mentholated or non-mentholated cigarettes. Among these </w:t>
            </w:r>
            <w:proofErr w:type="gramStart"/>
            <w:r w:rsidRPr="005762E6">
              <w:rPr>
                <w:sz w:val="20"/>
                <w:szCs w:val="20"/>
              </w:rPr>
              <w:t>smokers,​</w:t>
            </w:r>
            <w:proofErr w:type="gramEnd"/>
            <w:r w:rsidRPr="005762E6">
              <w:rPr>
                <w:sz w:val="20"/>
                <w:szCs w:val="20"/>
              </w:rPr>
              <w:t xml:space="preserve"> the average total urinary menthol levels was three-fold higher (p&lt;0.001) among mentholated cigarette smokers compared with non-mentholated cigarette smokers. Copyright Published by Elsevier B.V.</w:t>
            </w:r>
          </w:p>
        </w:tc>
      </w:tr>
      <w:tr w:rsidR="00B44564" w:rsidRPr="005762E6" w14:paraId="2DE7A0C3"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0DC47D6" w14:textId="77777777" w:rsidR="00B44564" w:rsidRPr="005762E6" w:rsidRDefault="00B44564" w:rsidP="00EA69AA">
            <w:pPr>
              <w:spacing w:after="120" w:line="240" w:lineRule="auto"/>
              <w:contextualSpacing/>
              <w:rPr>
                <w:sz w:val="20"/>
                <w:szCs w:val="20"/>
              </w:rPr>
            </w:pPr>
            <w:r w:rsidRPr="005762E6">
              <w:rPr>
                <w:sz w:val="20"/>
                <w:szCs w:val="20"/>
              </w:rPr>
              <w:t>425</w:t>
            </w:r>
          </w:p>
        </w:tc>
        <w:tc>
          <w:tcPr>
            <w:tcW w:w="0" w:type="auto"/>
            <w:tcBorders>
              <w:top w:val="single" w:sz="6" w:space="0" w:color="auto"/>
              <w:left w:val="single" w:sz="6" w:space="0" w:color="auto"/>
              <w:bottom w:val="single" w:sz="6" w:space="0" w:color="auto"/>
              <w:right w:val="single" w:sz="6" w:space="0" w:color="auto"/>
            </w:tcBorders>
          </w:tcPr>
          <w:p w14:paraId="0DBCA8F3"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9AA1B57" w14:textId="4A2DB874" w:rsidR="00B44564" w:rsidRPr="005762E6" w:rsidRDefault="00B44564" w:rsidP="00EA69AA">
            <w:pPr>
              <w:spacing w:after="120" w:line="240" w:lineRule="auto"/>
              <w:contextualSpacing/>
              <w:rPr>
                <w:sz w:val="20"/>
                <w:szCs w:val="20"/>
              </w:rPr>
            </w:pPr>
            <w:r w:rsidRPr="005762E6">
              <w:rPr>
                <w:sz w:val="20"/>
                <w:szCs w:val="20"/>
              </w:rPr>
              <w:t xml:space="preserve">Amanda </w:t>
            </w:r>
            <w:proofErr w:type="gramStart"/>
            <w:r w:rsidRPr="005762E6">
              <w:rPr>
                <w:sz w:val="20"/>
                <w:szCs w:val="20"/>
              </w:rPr>
              <w:t>Fallin,​</w:t>
            </w:r>
            <w:proofErr w:type="gramEnd"/>
            <w:r w:rsidRPr="005762E6">
              <w:rPr>
                <w:sz w:val="20"/>
                <w:szCs w:val="20"/>
              </w:rPr>
              <w:t xml:space="preserve"> Amie J Goodin,​ Brian A King Menthol cigarette smoking among lesbian,​ gay,​ bisexual,​ and transgender adults</w:t>
            </w:r>
            <w:r w:rsidR="007F2F01">
              <w:rPr>
                <w:sz w:val="20"/>
                <w:szCs w:val="20"/>
              </w:rPr>
              <w:t>.</w:t>
            </w:r>
            <w:r w:rsidRPr="005762E6">
              <w:rPr>
                <w:sz w:val="20"/>
                <w:szCs w:val="20"/>
              </w:rPr>
              <w:t xml:space="preserve"> American journal of preventive medicine; 2015;48:93.</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Adolescent,​Adult,​Bisexuality,​Data Collection,​Drug Synergism,​Female,​Homosexuality,​ Female,​Homosexuality,​ Male,​Humans,​Interviews as Topic,​Male,​*Marketing/mt [Methods],​*Menthol,​Middle Aged,​*Nicotine,​*Sexual Behavior/sn [Statistics &amp; Numerical Data],​Smoking/ep [Epidemiology],​*Smoking/td [Trends],​Tobacco Products/cl [Classification],​*Tobacco Products/sn [Statistics &amp; Numerical Data],​Transgender Persons,​United States,​Young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Menthol can mask the harshness and taste of tobacco,​ making menthol cigarettes easier to use and increasing their appeal among vulnerable populations. The tobacco industry has targeted </w:t>
            </w:r>
            <w:proofErr w:type="gramStart"/>
            <w:r w:rsidRPr="005762E6">
              <w:rPr>
                <w:sz w:val="20"/>
                <w:szCs w:val="20"/>
              </w:rPr>
              <w:t>youth,​</w:t>
            </w:r>
            <w:proofErr w:type="gramEnd"/>
            <w:r w:rsidRPr="005762E6">
              <w:rPr>
                <w:sz w:val="20"/>
                <w:szCs w:val="20"/>
              </w:rPr>
              <w:t xml:space="preserve"> women,​ and racial minorities with menthol cigarettes,​ and these groups smoke menthol cigarettes at higher rates. The tobacco industry has also targeted the lesbian,​ gay,​ bisexual,​ and transgender (LGBT) communities with tobacco product marketing.,​ PURPOSE: To assess current menthol cigarette smoking by sexual orientation among a nationally representative sample of U.S. adults.,​ METHODS: Data were obtained from the 2009-2010 National Adult Tobacco Survey,​ a national landline and cellular telephone survey of non-</w:t>
            </w:r>
            <w:r w:rsidRPr="005762E6">
              <w:rPr>
                <w:sz w:val="20"/>
                <w:szCs w:val="20"/>
              </w:rPr>
              <w:lastRenderedPageBreak/>
              <w:t xml:space="preserve">institutionalized U.S. adults aged &gt;=18 years,​ to compare current menthol cigarette smoking between LGBT (n=2,​431) and heterosexual/straight (n=110,​841) adults. Data were analyzed during January-April 2014 using descriptive statistics and logistic regression adjusted for </w:t>
            </w:r>
            <w:proofErr w:type="gramStart"/>
            <w:r w:rsidRPr="005762E6">
              <w:rPr>
                <w:sz w:val="20"/>
                <w:szCs w:val="20"/>
              </w:rPr>
              <w:t>sex,​</w:t>
            </w:r>
            <w:proofErr w:type="gramEnd"/>
            <w:r w:rsidRPr="005762E6">
              <w:rPr>
                <w:sz w:val="20"/>
                <w:szCs w:val="20"/>
              </w:rPr>
              <w:t xml:space="preserve"> age,​ race,​ and educational attainment.,​ RESULTS: Among all current cigarette smokers,​ 29.6% reported usually smoking menthol cigarettes in the past 30 days. Menthol use was significantly higher among LGBT </w:t>
            </w:r>
            <w:proofErr w:type="gramStart"/>
            <w:r w:rsidRPr="005762E6">
              <w:rPr>
                <w:sz w:val="20"/>
                <w:szCs w:val="20"/>
              </w:rPr>
              <w:t>smokers,​</w:t>
            </w:r>
            <w:proofErr w:type="gramEnd"/>
            <w:r w:rsidRPr="005762E6">
              <w:rPr>
                <w:sz w:val="20"/>
                <w:szCs w:val="20"/>
              </w:rPr>
              <w:t xml:space="preserve"> with 36.3% reporting that the cigarettes they usually smoked were menthol compared to 29.3% of heterosexual/straight smokers (p&lt;0.05); this difference was particularly prominent among LGBT females (42.9%) compared to heterosexual/straight women (32.4%) (p&lt;0.05). Following </w:t>
            </w:r>
            <w:proofErr w:type="gramStart"/>
            <w:r w:rsidRPr="005762E6">
              <w:rPr>
                <w:sz w:val="20"/>
                <w:szCs w:val="20"/>
              </w:rPr>
              <w:t>adjustment,​</w:t>
            </w:r>
            <w:proofErr w:type="gramEnd"/>
            <w:r w:rsidRPr="005762E6">
              <w:rPr>
                <w:sz w:val="20"/>
                <w:szCs w:val="20"/>
              </w:rPr>
              <w:t xml:space="preserve"> LGBT smokers had greater odds of usually smoking menthol cigarettes than heterosexual/straight smokers (OR=1.31,​ 95% CI=1.09,​ 1.57).,​ CONCLUSIONS: These findings suggest that efforts to reduce menthol cigarette use may have the potential to reduce tobacco use and tobacco-related disease and death among LGBT adults. Copyright © 2015 American Journal of Preventive Medicine. All rights reserved.</w:t>
            </w:r>
          </w:p>
        </w:tc>
      </w:tr>
      <w:tr w:rsidR="00B44564" w:rsidRPr="005762E6" w14:paraId="6E4250AF"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A0F2F9C" w14:textId="77777777" w:rsidR="00B44564" w:rsidRPr="005762E6" w:rsidRDefault="00B44564" w:rsidP="00EA69AA">
            <w:pPr>
              <w:spacing w:after="120" w:line="240" w:lineRule="auto"/>
              <w:contextualSpacing/>
              <w:rPr>
                <w:sz w:val="20"/>
                <w:szCs w:val="20"/>
              </w:rPr>
            </w:pPr>
            <w:r w:rsidRPr="005762E6">
              <w:rPr>
                <w:sz w:val="20"/>
                <w:szCs w:val="20"/>
              </w:rPr>
              <w:lastRenderedPageBreak/>
              <w:t>428</w:t>
            </w:r>
          </w:p>
        </w:tc>
        <w:tc>
          <w:tcPr>
            <w:tcW w:w="0" w:type="auto"/>
            <w:tcBorders>
              <w:top w:val="single" w:sz="6" w:space="0" w:color="auto"/>
              <w:left w:val="single" w:sz="6" w:space="0" w:color="auto"/>
              <w:bottom w:val="single" w:sz="6" w:space="0" w:color="auto"/>
              <w:right w:val="single" w:sz="6" w:space="0" w:color="auto"/>
            </w:tcBorders>
          </w:tcPr>
          <w:p w14:paraId="23A23430"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0B8D7FA" w14:textId="570A151A" w:rsidR="00B44564" w:rsidRPr="005762E6" w:rsidRDefault="00B44564" w:rsidP="00EA69AA">
            <w:pPr>
              <w:spacing w:after="120" w:line="240" w:lineRule="auto"/>
              <w:contextualSpacing/>
              <w:rPr>
                <w:sz w:val="20"/>
                <w:szCs w:val="20"/>
              </w:rPr>
            </w:pPr>
            <w:r w:rsidRPr="005762E6">
              <w:rPr>
                <w:sz w:val="20"/>
                <w:szCs w:val="20"/>
              </w:rPr>
              <w:t xml:space="preserve">Cheyenne E </w:t>
            </w:r>
            <w:proofErr w:type="gramStart"/>
            <w:r w:rsidRPr="005762E6">
              <w:rPr>
                <w:sz w:val="20"/>
                <w:szCs w:val="20"/>
              </w:rPr>
              <w:t>Allenby,​</w:t>
            </w:r>
            <w:proofErr w:type="gramEnd"/>
            <w:r w:rsidRPr="005762E6">
              <w:rPr>
                <w:sz w:val="20"/>
                <w:szCs w:val="20"/>
              </w:rPr>
              <w:t xml:space="preserve"> Kelly A Boylan,​ Caryn Lerman,​ Mary Falcone Precision Medicine for Tobacco Dependence: Development and Validation of the Nicotine Metabolite Ratio</w:t>
            </w:r>
            <w:r w:rsidR="007F2F01">
              <w:rPr>
                <w:sz w:val="20"/>
                <w:szCs w:val="20"/>
              </w:rPr>
              <w:t>.</w:t>
            </w:r>
            <w:r w:rsidRPr="005762E6">
              <w:rPr>
                <w:sz w:val="20"/>
                <w:szCs w:val="20"/>
              </w:rPr>
              <w:t xml:space="preserve"> Journal of neuroimmune pharmacology : the official journal of the Society on NeuroImmune Pharmacology; 2016;11:471.</w:t>
            </w:r>
            <w:r w:rsidRPr="005762E6">
              <w:rPr>
                <w:sz w:val="20"/>
                <w:szCs w:val="20"/>
              </w:rPr>
              <w:br/>
            </w:r>
            <w:r w:rsidRPr="005762E6">
              <w:rPr>
                <w:sz w:val="20"/>
                <w:szCs w:val="20"/>
              </w:rPr>
              <w:br/>
            </w:r>
            <w:r w:rsidRPr="005762E6">
              <w:rPr>
                <w:b/>
                <w:bCs/>
                <w:sz w:val="20"/>
                <w:szCs w:val="20"/>
              </w:rPr>
              <w:t>Keywords:</w:t>
            </w:r>
            <w:r w:rsidRPr="005762E6">
              <w:rPr>
                <w:sz w:val="20"/>
                <w:szCs w:val="20"/>
              </w:rPr>
              <w:br/>
              <w:t>Humans,​*Nicotine/me [Metabolism],​*Precision Medicine/mt [Methods],​*Precision Medicine/st [Standards],​Precision Medicine/td [Trends],​Reproducibility of Results,​*Smoking Cessation/mt [Methods],​*Tobacco Use Disorder/me [Metabolism],​*Tobacco Use Disorder/th [Therapy]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Quitting smoking significantly reduces the risk of tobacco-related morbidity and mortality,​ yet there is a high rate of relapse amongst smokers who try to quit. Phenotypic biomarkers have the potential to improve smoking cessation outcomes by identifying the best available treatment for an individual smoker. In this </w:t>
            </w:r>
            <w:proofErr w:type="gramStart"/>
            <w:r w:rsidRPr="005762E6">
              <w:rPr>
                <w:sz w:val="20"/>
                <w:szCs w:val="20"/>
              </w:rPr>
              <w:t>review,​</w:t>
            </w:r>
            <w:proofErr w:type="gramEnd"/>
            <w:r w:rsidRPr="005762E6">
              <w:rPr>
                <w:sz w:val="20"/>
                <w:szCs w:val="20"/>
              </w:rPr>
              <w:t xml:space="preserve"> we introduce the nicotine metabolite ratio (NMR) as a reliable and stable phenotypic measure of nicotine metabolism that can guide smoking cessation treatment among smokers who wish to quit. We address how the NMR accounts for sources of variation in nicotine metabolism including genotype and other biological and environmental factors such as estrogen </w:t>
            </w:r>
            <w:proofErr w:type="gramStart"/>
            <w:r w:rsidRPr="005762E6">
              <w:rPr>
                <w:sz w:val="20"/>
                <w:szCs w:val="20"/>
              </w:rPr>
              <w:t>levels,​</w:t>
            </w:r>
            <w:proofErr w:type="gramEnd"/>
            <w:r w:rsidRPr="005762E6">
              <w:rPr>
                <w:sz w:val="20"/>
                <w:szCs w:val="20"/>
              </w:rPr>
              <w:t xml:space="preserve"> alcohol use,​ body mass index,​ or menthol exposure. </w:t>
            </w:r>
            <w:proofErr w:type="gramStart"/>
            <w:r w:rsidRPr="005762E6">
              <w:rPr>
                <w:sz w:val="20"/>
                <w:szCs w:val="20"/>
              </w:rPr>
              <w:t>Then,​</w:t>
            </w:r>
            <w:proofErr w:type="gramEnd"/>
            <w:r w:rsidRPr="005762E6">
              <w:rPr>
                <w:sz w:val="20"/>
                <w:szCs w:val="20"/>
              </w:rPr>
              <w:t xml:space="preserve"> we highlight clinical trials that validate the NMR as a biomarker to predict therapeutic response to different pharmacotherapies for smoking cessation. Current evidence supports the use of nicotine replacement therapy for slow </w:t>
            </w:r>
            <w:proofErr w:type="gramStart"/>
            <w:r w:rsidRPr="005762E6">
              <w:rPr>
                <w:sz w:val="20"/>
                <w:szCs w:val="20"/>
              </w:rPr>
              <w:t>metabolizers,​</w:t>
            </w:r>
            <w:proofErr w:type="gramEnd"/>
            <w:r w:rsidRPr="005762E6">
              <w:rPr>
                <w:sz w:val="20"/>
                <w:szCs w:val="20"/>
              </w:rPr>
              <w:t xml:space="preserve"> and non-nicotine treatments such as varenicline for normal metabolizers. </w:t>
            </w:r>
            <w:proofErr w:type="gramStart"/>
            <w:r w:rsidRPr="005762E6">
              <w:rPr>
                <w:sz w:val="20"/>
                <w:szCs w:val="20"/>
              </w:rPr>
              <w:t>Finally,​</w:t>
            </w:r>
            <w:proofErr w:type="gramEnd"/>
            <w:r w:rsidRPr="005762E6">
              <w:rPr>
                <w:sz w:val="20"/>
                <w:szCs w:val="20"/>
              </w:rPr>
              <w:t xml:space="preserve"> we discuss future research directions to elucidate mechanisms underlying NMR associations with treatment response,​ and facilitate the implementation of the NMR as biomarker in clinical practice to guide smoking cessation.</w:t>
            </w:r>
          </w:p>
        </w:tc>
      </w:tr>
      <w:tr w:rsidR="00B44564" w:rsidRPr="005762E6" w14:paraId="09DD3528"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11E32A1" w14:textId="77777777" w:rsidR="00B44564" w:rsidRPr="005762E6" w:rsidRDefault="00B44564" w:rsidP="00EA69AA">
            <w:pPr>
              <w:spacing w:after="120" w:line="240" w:lineRule="auto"/>
              <w:contextualSpacing/>
              <w:rPr>
                <w:sz w:val="20"/>
                <w:szCs w:val="20"/>
              </w:rPr>
            </w:pPr>
            <w:r w:rsidRPr="005762E6">
              <w:rPr>
                <w:sz w:val="20"/>
                <w:szCs w:val="20"/>
              </w:rPr>
              <w:t>429</w:t>
            </w:r>
          </w:p>
        </w:tc>
        <w:tc>
          <w:tcPr>
            <w:tcW w:w="0" w:type="auto"/>
            <w:tcBorders>
              <w:top w:val="single" w:sz="6" w:space="0" w:color="auto"/>
              <w:left w:val="single" w:sz="6" w:space="0" w:color="auto"/>
              <w:bottom w:val="single" w:sz="6" w:space="0" w:color="auto"/>
              <w:right w:val="single" w:sz="6" w:space="0" w:color="auto"/>
            </w:tcBorders>
          </w:tcPr>
          <w:p w14:paraId="7E88F113"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69554A5" w14:textId="38D873EB" w:rsidR="00B44564" w:rsidRPr="005762E6" w:rsidRDefault="00B44564" w:rsidP="00EA69AA">
            <w:pPr>
              <w:spacing w:after="120" w:line="240" w:lineRule="auto"/>
              <w:contextualSpacing/>
              <w:rPr>
                <w:sz w:val="20"/>
                <w:szCs w:val="20"/>
              </w:rPr>
            </w:pPr>
            <w:r w:rsidRPr="005762E6">
              <w:rPr>
                <w:sz w:val="20"/>
                <w:szCs w:val="20"/>
              </w:rPr>
              <w:t xml:space="preserve">Naoto </w:t>
            </w:r>
            <w:proofErr w:type="gramStart"/>
            <w:r w:rsidRPr="005762E6">
              <w:rPr>
                <w:sz w:val="20"/>
                <w:szCs w:val="20"/>
              </w:rPr>
              <w:t>Ogura,​</w:t>
            </w:r>
            <w:proofErr w:type="gramEnd"/>
            <w:r w:rsidRPr="005762E6">
              <w:rPr>
                <w:sz w:val="20"/>
                <w:szCs w:val="20"/>
              </w:rPr>
              <w:t xml:space="preserve"> Yuta Kono,​ Masako To,​ Shintaro Mikami,​ Seiko Soeda,​ Hiroko Hara,​ Yasuo To Menthol-Flavored Cigarettes: Potentially a Strong Trigger of Acute Eosinophilic Pneumonia</w:t>
            </w:r>
            <w:r w:rsidR="007F2F01">
              <w:rPr>
                <w:sz w:val="20"/>
                <w:szCs w:val="20"/>
              </w:rPr>
              <w:t>.</w:t>
            </w:r>
            <w:r w:rsidRPr="005762E6">
              <w:rPr>
                <w:sz w:val="20"/>
                <w:szCs w:val="20"/>
              </w:rPr>
              <w:t xml:space="preserve"> The American journal of medicine; 2017;</w:t>
            </w:r>
            <w:proofErr w:type="gramStart"/>
            <w:r w:rsidRPr="005762E6">
              <w:rPr>
                <w:sz w:val="20"/>
                <w:szCs w:val="20"/>
              </w:rPr>
              <w:t>130:e</w:t>
            </w:r>
            <w:proofErr w:type="gramEnd"/>
            <w:r w:rsidRPr="005762E6">
              <w:rPr>
                <w:sz w:val="20"/>
                <w:szCs w:val="20"/>
              </w:rPr>
              <w:t>63.</w:t>
            </w:r>
            <w:r w:rsidRPr="005762E6">
              <w:rPr>
                <w:sz w:val="20"/>
                <w:szCs w:val="20"/>
              </w:rPr>
              <w:br/>
            </w:r>
            <w:r w:rsidRPr="005762E6">
              <w:rPr>
                <w:sz w:val="20"/>
                <w:szCs w:val="20"/>
              </w:rPr>
              <w:br/>
            </w:r>
            <w:r w:rsidRPr="005762E6">
              <w:rPr>
                <w:b/>
                <w:bCs/>
                <w:sz w:val="20"/>
                <w:szCs w:val="20"/>
              </w:rPr>
              <w:t>Keywords:</w:t>
            </w:r>
            <w:r w:rsidRPr="005762E6">
              <w:rPr>
                <w:sz w:val="20"/>
                <w:szCs w:val="20"/>
              </w:rPr>
              <w:br/>
              <w:t>Acute Disease,​C-Reactive Protein/an [Analysis],​*Cigarette Smoking/ae [Adverse Effects],​Humans,​Leukocytosis/et [Etiology],​Male,​*Menthol/ae [Adverse Effects],​*Pulmonary Eosinophilia/ci [Chemically Induced],​Pulmonary Eosinophilia/di [Diagnosis],​Pulmonary Surfactant-Associated Protein D/bl [Blood],​Young Adult</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65AFF9A0"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64CF2A3" w14:textId="77777777" w:rsidR="00B44564" w:rsidRPr="005762E6" w:rsidRDefault="00B44564" w:rsidP="00EA69AA">
            <w:pPr>
              <w:spacing w:after="120" w:line="240" w:lineRule="auto"/>
              <w:contextualSpacing/>
              <w:rPr>
                <w:sz w:val="20"/>
                <w:szCs w:val="20"/>
              </w:rPr>
            </w:pPr>
            <w:r w:rsidRPr="005762E6">
              <w:rPr>
                <w:sz w:val="20"/>
                <w:szCs w:val="20"/>
              </w:rPr>
              <w:t>430</w:t>
            </w:r>
          </w:p>
        </w:tc>
        <w:tc>
          <w:tcPr>
            <w:tcW w:w="0" w:type="auto"/>
            <w:tcBorders>
              <w:top w:val="single" w:sz="6" w:space="0" w:color="auto"/>
              <w:left w:val="single" w:sz="6" w:space="0" w:color="auto"/>
              <w:bottom w:val="single" w:sz="6" w:space="0" w:color="auto"/>
              <w:right w:val="single" w:sz="6" w:space="0" w:color="auto"/>
            </w:tcBorders>
          </w:tcPr>
          <w:p w14:paraId="5105060B"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8C5C1FE" w14:textId="62E3C04E" w:rsidR="00B44564" w:rsidRPr="005762E6" w:rsidRDefault="00B44564" w:rsidP="00EA69AA">
            <w:pPr>
              <w:spacing w:after="120" w:line="240" w:lineRule="auto"/>
              <w:contextualSpacing/>
              <w:rPr>
                <w:sz w:val="20"/>
                <w:szCs w:val="20"/>
              </w:rPr>
            </w:pPr>
            <w:r w:rsidRPr="005762E6">
              <w:rPr>
                <w:sz w:val="20"/>
                <w:szCs w:val="20"/>
              </w:rPr>
              <w:t xml:space="preserve">Jessica </w:t>
            </w:r>
            <w:proofErr w:type="gramStart"/>
            <w:r w:rsidRPr="005762E6">
              <w:rPr>
                <w:sz w:val="20"/>
                <w:szCs w:val="20"/>
              </w:rPr>
              <w:t>Chopyk,​</w:t>
            </w:r>
            <w:proofErr w:type="gramEnd"/>
            <w:r w:rsidRPr="005762E6">
              <w:rPr>
                <w:sz w:val="20"/>
                <w:szCs w:val="20"/>
              </w:rPr>
              <w:t xml:space="preserve"> Suhana Chattopadhyay,​ Prachi Kulkarni,​ Emma Claye,​ Kelsey R Babik,​ Molly C Reid,​ Eoghan M Smyth,​ Lauren E Hittle,​ Joseph N Paulson,​ Raul Cruz-Cano,​ Mihai Pop,​ Stephanie S Buehler,​ Pamela I Clark,​ Amy R Sapkota,​ Emmanuel F Mongodin Mentholation affects the cigarette microbiota by selecting for bacteria resistant to harsh environmental conditions and selecting against potential bacterial pathogens</w:t>
            </w:r>
            <w:r w:rsidR="007F2F01">
              <w:rPr>
                <w:sz w:val="20"/>
                <w:szCs w:val="20"/>
              </w:rPr>
              <w:t>.</w:t>
            </w:r>
            <w:r w:rsidRPr="005762E6">
              <w:rPr>
                <w:sz w:val="20"/>
                <w:szCs w:val="20"/>
              </w:rPr>
              <w:t xml:space="preserve"> Microbiome; 2017;5:22.</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lastRenderedPageBreak/>
              <w:t>African Americans,​Bacteria/ge [Genetics],​*Bacteria/ip [Isolation &amp; Purification],​Bacteria/py [Pathogenicity],​DNA,​ Bacterial,​Humans,​*Menthol/an [Analysis],​Microbiota/ge [Genetics],​*Microbiota/ph [Physiology],​Polymerase Chain Reaction,​Pseudomonas/ge [Genetics],​Pseudomonas/ip [Isolation &amp; Purification],​RNA,​ Ribosomal,​ 16S,​*Smoking,​Tobacco/ch [Chemistry],​*Tobacco/mi [Microbiology],​Tobacco Products/an [Analysis],​*Tobacco Products/mi [Microbiology]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There is a paucity of data regarding the microbial constituents of tobacco products and their impacts on public health. </w:t>
            </w:r>
            <w:proofErr w:type="gramStart"/>
            <w:r w:rsidRPr="005762E6">
              <w:rPr>
                <w:sz w:val="20"/>
                <w:szCs w:val="20"/>
              </w:rPr>
              <w:t>Moreover,​</w:t>
            </w:r>
            <w:proofErr w:type="gramEnd"/>
            <w:r w:rsidRPr="005762E6">
              <w:rPr>
                <w:sz w:val="20"/>
                <w:szCs w:val="20"/>
              </w:rPr>
              <w:t xml:space="preserve"> there has been no comparative characterization performed on the bacterial microbiota associated with the addition of menthol,​ an additive that has been used by tobacco manufacturers for nearly a century. To address this knowledge </w:t>
            </w:r>
            <w:proofErr w:type="gramStart"/>
            <w:r w:rsidRPr="005762E6">
              <w:rPr>
                <w:sz w:val="20"/>
                <w:szCs w:val="20"/>
              </w:rPr>
              <w:t>gap,​</w:t>
            </w:r>
            <w:proofErr w:type="gramEnd"/>
            <w:r w:rsidRPr="005762E6">
              <w:rPr>
                <w:sz w:val="20"/>
                <w:szCs w:val="20"/>
              </w:rPr>
              <w:t xml:space="preserve"> we conducted bacterial community profiling on tobacco from user- and custom-mentholated/non-mentholated cigarette pairs,​ as well as a commercially-mentholated product. Total genomic DNA was extracted using a multi-step enzymatic and mechanical lysis protocol followed by PCR amplification of the V3-V4 hypervariable regions of the 16S rRNA gene from five cigarette products (18 cigarettes per product for a total of 90 samples): Camel </w:t>
            </w:r>
            <w:proofErr w:type="gramStart"/>
            <w:r w:rsidRPr="005762E6">
              <w:rPr>
                <w:sz w:val="20"/>
                <w:szCs w:val="20"/>
              </w:rPr>
              <w:t>Crush,​</w:t>
            </w:r>
            <w:proofErr w:type="gramEnd"/>
            <w:r w:rsidRPr="005762E6">
              <w:rPr>
                <w:sz w:val="20"/>
                <w:szCs w:val="20"/>
              </w:rPr>
              <w:t xml:space="preserve"> user-mentholated Camel Crush,​ Camel Kings,​ custom-mentholated Camel Kings,​ and Newport Menthols. Sequencing was performed on the Illumina MiSeq platform and sequences were processed using the Quantitative Insights Into Microbial Ecology (QIIME) software package</w:t>
            </w:r>
            <w:proofErr w:type="gramStart"/>
            <w:r w:rsidRPr="005762E6">
              <w:rPr>
                <w:sz w:val="20"/>
                <w:szCs w:val="20"/>
              </w:rPr>
              <w:t>.,​</w:t>
            </w:r>
            <w:proofErr w:type="gramEnd"/>
            <w:r w:rsidRPr="005762E6">
              <w:rPr>
                <w:sz w:val="20"/>
                <w:szCs w:val="20"/>
              </w:rPr>
              <w:t xml:space="preserve"> RESULTS: In all products,​ Pseudomonas was the most abundant genera and included Pseudomonas oryzihabitans and Pseudomonas putida,​ regardless of mentholation status. </w:t>
            </w:r>
            <w:proofErr w:type="gramStart"/>
            <w:r w:rsidRPr="005762E6">
              <w:rPr>
                <w:sz w:val="20"/>
                <w:szCs w:val="20"/>
              </w:rPr>
              <w:t>However,​</w:t>
            </w:r>
            <w:proofErr w:type="gramEnd"/>
            <w:r w:rsidRPr="005762E6">
              <w:rPr>
                <w:sz w:val="20"/>
                <w:szCs w:val="20"/>
              </w:rPr>
              <w:t xml:space="preserve"> further comparative analysis of the five products revealed significant differences in the bacterial compositions across products. Bacterial community richness was higher among non-mentholated products compared to those that were </w:t>
            </w:r>
            <w:proofErr w:type="gramStart"/>
            <w:r w:rsidRPr="005762E6">
              <w:rPr>
                <w:sz w:val="20"/>
                <w:szCs w:val="20"/>
              </w:rPr>
              <w:t>mentholated,​</w:t>
            </w:r>
            <w:proofErr w:type="gramEnd"/>
            <w:r w:rsidRPr="005762E6">
              <w:rPr>
                <w:sz w:val="20"/>
                <w:szCs w:val="20"/>
              </w:rPr>
              <w:t xml:space="preserve"> particularly those that were custom-mentholated. In </w:t>
            </w:r>
            <w:proofErr w:type="gramStart"/>
            <w:r w:rsidRPr="005762E6">
              <w:rPr>
                <w:sz w:val="20"/>
                <w:szCs w:val="20"/>
              </w:rPr>
              <w:t>addition,​</w:t>
            </w:r>
            <w:proofErr w:type="gramEnd"/>
            <w:r w:rsidRPr="005762E6">
              <w:rPr>
                <w:sz w:val="20"/>
                <w:szCs w:val="20"/>
              </w:rPr>
              <w:t xml:space="preserve"> mentholation appeared to be correlated with a reduction in potential human bacterial pathogens and an increase in bacterial species resistant to harsh environmental conditions.,​ CONCLUSIONS: Taken together,​ these data provide preliminary evidence that the mentholation of commercially available cigarettes can impact the bacterial community of these products.</w:t>
            </w:r>
          </w:p>
        </w:tc>
      </w:tr>
      <w:tr w:rsidR="00B44564" w:rsidRPr="005762E6" w14:paraId="78EF59F4"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B084C7D" w14:textId="77777777" w:rsidR="00B44564" w:rsidRPr="005762E6" w:rsidRDefault="00B44564" w:rsidP="00EA69AA">
            <w:pPr>
              <w:spacing w:after="120" w:line="240" w:lineRule="auto"/>
              <w:contextualSpacing/>
              <w:rPr>
                <w:sz w:val="20"/>
                <w:szCs w:val="20"/>
              </w:rPr>
            </w:pPr>
            <w:r w:rsidRPr="005762E6">
              <w:rPr>
                <w:sz w:val="20"/>
                <w:szCs w:val="20"/>
              </w:rPr>
              <w:lastRenderedPageBreak/>
              <w:t>432</w:t>
            </w:r>
          </w:p>
        </w:tc>
        <w:tc>
          <w:tcPr>
            <w:tcW w:w="0" w:type="auto"/>
            <w:tcBorders>
              <w:top w:val="single" w:sz="6" w:space="0" w:color="auto"/>
              <w:left w:val="single" w:sz="6" w:space="0" w:color="auto"/>
              <w:bottom w:val="single" w:sz="6" w:space="0" w:color="auto"/>
              <w:right w:val="single" w:sz="6" w:space="0" w:color="auto"/>
            </w:tcBorders>
          </w:tcPr>
          <w:p w14:paraId="786B1752"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F6AA2AB" w14:textId="56556A8B" w:rsidR="00B44564" w:rsidRPr="005762E6" w:rsidRDefault="00B44564" w:rsidP="00EA69AA">
            <w:pPr>
              <w:spacing w:after="120" w:line="240" w:lineRule="auto"/>
              <w:contextualSpacing/>
              <w:rPr>
                <w:sz w:val="20"/>
                <w:szCs w:val="20"/>
              </w:rPr>
            </w:pPr>
            <w:r w:rsidRPr="005762E6">
              <w:rPr>
                <w:sz w:val="20"/>
                <w:szCs w:val="20"/>
              </w:rPr>
              <w:t xml:space="preserve">Shelley D </w:t>
            </w:r>
            <w:proofErr w:type="gramStart"/>
            <w:r w:rsidRPr="005762E6">
              <w:rPr>
                <w:sz w:val="20"/>
                <w:szCs w:val="20"/>
              </w:rPr>
              <w:t>Golden,​</w:t>
            </w:r>
            <w:proofErr w:type="gramEnd"/>
            <w:r w:rsidRPr="005762E6">
              <w:rPr>
                <w:sz w:val="20"/>
                <w:szCs w:val="20"/>
              </w:rPr>
              <w:t xml:space="preserve"> Amanda Y Kong,​ Kurt M Ribisl Racial and Ethnic Differences in What Smokers Report Paying for Their Cigarettes</w:t>
            </w:r>
            <w:r w:rsidR="007F2F01">
              <w:rPr>
                <w:sz w:val="20"/>
                <w:szCs w:val="20"/>
              </w:rPr>
              <w:t>.</w:t>
            </w:r>
            <w:r w:rsidRPr="005762E6">
              <w:rPr>
                <w:sz w:val="20"/>
                <w:szCs w:val="20"/>
              </w:rPr>
              <w:t xml:space="preserve"> Nicotine &amp; tobacco research : official journal of the Society for Research on Nicotine and Tobacco; 2016;18:1649.</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Adolescent,​Adult,​Aged,​Commerce/ec [Economics],​*Consumer Behavior,​Ethnic Groups,​Female,​Humans,​Male,​Middle Aged,​Smoking/ec [Economics],​*Smoking/ep [Epidemiology],​Smoking/lj [Legislation &amp; Jurisprudence],​Socioeconomic Factors,​*Taxes/ec [Economics],​*Tobacco Products/ec [Economics],​United States/ep [Epidemiology],​Young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Smoking rates and tobacco-related health problems vary by race and ethnicity. We explore whether cigarette </w:t>
            </w:r>
            <w:proofErr w:type="gramStart"/>
            <w:r w:rsidRPr="005762E6">
              <w:rPr>
                <w:sz w:val="20"/>
                <w:szCs w:val="20"/>
              </w:rPr>
              <w:t>prices,​</w:t>
            </w:r>
            <w:proofErr w:type="gramEnd"/>
            <w:r w:rsidRPr="005762E6">
              <w:rPr>
                <w:sz w:val="20"/>
                <w:szCs w:val="20"/>
              </w:rPr>
              <w:t xml:space="preserve"> a determinant of tobacco use,​ differ across racial and ethnic groups,​ and whether consumer behaviors influence these differences.,​ METHODS: We used national Tobacco Use Supplement data from 23 299 adult smokers in the United States to calculate average reported cigarette pack prices for six racial and ethnic groups. Using multivariate regression </w:t>
            </w:r>
            <w:proofErr w:type="gramStart"/>
            <w:r w:rsidRPr="005762E6">
              <w:rPr>
                <w:sz w:val="20"/>
                <w:szCs w:val="20"/>
              </w:rPr>
              <w:t>models,​</w:t>
            </w:r>
            <w:proofErr w:type="gramEnd"/>
            <w:r w:rsidRPr="005762E6">
              <w:rPr>
                <w:sz w:val="20"/>
                <w:szCs w:val="20"/>
              </w:rPr>
              <w:t xml:space="preserve"> we analyzed the independent effect of race and ethnicity on price,​ and whether these effects changed once indicators of carton purchasing,​ menthol use,​ Indian reservation purchase,​ and state market prices were incorporated.,​ RESULTS: American Indians and whites pay similar amounts and report the lowest prices. </w:t>
            </w:r>
            <w:proofErr w:type="gramStart"/>
            <w:r w:rsidRPr="005762E6">
              <w:rPr>
                <w:sz w:val="20"/>
                <w:szCs w:val="20"/>
              </w:rPr>
              <w:t>Blacks,​</w:t>
            </w:r>
            <w:proofErr w:type="gramEnd"/>
            <w:r w:rsidRPr="005762E6">
              <w:rPr>
                <w:sz w:val="20"/>
                <w:szCs w:val="20"/>
              </w:rPr>
              <w:t xml:space="preserve"> Hispanics,​ and Asians reported paying .42,​ .68,​ and .89 more for a pack of cigarettes than whites. After accounting for differences in consumer </w:t>
            </w:r>
            <w:proofErr w:type="gramStart"/>
            <w:r w:rsidRPr="005762E6">
              <w:rPr>
                <w:sz w:val="20"/>
                <w:szCs w:val="20"/>
              </w:rPr>
              <w:t>behaviors,​</w:t>
            </w:r>
            <w:proofErr w:type="gramEnd"/>
            <w:r w:rsidRPr="005762E6">
              <w:rPr>
                <w:sz w:val="20"/>
                <w:szCs w:val="20"/>
              </w:rPr>
              <w:t xml:space="preserve"> these gaps shrunk to .27,​ .29,​ and .27,​ respectively,​ while American Indians paid .38 more than whites. Pack buying was associated with .99 higher per-pack prices than carton </w:t>
            </w:r>
            <w:proofErr w:type="gramStart"/>
            <w:r w:rsidRPr="005762E6">
              <w:rPr>
                <w:sz w:val="20"/>
                <w:szCs w:val="20"/>
              </w:rPr>
              <w:t>buying,​</w:t>
            </w:r>
            <w:proofErr w:type="gramEnd"/>
            <w:r w:rsidRPr="005762E6">
              <w:rPr>
                <w:sz w:val="20"/>
                <w:szCs w:val="20"/>
              </w:rPr>
              <w:t xml:space="preserve"> which was most common among whites. </w:t>
            </w:r>
            <w:proofErr w:type="gramStart"/>
            <w:r w:rsidRPr="005762E6">
              <w:rPr>
                <w:sz w:val="20"/>
                <w:szCs w:val="20"/>
              </w:rPr>
              <w:t>Additionally,​</w:t>
            </w:r>
            <w:proofErr w:type="gramEnd"/>
            <w:r w:rsidRPr="005762E6">
              <w:rPr>
                <w:sz w:val="20"/>
                <w:szCs w:val="20"/>
              </w:rPr>
              <w:t xml:space="preserve"> people who purchased off an Indian reservation reporting paying .54 more than those who purchased on reservation.,​ CONCLUSIONS: Average reported cigarette prices vary by race and ethnicity,​ in part due to differences in product use and purchase location. Tobacco price </w:t>
            </w:r>
            <w:proofErr w:type="gramStart"/>
            <w:r w:rsidRPr="005762E6">
              <w:rPr>
                <w:sz w:val="20"/>
                <w:szCs w:val="20"/>
              </w:rPr>
              <w:t>policies,​</w:t>
            </w:r>
            <w:proofErr w:type="gramEnd"/>
            <w:r w:rsidRPr="005762E6">
              <w:rPr>
                <w:sz w:val="20"/>
                <w:szCs w:val="20"/>
              </w:rPr>
              <w:t xml:space="preserve"> especially those that target low prices for multipack products or on Indian reservations may increase the prices paid by whites and American Indians,​ who smoke at the highest rates and pay the least per pack.,​ IMPLICATIONS: This study examines differences in reported prices paid by different racial and ethnic groups,​ </w:t>
            </w:r>
            <w:r w:rsidRPr="005762E6">
              <w:rPr>
                <w:sz w:val="20"/>
                <w:szCs w:val="20"/>
              </w:rPr>
              <w:lastRenderedPageBreak/>
              <w:t xml:space="preserve">using recent,​ national data from the United States. Results indicating that racial and ethnic groups that smoke at the highest rates (American Indians and whites) also pay the least are consistent with evidence that price is a key factor in cigarette use. Additional analysis finds that cigarette purchasing </w:t>
            </w:r>
            <w:proofErr w:type="gramStart"/>
            <w:r w:rsidRPr="005762E6">
              <w:rPr>
                <w:sz w:val="20"/>
                <w:szCs w:val="20"/>
              </w:rPr>
              <w:t>behaviors,​</w:t>
            </w:r>
            <w:proofErr w:type="gramEnd"/>
            <w:r w:rsidRPr="005762E6">
              <w:rPr>
                <w:sz w:val="20"/>
                <w:szCs w:val="20"/>
              </w:rPr>
              <w:t xml:space="preserve"> especially carton buying and purchasing on Indian reservations,​ partially account for the documented price differences,​ and suggest that policies focused on bulk purchases (carton,​ multipack) and reservation prices have strong tobacco control potential. Copyright © The Author 2016. Published by Oxford University Press on behalf of the Society for Research on Nicotine and Tobacco. All rights reserved. For </w:t>
            </w:r>
            <w:proofErr w:type="gramStart"/>
            <w:r w:rsidRPr="005762E6">
              <w:rPr>
                <w:sz w:val="20"/>
                <w:szCs w:val="20"/>
              </w:rPr>
              <w:t>permissions,​</w:t>
            </w:r>
            <w:proofErr w:type="gramEnd"/>
            <w:r w:rsidRPr="005762E6">
              <w:rPr>
                <w:sz w:val="20"/>
                <w:szCs w:val="20"/>
              </w:rPr>
              <w:t xml:space="preserve"> please e-mail: journals.permissions@oup.com.</w:t>
            </w:r>
          </w:p>
        </w:tc>
      </w:tr>
      <w:tr w:rsidR="00B44564" w:rsidRPr="005762E6" w14:paraId="1F0FF5D6"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15ACBB2" w14:textId="77777777" w:rsidR="00B44564" w:rsidRPr="005762E6" w:rsidRDefault="00B44564" w:rsidP="00EA69AA">
            <w:pPr>
              <w:spacing w:after="120" w:line="240" w:lineRule="auto"/>
              <w:contextualSpacing/>
              <w:rPr>
                <w:sz w:val="20"/>
                <w:szCs w:val="20"/>
              </w:rPr>
            </w:pPr>
            <w:r w:rsidRPr="005762E6">
              <w:rPr>
                <w:sz w:val="20"/>
                <w:szCs w:val="20"/>
              </w:rPr>
              <w:lastRenderedPageBreak/>
              <w:t>436</w:t>
            </w:r>
          </w:p>
        </w:tc>
        <w:tc>
          <w:tcPr>
            <w:tcW w:w="0" w:type="auto"/>
            <w:tcBorders>
              <w:top w:val="single" w:sz="6" w:space="0" w:color="auto"/>
              <w:left w:val="single" w:sz="6" w:space="0" w:color="auto"/>
              <w:bottom w:val="single" w:sz="6" w:space="0" w:color="auto"/>
              <w:right w:val="single" w:sz="6" w:space="0" w:color="auto"/>
            </w:tcBorders>
          </w:tcPr>
          <w:p w14:paraId="63452E6C"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012DF5D" w14:textId="25E53A27" w:rsidR="00B44564" w:rsidRPr="005762E6" w:rsidRDefault="00B44564" w:rsidP="00EA69AA">
            <w:pPr>
              <w:spacing w:after="120" w:line="240" w:lineRule="auto"/>
              <w:contextualSpacing/>
              <w:rPr>
                <w:sz w:val="20"/>
                <w:szCs w:val="20"/>
              </w:rPr>
            </w:pPr>
            <w:r w:rsidRPr="005762E6">
              <w:rPr>
                <w:sz w:val="20"/>
                <w:szCs w:val="20"/>
              </w:rPr>
              <w:t xml:space="preserve">Meike </w:t>
            </w:r>
            <w:proofErr w:type="gramStart"/>
            <w:r w:rsidRPr="005762E6">
              <w:rPr>
                <w:sz w:val="20"/>
                <w:szCs w:val="20"/>
              </w:rPr>
              <w:t>Paschke,​</w:t>
            </w:r>
            <w:proofErr w:type="gramEnd"/>
            <w:r w:rsidRPr="005762E6">
              <w:rPr>
                <w:sz w:val="20"/>
                <w:szCs w:val="20"/>
              </w:rPr>
              <w:t xml:space="preserve"> Anna Tkachenko,​ Katja Ackermann,​ Christoph Hutzler,​ Frank Henkler,​ Andreas Luch Activation of the cold-receptor TRPM8 by low levels of menthol in tobacco products</w:t>
            </w:r>
            <w:r w:rsidR="007F2F01">
              <w:rPr>
                <w:sz w:val="20"/>
                <w:szCs w:val="20"/>
              </w:rPr>
              <w:t>.</w:t>
            </w:r>
            <w:r w:rsidRPr="005762E6">
              <w:rPr>
                <w:sz w:val="20"/>
                <w:szCs w:val="20"/>
              </w:rPr>
              <w:t xml:space="preserve"> Toxicology letters; 2017;271:50.</w:t>
            </w:r>
            <w:r w:rsidRPr="005762E6">
              <w:rPr>
                <w:sz w:val="20"/>
                <w:szCs w:val="20"/>
              </w:rPr>
              <w:br/>
            </w:r>
            <w:r w:rsidRPr="005762E6">
              <w:rPr>
                <w:sz w:val="20"/>
                <w:szCs w:val="20"/>
              </w:rPr>
              <w:br/>
            </w:r>
            <w:r w:rsidRPr="005762E6">
              <w:rPr>
                <w:b/>
                <w:bCs/>
                <w:sz w:val="20"/>
                <w:szCs w:val="20"/>
              </w:rPr>
              <w:t>Keywords:</w:t>
            </w:r>
            <w:r w:rsidRPr="005762E6">
              <w:rPr>
                <w:sz w:val="20"/>
                <w:szCs w:val="20"/>
              </w:rPr>
              <w:br/>
              <w:t>Biological Assay,​Calcium Signaling/de [Drug Effects],​Dose-Response Relationship,​ Drug,​HEK293 Cells,​Humans,​*Menthol/to [Toxicity],​*Smoke/ae [Adverse Effects],​*Smoking/ae [Adverse Effects],​*TRPM Cation Channels/ag [Agonists],​TRPM Cation Channels/ge [Genetics],​TRPM Cation Channels/me [Metabolism],​*Tobacco Products/to [Toxicity],​Transfection</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Activation of the cold-receptor TRPM8 by menthol or other tobacco additives can suppress natural defense reactions such as coughing that usually would become effective as involuntary resistance against the inhalation of fumes. In Europe menthol is only regulated as </w:t>
            </w:r>
            <w:proofErr w:type="gramStart"/>
            <w:r w:rsidRPr="005762E6">
              <w:rPr>
                <w:sz w:val="20"/>
                <w:szCs w:val="20"/>
              </w:rPr>
              <w:t>flavor,​</w:t>
            </w:r>
            <w:proofErr w:type="gramEnd"/>
            <w:r w:rsidRPr="005762E6">
              <w:rPr>
                <w:sz w:val="20"/>
                <w:szCs w:val="20"/>
              </w:rPr>
              <w:t xml:space="preserve"> but can be used as additive as long as no characteristic mint-like aroma will become noticeable in the end-product tobacco. The question needs to be addressed of whether such comparatively minor contents would be sufficient to trigger a measurable activation of TRPM8. In this </w:t>
            </w:r>
            <w:proofErr w:type="gramStart"/>
            <w:r w:rsidRPr="005762E6">
              <w:rPr>
                <w:sz w:val="20"/>
                <w:szCs w:val="20"/>
              </w:rPr>
              <w:t>study,​</w:t>
            </w:r>
            <w:proofErr w:type="gramEnd"/>
            <w:r w:rsidRPr="005762E6">
              <w:rPr>
                <w:sz w:val="20"/>
                <w:szCs w:val="20"/>
              </w:rPr>
              <w:t xml:space="preserve"> we have analyzed both the contents of menthol and other natural TRPM8 agonists in tobacco products and developed a bioassay to determine the minimum concentrations of selected agonists to activate the TRPM8 receptor in cultured cells. The data confirm menthol as strongest natural agonist investigated. Based on these experiments and previously published </w:t>
            </w:r>
            <w:proofErr w:type="gramStart"/>
            <w:r w:rsidRPr="005762E6">
              <w:rPr>
                <w:sz w:val="20"/>
                <w:szCs w:val="20"/>
              </w:rPr>
              <w:t>data,​</w:t>
            </w:r>
            <w:proofErr w:type="gramEnd"/>
            <w:r w:rsidRPr="005762E6">
              <w:rPr>
                <w:sz w:val="20"/>
                <w:szCs w:val="20"/>
              </w:rPr>
              <w:t xml:space="preserve"> we have estimated both the minimum menthol concentrations in cigarette smoke and in tobacco that are expected to trigger measurable physiological effects. According to our </w:t>
            </w:r>
            <w:proofErr w:type="gramStart"/>
            <w:r w:rsidRPr="005762E6">
              <w:rPr>
                <w:sz w:val="20"/>
                <w:szCs w:val="20"/>
              </w:rPr>
              <w:t>assessments,​</w:t>
            </w:r>
            <w:proofErr w:type="gramEnd"/>
            <w:r w:rsidRPr="005762E6">
              <w:rPr>
                <w:sz w:val="20"/>
                <w:szCs w:val="20"/>
              </w:rPr>
              <w:t xml:space="preserve"> TRPM8 activation is likely to occur when cigarettes contain more than 50 micrograms of menthol. </w:t>
            </w:r>
            <w:proofErr w:type="gramStart"/>
            <w:r w:rsidRPr="005762E6">
              <w:rPr>
                <w:sz w:val="20"/>
                <w:szCs w:val="20"/>
              </w:rPr>
              <w:t>Importantly,​</w:t>
            </w:r>
            <w:proofErr w:type="gramEnd"/>
            <w:r w:rsidRPr="005762E6">
              <w:rPr>
                <w:sz w:val="20"/>
                <w:szCs w:val="20"/>
              </w:rPr>
              <w:t xml:space="preserve"> menthol contents in cigarettes far below the typical levels that require declaration as "mentholated" would be sufficient to activate sensory receptors. Copyright © 2017 The Author(s). Published by Elsevier B.V. All rights reserved.</w:t>
            </w:r>
          </w:p>
        </w:tc>
      </w:tr>
      <w:tr w:rsidR="00B44564" w:rsidRPr="005762E6" w14:paraId="7C69C278"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256E0BE" w14:textId="77777777" w:rsidR="00B44564" w:rsidRPr="005762E6" w:rsidRDefault="00B44564" w:rsidP="00EA69AA">
            <w:pPr>
              <w:spacing w:after="120" w:line="240" w:lineRule="auto"/>
              <w:contextualSpacing/>
              <w:rPr>
                <w:sz w:val="20"/>
                <w:szCs w:val="20"/>
              </w:rPr>
            </w:pPr>
            <w:r w:rsidRPr="005762E6">
              <w:rPr>
                <w:sz w:val="20"/>
                <w:szCs w:val="20"/>
              </w:rPr>
              <w:t>437</w:t>
            </w:r>
          </w:p>
        </w:tc>
        <w:tc>
          <w:tcPr>
            <w:tcW w:w="0" w:type="auto"/>
            <w:tcBorders>
              <w:top w:val="single" w:sz="6" w:space="0" w:color="auto"/>
              <w:left w:val="single" w:sz="6" w:space="0" w:color="auto"/>
              <w:bottom w:val="single" w:sz="6" w:space="0" w:color="auto"/>
              <w:right w:val="single" w:sz="6" w:space="0" w:color="auto"/>
            </w:tcBorders>
          </w:tcPr>
          <w:p w14:paraId="19F8B63D"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573F422" w14:textId="65F4B3F8" w:rsidR="00B44564" w:rsidRPr="005762E6" w:rsidRDefault="00B44564" w:rsidP="00EA69AA">
            <w:pPr>
              <w:spacing w:after="120" w:line="240" w:lineRule="auto"/>
              <w:contextualSpacing/>
              <w:rPr>
                <w:sz w:val="20"/>
                <w:szCs w:val="20"/>
              </w:rPr>
            </w:pPr>
            <w:r w:rsidRPr="005762E6">
              <w:rPr>
                <w:sz w:val="20"/>
                <w:szCs w:val="20"/>
              </w:rPr>
              <w:t xml:space="preserve">Cynthia Van </w:t>
            </w:r>
            <w:proofErr w:type="gramStart"/>
            <w:r w:rsidRPr="005762E6">
              <w:rPr>
                <w:sz w:val="20"/>
                <w:szCs w:val="20"/>
              </w:rPr>
              <w:t>Landingham,​</w:t>
            </w:r>
            <w:proofErr w:type="gramEnd"/>
            <w:r w:rsidRPr="005762E6">
              <w:rPr>
                <w:sz w:val="20"/>
                <w:szCs w:val="20"/>
              </w:rPr>
              <w:t xml:space="preserve"> William Fuller,​ Greg Mariano,​ Kristin Marano,​ Geoffrey Curtin,​ Sandra I Sulsky Stroke risk among menthol versus non-menthol cigarette smokers in the United States: Analysis of the National Health and Nutrition Examination Survey (NHANES)</w:t>
            </w:r>
            <w:r w:rsidR="007F2F01">
              <w:rPr>
                <w:sz w:val="20"/>
                <w:szCs w:val="20"/>
              </w:rPr>
              <w:t>.</w:t>
            </w:r>
            <w:r w:rsidRPr="005762E6">
              <w:rPr>
                <w:sz w:val="20"/>
                <w:szCs w:val="20"/>
              </w:rPr>
              <w:t xml:space="preserve"> Regulatory toxicology and pharmacology : RTP; 2017;85:64.</w:t>
            </w:r>
            <w:r w:rsidRPr="005762E6">
              <w:rPr>
                <w:sz w:val="20"/>
                <w:szCs w:val="20"/>
              </w:rPr>
              <w:br/>
            </w:r>
            <w:r w:rsidRPr="005762E6">
              <w:rPr>
                <w:sz w:val="20"/>
                <w:szCs w:val="20"/>
              </w:rPr>
              <w:br/>
            </w:r>
            <w:r w:rsidRPr="005762E6">
              <w:rPr>
                <w:b/>
                <w:bCs/>
                <w:sz w:val="20"/>
                <w:szCs w:val="20"/>
              </w:rPr>
              <w:t>Keywords:</w:t>
            </w:r>
            <w:r w:rsidRPr="005762E6">
              <w:rPr>
                <w:sz w:val="20"/>
                <w:szCs w:val="20"/>
              </w:rPr>
              <w:br/>
              <w:t>Adult,​Aged,​Female,​Humans,​Male,​*Menthol,​Middle Aged,​*Nutrition Surveys,​Odds Ratio,​Risk,​*Smoking/ep [Epidemiology],​*Stroke/ep [Epidemiology],​*Tobacco Products,​United States,​Young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Though available evidence is relatively consistent in showing no additional health effects among smokers due to menthol in cigarettes,​ two studies reported conflicting results for stroke risk using different subsets of NHANES data. We investigated reasons for the differences in these reports by analyzing NHANES cycles conducted between 1999 and </w:t>
            </w:r>
            <w:proofErr w:type="gramStart"/>
            <w:r w:rsidRPr="005762E6">
              <w:rPr>
                <w:sz w:val="20"/>
                <w:szCs w:val="20"/>
              </w:rPr>
              <w:t>2012,​</w:t>
            </w:r>
            <w:proofErr w:type="gramEnd"/>
            <w:r w:rsidRPr="005762E6">
              <w:rPr>
                <w:sz w:val="20"/>
                <w:szCs w:val="20"/>
              </w:rPr>
              <w:t xml:space="preserve"> combined and in subsets. Adjusted odds ratios (AOR) and 95% confidence intervals (CI) from three different survey logistic regression models compare risk of reported stroke diagnoses among menthol and non-menthol cigarette smokers. Depending on </w:t>
            </w:r>
            <w:proofErr w:type="gramStart"/>
            <w:r w:rsidRPr="005762E6">
              <w:rPr>
                <w:sz w:val="20"/>
                <w:szCs w:val="20"/>
              </w:rPr>
              <w:t>timeframe,​</w:t>
            </w:r>
            <w:proofErr w:type="gramEnd"/>
            <w:r w:rsidRPr="005762E6">
              <w:rPr>
                <w:sz w:val="20"/>
                <w:szCs w:val="20"/>
              </w:rPr>
              <w:t xml:space="preserve"> about 1150 to 8000 U.S. adults (aged &gt;= 20 years) who smoked on &gt;= 1 of the last 30 days had complete data for cigarette type and all covariates included in each model. Results were not much affected by which covariates were included in the </w:t>
            </w:r>
            <w:proofErr w:type="gramStart"/>
            <w:r w:rsidRPr="005762E6">
              <w:rPr>
                <w:sz w:val="20"/>
                <w:szCs w:val="20"/>
              </w:rPr>
              <w:t>models,​</w:t>
            </w:r>
            <w:proofErr w:type="gramEnd"/>
            <w:r w:rsidRPr="005762E6">
              <w:rPr>
                <w:sz w:val="20"/>
                <w:szCs w:val="20"/>
              </w:rPr>
              <w:t xml:space="preserve"> but depended strongly on the NHANES cycles included in the analysis. Using NHANES 1999-2012 data </w:t>
            </w:r>
            <w:proofErr w:type="gramStart"/>
            <w:r w:rsidRPr="005762E6">
              <w:rPr>
                <w:sz w:val="20"/>
                <w:szCs w:val="20"/>
              </w:rPr>
              <w:t>combined,​</w:t>
            </w:r>
            <w:proofErr w:type="gramEnd"/>
            <w:r w:rsidRPr="005762E6">
              <w:rPr>
                <w:sz w:val="20"/>
                <w:szCs w:val="20"/>
              </w:rPr>
              <w:t xml:space="preserve"> AORs and 95% CIs for stroke comparing menthol with non-menthol cigarette smokers were 0.95 (95% CI: 0.65,​ 1.37),​ 0.85 (95% CI: 0.59,​ 1.23) or 0.86 (95% CI: 0.59,​ 1.25). </w:t>
            </w:r>
            <w:proofErr w:type="gramStart"/>
            <w:r w:rsidRPr="005762E6">
              <w:rPr>
                <w:sz w:val="20"/>
                <w:szCs w:val="20"/>
              </w:rPr>
              <w:t>Collectively,​</w:t>
            </w:r>
            <w:proofErr w:type="gramEnd"/>
            <w:r w:rsidRPr="005762E6">
              <w:rPr>
                <w:sz w:val="20"/>
                <w:szCs w:val="20"/>
              </w:rPr>
              <w:t xml:space="preserve"> findings illustrate the need for fully reporting research and analytical methods,​ especially when analyses are </w:t>
            </w:r>
            <w:r w:rsidRPr="005762E6">
              <w:rPr>
                <w:sz w:val="20"/>
                <w:szCs w:val="20"/>
              </w:rPr>
              <w:lastRenderedPageBreak/>
              <w:t>meant to develop evidence intended for regulatory decision-making. Copyright © 2017 The Authors. Published by Elsevier Inc. All rights reserved.</w:t>
            </w:r>
          </w:p>
        </w:tc>
      </w:tr>
      <w:tr w:rsidR="00B44564" w:rsidRPr="005762E6" w14:paraId="66C5EF71"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0567B32" w14:textId="77777777" w:rsidR="00B44564" w:rsidRPr="005762E6" w:rsidRDefault="00B44564" w:rsidP="00EA69AA">
            <w:pPr>
              <w:spacing w:after="120" w:line="240" w:lineRule="auto"/>
              <w:contextualSpacing/>
              <w:rPr>
                <w:sz w:val="20"/>
                <w:szCs w:val="20"/>
              </w:rPr>
            </w:pPr>
            <w:r w:rsidRPr="005762E6">
              <w:rPr>
                <w:sz w:val="20"/>
                <w:szCs w:val="20"/>
              </w:rPr>
              <w:lastRenderedPageBreak/>
              <w:t>438</w:t>
            </w:r>
          </w:p>
        </w:tc>
        <w:tc>
          <w:tcPr>
            <w:tcW w:w="0" w:type="auto"/>
            <w:tcBorders>
              <w:top w:val="single" w:sz="6" w:space="0" w:color="auto"/>
              <w:left w:val="single" w:sz="6" w:space="0" w:color="auto"/>
              <w:bottom w:val="single" w:sz="6" w:space="0" w:color="auto"/>
              <w:right w:val="single" w:sz="6" w:space="0" w:color="auto"/>
            </w:tcBorders>
          </w:tcPr>
          <w:p w14:paraId="10C0DB8C"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1B34E0B" w14:textId="77A92E12" w:rsidR="00B44564" w:rsidRPr="005762E6" w:rsidRDefault="00B44564" w:rsidP="00EA69AA">
            <w:pPr>
              <w:spacing w:after="120" w:line="240" w:lineRule="auto"/>
              <w:contextualSpacing/>
              <w:rPr>
                <w:sz w:val="20"/>
                <w:szCs w:val="20"/>
              </w:rPr>
            </w:pPr>
            <w:r w:rsidRPr="005762E6">
              <w:rPr>
                <w:sz w:val="20"/>
                <w:szCs w:val="20"/>
              </w:rPr>
              <w:t xml:space="preserve">Lauren K </w:t>
            </w:r>
            <w:proofErr w:type="gramStart"/>
            <w:r w:rsidRPr="005762E6">
              <w:rPr>
                <w:sz w:val="20"/>
                <w:szCs w:val="20"/>
              </w:rPr>
              <w:t>Lempert,​</w:t>
            </w:r>
            <w:proofErr w:type="gramEnd"/>
            <w:r w:rsidRPr="005762E6">
              <w:rPr>
                <w:sz w:val="20"/>
                <w:szCs w:val="20"/>
              </w:rPr>
              <w:t xml:space="preserve"> Valerie Yerger,​ Stanton A Glantz Letter by Lempert et al Regarding Article,​ "Menthol and Nonmenthol Cigarette Smoking: All-Cause Deaths,​ Cardiovascular Disease Deaths,​ and Other Causes of Death Among Blacks and Whites"</w:t>
            </w:r>
            <w:r w:rsidR="007F2F01">
              <w:rPr>
                <w:sz w:val="20"/>
                <w:szCs w:val="20"/>
              </w:rPr>
              <w:t>.</w:t>
            </w:r>
            <w:r w:rsidRPr="005762E6">
              <w:rPr>
                <w:sz w:val="20"/>
                <w:szCs w:val="20"/>
              </w:rPr>
              <w:t xml:space="preserve"> Circulation; 2016;</w:t>
            </w:r>
            <w:proofErr w:type="gramStart"/>
            <w:r w:rsidRPr="005762E6">
              <w:rPr>
                <w:sz w:val="20"/>
                <w:szCs w:val="20"/>
              </w:rPr>
              <w:t>134:e</w:t>
            </w:r>
            <w:proofErr w:type="gramEnd"/>
            <w:r w:rsidRPr="005762E6">
              <w:rPr>
                <w:sz w:val="20"/>
                <w:szCs w:val="20"/>
              </w:rPr>
              <w:t>119.</w:t>
            </w:r>
            <w:r w:rsidRPr="005762E6">
              <w:rPr>
                <w:sz w:val="20"/>
                <w:szCs w:val="20"/>
              </w:rPr>
              <w:br/>
            </w:r>
            <w:r w:rsidRPr="005762E6">
              <w:rPr>
                <w:sz w:val="20"/>
                <w:szCs w:val="20"/>
              </w:rPr>
              <w:br/>
            </w:r>
            <w:r w:rsidRPr="005762E6">
              <w:rPr>
                <w:b/>
                <w:bCs/>
                <w:sz w:val="20"/>
                <w:szCs w:val="20"/>
              </w:rPr>
              <w:t>Keywords:</w:t>
            </w:r>
            <w:r w:rsidRPr="005762E6">
              <w:rPr>
                <w:sz w:val="20"/>
                <w:szCs w:val="20"/>
              </w:rPr>
              <w:br/>
              <w:t>African Americans,​Cardiovascular Diseases,​Cause of Death,​European Continental Ancestry Group,​Humans,​*Menthol,​*Smoking,​Smoking Cessation</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10AB92D1"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27FA03C" w14:textId="77777777" w:rsidR="00B44564" w:rsidRPr="005762E6" w:rsidRDefault="00B44564" w:rsidP="00EA69AA">
            <w:pPr>
              <w:spacing w:after="120" w:line="240" w:lineRule="auto"/>
              <w:contextualSpacing/>
              <w:rPr>
                <w:sz w:val="20"/>
                <w:szCs w:val="20"/>
              </w:rPr>
            </w:pPr>
            <w:r w:rsidRPr="005762E6">
              <w:rPr>
                <w:sz w:val="20"/>
                <w:szCs w:val="20"/>
              </w:rPr>
              <w:t>441</w:t>
            </w:r>
          </w:p>
        </w:tc>
        <w:tc>
          <w:tcPr>
            <w:tcW w:w="0" w:type="auto"/>
            <w:tcBorders>
              <w:top w:val="single" w:sz="6" w:space="0" w:color="auto"/>
              <w:left w:val="single" w:sz="6" w:space="0" w:color="auto"/>
              <w:bottom w:val="single" w:sz="6" w:space="0" w:color="auto"/>
              <w:right w:val="single" w:sz="6" w:space="0" w:color="auto"/>
            </w:tcBorders>
          </w:tcPr>
          <w:p w14:paraId="0533040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12D448D" w14:textId="305967D8" w:rsidR="00B44564" w:rsidRPr="005762E6" w:rsidRDefault="00B44564" w:rsidP="00EA69AA">
            <w:pPr>
              <w:spacing w:after="120" w:line="240" w:lineRule="auto"/>
              <w:contextualSpacing/>
              <w:rPr>
                <w:sz w:val="20"/>
                <w:szCs w:val="20"/>
              </w:rPr>
            </w:pPr>
            <w:r w:rsidRPr="005762E6">
              <w:rPr>
                <w:sz w:val="20"/>
                <w:szCs w:val="20"/>
              </w:rPr>
              <w:t xml:space="preserve">Heather M </w:t>
            </w:r>
            <w:proofErr w:type="gramStart"/>
            <w:r w:rsidRPr="005762E6">
              <w:rPr>
                <w:sz w:val="20"/>
                <w:szCs w:val="20"/>
              </w:rPr>
              <w:t>Munro,​</w:t>
            </w:r>
            <w:proofErr w:type="gramEnd"/>
            <w:r w:rsidRPr="005762E6">
              <w:rPr>
                <w:sz w:val="20"/>
                <w:szCs w:val="20"/>
              </w:rPr>
              <w:t xml:space="preserve"> Robert E Tarone,​ Thomas J Wang,​ William J Blot Menthol and Nonmenthol Cigarette Smoking: All-Cause Deaths,​ Cardiovascular Disease Deaths,​ and Other Causes of Death Among Blacks and Whites</w:t>
            </w:r>
            <w:r w:rsidR="007F2F01">
              <w:rPr>
                <w:sz w:val="20"/>
                <w:szCs w:val="20"/>
              </w:rPr>
              <w:t>.</w:t>
            </w:r>
            <w:r w:rsidRPr="005762E6">
              <w:rPr>
                <w:sz w:val="20"/>
                <w:szCs w:val="20"/>
              </w:rPr>
              <w:t xml:space="preserve"> Circulation; 2016;133:1861.</w:t>
            </w:r>
            <w:r w:rsidRPr="005762E6">
              <w:rPr>
                <w:sz w:val="20"/>
                <w:szCs w:val="20"/>
              </w:rPr>
              <w:br/>
            </w:r>
            <w:r w:rsidRPr="005762E6">
              <w:rPr>
                <w:sz w:val="20"/>
                <w:szCs w:val="20"/>
              </w:rPr>
              <w:br/>
            </w:r>
            <w:r w:rsidRPr="005762E6">
              <w:rPr>
                <w:b/>
                <w:bCs/>
                <w:sz w:val="20"/>
                <w:szCs w:val="20"/>
              </w:rPr>
              <w:t>Keywords:</w:t>
            </w:r>
            <w:r w:rsidRPr="005762E6">
              <w:rPr>
                <w:sz w:val="20"/>
                <w:szCs w:val="20"/>
              </w:rPr>
              <w:br/>
              <w:t>Adult,​African Continental Ancestry Group/eh [Ethnology],​*African Continental Ancestry Group,​Aged,​Cardiovascular Diseases/di [Diagnosis],​Cardiovascular Diseases/eh [Ethnology],​*Cardiovascular Diseases/mo [Mortality],​Cohort Studies,​European Continental Ancestry Group/eh [Ethnology],​*European Continental Ancestry Group,​Female,​Follow-Up Studies,​Healthcare Disparities/eh [Ethnology],​Humans,​Male,​*Menthol/ad [Administration &amp; Dosage],​Menthol/ae [Adverse Effects],​Middle Aged,​Prospective Studies,​Smoking/ae [Adverse Effects],​Smoking/eh [Ethnology],​*Smoking/mo [Mortality],​Southeastern United States/ep [Epidemiology],​*Tobacco Products/ae [Adverse Effects]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In contrast to whites,​ black smokers prefer menthol cigarettes over nonmenthol cigarettes by a large margin and tend to have higher mortality from several smoking-related diseases than whites,​ raising the possibility that menthol cigarettes contribute to racial disparities in risk. Evidence for differential associations between menthol and nonmenthol cigarettes indicates lower cancer risk for menthol smokers,​ but for cardiovascular disease (CVD) mortality,​ evidence has been inconsistent.,​ METHODS AND RESULTS: Cox proportional hazards models were used to compute hazard ratios and accompanying 95% confidence intervals for all-cause and CVD mortality for menthol compared with nonmenthol cigarette smokers among 65600 participants in the Southern Community Cohort Study,​ an ongoing community-based cohort with the largest number of menthol smokers being traced. Among the 27619 current cigarette </w:t>
            </w:r>
            <w:proofErr w:type="gramStart"/>
            <w:r w:rsidRPr="005762E6">
              <w:rPr>
                <w:sz w:val="20"/>
                <w:szCs w:val="20"/>
              </w:rPr>
              <w:t>smokers,​</w:t>
            </w:r>
            <w:proofErr w:type="gramEnd"/>
            <w:r w:rsidRPr="005762E6">
              <w:rPr>
                <w:sz w:val="20"/>
                <w:szCs w:val="20"/>
              </w:rPr>
              <w:t xml:space="preserve"> 4224 died during follow-up,​ with 1130 deaths attributed to CVD. Both all-cause (hazard ratio=0.93; 95% confidence interval=0.86-1.01; P=0.10) and CVD (hazard ratio=0.88; 95% confidence interval=0.76-1.03; P=0.10) mortality risks were similar in menthol compared with nonmenthol cigarette smokers</w:t>
            </w:r>
            <w:proofErr w:type="gramStart"/>
            <w:r w:rsidRPr="005762E6">
              <w:rPr>
                <w:sz w:val="20"/>
                <w:szCs w:val="20"/>
              </w:rPr>
              <w:t>.,​</w:t>
            </w:r>
            <w:proofErr w:type="gramEnd"/>
            <w:r w:rsidRPr="005762E6">
              <w:rPr>
                <w:sz w:val="20"/>
                <w:szCs w:val="20"/>
              </w:rPr>
              <w:t xml:space="preserve"> CONCLUSIONS: Smoking regardless of cigarette type is hazardous to health,​ but these results do not indicate that menthol cigarettes are associated with greater CVD risks than nonmenthol cigarettes. Copyright © 2016 American Heart </w:t>
            </w:r>
            <w:proofErr w:type="gramStart"/>
            <w:r w:rsidRPr="005762E6">
              <w:rPr>
                <w:sz w:val="20"/>
                <w:szCs w:val="20"/>
              </w:rPr>
              <w:t>Association,​</w:t>
            </w:r>
            <w:proofErr w:type="gramEnd"/>
            <w:r w:rsidRPr="005762E6">
              <w:rPr>
                <w:sz w:val="20"/>
                <w:szCs w:val="20"/>
              </w:rPr>
              <w:t xml:space="preserve"> Inc.</w:t>
            </w:r>
          </w:p>
        </w:tc>
      </w:tr>
      <w:tr w:rsidR="00B44564" w:rsidRPr="005762E6" w14:paraId="771080A5"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12C1B3E" w14:textId="77777777" w:rsidR="00B44564" w:rsidRPr="005762E6" w:rsidRDefault="00B44564" w:rsidP="00EA69AA">
            <w:pPr>
              <w:spacing w:after="120" w:line="240" w:lineRule="auto"/>
              <w:contextualSpacing/>
              <w:rPr>
                <w:sz w:val="20"/>
                <w:szCs w:val="20"/>
              </w:rPr>
            </w:pPr>
            <w:r w:rsidRPr="005762E6">
              <w:rPr>
                <w:sz w:val="20"/>
                <w:szCs w:val="20"/>
              </w:rPr>
              <w:t>442</w:t>
            </w:r>
          </w:p>
        </w:tc>
        <w:tc>
          <w:tcPr>
            <w:tcW w:w="0" w:type="auto"/>
            <w:tcBorders>
              <w:top w:val="single" w:sz="6" w:space="0" w:color="auto"/>
              <w:left w:val="single" w:sz="6" w:space="0" w:color="auto"/>
              <w:bottom w:val="single" w:sz="6" w:space="0" w:color="auto"/>
              <w:right w:val="single" w:sz="6" w:space="0" w:color="auto"/>
            </w:tcBorders>
          </w:tcPr>
          <w:p w14:paraId="341DDFA8"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91A0A77" w14:textId="70F19452" w:rsidR="00B44564" w:rsidRPr="005762E6" w:rsidRDefault="00B44564" w:rsidP="00EA69AA">
            <w:pPr>
              <w:spacing w:after="120" w:line="240" w:lineRule="auto"/>
              <w:contextualSpacing/>
              <w:rPr>
                <w:sz w:val="20"/>
                <w:szCs w:val="20"/>
              </w:rPr>
            </w:pPr>
            <w:r w:rsidRPr="005762E6">
              <w:rPr>
                <w:sz w:val="20"/>
                <w:szCs w:val="20"/>
              </w:rPr>
              <w:t xml:space="preserve">Linda A </w:t>
            </w:r>
            <w:proofErr w:type="gramStart"/>
            <w:r w:rsidRPr="005762E6">
              <w:rPr>
                <w:sz w:val="20"/>
                <w:szCs w:val="20"/>
              </w:rPr>
              <w:t>Alexander,​</w:t>
            </w:r>
            <w:proofErr w:type="gramEnd"/>
            <w:r w:rsidRPr="005762E6">
              <w:rPr>
                <w:sz w:val="20"/>
                <w:szCs w:val="20"/>
              </w:rPr>
              <w:t xml:space="preserve"> Dennis R Trinidad,​ Kari-Lyn K Sakuma,​ Pallav Pokhrel,​ Thaddeus A Herzog,​ Mark S Clanton,​ Eric T Moolchan,​ Pebbles Fagan Why We Must Continue to Investigate Menthol's Role in the African American Smoking Paradox</w:t>
            </w:r>
            <w:r w:rsidR="007F2F01">
              <w:rPr>
                <w:sz w:val="20"/>
                <w:szCs w:val="20"/>
              </w:rPr>
              <w:t>.</w:t>
            </w:r>
            <w:r w:rsidRPr="005762E6">
              <w:rPr>
                <w:sz w:val="20"/>
                <w:szCs w:val="20"/>
              </w:rPr>
              <w:t xml:space="preserve"> Nicotine &amp; tobacco research : official journal of the Society for Research on Nicotine and Tobacco; 2016;18 Suppl 1:S91.</w:t>
            </w:r>
            <w:r w:rsidRPr="005762E6">
              <w:rPr>
                <w:sz w:val="20"/>
                <w:szCs w:val="20"/>
              </w:rPr>
              <w:br/>
            </w:r>
            <w:r w:rsidRPr="005762E6">
              <w:rPr>
                <w:sz w:val="20"/>
                <w:szCs w:val="20"/>
              </w:rPr>
              <w:br/>
            </w:r>
            <w:r w:rsidRPr="005762E6">
              <w:rPr>
                <w:b/>
                <w:bCs/>
                <w:sz w:val="20"/>
                <w:szCs w:val="20"/>
              </w:rPr>
              <w:t>Keywords:</w:t>
            </w:r>
            <w:r w:rsidRPr="005762E6">
              <w:rPr>
                <w:sz w:val="20"/>
                <w:szCs w:val="20"/>
              </w:rPr>
              <w:br/>
              <w:t>African Americans/px [Psychology],​*African Americans/sn [Statistics &amp; Numerical Data],​European Continental Ancestry Group/px [Psychology],​European Continental Ancestry Group/sn [Statistics &amp; Numerical Data],​Humans,​Menthol/ae [Adverse Effects],​*Menthol/pd [Pharmacology],​Prevalence,​Smoking/ae [Adverse Effects],​*Smoking/eh [Ethnology],​Smoking/mo [Mortality],​Smoking Cessation/eh [Ethnology],​Smoking Cessation/mt [Methods],​Smoking Prevention,​Taste/de [Drug Effects],​Tobacco Use Disorder/eh [Ethnology],​Tobacco Use Disorder/et [Etiology],​United States/ep [Epidemiology]</w:t>
            </w:r>
            <w:r w:rsidRPr="005762E6">
              <w:rPr>
                <w:sz w:val="20"/>
                <w:szCs w:val="20"/>
              </w:rPr>
              <w:br/>
            </w:r>
            <w:r w:rsidRPr="005762E6">
              <w:rPr>
                <w:sz w:val="20"/>
                <w:szCs w:val="20"/>
              </w:rPr>
              <w:br/>
            </w:r>
            <w:r w:rsidRPr="005762E6">
              <w:rPr>
                <w:b/>
                <w:bCs/>
                <w:sz w:val="20"/>
                <w:szCs w:val="20"/>
              </w:rPr>
              <w:lastRenderedPageBreak/>
              <w:t xml:space="preserve">Abstract: </w:t>
            </w:r>
            <w:r w:rsidRPr="005762E6">
              <w:rPr>
                <w:sz w:val="20"/>
                <w:szCs w:val="20"/>
              </w:rPr>
              <w:t xml:space="preserve">BACKGROUND: The disproportionate burden of tobacco use among African Americans is largely unexplained. The unexplained </w:t>
            </w:r>
            <w:proofErr w:type="gramStart"/>
            <w:r w:rsidRPr="005762E6">
              <w:rPr>
                <w:sz w:val="20"/>
                <w:szCs w:val="20"/>
              </w:rPr>
              <w:t>disparities,​</w:t>
            </w:r>
            <w:proofErr w:type="gramEnd"/>
            <w:r w:rsidRPr="005762E6">
              <w:rPr>
                <w:sz w:val="20"/>
                <w:szCs w:val="20"/>
              </w:rPr>
              <w:t xml:space="preserve"> referred to as the African American smoking paradox,​ includes several phenomena. Despite their social </w:t>
            </w:r>
            <w:proofErr w:type="gramStart"/>
            <w:r w:rsidRPr="005762E6">
              <w:rPr>
                <w:sz w:val="20"/>
                <w:szCs w:val="20"/>
              </w:rPr>
              <w:t>disadvantage,​</w:t>
            </w:r>
            <w:proofErr w:type="gramEnd"/>
            <w:r w:rsidRPr="005762E6">
              <w:rPr>
                <w:sz w:val="20"/>
                <w:szCs w:val="20"/>
              </w:rPr>
              <w:t xml:space="preserve"> African American youth have lower smoking prevalence rates,​ initiate smoking at older ages,​ and during adulthood,​ smoking rates are comparable to whites. Smoking frequency and intensity among African American youth and adults are lower compared to whites and American Indian and Alaska </w:t>
            </w:r>
            <w:proofErr w:type="gramStart"/>
            <w:r w:rsidRPr="005762E6">
              <w:rPr>
                <w:sz w:val="20"/>
                <w:szCs w:val="20"/>
              </w:rPr>
              <w:t>Natives,​</w:t>
            </w:r>
            <w:proofErr w:type="gramEnd"/>
            <w:r w:rsidRPr="005762E6">
              <w:rPr>
                <w:sz w:val="20"/>
                <w:szCs w:val="20"/>
              </w:rPr>
              <w:t xml:space="preserve"> but tobacco-caused morbidity and mortality rates are disproportionately higher. Disease prediction models have not explained disease causal pathways in African Americans. It has been hypothesized that menthol cigarette </w:t>
            </w:r>
            <w:proofErr w:type="gramStart"/>
            <w:r w:rsidRPr="005762E6">
              <w:rPr>
                <w:sz w:val="20"/>
                <w:szCs w:val="20"/>
              </w:rPr>
              <w:t>smoking,​</w:t>
            </w:r>
            <w:proofErr w:type="gramEnd"/>
            <w:r w:rsidRPr="005762E6">
              <w:rPr>
                <w:sz w:val="20"/>
                <w:szCs w:val="20"/>
              </w:rPr>
              <w:t xml:space="preserve"> which is disproportionately high among African Americans,​ may help to explain several components of the African American smoking paradox.,​ PURPOSE: This article provides an overview of the potential role that menthol plays in the African American smoking paradox. We also discuss the research needed to better understand this unresolved puzzle.,​ METHODS: We examined prior synthesis reports and reviewed the literature in PubMed on the menthol compound and menthol cigarette smoking in African Americans.,​ RESULTS: The pharmacological and physiological effects of menthol and their interaction with biological and genetic factors may indirectly contribute to the disproportionate burden of cigarette use and diseases among African Americans.,​ CONCLUSIONS: Future studies that examine taste sensitivity,​ the menthol compound,​ and their effects on smoking and chronic disease would provide valuable information on how to reduce the tobacco burden among African Americans.,​ IMPLICATIONS: Our study highlights four counterintuitive observations related to the smoking risk profiles and chronic disease outcomes among African Americans. The extant literature provides strong evidence of their existence and shows that long-standing paradoxes have been largely unaffected by changes in the social environment. African Americans smoke menthols </w:t>
            </w:r>
            <w:proofErr w:type="gramStart"/>
            <w:r w:rsidRPr="005762E6">
              <w:rPr>
                <w:sz w:val="20"/>
                <w:szCs w:val="20"/>
              </w:rPr>
              <w:t>disproportionately,​</w:t>
            </w:r>
            <w:proofErr w:type="gramEnd"/>
            <w:r w:rsidRPr="005762E6">
              <w:rPr>
                <w:sz w:val="20"/>
                <w:szCs w:val="20"/>
              </w:rPr>
              <w:t xml:space="preserve"> and menthol's role in the African American smoking paradox has not been thoroughly explored. We propose discrete hypotheses that will help to explain the phenomena and encourage researchers to empirically test menthol's role in smoking </w:t>
            </w:r>
            <w:proofErr w:type="gramStart"/>
            <w:r w:rsidRPr="005762E6">
              <w:rPr>
                <w:sz w:val="20"/>
                <w:szCs w:val="20"/>
              </w:rPr>
              <w:t>initiation,​</w:t>
            </w:r>
            <w:proofErr w:type="gramEnd"/>
            <w:r w:rsidRPr="005762E6">
              <w:rPr>
                <w:sz w:val="20"/>
                <w:szCs w:val="20"/>
              </w:rPr>
              <w:t xml:space="preserve"> transitions to regular smoking and chronic disease outcomes in African Americans. Copyright © The Author 2016. Published by Oxford University Press on behalf of the Society for Research on Nicotine and Tobacco. All rights reserved. For </w:t>
            </w:r>
            <w:proofErr w:type="gramStart"/>
            <w:r w:rsidRPr="005762E6">
              <w:rPr>
                <w:sz w:val="20"/>
                <w:szCs w:val="20"/>
              </w:rPr>
              <w:t>permissions,​</w:t>
            </w:r>
            <w:proofErr w:type="gramEnd"/>
            <w:r w:rsidRPr="005762E6">
              <w:rPr>
                <w:sz w:val="20"/>
                <w:szCs w:val="20"/>
              </w:rPr>
              <w:t xml:space="preserve"> please e-mail: journals.permissions@oup.com.</w:t>
            </w:r>
          </w:p>
        </w:tc>
      </w:tr>
      <w:tr w:rsidR="00B44564" w:rsidRPr="005762E6" w14:paraId="2659FE01"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F243F3D" w14:textId="77777777" w:rsidR="00B44564" w:rsidRPr="005762E6" w:rsidRDefault="00B44564" w:rsidP="00EA69AA">
            <w:pPr>
              <w:spacing w:after="120" w:line="240" w:lineRule="auto"/>
              <w:contextualSpacing/>
              <w:rPr>
                <w:sz w:val="20"/>
                <w:szCs w:val="20"/>
              </w:rPr>
            </w:pPr>
            <w:r w:rsidRPr="005762E6">
              <w:rPr>
                <w:sz w:val="20"/>
                <w:szCs w:val="20"/>
              </w:rPr>
              <w:lastRenderedPageBreak/>
              <w:t>443</w:t>
            </w:r>
          </w:p>
        </w:tc>
        <w:tc>
          <w:tcPr>
            <w:tcW w:w="0" w:type="auto"/>
            <w:tcBorders>
              <w:top w:val="single" w:sz="6" w:space="0" w:color="auto"/>
              <w:left w:val="single" w:sz="6" w:space="0" w:color="auto"/>
              <w:bottom w:val="single" w:sz="6" w:space="0" w:color="auto"/>
              <w:right w:val="single" w:sz="6" w:space="0" w:color="auto"/>
            </w:tcBorders>
          </w:tcPr>
          <w:p w14:paraId="3C9AE665"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D85855D" w14:textId="7ED3F93C" w:rsidR="00B44564" w:rsidRPr="005762E6" w:rsidRDefault="00B44564" w:rsidP="00EA69AA">
            <w:pPr>
              <w:spacing w:after="120" w:line="240" w:lineRule="auto"/>
              <w:contextualSpacing/>
              <w:rPr>
                <w:sz w:val="20"/>
                <w:szCs w:val="20"/>
              </w:rPr>
            </w:pPr>
            <w:r w:rsidRPr="005762E6">
              <w:rPr>
                <w:sz w:val="20"/>
                <w:szCs w:val="20"/>
              </w:rPr>
              <w:t xml:space="preserve">Gary A </w:t>
            </w:r>
            <w:proofErr w:type="gramStart"/>
            <w:r w:rsidRPr="005762E6">
              <w:rPr>
                <w:sz w:val="20"/>
                <w:szCs w:val="20"/>
              </w:rPr>
              <w:t>Giovino,​</w:t>
            </w:r>
            <w:proofErr w:type="gramEnd"/>
            <w:r w:rsidRPr="005762E6">
              <w:rPr>
                <w:sz w:val="20"/>
                <w:szCs w:val="20"/>
              </w:rPr>
              <w:t xml:space="preserve"> Phillip S Gardiner Understanding Tobacco Use Behaviors Among African Americans: Progress,​ Critical Gaps,​ and Opportunities</w:t>
            </w:r>
            <w:r w:rsidR="007F2F01">
              <w:rPr>
                <w:sz w:val="20"/>
                <w:szCs w:val="20"/>
              </w:rPr>
              <w:t>.</w:t>
            </w:r>
            <w:r w:rsidRPr="005762E6">
              <w:rPr>
                <w:sz w:val="20"/>
                <w:szCs w:val="20"/>
              </w:rPr>
              <w:t xml:space="preserve"> Nicotine &amp; tobacco research : official journal of the Society for Research on Nicotine and Tobacco; 2016;18 Suppl 1:S1.</w:t>
            </w:r>
            <w:r w:rsidRPr="005762E6">
              <w:rPr>
                <w:sz w:val="20"/>
                <w:szCs w:val="20"/>
              </w:rPr>
              <w:br/>
            </w:r>
            <w:r w:rsidRPr="005762E6">
              <w:rPr>
                <w:sz w:val="20"/>
                <w:szCs w:val="20"/>
              </w:rPr>
              <w:br/>
            </w:r>
            <w:r w:rsidRPr="005762E6">
              <w:rPr>
                <w:b/>
                <w:bCs/>
                <w:sz w:val="20"/>
                <w:szCs w:val="20"/>
              </w:rPr>
              <w:t>Keywords:</w:t>
            </w:r>
            <w:r w:rsidRPr="005762E6">
              <w:rPr>
                <w:sz w:val="20"/>
                <w:szCs w:val="20"/>
              </w:rPr>
              <w:br/>
              <w:t>Adult,​*African Americans/px [Psychology],​African Americans/sn [Statistics &amp; Numerical Data],​Biomedical Research/mt [Methods],​European Continental Ancestry Group/px [Psychology],​European Continental Ancestry Group/sn [Statistics &amp; Numerical Data],​Female,​Humans,​Male,​Menthol/ae [Adverse Effects],​Public Health/mt [Methods],​*Smoking/eh [Ethnology],​Smoking/td [Trends],​Smoking Cessation/eh [Ethnology],​Smoking Prevention,​Tobacco Use/eh [Ethnology],​Tobacco Use/td [Trends],​United States/ep [Epidemiology]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Although multiple factors likely influence the differences between African Americans (AAs) and whites in cardiovascular disease and lung cancer mortality rates,​ historical patterns of tobacco use,​ particularly cigarette smoking,​ are the major contributors. This issue of Nicotine &amp; Tobacco Research presents original </w:t>
            </w:r>
            <w:proofErr w:type="gramStart"/>
            <w:r w:rsidRPr="005762E6">
              <w:rPr>
                <w:sz w:val="20"/>
                <w:szCs w:val="20"/>
              </w:rPr>
              <w:t>research,​</w:t>
            </w:r>
            <w:proofErr w:type="gramEnd"/>
            <w:r w:rsidRPr="005762E6">
              <w:rPr>
                <w:sz w:val="20"/>
                <w:szCs w:val="20"/>
              </w:rPr>
              <w:t xml:space="preserve"> a review,​ and commentaries that will serve to advance our understanding of several relevant behavioral similarities and differences between AAs and whites.,​ BEHAVIORAL ANALYSIS: Here,​ we illustrate how the diverging trends in cigarette smoking between AA and white high school seniors observed since the mid-1970s were influenced by patterns of ever use and current use among ever users. During 1977 to </w:t>
            </w:r>
            <w:proofErr w:type="gramStart"/>
            <w:r w:rsidRPr="005762E6">
              <w:rPr>
                <w:sz w:val="20"/>
                <w:szCs w:val="20"/>
              </w:rPr>
              <w:t>2014,​</w:t>
            </w:r>
            <w:proofErr w:type="gramEnd"/>
            <w:r w:rsidRPr="005762E6">
              <w:rPr>
                <w:sz w:val="20"/>
                <w:szCs w:val="20"/>
              </w:rPr>
              <w:t xml:space="preserve"> the percentage of current users among ever users was higher,​ but less variable,​ among whites than AAs. Among </w:t>
            </w:r>
            <w:proofErr w:type="gramStart"/>
            <w:r w:rsidRPr="005762E6">
              <w:rPr>
                <w:sz w:val="20"/>
                <w:szCs w:val="20"/>
              </w:rPr>
              <w:t>adults,​</w:t>
            </w:r>
            <w:proofErr w:type="gramEnd"/>
            <w:r w:rsidRPr="005762E6">
              <w:rPr>
                <w:sz w:val="20"/>
                <w:szCs w:val="20"/>
              </w:rPr>
              <w:t xml:space="preserve"> trends in self-reported cigarette smoking among non-Hispanic AAs and non-Hispanic whites are available since 1978. The trends observed were likely due in part to the maturation of the high school senior cohorts from the 1970s and 1980s when AA smoking rates declined sharply relative to whites. Later age of initiation among AAs and less quitting among older </w:t>
            </w:r>
            <w:proofErr w:type="gramStart"/>
            <w:r w:rsidRPr="005762E6">
              <w:rPr>
                <w:sz w:val="20"/>
                <w:szCs w:val="20"/>
              </w:rPr>
              <w:t>AAs,​</w:t>
            </w:r>
            <w:proofErr w:type="gramEnd"/>
            <w:r w:rsidRPr="005762E6">
              <w:rPr>
                <w:sz w:val="20"/>
                <w:szCs w:val="20"/>
              </w:rPr>
              <w:t xml:space="preserve"> relative to whites,​ also contribute.,​ CONCLUSIONS: Further research on multiple topics,​ including the continuation of use among ever users,​ use of multiple combusted and noncombusted products,​ provision of </w:t>
            </w:r>
            <w:r w:rsidRPr="005762E6">
              <w:rPr>
                <w:sz w:val="20"/>
                <w:szCs w:val="20"/>
              </w:rPr>
              <w:lastRenderedPageBreak/>
              <w:t xml:space="preserve">cessation support services,​ influence of discrimination,​ and validity of self-report would expand the science base. Strategies to reduce the marketing and availability of menthol and other characterizing flavorings and to enrich environments would promote the public's health. Copyright © The Author 2016. Published by Oxford University Press on behalf of the Society for Research on Nicotine and Tobacco. All rights reserved. For </w:t>
            </w:r>
            <w:proofErr w:type="gramStart"/>
            <w:r w:rsidRPr="005762E6">
              <w:rPr>
                <w:sz w:val="20"/>
                <w:szCs w:val="20"/>
              </w:rPr>
              <w:t>permissions,​</w:t>
            </w:r>
            <w:proofErr w:type="gramEnd"/>
            <w:r w:rsidRPr="005762E6">
              <w:rPr>
                <w:sz w:val="20"/>
                <w:szCs w:val="20"/>
              </w:rPr>
              <w:t xml:space="preserve"> please e-mail: journals.permissions@oup.com.</w:t>
            </w:r>
          </w:p>
        </w:tc>
      </w:tr>
      <w:tr w:rsidR="00B44564" w:rsidRPr="005762E6" w14:paraId="70990C5D"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5722F33" w14:textId="77777777" w:rsidR="00B44564" w:rsidRPr="005762E6" w:rsidRDefault="00B44564" w:rsidP="00EA69AA">
            <w:pPr>
              <w:spacing w:after="120" w:line="240" w:lineRule="auto"/>
              <w:contextualSpacing/>
              <w:rPr>
                <w:sz w:val="20"/>
                <w:szCs w:val="20"/>
              </w:rPr>
            </w:pPr>
            <w:r w:rsidRPr="005762E6">
              <w:rPr>
                <w:sz w:val="20"/>
                <w:szCs w:val="20"/>
              </w:rPr>
              <w:lastRenderedPageBreak/>
              <w:t>445</w:t>
            </w:r>
          </w:p>
        </w:tc>
        <w:tc>
          <w:tcPr>
            <w:tcW w:w="0" w:type="auto"/>
            <w:tcBorders>
              <w:top w:val="single" w:sz="6" w:space="0" w:color="auto"/>
              <w:left w:val="single" w:sz="6" w:space="0" w:color="auto"/>
              <w:bottom w:val="single" w:sz="6" w:space="0" w:color="auto"/>
              <w:right w:val="single" w:sz="6" w:space="0" w:color="auto"/>
            </w:tcBorders>
          </w:tcPr>
          <w:p w14:paraId="68899243"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0BD1346" w14:textId="250D5EEC" w:rsidR="00B44564" w:rsidRPr="005762E6" w:rsidRDefault="00B44564" w:rsidP="00EA69AA">
            <w:pPr>
              <w:spacing w:after="120" w:line="240" w:lineRule="auto"/>
              <w:contextualSpacing/>
              <w:rPr>
                <w:sz w:val="20"/>
                <w:szCs w:val="20"/>
              </w:rPr>
            </w:pPr>
            <w:r w:rsidRPr="005762E6">
              <w:rPr>
                <w:sz w:val="20"/>
                <w:szCs w:val="20"/>
              </w:rPr>
              <w:t xml:space="preserve">Wen Qi </w:t>
            </w:r>
            <w:proofErr w:type="gramStart"/>
            <w:r w:rsidRPr="005762E6">
              <w:rPr>
                <w:sz w:val="20"/>
                <w:szCs w:val="20"/>
              </w:rPr>
              <w:t>Gan,​</w:t>
            </w:r>
            <w:proofErr w:type="gramEnd"/>
            <w:r w:rsidRPr="005762E6">
              <w:rPr>
                <w:sz w:val="20"/>
                <w:szCs w:val="20"/>
              </w:rPr>
              <w:t xml:space="preserve"> Steve Estus,​ Jonathan H Smith Association Between Overall and Mentholated Cigarette Smoking With Headache in a Nationally Representative Sample</w:t>
            </w:r>
            <w:r w:rsidR="007F2F01">
              <w:rPr>
                <w:sz w:val="20"/>
                <w:szCs w:val="20"/>
              </w:rPr>
              <w:t>.</w:t>
            </w:r>
            <w:r w:rsidRPr="005762E6">
              <w:rPr>
                <w:sz w:val="20"/>
                <w:szCs w:val="20"/>
              </w:rPr>
              <w:t xml:space="preserve"> Headache; 2016;56:511.</w:t>
            </w:r>
            <w:r w:rsidRPr="005762E6">
              <w:rPr>
                <w:sz w:val="20"/>
                <w:szCs w:val="20"/>
              </w:rPr>
              <w:br/>
            </w:r>
            <w:r w:rsidRPr="005762E6">
              <w:rPr>
                <w:sz w:val="20"/>
                <w:szCs w:val="20"/>
              </w:rPr>
              <w:br/>
            </w:r>
            <w:r w:rsidRPr="005762E6">
              <w:rPr>
                <w:b/>
                <w:bCs/>
                <w:sz w:val="20"/>
                <w:szCs w:val="20"/>
              </w:rPr>
              <w:t>Keywords:</w:t>
            </w:r>
            <w:r w:rsidRPr="005762E6">
              <w:rPr>
                <w:sz w:val="20"/>
                <w:szCs w:val="20"/>
              </w:rPr>
              <w:br/>
              <w:t>Adult,​Cross-Sectional Studies,​Female,​*Headache/ep [Epidemiology],​Humans,​Male,​*Menthol/ad [Administration &amp; Dosage],​Middle Aged,​Nutrition Surveys,​*Smoking/ae [Adverse Effects],​*Tobacco Products,​Young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OBJECTIVE: The objective of this study was to determine associations between cigarette smoking and the existence of headache in a nationally representative sample,​ with attention to differences in effect estimates between mentholated and non-mentholated cigarettes smoking.,​ METHODS: We examined cross-sectional associations between cigarette smoking and headache in 8,​399 adults who participated in the National Health and Nutrition Examination Survey (NHANES) 1999-2004. The existence of headache was determined by an affirmative response to the question "During the past 3 </w:t>
            </w:r>
            <w:proofErr w:type="gramStart"/>
            <w:r w:rsidRPr="005762E6">
              <w:rPr>
                <w:sz w:val="20"/>
                <w:szCs w:val="20"/>
              </w:rPr>
              <w:t>months,​</w:t>
            </w:r>
            <w:proofErr w:type="gramEnd"/>
            <w:r w:rsidRPr="005762E6">
              <w:rPr>
                <w:sz w:val="20"/>
                <w:szCs w:val="20"/>
              </w:rPr>
              <w:t xml:space="preserve"> did you have severe headaches or migraines?" Further refinement of headache diagnosis was not possible. We used logistic regression models to examine the association between cigarette smoking and headache</w:t>
            </w:r>
            <w:proofErr w:type="gramStart"/>
            <w:r w:rsidRPr="005762E6">
              <w:rPr>
                <w:sz w:val="20"/>
                <w:szCs w:val="20"/>
              </w:rPr>
              <w:t>.,​</w:t>
            </w:r>
            <w:proofErr w:type="gramEnd"/>
            <w:r w:rsidRPr="005762E6">
              <w:rPr>
                <w:sz w:val="20"/>
                <w:szCs w:val="20"/>
              </w:rPr>
              <w:t xml:space="preserve"> RESULTS: The current study included 8,​399 participants aged 20 years and over,​ including 68% (n=5491) never smokers and 32% (n=2548) current smokers. Among the current </w:t>
            </w:r>
            <w:proofErr w:type="gramStart"/>
            <w:r w:rsidRPr="005762E6">
              <w:rPr>
                <w:sz w:val="20"/>
                <w:szCs w:val="20"/>
              </w:rPr>
              <w:t>smokers,​</w:t>
            </w:r>
            <w:proofErr w:type="gramEnd"/>
            <w:r w:rsidRPr="005762E6">
              <w:rPr>
                <w:sz w:val="20"/>
                <w:szCs w:val="20"/>
              </w:rPr>
              <w:t xml:space="preserve"> 24% (n=739) smoked menthol cigarettes,​ and 76% (n=1719) smoked non-menthol cigarettes. Compared with never </w:t>
            </w:r>
            <w:proofErr w:type="gramStart"/>
            <w:r w:rsidRPr="005762E6">
              <w:rPr>
                <w:sz w:val="20"/>
                <w:szCs w:val="20"/>
              </w:rPr>
              <w:t>smokers,​</w:t>
            </w:r>
            <w:proofErr w:type="gramEnd"/>
            <w:r w:rsidRPr="005762E6">
              <w:rPr>
                <w:sz w:val="20"/>
                <w:szCs w:val="20"/>
              </w:rPr>
              <w:t xml:space="preserve"> after adjustment for potential confounding factors,​ current smokers were more likely to have headache (OR: 1.38; 95% CI: 1.17-1.62; P&lt;.001). With the increase of both the number of cigarettes smoked daily and pack-years of </w:t>
            </w:r>
            <w:proofErr w:type="gramStart"/>
            <w:r w:rsidRPr="005762E6">
              <w:rPr>
                <w:sz w:val="20"/>
                <w:szCs w:val="20"/>
              </w:rPr>
              <w:t>smoking,​</w:t>
            </w:r>
            <w:proofErr w:type="gramEnd"/>
            <w:r w:rsidRPr="005762E6">
              <w:rPr>
                <w:sz w:val="20"/>
                <w:szCs w:val="20"/>
              </w:rPr>
              <w:t xml:space="preserve"> the likelihood of having headache was significantly increased compared with never smokers (P for linear trend&lt;.001). Compared with non-mentholated </w:t>
            </w:r>
            <w:proofErr w:type="gramStart"/>
            <w:r w:rsidRPr="005762E6">
              <w:rPr>
                <w:sz w:val="20"/>
                <w:szCs w:val="20"/>
              </w:rPr>
              <w:t>smokers,​</w:t>
            </w:r>
            <w:proofErr w:type="gramEnd"/>
            <w:r w:rsidRPr="005762E6">
              <w:rPr>
                <w:sz w:val="20"/>
                <w:szCs w:val="20"/>
              </w:rPr>
              <w:t xml:space="preserve"> mentholated smokers were not more likely to have headache (P=.302).,​ CONCLUSIONS: Based on a nationally representative sample,​ we found that cigarette smoking was associated with headache in an exposure-response manner. Mentholated cigarette smokers were not more likely to have headache compared to non-mentholated cigarette smokers. Copyright © 2016 American Headache Society.</w:t>
            </w:r>
          </w:p>
        </w:tc>
      </w:tr>
      <w:tr w:rsidR="00B44564" w:rsidRPr="005762E6" w14:paraId="30894F71"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A7C44DF" w14:textId="77777777" w:rsidR="00B44564" w:rsidRPr="005762E6" w:rsidRDefault="00B44564" w:rsidP="00EA69AA">
            <w:pPr>
              <w:spacing w:after="120" w:line="240" w:lineRule="auto"/>
              <w:contextualSpacing/>
              <w:rPr>
                <w:sz w:val="20"/>
                <w:szCs w:val="20"/>
              </w:rPr>
            </w:pPr>
            <w:r w:rsidRPr="005762E6">
              <w:rPr>
                <w:sz w:val="20"/>
                <w:szCs w:val="20"/>
              </w:rPr>
              <w:t>446</w:t>
            </w:r>
          </w:p>
        </w:tc>
        <w:tc>
          <w:tcPr>
            <w:tcW w:w="0" w:type="auto"/>
            <w:tcBorders>
              <w:top w:val="single" w:sz="6" w:space="0" w:color="auto"/>
              <w:left w:val="single" w:sz="6" w:space="0" w:color="auto"/>
              <w:bottom w:val="single" w:sz="6" w:space="0" w:color="auto"/>
              <w:right w:val="single" w:sz="6" w:space="0" w:color="auto"/>
            </w:tcBorders>
          </w:tcPr>
          <w:p w14:paraId="4C6AF268"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DE25FFD" w14:textId="0CFF3B69" w:rsidR="00B44564" w:rsidRPr="005762E6" w:rsidRDefault="00B44564" w:rsidP="00EA69AA">
            <w:pPr>
              <w:spacing w:after="120" w:line="240" w:lineRule="auto"/>
              <w:contextualSpacing/>
              <w:rPr>
                <w:sz w:val="20"/>
                <w:szCs w:val="20"/>
              </w:rPr>
            </w:pPr>
            <w:r w:rsidRPr="005762E6">
              <w:rPr>
                <w:sz w:val="20"/>
                <w:szCs w:val="20"/>
              </w:rPr>
              <w:t xml:space="preserve">Se-Jung </w:t>
            </w:r>
            <w:proofErr w:type="gramStart"/>
            <w:r w:rsidRPr="005762E6">
              <w:rPr>
                <w:sz w:val="20"/>
                <w:szCs w:val="20"/>
              </w:rPr>
              <w:t>Park,​</w:t>
            </w:r>
            <w:proofErr w:type="gramEnd"/>
            <w:r w:rsidRPr="005762E6">
              <w:rPr>
                <w:sz w:val="20"/>
                <w:szCs w:val="20"/>
              </w:rPr>
              <w:t xml:space="preserve"> Bitna Yi,​ Ho-Sun Lee,​ Woo-Yeon Oh,​ Hyun-Kyung Na,​ Minjeong Lee,​ Mihi Yang To quit or not: Vulnerability of women to smoking tobacco</w:t>
            </w:r>
            <w:r w:rsidR="007F2F01">
              <w:rPr>
                <w:sz w:val="20"/>
                <w:szCs w:val="20"/>
              </w:rPr>
              <w:t>.</w:t>
            </w:r>
            <w:r w:rsidRPr="005762E6">
              <w:rPr>
                <w:sz w:val="20"/>
                <w:szCs w:val="20"/>
              </w:rPr>
              <w:t xml:space="preserve"> Journal of environmental science and health. Part </w:t>
            </w:r>
            <w:proofErr w:type="gramStart"/>
            <w:r w:rsidRPr="005762E6">
              <w:rPr>
                <w:sz w:val="20"/>
                <w:szCs w:val="20"/>
              </w:rPr>
              <w:t>C,​</w:t>
            </w:r>
            <w:proofErr w:type="gramEnd"/>
            <w:r w:rsidRPr="005762E6">
              <w:rPr>
                <w:sz w:val="20"/>
                <w:szCs w:val="20"/>
              </w:rPr>
              <w:t xml:space="preserve"> Environmental carcinogenesis &amp; ecotoxicology reviews; 2016;34:33.</w:t>
            </w:r>
            <w:r w:rsidRPr="005762E6">
              <w:rPr>
                <w:sz w:val="20"/>
                <w:szCs w:val="20"/>
              </w:rPr>
              <w:br/>
            </w:r>
            <w:r w:rsidRPr="005762E6">
              <w:rPr>
                <w:sz w:val="20"/>
                <w:szCs w:val="20"/>
              </w:rPr>
              <w:br/>
            </w:r>
            <w:r w:rsidRPr="005762E6">
              <w:rPr>
                <w:b/>
                <w:bCs/>
                <w:sz w:val="20"/>
                <w:szCs w:val="20"/>
              </w:rPr>
              <w:t>Keywords:</w:t>
            </w:r>
            <w:r w:rsidRPr="005762E6">
              <w:rPr>
                <w:sz w:val="20"/>
                <w:szCs w:val="20"/>
              </w:rPr>
              <w:br/>
              <w:t>Behavior,​ Addictive,​Epigenesis,​ Genetic,​Female,​Genetic Predisposition to Disease,​Hormones/ge [Genetics],​Hormones/me [Metabolism],​Humans,​Male,​Menthol/pd [Pharmacology],​*Nicotine/pk [Pharmacokinetics],​*Smoking/ge [Genetics],​Smoking Cessation,​*Smoking Prevention,​Socioeconomic Factors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Tobacco smoking is currently on the rise among women,​ and can pose a greater health risk. In order to understand the nature of the increase in smoking prevalence among </w:t>
            </w:r>
            <w:proofErr w:type="gramStart"/>
            <w:r w:rsidRPr="005762E6">
              <w:rPr>
                <w:sz w:val="20"/>
                <w:szCs w:val="20"/>
              </w:rPr>
              <w:t>women,​</w:t>
            </w:r>
            <w:proofErr w:type="gramEnd"/>
            <w:r w:rsidRPr="005762E6">
              <w:rPr>
                <w:sz w:val="20"/>
                <w:szCs w:val="20"/>
              </w:rPr>
              <w:t xml:space="preserve"> we focused on the vulnerability of women to smoking behaviors--smoking cessation or tobacco addiction--and performed a systematic review of the socioeconomic and intrinsic factors as well as tobacco ingredients that affect women's susceptibility to smoking tobacco. We observed that nicotine and other tobacco components including cocoa-</w:t>
            </w:r>
            <w:proofErr w:type="gramStart"/>
            <w:r w:rsidRPr="005762E6">
              <w:rPr>
                <w:sz w:val="20"/>
                <w:szCs w:val="20"/>
              </w:rPr>
              <w:t>relatives,​</w:t>
            </w:r>
            <w:proofErr w:type="gramEnd"/>
            <w:r w:rsidRPr="005762E6">
              <w:rPr>
                <w:sz w:val="20"/>
                <w:szCs w:val="20"/>
              </w:rPr>
              <w:t xml:space="preserve"> licorice products,​ and menthol aggravate tobacco addiction in women rather than in men. Various genetic and epigenetic alterations in dopamine pathway and the pharmaco-kinetics and -dynamic factors of nicotine also showed potential evidences for high susceptibility to tobacco addiction in women. </w:t>
            </w:r>
            <w:proofErr w:type="gramStart"/>
            <w:r w:rsidRPr="005762E6">
              <w:rPr>
                <w:sz w:val="20"/>
                <w:szCs w:val="20"/>
              </w:rPr>
              <w:t>Therefore,​</w:t>
            </w:r>
            <w:proofErr w:type="gramEnd"/>
            <w:r w:rsidRPr="005762E6">
              <w:rPr>
                <w:sz w:val="20"/>
                <w:szCs w:val="20"/>
              </w:rPr>
              <w:t xml:space="preserve"> we suggest systemic approaches to prevent tobacco smoking-related health risks,​ considering gene-environment-gender interaction.</w:t>
            </w:r>
          </w:p>
        </w:tc>
      </w:tr>
      <w:tr w:rsidR="00B44564" w:rsidRPr="005762E6" w14:paraId="34BFE841"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EB9766C" w14:textId="77777777" w:rsidR="00B44564" w:rsidRPr="005762E6" w:rsidRDefault="00B44564" w:rsidP="00EA69AA">
            <w:pPr>
              <w:spacing w:after="120" w:line="240" w:lineRule="auto"/>
              <w:contextualSpacing/>
              <w:rPr>
                <w:sz w:val="20"/>
                <w:szCs w:val="20"/>
              </w:rPr>
            </w:pPr>
            <w:r w:rsidRPr="005762E6">
              <w:rPr>
                <w:sz w:val="20"/>
                <w:szCs w:val="20"/>
              </w:rPr>
              <w:lastRenderedPageBreak/>
              <w:t>448</w:t>
            </w:r>
          </w:p>
        </w:tc>
        <w:tc>
          <w:tcPr>
            <w:tcW w:w="0" w:type="auto"/>
            <w:tcBorders>
              <w:top w:val="single" w:sz="6" w:space="0" w:color="auto"/>
              <w:left w:val="single" w:sz="6" w:space="0" w:color="auto"/>
              <w:bottom w:val="single" w:sz="6" w:space="0" w:color="auto"/>
              <w:right w:val="single" w:sz="6" w:space="0" w:color="auto"/>
            </w:tcBorders>
          </w:tcPr>
          <w:p w14:paraId="4C00D4F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6F5F4DF" w14:textId="3696DD0C" w:rsidR="00B44564" w:rsidRPr="005762E6" w:rsidRDefault="00B44564" w:rsidP="00EA69AA">
            <w:pPr>
              <w:spacing w:after="120" w:line="240" w:lineRule="auto"/>
              <w:contextualSpacing/>
              <w:rPr>
                <w:sz w:val="20"/>
                <w:szCs w:val="20"/>
              </w:rPr>
            </w:pPr>
            <w:r w:rsidRPr="005762E6">
              <w:rPr>
                <w:sz w:val="20"/>
                <w:szCs w:val="20"/>
              </w:rPr>
              <w:t xml:space="preserve">Michael S </w:t>
            </w:r>
            <w:proofErr w:type="gramStart"/>
            <w:r w:rsidRPr="005762E6">
              <w:rPr>
                <w:sz w:val="20"/>
                <w:szCs w:val="20"/>
              </w:rPr>
              <w:t>Amato,​</w:t>
            </w:r>
            <w:proofErr w:type="gramEnd"/>
            <w:r w:rsidRPr="005762E6">
              <w:rPr>
                <w:sz w:val="20"/>
                <w:szCs w:val="20"/>
              </w:rPr>
              <w:t xml:space="preserve"> Joanne D'Silva,​ Raymond G Boyle Slowing Menthol's Progress: Differential Impact of a Tobacco Tax Increase on Cigarette Sales</w:t>
            </w:r>
            <w:r w:rsidR="007F2F01">
              <w:rPr>
                <w:sz w:val="20"/>
                <w:szCs w:val="20"/>
              </w:rPr>
              <w:t>.</w:t>
            </w:r>
            <w:r w:rsidRPr="005762E6">
              <w:rPr>
                <w:sz w:val="20"/>
                <w:szCs w:val="20"/>
              </w:rPr>
              <w:t xml:space="preserve"> Nicotine &amp; tobacco research : official journal of the Society for Research on Nicotine and Tobacco; 2016;18:1303.</w:t>
            </w:r>
            <w:r w:rsidRPr="005762E6">
              <w:rPr>
                <w:sz w:val="20"/>
                <w:szCs w:val="20"/>
              </w:rPr>
              <w:br/>
            </w:r>
            <w:r w:rsidRPr="005762E6">
              <w:rPr>
                <w:sz w:val="20"/>
                <w:szCs w:val="20"/>
              </w:rPr>
              <w:br/>
            </w:r>
            <w:r w:rsidRPr="005762E6">
              <w:rPr>
                <w:b/>
                <w:bCs/>
                <w:sz w:val="20"/>
                <w:szCs w:val="20"/>
              </w:rPr>
              <w:t>Keywords:</w:t>
            </w:r>
            <w:r w:rsidRPr="005762E6">
              <w:rPr>
                <w:sz w:val="20"/>
                <w:szCs w:val="20"/>
              </w:rPr>
              <w:br/>
              <w:t>*Commerce/sn [Statistics &amp; Numerical Data],​Humans,​*Menthol,​Minnesota/ep [Epidemiology],​Regression Analysis,​Smoking/ep [Epidemiology],​*Smoking/td [Trends],​*Taxes/lj [Legislation &amp; Jurisprudence],​*Tobacco,​Tobacco Industry,​*Tobacco Products/ec [Economics]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OBJECTIVES: The proportion of smokers who use menthol cigarettes has increased nationally since 2004,​ while use of non-menthol cigarettes is declining,​ suggesting that menthol may be undermining the effectiveness of population level tobacco control efforts. In 2013 Minnesota passed a .75 cigarette tax increase. We investigated whether sales of menthol and non-menthol cigarettes were differentially affected by the price increase</w:t>
            </w:r>
            <w:proofErr w:type="gramStart"/>
            <w:r w:rsidRPr="005762E6">
              <w:rPr>
                <w:sz w:val="20"/>
                <w:szCs w:val="20"/>
              </w:rPr>
              <w:t>.,​</w:t>
            </w:r>
            <w:proofErr w:type="gramEnd"/>
            <w:r w:rsidRPr="005762E6">
              <w:rPr>
                <w:sz w:val="20"/>
                <w:szCs w:val="20"/>
              </w:rPr>
              <w:t xml:space="preserve"> METHODS: Cigarette sales data from convenience stores in the Minneapolis,​ Minnesota,​ metro area from January 2012,​ through May 2015,​ were obtained. Proportion of sales accounted for by menthol cigarettes was analyzed with segmented regression</w:t>
            </w:r>
            <w:proofErr w:type="gramStart"/>
            <w:r w:rsidRPr="005762E6">
              <w:rPr>
                <w:sz w:val="20"/>
                <w:szCs w:val="20"/>
              </w:rPr>
              <w:t>.,​</w:t>
            </w:r>
            <w:proofErr w:type="gramEnd"/>
            <w:r w:rsidRPr="005762E6">
              <w:rPr>
                <w:sz w:val="20"/>
                <w:szCs w:val="20"/>
              </w:rPr>
              <w:t xml:space="preserve"> RESULTS: Before the price increase,​ menthol cigarettes gained 2.21% (1.17,​ 3.12) of market share annually. Following the price </w:t>
            </w:r>
            <w:proofErr w:type="gramStart"/>
            <w:r w:rsidRPr="005762E6">
              <w:rPr>
                <w:sz w:val="20"/>
                <w:szCs w:val="20"/>
              </w:rPr>
              <w:t>increase,​</w:t>
            </w:r>
            <w:proofErr w:type="gramEnd"/>
            <w:r w:rsidRPr="005762E6">
              <w:rPr>
                <w:sz w:val="20"/>
                <w:szCs w:val="20"/>
              </w:rPr>
              <w:t xml:space="preserve"> the trend slowed to 0.26% (-0.78,​ 1.56) annually. The slope before the price increase was significantly positive; the slope following the price increase did not significantly differ from zero</w:t>
            </w:r>
            <w:proofErr w:type="gramStart"/>
            <w:r w:rsidRPr="005762E6">
              <w:rPr>
                <w:sz w:val="20"/>
                <w:szCs w:val="20"/>
              </w:rPr>
              <w:t>.,​</w:t>
            </w:r>
            <w:proofErr w:type="gramEnd"/>
            <w:r w:rsidRPr="005762E6">
              <w:rPr>
                <w:sz w:val="20"/>
                <w:szCs w:val="20"/>
              </w:rPr>
              <w:t xml:space="preserve"> CONCLUSIONS: Sales of menthol cigarettes declined less rapidly than non-menthol cigarettes before the price increase. Sales of menthol and non-menthol cigarettes declined at more comparable rates after the price increase. Increasing the price of tobacco may help ensure declines in consumption are more evenly distributed across menthol and non-menthol cigarettes</w:t>
            </w:r>
            <w:proofErr w:type="gramStart"/>
            <w:r w:rsidRPr="005762E6">
              <w:rPr>
                <w:sz w:val="20"/>
                <w:szCs w:val="20"/>
              </w:rPr>
              <w:t>.,​</w:t>
            </w:r>
            <w:proofErr w:type="gramEnd"/>
            <w:r w:rsidRPr="005762E6">
              <w:rPr>
                <w:sz w:val="20"/>
                <w:szCs w:val="20"/>
              </w:rPr>
              <w:t xml:space="preserve"> IMPLICATIONS: Using sales data,​ we found that a trend of increasing market share for menthol cigarettes was significantly reduced by a .75 cigarette price increase. These results suggest that cigarette price </w:t>
            </w:r>
            <w:proofErr w:type="gramStart"/>
            <w:r w:rsidRPr="005762E6">
              <w:rPr>
                <w:sz w:val="20"/>
                <w:szCs w:val="20"/>
              </w:rPr>
              <w:t>increases,​</w:t>
            </w:r>
            <w:proofErr w:type="gramEnd"/>
            <w:r w:rsidRPr="005762E6">
              <w:rPr>
                <w:sz w:val="20"/>
                <w:szCs w:val="20"/>
              </w:rPr>
              <w:t xml:space="preserve"> a core tobacco control policy,​ may have a greater effect on menthol smokers than non-menthol smokers. Copyright © The Author 2015. Published by Oxford University Press on behalf of the Society for Research on Nicotine and Tobacco. All rights reserved. For </w:t>
            </w:r>
            <w:proofErr w:type="gramStart"/>
            <w:r w:rsidRPr="005762E6">
              <w:rPr>
                <w:sz w:val="20"/>
                <w:szCs w:val="20"/>
              </w:rPr>
              <w:t>permissions,​</w:t>
            </w:r>
            <w:proofErr w:type="gramEnd"/>
            <w:r w:rsidRPr="005762E6">
              <w:rPr>
                <w:sz w:val="20"/>
                <w:szCs w:val="20"/>
              </w:rPr>
              <w:t xml:space="preserve"> please e-mail: journals.permissions@oup.com.</w:t>
            </w:r>
          </w:p>
        </w:tc>
      </w:tr>
      <w:tr w:rsidR="00B44564" w:rsidRPr="005762E6" w14:paraId="2AEA63B9"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13DC5E7" w14:textId="77777777" w:rsidR="00B44564" w:rsidRPr="005762E6" w:rsidRDefault="00B44564" w:rsidP="00EA69AA">
            <w:pPr>
              <w:spacing w:after="120" w:line="240" w:lineRule="auto"/>
              <w:contextualSpacing/>
              <w:rPr>
                <w:sz w:val="20"/>
                <w:szCs w:val="20"/>
              </w:rPr>
            </w:pPr>
            <w:r w:rsidRPr="005762E6">
              <w:rPr>
                <w:sz w:val="20"/>
                <w:szCs w:val="20"/>
              </w:rPr>
              <w:t>452</w:t>
            </w:r>
          </w:p>
        </w:tc>
        <w:tc>
          <w:tcPr>
            <w:tcW w:w="0" w:type="auto"/>
            <w:tcBorders>
              <w:top w:val="single" w:sz="6" w:space="0" w:color="auto"/>
              <w:left w:val="single" w:sz="6" w:space="0" w:color="auto"/>
              <w:bottom w:val="single" w:sz="6" w:space="0" w:color="auto"/>
              <w:right w:val="single" w:sz="6" w:space="0" w:color="auto"/>
            </w:tcBorders>
          </w:tcPr>
          <w:p w14:paraId="79DE02E9"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522963C" w14:textId="54AAEE26" w:rsidR="00B44564" w:rsidRPr="005762E6" w:rsidRDefault="00B44564" w:rsidP="00EA69AA">
            <w:pPr>
              <w:spacing w:after="120" w:line="240" w:lineRule="auto"/>
              <w:contextualSpacing/>
              <w:rPr>
                <w:sz w:val="20"/>
                <w:szCs w:val="20"/>
              </w:rPr>
            </w:pPr>
            <w:r w:rsidRPr="005762E6">
              <w:rPr>
                <w:sz w:val="20"/>
                <w:szCs w:val="20"/>
              </w:rPr>
              <w:t xml:space="preserve">Pebbles </w:t>
            </w:r>
            <w:proofErr w:type="gramStart"/>
            <w:r w:rsidRPr="005762E6">
              <w:rPr>
                <w:sz w:val="20"/>
                <w:szCs w:val="20"/>
              </w:rPr>
              <w:t>Fagan,​</w:t>
            </w:r>
            <w:proofErr w:type="gramEnd"/>
            <w:r w:rsidRPr="005762E6">
              <w:rPr>
                <w:sz w:val="20"/>
                <w:szCs w:val="20"/>
              </w:rPr>
              <w:t xml:space="preserve"> Pallav Pokhrel,​ Thaddeus A Herzog,​ Ian S Pagano,​ Adrian A Franke,​ Mark S Clanton,​ Linda A Alexander,​ Dennis R Trinidad,​ Kari-Lyn K Sakuma,​ Carl A Johnson,​ Eric T Moolchan Nicotine Metabolism in Young Adult Daily Menthol and Nonmenthol Smokers</w:t>
            </w:r>
            <w:r w:rsidR="007F2F01">
              <w:rPr>
                <w:sz w:val="20"/>
                <w:szCs w:val="20"/>
              </w:rPr>
              <w:t>.</w:t>
            </w:r>
            <w:r w:rsidRPr="005762E6">
              <w:rPr>
                <w:sz w:val="20"/>
                <w:szCs w:val="20"/>
              </w:rPr>
              <w:t xml:space="preserve"> Nicotine &amp; tobacco research : official journal of the Society for Research on Nicotine and Tobacco; 2016;18:437.</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Adolescent,​Adult,​Biomarkers/an [Analysis],​Biomarkers/me [Metabolism],​Carbon Monoxide/an [Analysis],​Cotinine/aa [Analogs &amp; Derivatives],​Cotinine/me [Metabolism],​Female,​Humans,​Male,​Menthol/an [Analysis],​*Menthol/me [Metabolism],​Nicotine/an [Analysis],​*Nicotine/me [Metabolism],​Saliva/ch [Chemistry],​Smoking/eh [Ethnology],​*Smoking/me [Metabolism],​Tobacco Products/an [Analysis],​*Tobacco Products,​Young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INTRODUCTION: Menthol cigarette smoking may increase the risk for tobacco smoke exposure and inhibit nicotine metabolism in the liver. Nicotine metabolism is primarily mediated by the enzyme CYP2A6 and the nicotine metabolite ratio (NMR = trans 3' hydroxycotinine/cotinine) is a phenotypic proxy for CYP2A6 activity. No studies have examined differences in this biomarker among young adult daily menthol and nonmenthol smokers. This study compares biomarkers of tobacco smoke exposure among young adult daily menthol and nonmenthol smokers</w:t>
            </w:r>
            <w:proofErr w:type="gramStart"/>
            <w:r w:rsidRPr="005762E6">
              <w:rPr>
                <w:sz w:val="20"/>
                <w:szCs w:val="20"/>
              </w:rPr>
              <w:t>.,​</w:t>
            </w:r>
            <w:proofErr w:type="gramEnd"/>
            <w:r w:rsidRPr="005762E6">
              <w:rPr>
                <w:sz w:val="20"/>
                <w:szCs w:val="20"/>
              </w:rPr>
              <w:t xml:space="preserve"> METHODS: Saliva cotinine and carbon monoxide were measured in a multiethnic sample of daily smokers aged 18-35 (n = 186). </w:t>
            </w:r>
            <w:proofErr w:type="gramStart"/>
            <w:r w:rsidRPr="005762E6">
              <w:rPr>
                <w:sz w:val="20"/>
                <w:szCs w:val="20"/>
              </w:rPr>
              <w:t>Nicotine,​</w:t>
            </w:r>
            <w:proofErr w:type="gramEnd"/>
            <w:r w:rsidRPr="005762E6">
              <w:rPr>
                <w:sz w:val="20"/>
                <w:szCs w:val="20"/>
              </w:rPr>
              <w:t xml:space="preserve"> cotinine,​ the cotinine/cigarette per day ratio,​ trans 3' hydroxycotinine,​ the NMR,​ and expired carbon monoxide were compared.,​ RESULTS: The geometric means for nicotine,​ cotinine,​ and the cotinine/cigarette per day ratio did not significantly differ between menthol and nonmenthol smokers. The NMR was significantly lower among menthol compared with nonmenthol smokers after adjusting for race/</w:t>
            </w:r>
            <w:proofErr w:type="gramStart"/>
            <w:r w:rsidRPr="005762E6">
              <w:rPr>
                <w:sz w:val="20"/>
                <w:szCs w:val="20"/>
              </w:rPr>
              <w:t>ethnicity,​</w:t>
            </w:r>
            <w:proofErr w:type="gramEnd"/>
            <w:r w:rsidRPr="005762E6">
              <w:rPr>
                <w:sz w:val="20"/>
                <w:szCs w:val="20"/>
              </w:rPr>
              <w:t xml:space="preserve"> gender,​ body mass index,​ and cigarette smoked per day (0.19 vs. 0.24,​ P = .03). White menthol smokers had significantly higher cotinine/cigarettes per day ratio </w:t>
            </w:r>
            <w:r w:rsidRPr="005762E6">
              <w:rPr>
                <w:sz w:val="20"/>
                <w:szCs w:val="20"/>
              </w:rPr>
              <w:lastRenderedPageBreak/>
              <w:t xml:space="preserve">than white nonmenthol smokers in the adjusted model. White menthol smokers had a lower NMR in the unadjusted model (0.24 vs. </w:t>
            </w:r>
            <w:proofErr w:type="gramStart"/>
            <w:r w:rsidRPr="005762E6">
              <w:rPr>
                <w:sz w:val="20"/>
                <w:szCs w:val="20"/>
              </w:rPr>
              <w:t>0.31,​</w:t>
            </w:r>
            <w:proofErr w:type="gramEnd"/>
            <w:r w:rsidRPr="005762E6">
              <w:rPr>
                <w:sz w:val="20"/>
                <w:szCs w:val="20"/>
              </w:rPr>
              <w:t xml:space="preserve"> P = .05) and the differences remained marginally significant in the adjusted model (0.28 vs. 0.34,​ P = .06). We did not observe these differences in Native Hawaiians and Filipinos</w:t>
            </w:r>
            <w:proofErr w:type="gramStart"/>
            <w:r w:rsidRPr="005762E6">
              <w:rPr>
                <w:sz w:val="20"/>
                <w:szCs w:val="20"/>
              </w:rPr>
              <w:t>.,​</w:t>
            </w:r>
            <w:proofErr w:type="gramEnd"/>
            <w:r w:rsidRPr="005762E6">
              <w:rPr>
                <w:sz w:val="20"/>
                <w:szCs w:val="20"/>
              </w:rPr>
              <w:t xml:space="preserve"> CONCLUSIONS: Young adult daily menthol smokers have slower rates of nicotine metabolism than nonmenthol smokers. Studies are needed to determine the utility of this biomarker for smoking cessation treatment assignments. Copyright © The Author 2015. Published by Oxford University Press on behalf of the Society for Research on Nicotine and Tobacco. All rights reserved. For </w:t>
            </w:r>
            <w:proofErr w:type="gramStart"/>
            <w:r w:rsidRPr="005762E6">
              <w:rPr>
                <w:sz w:val="20"/>
                <w:szCs w:val="20"/>
              </w:rPr>
              <w:t>permissions,​</w:t>
            </w:r>
            <w:proofErr w:type="gramEnd"/>
            <w:r w:rsidRPr="005762E6">
              <w:rPr>
                <w:sz w:val="20"/>
                <w:szCs w:val="20"/>
              </w:rPr>
              <w:t xml:space="preserve"> please e-mail: journals.permissions@oup.com.</w:t>
            </w:r>
          </w:p>
        </w:tc>
      </w:tr>
      <w:tr w:rsidR="00B44564" w:rsidRPr="005762E6" w14:paraId="1E19D704"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D008792" w14:textId="77777777" w:rsidR="00B44564" w:rsidRPr="005762E6" w:rsidRDefault="00B44564" w:rsidP="00EA69AA">
            <w:pPr>
              <w:spacing w:after="120" w:line="240" w:lineRule="auto"/>
              <w:contextualSpacing/>
              <w:rPr>
                <w:sz w:val="20"/>
                <w:szCs w:val="20"/>
              </w:rPr>
            </w:pPr>
            <w:r w:rsidRPr="005762E6">
              <w:rPr>
                <w:sz w:val="20"/>
                <w:szCs w:val="20"/>
              </w:rPr>
              <w:lastRenderedPageBreak/>
              <w:t>453</w:t>
            </w:r>
          </w:p>
        </w:tc>
        <w:tc>
          <w:tcPr>
            <w:tcW w:w="0" w:type="auto"/>
            <w:tcBorders>
              <w:top w:val="single" w:sz="6" w:space="0" w:color="auto"/>
              <w:left w:val="single" w:sz="6" w:space="0" w:color="auto"/>
              <w:bottom w:val="single" w:sz="6" w:space="0" w:color="auto"/>
              <w:right w:val="single" w:sz="6" w:space="0" w:color="auto"/>
            </w:tcBorders>
          </w:tcPr>
          <w:p w14:paraId="185DE44D"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50C25FA" w14:textId="3C7F0B03" w:rsidR="00B44564" w:rsidRPr="005762E6" w:rsidRDefault="00B44564" w:rsidP="00EA69AA">
            <w:pPr>
              <w:spacing w:after="120" w:line="240" w:lineRule="auto"/>
              <w:contextualSpacing/>
              <w:rPr>
                <w:sz w:val="20"/>
                <w:szCs w:val="20"/>
              </w:rPr>
            </w:pPr>
            <w:r w:rsidRPr="005762E6">
              <w:rPr>
                <w:sz w:val="20"/>
                <w:szCs w:val="20"/>
              </w:rPr>
              <w:t xml:space="preserve">Daniel </w:t>
            </w:r>
            <w:proofErr w:type="gramStart"/>
            <w:r w:rsidRPr="005762E6">
              <w:rPr>
                <w:sz w:val="20"/>
                <w:szCs w:val="20"/>
              </w:rPr>
              <w:t>Stevens,​</w:t>
            </w:r>
            <w:proofErr w:type="gramEnd"/>
            <w:r w:rsidRPr="005762E6">
              <w:rPr>
                <w:sz w:val="20"/>
                <w:szCs w:val="20"/>
              </w:rPr>
              <w:t xml:space="preserve"> Stanton Glantz Tobacco documents reveal questionable professional recertification by industry menthol expert</w:t>
            </w:r>
            <w:r w:rsidR="007F2F01">
              <w:rPr>
                <w:sz w:val="20"/>
                <w:szCs w:val="20"/>
              </w:rPr>
              <w:t>.</w:t>
            </w:r>
            <w:r w:rsidRPr="005762E6">
              <w:rPr>
                <w:sz w:val="20"/>
                <w:szCs w:val="20"/>
              </w:rPr>
              <w:t xml:space="preserve"> Tobacco control; 2016;25:364.</w:t>
            </w:r>
            <w:r w:rsidRPr="005762E6">
              <w:rPr>
                <w:sz w:val="20"/>
                <w:szCs w:val="20"/>
              </w:rPr>
              <w:br/>
            </w:r>
            <w:r w:rsidRPr="005762E6">
              <w:rPr>
                <w:sz w:val="20"/>
                <w:szCs w:val="20"/>
              </w:rPr>
              <w:br/>
            </w:r>
            <w:r w:rsidRPr="005762E6">
              <w:rPr>
                <w:b/>
                <w:bCs/>
                <w:sz w:val="20"/>
                <w:szCs w:val="20"/>
              </w:rPr>
              <w:t>Keywords:</w:t>
            </w:r>
            <w:r w:rsidRPr="005762E6">
              <w:rPr>
                <w:sz w:val="20"/>
                <w:szCs w:val="20"/>
              </w:rPr>
              <w:br/>
              <w:t>Certification/es [Ethics],​*Certification,​Conflict of Interest,​Consumer Product Safety,​Documentation/es [Ethics],​*Documentation/st [Standards],​Expert Testimony/es [Ethics],​*Expert Testimony/st [Standards],​Humans,​*Menthol/ae [Adverse Effects],​Risk Assessment,​*Smoking/ae [Adverse Effects],​Tobacco Industry/es [Ethics],​*Tobacco Industry/st [Standards],​*Tobacco Products/ae [Adverse Effects],​Toxicology/es [Ethics],​*Toxicology/st [Standards]</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52F62CD5"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05A7D35" w14:textId="77777777" w:rsidR="00B44564" w:rsidRPr="005762E6" w:rsidRDefault="00B44564" w:rsidP="00EA69AA">
            <w:pPr>
              <w:spacing w:after="120" w:line="240" w:lineRule="auto"/>
              <w:contextualSpacing/>
              <w:rPr>
                <w:sz w:val="20"/>
                <w:szCs w:val="20"/>
              </w:rPr>
            </w:pPr>
            <w:r w:rsidRPr="005762E6">
              <w:rPr>
                <w:sz w:val="20"/>
                <w:szCs w:val="20"/>
              </w:rPr>
              <w:t>457</w:t>
            </w:r>
          </w:p>
        </w:tc>
        <w:tc>
          <w:tcPr>
            <w:tcW w:w="0" w:type="auto"/>
            <w:tcBorders>
              <w:top w:val="single" w:sz="6" w:space="0" w:color="auto"/>
              <w:left w:val="single" w:sz="6" w:space="0" w:color="auto"/>
              <w:bottom w:val="single" w:sz="6" w:space="0" w:color="auto"/>
              <w:right w:val="single" w:sz="6" w:space="0" w:color="auto"/>
            </w:tcBorders>
          </w:tcPr>
          <w:p w14:paraId="0A824268"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23A55B1" w14:textId="70D63872" w:rsidR="00B44564" w:rsidRPr="005762E6" w:rsidRDefault="00B44564" w:rsidP="00EA69AA">
            <w:pPr>
              <w:spacing w:after="120" w:line="240" w:lineRule="auto"/>
              <w:contextualSpacing/>
              <w:rPr>
                <w:sz w:val="20"/>
                <w:szCs w:val="20"/>
              </w:rPr>
            </w:pPr>
            <w:r w:rsidRPr="005762E6">
              <w:rPr>
                <w:sz w:val="20"/>
                <w:szCs w:val="20"/>
              </w:rPr>
              <w:t xml:space="preserve">Catherine G </w:t>
            </w:r>
            <w:proofErr w:type="gramStart"/>
            <w:r w:rsidRPr="005762E6">
              <w:rPr>
                <w:sz w:val="20"/>
                <w:szCs w:val="20"/>
              </w:rPr>
              <w:t>Corey,​</w:t>
            </w:r>
            <w:proofErr w:type="gramEnd"/>
            <w:r w:rsidRPr="005762E6">
              <w:rPr>
                <w:sz w:val="20"/>
                <w:szCs w:val="20"/>
              </w:rPr>
              <w:t xml:space="preserve"> Bridget K Ambrose,​ Benjamin J Apelberg,​ Brian A King Flavored Tobacco Product Use Among Middle and High School Students--United States,​ 2014</w:t>
            </w:r>
            <w:r w:rsidR="007F2F01">
              <w:rPr>
                <w:sz w:val="20"/>
                <w:szCs w:val="20"/>
              </w:rPr>
              <w:t>.</w:t>
            </w:r>
            <w:r w:rsidRPr="005762E6">
              <w:rPr>
                <w:sz w:val="20"/>
                <w:szCs w:val="20"/>
              </w:rPr>
              <w:t xml:space="preserve"> MMWR. Morbidity and mortality weekly report; 2015;64:1066.</w:t>
            </w:r>
            <w:r w:rsidRPr="005762E6">
              <w:rPr>
                <w:sz w:val="20"/>
                <w:szCs w:val="20"/>
              </w:rPr>
              <w:br/>
            </w:r>
            <w:r w:rsidRPr="005762E6">
              <w:rPr>
                <w:sz w:val="20"/>
                <w:szCs w:val="20"/>
              </w:rPr>
              <w:br/>
            </w:r>
            <w:r w:rsidRPr="005762E6">
              <w:rPr>
                <w:b/>
                <w:bCs/>
                <w:sz w:val="20"/>
                <w:szCs w:val="20"/>
              </w:rPr>
              <w:t>Keywords:</w:t>
            </w:r>
            <w:r w:rsidRPr="005762E6">
              <w:rPr>
                <w:sz w:val="20"/>
                <w:szCs w:val="20"/>
              </w:rPr>
              <w:br/>
              <w:t>Adolescent,​Child,​Cross-Sectional Studies,​Electronic Nicotine Delivery Systems/ut [Utilization],​Ethnic Groups/sn [Statistics &amp; Numerical Data],​Female,​*Flavoring Agents,​Health Surveys,​Humans,​Male,​Schools/sn [Statistics &amp; Numerical Data],​Sex Distribution,​*Smoking/ep [Epidemiology],​Smoking/eh [Ethnology],​*Students/px [Psychology],​Students/sn [Statistics &amp; Numerical Data],​*Tobacco Products/ut [Utilization],​United States/ep [Epidemiology]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The 2009 Family Smoking Prevention and Tobacco Control Act prohibits "characterizing flavors" (e.g.,​ candy,​ fruit,​ and chocolate) other than tobacco and menthol in cigarettes; however,​ characterizing flavors are not currently prohibited in other tobacco products. Analyses of retail sales data suggest that U.S. consumption of flavored noncigarette tobacco </w:t>
            </w:r>
            <w:proofErr w:type="gramStart"/>
            <w:r w:rsidRPr="005762E6">
              <w:rPr>
                <w:sz w:val="20"/>
                <w:szCs w:val="20"/>
              </w:rPr>
              <w:t>products,​</w:t>
            </w:r>
            <w:proofErr w:type="gramEnd"/>
            <w:r w:rsidRPr="005762E6">
              <w:rPr>
                <w:sz w:val="20"/>
                <w:szCs w:val="20"/>
              </w:rPr>
              <w:t xml:space="preserve"> including flavored cigars and flavored e-cigarettes,​ has increased in recent years. There is growing concern that widely marketed varieties of new and existing flavored tobacco products might appeal to youths (2) and could be contributing to recent increases in the use of tobacco </w:t>
            </w:r>
            <w:proofErr w:type="gramStart"/>
            <w:r w:rsidRPr="005762E6">
              <w:rPr>
                <w:sz w:val="20"/>
                <w:szCs w:val="20"/>
              </w:rPr>
              <w:t>products,​</w:t>
            </w:r>
            <w:proofErr w:type="gramEnd"/>
            <w:r w:rsidRPr="005762E6">
              <w:rPr>
                <w:sz w:val="20"/>
                <w:szCs w:val="20"/>
              </w:rPr>
              <w:t xml:space="preserve"> including e-cigarettes and hookah,​ among youths. CDC and the Food and Drug Administration (FDA) analyzed data from the 2014 National Youth Tobacco Survey (NYTS) to determine the prevalence of past 30 day use (current use) of flavored e-</w:t>
            </w:r>
            <w:proofErr w:type="gramStart"/>
            <w:r w:rsidRPr="005762E6">
              <w:rPr>
                <w:sz w:val="20"/>
                <w:szCs w:val="20"/>
              </w:rPr>
              <w:t>cigarette,​</w:t>
            </w:r>
            <w:proofErr w:type="gramEnd"/>
            <w:r w:rsidRPr="005762E6">
              <w:rPr>
                <w:sz w:val="20"/>
                <w:szCs w:val="20"/>
              </w:rPr>
              <w:t xml:space="preserve"> hookah tobacco,​ cigar,​ pipe tobacco or smokeless tobacco products,​ and menthol cigarettes among middle and high school students,​ and the proportion of current tobacco product users who have used flavored products. An estimated 70.0% (3.26 million) of all current youth tobacco users had used at least one flavored tobacco product in the past 30 days. Among current </w:t>
            </w:r>
            <w:proofErr w:type="gramStart"/>
            <w:r w:rsidRPr="005762E6">
              <w:rPr>
                <w:sz w:val="20"/>
                <w:szCs w:val="20"/>
              </w:rPr>
              <w:t>users,​</w:t>
            </w:r>
            <w:proofErr w:type="gramEnd"/>
            <w:r w:rsidRPr="005762E6">
              <w:rPr>
                <w:sz w:val="20"/>
                <w:szCs w:val="20"/>
              </w:rPr>
              <w:t xml:space="preserve"> 63.3%,​ (1.58 million) had used a flavored e-cigarette,​ 60.6%,​ (1.02 million) had used flavored hookah tobacco,​ and 63.5% (910,​000) had used a flavored cigar in the past 30 days. Given the millions of current youth tobacco </w:t>
            </w:r>
            <w:proofErr w:type="gramStart"/>
            <w:r w:rsidRPr="005762E6">
              <w:rPr>
                <w:sz w:val="20"/>
                <w:szCs w:val="20"/>
              </w:rPr>
              <w:t>users,​</w:t>
            </w:r>
            <w:proofErr w:type="gramEnd"/>
            <w:r w:rsidRPr="005762E6">
              <w:rPr>
                <w:sz w:val="20"/>
                <w:szCs w:val="20"/>
              </w:rPr>
              <w:t xml:space="preserve"> it is important for comprehensive tobacco prevention and control strategies to address all forms of tobacco use,​ including flavored tobacco products,​ among U.S. youths.</w:t>
            </w:r>
          </w:p>
        </w:tc>
      </w:tr>
      <w:tr w:rsidR="00B44564" w:rsidRPr="005762E6" w14:paraId="01D0FC18"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922D6CC" w14:textId="77777777" w:rsidR="00B44564" w:rsidRPr="005762E6" w:rsidRDefault="00B44564" w:rsidP="00EA69AA">
            <w:pPr>
              <w:spacing w:after="120" w:line="240" w:lineRule="auto"/>
              <w:contextualSpacing/>
              <w:rPr>
                <w:sz w:val="20"/>
                <w:szCs w:val="20"/>
              </w:rPr>
            </w:pPr>
            <w:r w:rsidRPr="005762E6">
              <w:rPr>
                <w:sz w:val="20"/>
                <w:szCs w:val="20"/>
              </w:rPr>
              <w:t>466</w:t>
            </w:r>
          </w:p>
        </w:tc>
        <w:tc>
          <w:tcPr>
            <w:tcW w:w="0" w:type="auto"/>
            <w:tcBorders>
              <w:top w:val="single" w:sz="6" w:space="0" w:color="auto"/>
              <w:left w:val="single" w:sz="6" w:space="0" w:color="auto"/>
              <w:bottom w:val="single" w:sz="6" w:space="0" w:color="auto"/>
              <w:right w:val="single" w:sz="6" w:space="0" w:color="auto"/>
            </w:tcBorders>
          </w:tcPr>
          <w:p w14:paraId="58972DC5"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AC3BA5B" w14:textId="65405CC1" w:rsidR="00B44564" w:rsidRPr="005762E6" w:rsidRDefault="00B44564" w:rsidP="00EA69AA">
            <w:pPr>
              <w:spacing w:after="120" w:line="240" w:lineRule="auto"/>
              <w:contextualSpacing/>
              <w:rPr>
                <w:sz w:val="20"/>
                <w:szCs w:val="20"/>
              </w:rPr>
            </w:pPr>
            <w:r w:rsidRPr="005762E6">
              <w:rPr>
                <w:sz w:val="20"/>
                <w:szCs w:val="20"/>
              </w:rPr>
              <w:t xml:space="preserve">Minh-Anh H </w:t>
            </w:r>
            <w:proofErr w:type="gramStart"/>
            <w:r w:rsidRPr="005762E6">
              <w:rPr>
                <w:sz w:val="20"/>
                <w:szCs w:val="20"/>
              </w:rPr>
              <w:t>Nguyen,​</w:t>
            </w:r>
            <w:proofErr w:type="gramEnd"/>
            <w:r w:rsidRPr="005762E6">
              <w:rPr>
                <w:sz w:val="20"/>
                <w:szCs w:val="20"/>
              </w:rPr>
              <w:t xml:space="preserve"> Lorraine R Reitzel,​ Darla E Kendzor,​ Michael S Businelle Perceived cessation treatment effectiveness,​ medication preferences,​ and barriers to quitting among light and moderate/heavy homeless smokers</w:t>
            </w:r>
            <w:r w:rsidR="007F2F01">
              <w:rPr>
                <w:sz w:val="20"/>
                <w:szCs w:val="20"/>
              </w:rPr>
              <w:t>.</w:t>
            </w:r>
            <w:r w:rsidRPr="005762E6">
              <w:rPr>
                <w:sz w:val="20"/>
                <w:szCs w:val="20"/>
              </w:rPr>
              <w:t xml:space="preserve"> Drug and alcohol dependence; </w:t>
            </w:r>
            <w:proofErr w:type="gramStart"/>
            <w:r w:rsidRPr="005762E6">
              <w:rPr>
                <w:sz w:val="20"/>
                <w:szCs w:val="20"/>
              </w:rPr>
              <w:t>2015;153:341</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Adult,​Female,​*Health Knowledge,​ Attitudes,​ Practice,​*Homeless Persons/px [Psychology],​Humans,​Male,​</w:t>
            </w:r>
            <w:r w:rsidRPr="005762E6">
              <w:rPr>
                <w:sz w:val="20"/>
                <w:szCs w:val="20"/>
              </w:rPr>
              <w:lastRenderedPageBreak/>
              <w:t>*Smoking/px [Psychology],​*Smoking Cessation/px [Psychology],​*Treatment Outcome,​Young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Homeless individuals smoke at disproportionately high rates and quit at disproportionately low rates relative to domiciled smokers. Targeted research is needed to inform future interventions. Socio-demographic characteristics of homeless adults suggest that light smoking may be </w:t>
            </w:r>
            <w:proofErr w:type="gramStart"/>
            <w:r w:rsidRPr="005762E6">
              <w:rPr>
                <w:sz w:val="20"/>
                <w:szCs w:val="20"/>
              </w:rPr>
              <w:t>prevalent,​</w:t>
            </w:r>
            <w:proofErr w:type="gramEnd"/>
            <w:r w:rsidRPr="005762E6">
              <w:rPr>
                <w:sz w:val="20"/>
                <w:szCs w:val="20"/>
              </w:rPr>
              <w:t xml:space="preserve"> and the relation between smoking level and treatment-related preferences/needs is unknown. The current study addressed these gaps in a sample of homeless smokers</w:t>
            </w:r>
            <w:proofErr w:type="gramStart"/>
            <w:r w:rsidRPr="005762E6">
              <w:rPr>
                <w:sz w:val="20"/>
                <w:szCs w:val="20"/>
              </w:rPr>
              <w:t>.,​</w:t>
            </w:r>
            <w:proofErr w:type="gramEnd"/>
            <w:r w:rsidRPr="005762E6">
              <w:rPr>
                <w:sz w:val="20"/>
                <w:szCs w:val="20"/>
              </w:rPr>
              <w:t xml:space="preserve"> METHODS: Participants (N=237) were homeless adult daily light (1-10 cigarettes per day) and moderate/heavy (&gt;10 cigarettes per day) smokers recruited from a single shelter that offered cessation treatment. Survey items assessed perceived treatment </w:t>
            </w:r>
            <w:proofErr w:type="gramStart"/>
            <w:r w:rsidRPr="005762E6">
              <w:rPr>
                <w:sz w:val="20"/>
                <w:szCs w:val="20"/>
              </w:rPr>
              <w:t>effectiveness,​</w:t>
            </w:r>
            <w:proofErr w:type="gramEnd"/>
            <w:r w:rsidRPr="005762E6">
              <w:rPr>
                <w:sz w:val="20"/>
                <w:szCs w:val="20"/>
              </w:rPr>
              <w:t xml:space="preserve"> pharmacological intervention preferences,​ and barriers to quitting smoking. Logistic regressions were used to assess differences in treatment-related factors by smoking level</w:t>
            </w:r>
            <w:proofErr w:type="gramStart"/>
            <w:r w:rsidRPr="005762E6">
              <w:rPr>
                <w:sz w:val="20"/>
                <w:szCs w:val="20"/>
              </w:rPr>
              <w:t>.,​</w:t>
            </w:r>
            <w:proofErr w:type="gramEnd"/>
            <w:r w:rsidRPr="005762E6">
              <w:rPr>
                <w:sz w:val="20"/>
                <w:szCs w:val="20"/>
              </w:rPr>
              <w:t xml:space="preserve"> RESULTS: The prevalence of light smoking (44.7%) was higher than in previously studied samples of domiciled smokers. Relative to moderate/heavy </w:t>
            </w:r>
            <w:proofErr w:type="gramStart"/>
            <w:r w:rsidRPr="005762E6">
              <w:rPr>
                <w:sz w:val="20"/>
                <w:szCs w:val="20"/>
              </w:rPr>
              <w:t>smokers,​</w:t>
            </w:r>
            <w:proofErr w:type="gramEnd"/>
            <w:r w:rsidRPr="005762E6">
              <w:rPr>
                <w:sz w:val="20"/>
                <w:szCs w:val="20"/>
              </w:rPr>
              <w:t xml:space="preserve"> light smokers smoked for fewer years,​ had more quit attempts in the last year,​ and were more likely to smoke menthol cigarettes. They were less likely to believe that medications would give them the greatest chance of quitting and more likely to believe that group counseling would be helpful. Light smokers did not differ from moderate/heavy smokers on specific pharmacological intervention preferences or on perceived barriers to quitting </w:t>
            </w:r>
            <w:proofErr w:type="gramStart"/>
            <w:r w:rsidRPr="005762E6">
              <w:rPr>
                <w:sz w:val="20"/>
                <w:szCs w:val="20"/>
              </w:rPr>
              <w:t>smoking,​</w:t>
            </w:r>
            <w:proofErr w:type="gramEnd"/>
            <w:r w:rsidRPr="005762E6">
              <w:rPr>
                <w:sz w:val="20"/>
                <w:szCs w:val="20"/>
              </w:rPr>
              <w:t xml:space="preserve"> including craving.,​ CONCLUSIONS: The promotion of pharmacotherapy to address cravings may be necessary for light smokers,​ who represent a sizeable proportion of homeless smokers and who may make apt intervention targets given their higher rates of purposeful quit attempts relative to heavier smoking counterparts. Copyright © 2015 Elsevier Ireland Ltd. All rights reserved.</w:t>
            </w:r>
          </w:p>
        </w:tc>
      </w:tr>
      <w:tr w:rsidR="00B44564" w:rsidRPr="005762E6" w14:paraId="1C7F5127"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963DFB0" w14:textId="77777777" w:rsidR="00B44564" w:rsidRPr="005762E6" w:rsidRDefault="00B44564" w:rsidP="00EA69AA">
            <w:pPr>
              <w:spacing w:after="120" w:line="240" w:lineRule="auto"/>
              <w:contextualSpacing/>
              <w:rPr>
                <w:sz w:val="20"/>
                <w:szCs w:val="20"/>
              </w:rPr>
            </w:pPr>
            <w:r w:rsidRPr="005762E6">
              <w:rPr>
                <w:sz w:val="20"/>
                <w:szCs w:val="20"/>
              </w:rPr>
              <w:lastRenderedPageBreak/>
              <w:t>468</w:t>
            </w:r>
          </w:p>
        </w:tc>
        <w:tc>
          <w:tcPr>
            <w:tcW w:w="0" w:type="auto"/>
            <w:tcBorders>
              <w:top w:val="single" w:sz="6" w:space="0" w:color="auto"/>
              <w:left w:val="single" w:sz="6" w:space="0" w:color="auto"/>
              <w:bottom w:val="single" w:sz="6" w:space="0" w:color="auto"/>
              <w:right w:val="single" w:sz="6" w:space="0" w:color="auto"/>
            </w:tcBorders>
          </w:tcPr>
          <w:p w14:paraId="17893AE9"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6A5AA34" w14:textId="71335551" w:rsidR="00B44564" w:rsidRPr="005762E6" w:rsidRDefault="00B44564" w:rsidP="00EA69AA">
            <w:pPr>
              <w:spacing w:after="120" w:line="240" w:lineRule="auto"/>
              <w:contextualSpacing/>
              <w:rPr>
                <w:sz w:val="20"/>
                <w:szCs w:val="20"/>
              </w:rPr>
            </w:pPr>
            <w:r w:rsidRPr="005762E6">
              <w:rPr>
                <w:sz w:val="20"/>
                <w:szCs w:val="20"/>
              </w:rPr>
              <w:t xml:space="preserve">Cheryl </w:t>
            </w:r>
            <w:proofErr w:type="gramStart"/>
            <w:r w:rsidRPr="005762E6">
              <w:rPr>
                <w:sz w:val="20"/>
                <w:szCs w:val="20"/>
              </w:rPr>
              <w:t>Oncken,​</w:t>
            </w:r>
            <w:proofErr w:type="gramEnd"/>
            <w:r w:rsidRPr="005762E6">
              <w:rPr>
                <w:sz w:val="20"/>
                <w:szCs w:val="20"/>
              </w:rPr>
              <w:t xml:space="preserve"> Richard Feinn,​ Jonathan Covault,​ Valerie Duffy,​ Ellen Dornelas,​ Henry R Kranzler,​ Heather Z Sankey Genetic Vulnerability to Menthol Cigarette Preference in Women</w:t>
            </w:r>
            <w:r w:rsidR="007F2F01">
              <w:rPr>
                <w:sz w:val="20"/>
                <w:szCs w:val="20"/>
              </w:rPr>
              <w:t>.</w:t>
            </w:r>
            <w:r w:rsidRPr="005762E6">
              <w:rPr>
                <w:sz w:val="20"/>
                <w:szCs w:val="20"/>
              </w:rPr>
              <w:t xml:space="preserve"> Nicotine &amp; tobacco research : official journal of the Society for Research on Nicotine and Tobacco; 2015;17:1416.</w:t>
            </w:r>
            <w:r w:rsidRPr="005762E6">
              <w:rPr>
                <w:sz w:val="20"/>
                <w:szCs w:val="20"/>
              </w:rPr>
              <w:br/>
            </w:r>
            <w:r w:rsidRPr="005762E6">
              <w:rPr>
                <w:sz w:val="20"/>
                <w:szCs w:val="20"/>
              </w:rPr>
              <w:br/>
            </w:r>
            <w:r w:rsidRPr="005762E6">
              <w:rPr>
                <w:b/>
                <w:bCs/>
                <w:sz w:val="20"/>
                <w:szCs w:val="20"/>
              </w:rPr>
              <w:t>Keywords:</w:t>
            </w:r>
            <w:r w:rsidRPr="005762E6">
              <w:rPr>
                <w:sz w:val="20"/>
                <w:szCs w:val="20"/>
              </w:rPr>
              <w:br/>
              <w:t>Adult,​*Consumer Behavior,​European Continental Ancestry Group/ge [Genetics],​Female,​Genetic Association Studies/mt [Methods],​*Genetic Association Studies,​Genotype,​Haplotypes,​Humans,​*Menthol,​Polymorphism,​ Single Nucleotide/ge [Genetics],​Pregnancy,​Receptors,​ G-Protein-Coupled/ge [Genetics],​*Smoking/ge [Genetics],​Smoking/px [Psychology],​Taste/ge [Genetics],​*Taste Perception/ge [Genetics],​*Tobacco Products,​Tobacco Use Disorder/ge [Genetics],​Tobacco Use Disorder/px [Psychology]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BACKGROUND: Smokers may prefer menthol cigarettes to mask the bitter taste of nicotine. Variation in the taste receptor gene,​ TAS2R38,​ may contribute to preference for menthol cigarettes.,​ AIMS: To determine whether two common haplotypes of TAS2R38 (proline-alanine-valine [PAV] and alanine-valine-isoleucine [AVI]),​ which have been associated,​ respectively,​ with bitter taste or a lack of bitter taste produced by propylthiouracil,​ are associated with preference for menthol cigarettes.,​ METHODS: Data on smoking and blood for DNA extraction and genotyping were obtained from 323 pregnant non-Hispanic or Hispanic Caucasian smokers. We genotyped three TAS2R38 single nucleotide polymorphisms (rs</w:t>
            </w:r>
            <w:proofErr w:type="gramStart"/>
            <w:r w:rsidRPr="005762E6">
              <w:rPr>
                <w:sz w:val="20"/>
                <w:szCs w:val="20"/>
              </w:rPr>
              <w:t>713598,​</w:t>
            </w:r>
            <w:proofErr w:type="gramEnd"/>
            <w:r w:rsidRPr="005762E6">
              <w:rPr>
                <w:sz w:val="20"/>
                <w:szCs w:val="20"/>
              </w:rPr>
              <w:t xml:space="preserve"> rs1726866,​ and rs10246939) and constructed haplotypes. We examined associations between menthol preference and the frequency and distribution of the AVI and PAV haplotypes among study participants</w:t>
            </w:r>
            <w:proofErr w:type="gramStart"/>
            <w:r w:rsidRPr="005762E6">
              <w:rPr>
                <w:sz w:val="20"/>
                <w:szCs w:val="20"/>
              </w:rPr>
              <w:t>.,​</w:t>
            </w:r>
            <w:proofErr w:type="gramEnd"/>
            <w:r w:rsidRPr="005762E6">
              <w:rPr>
                <w:sz w:val="20"/>
                <w:szCs w:val="20"/>
              </w:rPr>
              <w:t xml:space="preserve"> RESULTS: Participants smoked an average of 16 cigarettes per day before pregnancy. The PAV and AVI haplotype frequencies were 48% and 45</w:t>
            </w:r>
            <w:proofErr w:type="gramStart"/>
            <w:r w:rsidRPr="005762E6">
              <w:rPr>
                <w:sz w:val="20"/>
                <w:szCs w:val="20"/>
              </w:rPr>
              <w:t>%,​</w:t>
            </w:r>
            <w:proofErr w:type="gramEnd"/>
            <w:r w:rsidRPr="005762E6">
              <w:rPr>
                <w:sz w:val="20"/>
                <w:szCs w:val="20"/>
              </w:rPr>
              <w:t xml:space="preserve"> respectively. Non-Hispanic women were less likely than Hispanic women to smoke menthol cigarettes. As </w:t>
            </w:r>
            <w:proofErr w:type="gramStart"/>
            <w:r w:rsidRPr="005762E6">
              <w:rPr>
                <w:sz w:val="20"/>
                <w:szCs w:val="20"/>
              </w:rPr>
              <w:t>hypothesized,​</w:t>
            </w:r>
            <w:proofErr w:type="gramEnd"/>
            <w:r w:rsidRPr="005762E6">
              <w:rPr>
                <w:sz w:val="20"/>
                <w:szCs w:val="20"/>
              </w:rPr>
              <w:t xml:space="preserve"> the frequency of the PAV haplotype was greater in menthol than non-menthol smokers in both non-Hispanics (54% vs. 30%; chi(2) = 13.04,​ P &lt; .001) and Hispanics (53% vs. 25%; chi(2) = 5.77,​ P = .016). This effect persisted after controlling for potential confounders in multivariate logistic regression. Menthol smokers had a greater number of PAV haplotypes/individual than non-menthol smokers [non-Hispanics odds ratio (OR) = 3.02 (1.56-5.85); P = .001; Hispanics OR = 3.60 (1.23-10.56); P = .020]</w:t>
            </w:r>
            <w:proofErr w:type="gramStart"/>
            <w:r w:rsidRPr="005762E6">
              <w:rPr>
                <w:sz w:val="20"/>
                <w:szCs w:val="20"/>
              </w:rPr>
              <w:t>.,​</w:t>
            </w:r>
            <w:proofErr w:type="gramEnd"/>
            <w:r w:rsidRPr="005762E6">
              <w:rPr>
                <w:sz w:val="20"/>
                <w:szCs w:val="20"/>
              </w:rPr>
              <w:t xml:space="preserve"> CONCLUSIONS: These preliminary data support the hypothesis that a genetic propensity to experience heightened bitter taste perception increases the preference for menthol cigarettes. Copyright © The Author 2015. Published by Oxford University Press on behalf of the Society for Research on Nicotine and Tobacco. All rights reserved. For </w:t>
            </w:r>
            <w:proofErr w:type="gramStart"/>
            <w:r w:rsidRPr="005762E6">
              <w:rPr>
                <w:sz w:val="20"/>
                <w:szCs w:val="20"/>
              </w:rPr>
              <w:t>permissions,​</w:t>
            </w:r>
            <w:proofErr w:type="gramEnd"/>
            <w:r w:rsidRPr="005762E6">
              <w:rPr>
                <w:sz w:val="20"/>
                <w:szCs w:val="20"/>
              </w:rPr>
              <w:t xml:space="preserve"> please e-mail: journals.permissions@oup.com.</w:t>
            </w:r>
          </w:p>
        </w:tc>
      </w:tr>
      <w:tr w:rsidR="00B44564" w:rsidRPr="005762E6" w14:paraId="6E9A2018"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B590ADA" w14:textId="77777777" w:rsidR="00B44564" w:rsidRPr="005762E6" w:rsidRDefault="00B44564" w:rsidP="00EA69AA">
            <w:pPr>
              <w:spacing w:after="120" w:line="240" w:lineRule="auto"/>
              <w:contextualSpacing/>
              <w:rPr>
                <w:sz w:val="20"/>
                <w:szCs w:val="20"/>
              </w:rPr>
            </w:pPr>
            <w:r w:rsidRPr="005762E6">
              <w:rPr>
                <w:sz w:val="20"/>
                <w:szCs w:val="20"/>
              </w:rPr>
              <w:lastRenderedPageBreak/>
              <w:t>469</w:t>
            </w:r>
          </w:p>
        </w:tc>
        <w:tc>
          <w:tcPr>
            <w:tcW w:w="0" w:type="auto"/>
            <w:tcBorders>
              <w:top w:val="single" w:sz="6" w:space="0" w:color="auto"/>
              <w:left w:val="single" w:sz="6" w:space="0" w:color="auto"/>
              <w:bottom w:val="single" w:sz="6" w:space="0" w:color="auto"/>
              <w:right w:val="single" w:sz="6" w:space="0" w:color="auto"/>
            </w:tcBorders>
          </w:tcPr>
          <w:p w14:paraId="0202243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7331ADC" w14:textId="595CF245" w:rsidR="00B44564" w:rsidRPr="005762E6" w:rsidRDefault="00B44564" w:rsidP="00EA69AA">
            <w:pPr>
              <w:spacing w:after="120" w:line="240" w:lineRule="auto"/>
              <w:contextualSpacing/>
              <w:rPr>
                <w:sz w:val="20"/>
                <w:szCs w:val="20"/>
              </w:rPr>
            </w:pPr>
            <w:r w:rsidRPr="005762E6">
              <w:rPr>
                <w:sz w:val="20"/>
                <w:szCs w:val="20"/>
              </w:rPr>
              <w:t xml:space="preserve">Cheryl A </w:t>
            </w:r>
            <w:proofErr w:type="gramStart"/>
            <w:r w:rsidRPr="005762E6">
              <w:rPr>
                <w:sz w:val="20"/>
                <w:szCs w:val="20"/>
              </w:rPr>
              <w:t>Oncken,​</w:t>
            </w:r>
            <w:proofErr w:type="gramEnd"/>
            <w:r w:rsidRPr="005762E6">
              <w:rPr>
                <w:sz w:val="20"/>
                <w:szCs w:val="20"/>
              </w:rPr>
              <w:t xml:space="preserve"> Mark D Litt,​ Lynn D McLaughlin,​ Nausherwan A Burki Nicotine concentrations with electronic cigarette use: effects of sex and flavor</w:t>
            </w:r>
            <w:r w:rsidR="007F2F01">
              <w:rPr>
                <w:sz w:val="20"/>
                <w:szCs w:val="20"/>
              </w:rPr>
              <w:t>.</w:t>
            </w:r>
            <w:r w:rsidRPr="005762E6">
              <w:rPr>
                <w:sz w:val="20"/>
                <w:szCs w:val="20"/>
              </w:rPr>
              <w:t xml:space="preserve"> Nicotine &amp; tobacco research : official journal of the Society for Research on Nicotine and Tobacco; 2015;17:473.</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Adolescent,​Adult,​*Electronic Nicotine Delivery Systems,​Female,​*Flavoring Agents/ad [Administration &amp; Dosage],​*Gender Identity,​Humans,​Male,​Middle Aged,​*Nicotine/ad [Administration &amp; Dosage]</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This study examined overall changes in nicotine concentrations when using a popular e-cigarette and 18 mg/mL nicotine e-Juice,​ and it further explored effects of sex and flavorings on these concentrations.,​ METHODS: We recruited nontreatment-seeking smokers who were willing to try e-cigarettes for 2 weeks and abstain from cigarette smoking. Subjects were randomized to either menthol tobacco or non-menthol tobacco-flavored e-cigarette use for 7-10 </w:t>
            </w:r>
            <w:proofErr w:type="gramStart"/>
            <w:r w:rsidRPr="005762E6">
              <w:rPr>
                <w:sz w:val="20"/>
                <w:szCs w:val="20"/>
              </w:rPr>
              <w:t>days,​</w:t>
            </w:r>
            <w:proofErr w:type="gramEnd"/>
            <w:r w:rsidRPr="005762E6">
              <w:rPr>
                <w:sz w:val="20"/>
                <w:szCs w:val="20"/>
              </w:rPr>
              <w:t xml:space="preserve"> and the next week they were crossed over to the other condition. On the last day of e-cigarette use of each </w:t>
            </w:r>
            <w:proofErr w:type="gramStart"/>
            <w:r w:rsidRPr="005762E6">
              <w:rPr>
                <w:sz w:val="20"/>
                <w:szCs w:val="20"/>
              </w:rPr>
              <w:t>flavor,​</w:t>
            </w:r>
            <w:proofErr w:type="gramEnd"/>
            <w:r w:rsidRPr="005762E6">
              <w:rPr>
                <w:sz w:val="20"/>
                <w:szCs w:val="20"/>
              </w:rPr>
              <w:t xml:space="preserve"> subjects completed a laboratory session in which they used the e-cigarette for 5 min ad libitum. Nicotine concentrations were obtained 5 min before and </w:t>
            </w:r>
            <w:proofErr w:type="gramStart"/>
            <w:r w:rsidRPr="005762E6">
              <w:rPr>
                <w:sz w:val="20"/>
                <w:szCs w:val="20"/>
              </w:rPr>
              <w:t>5,​</w:t>
            </w:r>
            <w:proofErr w:type="gramEnd"/>
            <w:r w:rsidRPr="005762E6">
              <w:rPr>
                <w:sz w:val="20"/>
                <w:szCs w:val="20"/>
              </w:rPr>
              <w:t xml:space="preserve"> 10,​ 15,​ 20,​ and 30 min after the onset of e-cigarette use.,​ RESULTS: Twenty subjects completed at least 1 monitoring session. Nicotine concentrations significantly increased from baseline to 5 min by 4 ng/mL at the first laboratory session (p &lt; .01) and by 5.1 ng/mL at the second laboratory session (p &lt; .01). Combining </w:t>
            </w:r>
            <w:proofErr w:type="gramStart"/>
            <w:r w:rsidRPr="005762E6">
              <w:rPr>
                <w:sz w:val="20"/>
                <w:szCs w:val="20"/>
              </w:rPr>
              <w:t>sessions,​</w:t>
            </w:r>
            <w:proofErr w:type="gramEnd"/>
            <w:r w:rsidRPr="005762E6">
              <w:rPr>
                <w:sz w:val="20"/>
                <w:szCs w:val="20"/>
              </w:rPr>
              <w:t xml:space="preserve"> there were no main effects of sex or preferred flavor (based on smoking history) on changes in nicotine concentrations. After adding preferred </w:t>
            </w:r>
            <w:proofErr w:type="gramStart"/>
            <w:r w:rsidRPr="005762E6">
              <w:rPr>
                <w:sz w:val="20"/>
                <w:szCs w:val="20"/>
              </w:rPr>
              <w:t>flavor,​</w:t>
            </w:r>
            <w:proofErr w:type="gramEnd"/>
            <w:r w:rsidRPr="005762E6">
              <w:rPr>
                <w:sz w:val="20"/>
                <w:szCs w:val="20"/>
              </w:rPr>
              <w:t xml:space="preserve"> sex,​ and visit order to the model,​ there was a significant preferred flavor by sex interaction (p &lt; .01),​ such that women who received nonpreferred flavors had lower nicotine concentrations and rated their e-cigarette as less likeable (p &lt; .01).,​ CONCLUSION: We found nicotine concentrations significantly increase after e-cigarette use for 5 min,​ and flavor may impact nicotine concentrations with e-cigarette use in women. Copyright © The Author 2015. Published by Oxford University Press on behalf of the Society for Research on Nicotine and Tobacco. All rights reserved. For </w:t>
            </w:r>
            <w:proofErr w:type="gramStart"/>
            <w:r w:rsidRPr="005762E6">
              <w:rPr>
                <w:sz w:val="20"/>
                <w:szCs w:val="20"/>
              </w:rPr>
              <w:t>permissions,​</w:t>
            </w:r>
            <w:proofErr w:type="gramEnd"/>
            <w:r w:rsidRPr="005762E6">
              <w:rPr>
                <w:sz w:val="20"/>
                <w:szCs w:val="20"/>
              </w:rPr>
              <w:t xml:space="preserve"> please e-mail: journals.permissions@oup.com.</w:t>
            </w:r>
          </w:p>
        </w:tc>
      </w:tr>
      <w:tr w:rsidR="00B44564" w:rsidRPr="005762E6" w14:paraId="2F233A65"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9CE3613" w14:textId="77777777" w:rsidR="00B44564" w:rsidRPr="005762E6" w:rsidRDefault="00B44564" w:rsidP="00EA69AA">
            <w:pPr>
              <w:spacing w:after="120" w:line="240" w:lineRule="auto"/>
              <w:contextualSpacing/>
              <w:rPr>
                <w:sz w:val="20"/>
                <w:szCs w:val="20"/>
              </w:rPr>
            </w:pPr>
            <w:r w:rsidRPr="005762E6">
              <w:rPr>
                <w:sz w:val="20"/>
                <w:szCs w:val="20"/>
              </w:rPr>
              <w:t>470</w:t>
            </w:r>
          </w:p>
        </w:tc>
        <w:tc>
          <w:tcPr>
            <w:tcW w:w="0" w:type="auto"/>
            <w:tcBorders>
              <w:top w:val="single" w:sz="6" w:space="0" w:color="auto"/>
              <w:left w:val="single" w:sz="6" w:space="0" w:color="auto"/>
              <w:bottom w:val="single" w:sz="6" w:space="0" w:color="auto"/>
              <w:right w:val="single" w:sz="6" w:space="0" w:color="auto"/>
            </w:tcBorders>
          </w:tcPr>
          <w:p w14:paraId="66FD4C65"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E68A233" w14:textId="5DC725FE" w:rsidR="00B44564" w:rsidRPr="005762E6" w:rsidRDefault="00B44564" w:rsidP="00EA69AA">
            <w:pPr>
              <w:spacing w:after="120" w:line="240" w:lineRule="auto"/>
              <w:contextualSpacing/>
              <w:rPr>
                <w:sz w:val="20"/>
                <w:szCs w:val="20"/>
              </w:rPr>
            </w:pPr>
            <w:r w:rsidRPr="005762E6">
              <w:rPr>
                <w:sz w:val="20"/>
                <w:szCs w:val="20"/>
              </w:rPr>
              <w:t xml:space="preserve">Pebbles </w:t>
            </w:r>
            <w:proofErr w:type="gramStart"/>
            <w:r w:rsidRPr="005762E6">
              <w:rPr>
                <w:sz w:val="20"/>
                <w:szCs w:val="20"/>
              </w:rPr>
              <w:t>Fagan,​</w:t>
            </w:r>
            <w:proofErr w:type="gramEnd"/>
            <w:r w:rsidRPr="005762E6">
              <w:rPr>
                <w:sz w:val="20"/>
                <w:szCs w:val="20"/>
              </w:rPr>
              <w:t xml:space="preserve"> Pallav Pohkrel,​ Thaddeus Herzog,​ Ian Pagano,​ Donna Vallone,​ Dennis R Trinidad,​ Kari-Lyn Sakuma,​ Kymberle Sterling,​ Craig S Fryer,​ Eric Moolchan Comparisons of three nicotine dependence scales in a multiethnic sample of young adult menthol and non-menthol smokers</w:t>
            </w:r>
            <w:r w:rsidR="007F2F01">
              <w:rPr>
                <w:sz w:val="20"/>
                <w:szCs w:val="20"/>
              </w:rPr>
              <w:t>.</w:t>
            </w:r>
            <w:r w:rsidRPr="005762E6">
              <w:rPr>
                <w:sz w:val="20"/>
                <w:szCs w:val="20"/>
              </w:rPr>
              <w:t xml:space="preserve"> Drug and alcohol dependence; 2015;149:203.</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Adolescent,​Adult,​Ethnic Groups/px [Psychology],​*European Continental Ancestry Group/px [Psychology],​Female,​Hawaii/eh [Ethnology],​Humans,​Male,​*Menthol/ad [Administration &amp; Dosage],​*Oceanic Ancestry Group/px [Psychology],​Philippines/eh [Ethnology],​*Psychiatric Status Rating Scales,​Regression Analysis,​Self-Efficacy,​*Smoking/px [Psychology],​Smoking Cessation/px [Psychology],​*Tobacco Use Disorder/di [Diagnosis],​*Tobacco Use Disorder/px [Psychology],​United States/ep [Epidemiology],​Young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Few studies have compared nicotine dependence among menthol and non-menthol cigarette smokers in a multiethnic sample of young adult daily cigarette smokers. This study examines differences in nicotine dependence among menthol and non-menthol daily smokers and the associations of nicotine dependence with quitting behaviors among Native </w:t>
            </w:r>
            <w:proofErr w:type="gramStart"/>
            <w:r w:rsidRPr="005762E6">
              <w:rPr>
                <w:sz w:val="20"/>
                <w:szCs w:val="20"/>
              </w:rPr>
              <w:t>Hawaiian,​</w:t>
            </w:r>
            <w:proofErr w:type="gramEnd"/>
            <w:r w:rsidRPr="005762E6">
              <w:rPr>
                <w:sz w:val="20"/>
                <w:szCs w:val="20"/>
              </w:rPr>
              <w:t xml:space="preserve"> Filipino,​ and White cigarette smokers aged 18-35.,​ METHODS: Craigslist.org,​ newspaper advertisements,​ and peer-to-peer referrals were used to recruit daily smokers (n = 186) into a lab-based study. Nicotine dependence was assessed using the Fagerstrom Test of Nicotine Dependence (FTND</w:t>
            </w:r>
            <w:proofErr w:type="gramStart"/>
            <w:r w:rsidRPr="005762E6">
              <w:rPr>
                <w:sz w:val="20"/>
                <w:szCs w:val="20"/>
              </w:rPr>
              <w:t>),​</w:t>
            </w:r>
            <w:proofErr w:type="gramEnd"/>
            <w:r w:rsidRPr="005762E6">
              <w:rPr>
                <w:sz w:val="20"/>
                <w:szCs w:val="20"/>
              </w:rPr>
              <w:t xml:space="preserve"> the Nicotine Dependence Syndrome Scale (NDSS),​ and the brief Wisconsin Inventory for Smoking Dependence Motives (WISDM). Multiple regression analyses were used to examine differences in nicotine dependence between menthol and non-menthol smokers and the relationship between each nicotine dependence scale with self-efficacy to </w:t>
            </w:r>
            <w:proofErr w:type="gramStart"/>
            <w:r w:rsidRPr="005762E6">
              <w:rPr>
                <w:sz w:val="20"/>
                <w:szCs w:val="20"/>
              </w:rPr>
              <w:t>quit,​</w:t>
            </w:r>
            <w:proofErr w:type="gramEnd"/>
            <w:r w:rsidRPr="005762E6">
              <w:rPr>
                <w:sz w:val="20"/>
                <w:szCs w:val="20"/>
              </w:rPr>
              <w:t xml:space="preserve"> quit attempt in the past 12 months,​ and number of attempts.,​ RESULTS: Menthol smokers were more likely to report difficulty refraining from smoking in places where forbidden (p = .04) and had higher scores on social/environmental goads subscale of the WISDM (p = .0005). Two-way interaction models of the FTND and menthol status showed that menthol smokers with higher levels of dependence were more likely to have tried to quit smoking in the past </w:t>
            </w:r>
            <w:r w:rsidRPr="005762E6">
              <w:rPr>
                <w:sz w:val="20"/>
                <w:szCs w:val="20"/>
              </w:rPr>
              <w:lastRenderedPageBreak/>
              <w:t>12 months (p = .02</w:t>
            </w:r>
            <w:proofErr w:type="gramStart"/>
            <w:r w:rsidRPr="005762E6">
              <w:rPr>
                <w:sz w:val="20"/>
                <w:szCs w:val="20"/>
              </w:rPr>
              <w:t>),​</w:t>
            </w:r>
            <w:proofErr w:type="gramEnd"/>
            <w:r w:rsidRPr="005762E6">
              <w:rPr>
                <w:sz w:val="20"/>
                <w:szCs w:val="20"/>
              </w:rPr>
              <w:t xml:space="preserve"> but were less likely to have had multiple quit attempts (p = .01).,​ CONCLUSIONS: Components of the FTND and WISDM distinguish levels of dependence between menthol and non-menthol smokers. Higher FTND scores were associated with having a quit </w:t>
            </w:r>
            <w:proofErr w:type="gramStart"/>
            <w:r w:rsidRPr="005762E6">
              <w:rPr>
                <w:sz w:val="20"/>
                <w:szCs w:val="20"/>
              </w:rPr>
              <w:t>attempt,​</w:t>
            </w:r>
            <w:proofErr w:type="gramEnd"/>
            <w:r w:rsidRPr="005762E6">
              <w:rPr>
                <w:sz w:val="20"/>
                <w:szCs w:val="20"/>
              </w:rPr>
              <w:t xml:space="preserve"> but fewer quit attempts among menthol smokers. Copyright © 2015 Elsevier Ireland Ltd. All rights reserved.</w:t>
            </w:r>
          </w:p>
        </w:tc>
      </w:tr>
      <w:tr w:rsidR="00B44564" w:rsidRPr="005762E6" w14:paraId="325BAB58"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584138C" w14:textId="77777777" w:rsidR="00B44564" w:rsidRPr="005762E6" w:rsidRDefault="00B44564" w:rsidP="00EA69AA">
            <w:pPr>
              <w:spacing w:after="120" w:line="240" w:lineRule="auto"/>
              <w:contextualSpacing/>
              <w:rPr>
                <w:sz w:val="20"/>
                <w:szCs w:val="20"/>
              </w:rPr>
            </w:pPr>
            <w:r w:rsidRPr="005762E6">
              <w:rPr>
                <w:sz w:val="20"/>
                <w:szCs w:val="20"/>
              </w:rPr>
              <w:lastRenderedPageBreak/>
              <w:t>475</w:t>
            </w:r>
          </w:p>
        </w:tc>
        <w:tc>
          <w:tcPr>
            <w:tcW w:w="0" w:type="auto"/>
            <w:tcBorders>
              <w:top w:val="single" w:sz="6" w:space="0" w:color="auto"/>
              <w:left w:val="single" w:sz="6" w:space="0" w:color="auto"/>
              <w:bottom w:val="single" w:sz="6" w:space="0" w:color="auto"/>
              <w:right w:val="single" w:sz="6" w:space="0" w:color="auto"/>
            </w:tcBorders>
          </w:tcPr>
          <w:p w14:paraId="66EEE069"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5241467" w14:textId="3C0974D0" w:rsidR="00B44564" w:rsidRPr="005762E6" w:rsidRDefault="00B44564" w:rsidP="00EA69AA">
            <w:pPr>
              <w:spacing w:after="120" w:line="240" w:lineRule="auto"/>
              <w:contextualSpacing/>
              <w:rPr>
                <w:sz w:val="20"/>
                <w:szCs w:val="20"/>
              </w:rPr>
            </w:pPr>
            <w:r w:rsidRPr="005762E6">
              <w:rPr>
                <w:sz w:val="20"/>
                <w:szCs w:val="20"/>
              </w:rPr>
              <w:t>Alain Braillon Curbing the tobacco epidemic: Employing behavioral strategies or rearranging the deckchairs on the Titanic?</w:t>
            </w:r>
            <w:r w:rsidR="007F2F01">
              <w:rPr>
                <w:sz w:val="20"/>
                <w:szCs w:val="20"/>
              </w:rPr>
              <w:t>.</w:t>
            </w:r>
            <w:r w:rsidRPr="005762E6">
              <w:rPr>
                <w:sz w:val="20"/>
                <w:szCs w:val="20"/>
              </w:rPr>
              <w:t xml:space="preserve"> Preventive medicine; </w:t>
            </w:r>
            <w:proofErr w:type="gramStart"/>
            <w:r w:rsidRPr="005762E6">
              <w:rPr>
                <w:sz w:val="20"/>
                <w:szCs w:val="20"/>
              </w:rPr>
              <w:t>2015;73:28</w:t>
            </w:r>
            <w:proofErr w:type="gramEnd"/>
            <w:r w:rsidRPr="005762E6">
              <w:rPr>
                <w:sz w:val="20"/>
                <w:szCs w:val="20"/>
              </w:rPr>
              <w:t>.</w:t>
            </w:r>
          </w:p>
          <w:p w14:paraId="042FA1B7" w14:textId="77777777" w:rsidR="00B44564" w:rsidRPr="005762E6" w:rsidRDefault="00B44564" w:rsidP="00EA69AA">
            <w:pPr>
              <w:spacing w:after="120" w:line="240" w:lineRule="auto"/>
              <w:contextualSpacing/>
              <w:rPr>
                <w:sz w:val="20"/>
                <w:szCs w:val="20"/>
              </w:rPr>
            </w:pPr>
            <w:r w:rsidRPr="005762E6">
              <w:rPr>
                <w:sz w:val="20"/>
                <w:szCs w:val="20"/>
              </w:rPr>
              <w:br/>
            </w:r>
            <w:r w:rsidRPr="005762E6">
              <w:rPr>
                <w:b/>
                <w:bCs/>
                <w:sz w:val="20"/>
                <w:szCs w:val="20"/>
              </w:rPr>
              <w:t>Keywords:</w:t>
            </w:r>
            <w:r w:rsidRPr="005762E6">
              <w:rPr>
                <w:sz w:val="20"/>
                <w:szCs w:val="20"/>
              </w:rPr>
              <w:br/>
              <w:t>Epidemics/pc [Prevention &amp; Control</w:t>
            </w:r>
            <w:proofErr w:type="gramStart"/>
            <w:r w:rsidRPr="005762E6">
              <w:rPr>
                <w:sz w:val="20"/>
                <w:szCs w:val="20"/>
              </w:rPr>
              <w:t>],​</w:t>
            </w:r>
            <w:proofErr w:type="gramEnd"/>
            <w:r w:rsidRPr="005762E6">
              <w:rPr>
                <w:sz w:val="20"/>
                <w:szCs w:val="20"/>
              </w:rPr>
              <w:t>Government Regulation,​Humans,​Smoking/ep [Epidemiology],​Smoking/px [Psychology],​*Smoking Prevention,​Tobacco Industry/lj [Legislation &amp; Jurisprudence],​United States/ep [Epidemiology],​United States Food and Drug Administration</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Henningfield brilliantly dissected the deadly comprehensive tactics of the tobacco industry but Food and Drug Administration and WHO strategies against the tobacco epidemic must be questioned. The Food and Drug Administration has the authority to regulate tobacco production (2009 Tobacco Control Act) but fails to ban menthol and reduce cigarettes nicotine content. As little has </w:t>
            </w:r>
            <w:proofErr w:type="gramStart"/>
            <w:r w:rsidRPr="005762E6">
              <w:rPr>
                <w:sz w:val="20"/>
                <w:szCs w:val="20"/>
              </w:rPr>
              <w:t>changed,​</w:t>
            </w:r>
            <w:proofErr w:type="gramEnd"/>
            <w:r w:rsidRPr="005762E6">
              <w:rPr>
                <w:sz w:val="20"/>
                <w:szCs w:val="20"/>
              </w:rPr>
              <w:t xml:space="preserve"> the Healthy People 2010 objective of reducing the prevalence of cigarette smoking among adults to 12% by 2010 in the US will be attained by 2030. The monitoring of the WHO Framework Convention on Tobacco Control (WHO FCTC) is </w:t>
            </w:r>
            <w:proofErr w:type="gramStart"/>
            <w:r w:rsidRPr="005762E6">
              <w:rPr>
                <w:sz w:val="20"/>
                <w:szCs w:val="20"/>
              </w:rPr>
              <w:t>passive,​</w:t>
            </w:r>
            <w:proofErr w:type="gramEnd"/>
            <w:r w:rsidRPr="005762E6">
              <w:rPr>
                <w:sz w:val="20"/>
                <w:szCs w:val="20"/>
              </w:rPr>
              <w:t xml:space="preserve"> even when governments repeatedly violate the Article 5.3 of the Convention,​ which specifically requires protecting public policy from tobacco industry interference. Since </w:t>
            </w:r>
            <w:proofErr w:type="gramStart"/>
            <w:r w:rsidRPr="005762E6">
              <w:rPr>
                <w:sz w:val="20"/>
                <w:szCs w:val="20"/>
              </w:rPr>
              <w:t>2004,​</w:t>
            </w:r>
            <w:proofErr w:type="gramEnd"/>
            <w:r w:rsidRPr="005762E6">
              <w:rPr>
                <w:sz w:val="20"/>
                <w:szCs w:val="20"/>
              </w:rPr>
              <w:t xml:space="preserve"> the year after the adoption of the Convention,​ the prevalence of daily smoking has leveled off and the 2012 annualized rate of change in prevalence of daily smoking was almost null. This contrasts with a 2% annual decrease in the prevalence of daily smoking from 1980 to 2004. The tobacco endgame needs </w:t>
            </w:r>
            <w:proofErr w:type="gramStart"/>
            <w:r w:rsidRPr="005762E6">
              <w:rPr>
                <w:sz w:val="20"/>
                <w:szCs w:val="20"/>
              </w:rPr>
              <w:t>acts,​</w:t>
            </w:r>
            <w:proofErr w:type="gramEnd"/>
            <w:r w:rsidRPr="005762E6">
              <w:rPr>
                <w:sz w:val="20"/>
                <w:szCs w:val="20"/>
              </w:rPr>
              <w:t xml:space="preserve"> not bureaucracies. Two counties have been moving </w:t>
            </w:r>
            <w:proofErr w:type="gramStart"/>
            <w:r w:rsidRPr="005762E6">
              <w:rPr>
                <w:sz w:val="20"/>
                <w:szCs w:val="20"/>
              </w:rPr>
              <w:t>forward,​</w:t>
            </w:r>
            <w:proofErr w:type="gramEnd"/>
            <w:r w:rsidRPr="005762E6">
              <w:rPr>
                <w:sz w:val="20"/>
                <w:szCs w:val="20"/>
              </w:rPr>
              <w:t xml:space="preserve"> Brazil has banned menthol and Australia has implemented plain packaging. Copyright © 2015 Elsevier Inc. All rights reserved.</w:t>
            </w:r>
          </w:p>
        </w:tc>
      </w:tr>
      <w:tr w:rsidR="00B44564" w:rsidRPr="005762E6" w14:paraId="2307A392"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1C91BD9" w14:textId="77777777" w:rsidR="00B44564" w:rsidRPr="005762E6" w:rsidRDefault="00B44564" w:rsidP="00EA69AA">
            <w:pPr>
              <w:spacing w:after="120" w:line="240" w:lineRule="auto"/>
              <w:contextualSpacing/>
              <w:rPr>
                <w:sz w:val="20"/>
                <w:szCs w:val="20"/>
              </w:rPr>
            </w:pPr>
            <w:r w:rsidRPr="005762E6">
              <w:rPr>
                <w:sz w:val="20"/>
                <w:szCs w:val="20"/>
              </w:rPr>
              <w:t>479</w:t>
            </w:r>
          </w:p>
        </w:tc>
        <w:tc>
          <w:tcPr>
            <w:tcW w:w="0" w:type="auto"/>
            <w:tcBorders>
              <w:top w:val="single" w:sz="6" w:space="0" w:color="auto"/>
              <w:left w:val="single" w:sz="6" w:space="0" w:color="auto"/>
              <w:bottom w:val="single" w:sz="6" w:space="0" w:color="auto"/>
              <w:right w:val="single" w:sz="6" w:space="0" w:color="auto"/>
            </w:tcBorders>
          </w:tcPr>
          <w:p w14:paraId="1B3E153F"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7C1DB52" w14:textId="51D32CD9" w:rsidR="00B44564" w:rsidRPr="005762E6" w:rsidRDefault="00B44564" w:rsidP="00EA69AA">
            <w:pPr>
              <w:spacing w:after="120" w:line="240" w:lineRule="auto"/>
              <w:contextualSpacing/>
              <w:rPr>
                <w:sz w:val="20"/>
                <w:szCs w:val="20"/>
              </w:rPr>
            </w:pPr>
            <w:r w:rsidRPr="005762E6">
              <w:rPr>
                <w:sz w:val="20"/>
                <w:szCs w:val="20"/>
              </w:rPr>
              <w:t xml:space="preserve">Bi-Yu </w:t>
            </w:r>
            <w:proofErr w:type="gramStart"/>
            <w:r w:rsidRPr="005762E6">
              <w:rPr>
                <w:sz w:val="20"/>
                <w:szCs w:val="20"/>
              </w:rPr>
              <w:t>Liu,​</w:t>
            </w:r>
            <w:proofErr w:type="gramEnd"/>
            <w:r w:rsidRPr="005762E6">
              <w:rPr>
                <w:sz w:val="20"/>
                <w:szCs w:val="20"/>
              </w:rPr>
              <w:t xml:space="preserve"> Yu-Jung Lin,​ Hung-Fu Lee,​ Ching-Yin Ho,​ Ting Ruan,​ Yu Ru Kou Menthol suppresses laryngeal C-fiber hypersensitivity to cigarette smoke in a rat model of gastroesophageal reflux disease: the role of TRPM8</w:t>
            </w:r>
            <w:r w:rsidR="007F2F01">
              <w:rPr>
                <w:sz w:val="20"/>
                <w:szCs w:val="20"/>
              </w:rPr>
              <w:t>.</w:t>
            </w:r>
            <w:r w:rsidRPr="005762E6">
              <w:rPr>
                <w:sz w:val="20"/>
                <w:szCs w:val="20"/>
              </w:rPr>
              <w:t xml:space="preserve"> Journal of applied physiology (Bethesda,​ Md. : 1985); 2015;118:635.</w:t>
            </w:r>
            <w:r w:rsidRPr="005762E6">
              <w:rPr>
                <w:sz w:val="20"/>
                <w:szCs w:val="20"/>
              </w:rPr>
              <w:br/>
            </w:r>
            <w:r w:rsidRPr="005762E6">
              <w:rPr>
                <w:sz w:val="20"/>
                <w:szCs w:val="20"/>
              </w:rPr>
              <w:br/>
            </w:r>
            <w:r w:rsidRPr="005762E6">
              <w:rPr>
                <w:b/>
                <w:bCs/>
                <w:sz w:val="20"/>
                <w:szCs w:val="20"/>
              </w:rPr>
              <w:t>Keywords:</w:t>
            </w:r>
            <w:r w:rsidRPr="005762E6">
              <w:rPr>
                <w:sz w:val="20"/>
                <w:szCs w:val="20"/>
              </w:rPr>
              <w:br/>
              <w:t>Animals,​Apnea/dt [Drug Therapy],​Apnea/me [Metabolism],​*Gastroesophageal Reflux/dt [Drug Therapy],​Gastroesophageal Reflux/me [Metabolism],​Gastroesophageal Reflux/pp [Physiopathology],​Hypersensitivity/me [Metabolism],​*Hypersensitivity/pp [Physiopathology],​Laryngeal Nerves/de [Drug Effects],​Laryngeal Nerves/me [Metabolism],​Laryngeal Nerves/pp [Physiopathology],​*Larynx/de [Drug Effects],​Larynx/me [Metabolism],​Larynx/ph [Physiology],​Male,​*Menthol/pd [Pharmacology],​*Nerve Fibers,​ Unmyelinated/me [Metabolism],​Rats,​Rats,​ Sprague-Dawley,​Reflex/de [Drug Effects],​Reflex/ph [Physiology],​Sensory Receptor Cells/de [Drug Effects],​Sensory Receptor Cells/me [Metabolism],​Smoking/ae [Adverse Effects],​*TRPM Cation Channels/me [Metabolism],​TRPV Cation Channels/me [Metabolism],​*Tobacco Products/ae [Adverse Effects],​Transient Receptor Potential Channels/me [Metabolism]</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Patients with gastroesophageal reflux disease (GERD) display enhanced laryngeal reflex reactivity to stimuli that may be due to sensitization of the laryngeal C-fibers by acid and pepsin. </w:t>
            </w:r>
            <w:proofErr w:type="gramStart"/>
            <w:r w:rsidRPr="005762E6">
              <w:rPr>
                <w:sz w:val="20"/>
                <w:szCs w:val="20"/>
              </w:rPr>
              <w:t>Menthol,​</w:t>
            </w:r>
            <w:proofErr w:type="gramEnd"/>
            <w:r w:rsidRPr="005762E6">
              <w:rPr>
                <w:sz w:val="20"/>
                <w:szCs w:val="20"/>
              </w:rPr>
              <w:t xml:space="preserve"> a ligand of transient receptor potential melastatin-8 (TRPM8),​ relieves throat irritation. </w:t>
            </w:r>
            <w:proofErr w:type="gramStart"/>
            <w:r w:rsidRPr="005762E6">
              <w:rPr>
                <w:sz w:val="20"/>
                <w:szCs w:val="20"/>
              </w:rPr>
              <w:t>However,​</w:t>
            </w:r>
            <w:proofErr w:type="gramEnd"/>
            <w:r w:rsidRPr="005762E6">
              <w:rPr>
                <w:sz w:val="20"/>
                <w:szCs w:val="20"/>
              </w:rPr>
              <w:t xml:space="preserve"> the possibility that GERD induces laryngeal C-fiber hypersensitivity to cigarette smoke (CS) and that menthol suppresses this event has not been investigated. We delivered CS into functionally isolated larynxes of 160 anesthetized rats. Laryngeal pH 5-pepsin </w:t>
            </w:r>
            <w:proofErr w:type="gramStart"/>
            <w:r w:rsidRPr="005762E6">
              <w:rPr>
                <w:sz w:val="20"/>
                <w:szCs w:val="20"/>
              </w:rPr>
              <w:t>treatment,​</w:t>
            </w:r>
            <w:proofErr w:type="gramEnd"/>
            <w:r w:rsidRPr="005762E6">
              <w:rPr>
                <w:sz w:val="20"/>
                <w:szCs w:val="20"/>
              </w:rPr>
              <w:t xml:space="preserve"> but not pH 5-denatured pepsin,​ augmented the apneic response to CS,​ which was blocked by denervation or perineural capsaicin treatment (a procedure that blocks the conduction of C fibers) of the superior laryngeal nerves. This augmented apnea was partially attenuated by capsazepine [an transient receptor potential vanilloid 1 (TRPV1) antagonist</w:t>
            </w:r>
            <w:proofErr w:type="gramStart"/>
            <w:r w:rsidRPr="005762E6">
              <w:rPr>
                <w:sz w:val="20"/>
                <w:szCs w:val="20"/>
              </w:rPr>
              <w:t>],​</w:t>
            </w:r>
            <w:proofErr w:type="gramEnd"/>
            <w:r w:rsidRPr="005762E6">
              <w:rPr>
                <w:sz w:val="20"/>
                <w:szCs w:val="20"/>
              </w:rPr>
              <w:t xml:space="preserve"> SB-366791 (a TRPV1 antagonist),​ and HC030031 [a transient receptor potential ankyrin 1 (TRPA1) antagonist] and was completely prevented by a combination of TRPV1 and TRPA1 antagonists. Local application of menthol significantly suppressed the augmented apnea and this effect was reversed by pretreatment with AMTB (a TRPM8 antagonist). Our </w:t>
            </w:r>
            <w:r w:rsidRPr="005762E6">
              <w:rPr>
                <w:sz w:val="20"/>
                <w:szCs w:val="20"/>
              </w:rPr>
              <w:lastRenderedPageBreak/>
              <w:t xml:space="preserve">electrophysiological studies consistently revealed that laryngeal pH 5-pepsin treatment increased the sensitivity of laryngeal C-fibers to CS. </w:t>
            </w:r>
            <w:proofErr w:type="gramStart"/>
            <w:r w:rsidRPr="005762E6">
              <w:rPr>
                <w:sz w:val="20"/>
                <w:szCs w:val="20"/>
              </w:rPr>
              <w:t>Likewise,​</w:t>
            </w:r>
            <w:proofErr w:type="gramEnd"/>
            <w:r w:rsidRPr="005762E6">
              <w:rPr>
                <w:sz w:val="20"/>
                <w:szCs w:val="20"/>
              </w:rPr>
              <w:t xml:space="preserve"> menthol suppressed this laryngeal C-fiber hypersensitivity and its effect could be reversed by pretreatment with AMTB. Our results suggest that laryngeal pH 5-pepsin treatment increases sensitivity to CS of both TRPV1 and TRPA</w:t>
            </w:r>
            <w:proofErr w:type="gramStart"/>
            <w:r w:rsidRPr="005762E6">
              <w:rPr>
                <w:sz w:val="20"/>
                <w:szCs w:val="20"/>
              </w:rPr>
              <w:t>1,​</w:t>
            </w:r>
            <w:proofErr w:type="gramEnd"/>
            <w:r w:rsidRPr="005762E6">
              <w:rPr>
                <w:sz w:val="20"/>
                <w:szCs w:val="20"/>
              </w:rPr>
              <w:t xml:space="preserve"> which are presumably located at the terminals of laryngeal C-fibers. This sensory sensitization leads to enhanced laryngeal reflex reactivity and augmentation of the laryngeal C-fiber responses to </w:t>
            </w:r>
            <w:proofErr w:type="gramStart"/>
            <w:r w:rsidRPr="005762E6">
              <w:rPr>
                <w:sz w:val="20"/>
                <w:szCs w:val="20"/>
              </w:rPr>
              <w:t>CS,​</w:t>
            </w:r>
            <w:proofErr w:type="gramEnd"/>
            <w:r w:rsidRPr="005762E6">
              <w:rPr>
                <w:sz w:val="20"/>
                <w:szCs w:val="20"/>
              </w:rPr>
              <w:t xml:space="preserve"> which can be suppressed by menthol acting via TRPM8. Copyright © 2015 the American Physiological Society.</w:t>
            </w:r>
          </w:p>
        </w:tc>
      </w:tr>
      <w:tr w:rsidR="00B44564" w:rsidRPr="005762E6" w14:paraId="5AD2D1F8"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71AD627" w14:textId="77777777" w:rsidR="00B44564" w:rsidRPr="005762E6" w:rsidRDefault="00B44564" w:rsidP="00EA69AA">
            <w:pPr>
              <w:spacing w:after="120" w:line="240" w:lineRule="auto"/>
              <w:contextualSpacing/>
              <w:rPr>
                <w:sz w:val="20"/>
                <w:szCs w:val="20"/>
              </w:rPr>
            </w:pPr>
            <w:r w:rsidRPr="005762E6">
              <w:rPr>
                <w:sz w:val="20"/>
                <w:szCs w:val="20"/>
              </w:rPr>
              <w:lastRenderedPageBreak/>
              <w:t>480</w:t>
            </w:r>
          </w:p>
        </w:tc>
        <w:tc>
          <w:tcPr>
            <w:tcW w:w="0" w:type="auto"/>
            <w:tcBorders>
              <w:top w:val="single" w:sz="6" w:space="0" w:color="auto"/>
              <w:left w:val="single" w:sz="6" w:space="0" w:color="auto"/>
              <w:bottom w:val="single" w:sz="6" w:space="0" w:color="auto"/>
              <w:right w:val="single" w:sz="6" w:space="0" w:color="auto"/>
            </w:tcBorders>
          </w:tcPr>
          <w:p w14:paraId="5B968642"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8A987FD" w14:textId="2D6C6024" w:rsidR="00B44564" w:rsidRPr="005762E6" w:rsidRDefault="00B44564" w:rsidP="00EA69AA">
            <w:pPr>
              <w:spacing w:after="120" w:line="240" w:lineRule="auto"/>
              <w:contextualSpacing/>
              <w:rPr>
                <w:sz w:val="20"/>
                <w:szCs w:val="20"/>
              </w:rPr>
            </w:pPr>
            <w:r w:rsidRPr="005762E6">
              <w:rPr>
                <w:sz w:val="20"/>
                <w:szCs w:val="20"/>
              </w:rPr>
              <w:t xml:space="preserve">Jessica M </w:t>
            </w:r>
            <w:proofErr w:type="gramStart"/>
            <w:r w:rsidRPr="005762E6">
              <w:rPr>
                <w:sz w:val="20"/>
                <w:szCs w:val="20"/>
              </w:rPr>
              <w:t>Rath,​</w:t>
            </w:r>
            <w:proofErr w:type="gramEnd"/>
            <w:r w:rsidRPr="005762E6">
              <w:rPr>
                <w:sz w:val="20"/>
                <w:szCs w:val="20"/>
              </w:rPr>
              <w:t xml:space="preserve"> Andrea C Villanti,​ Valerie F Williams,​ Amanda Richardson,​ Jennifer L Pearson,​ Donna M Vallone Patterns of Longitudinal Transitions in Menthol Use Among US Young Adult Smokers</w:t>
            </w:r>
            <w:r w:rsidR="007F2F01">
              <w:rPr>
                <w:sz w:val="20"/>
                <w:szCs w:val="20"/>
              </w:rPr>
              <w:t>.</w:t>
            </w:r>
            <w:r w:rsidRPr="005762E6">
              <w:rPr>
                <w:sz w:val="20"/>
                <w:szCs w:val="20"/>
              </w:rPr>
              <w:t xml:space="preserve"> Nicotine &amp; tobacco research : official journal of the Society for Research on Nicotine and Tobacco; 2015;17:839.</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Adolescent,​Adult,​Female,​Humans,​Intention,​Longitudinal Studies,​Male,​*Menthol/ad [Administration &amp; Dosage],​Retrospective Studies,​*Smoking/eh [Ethnology],​Smoking/px [Psychology],​*Smoking/td [Trends],​*Smoking Cessation/eh [Ethnology],​Smoking Cessation/px [Psychology],​*Tobacco Products,​United States/eh [Ethnology],​Young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INTRODUCTION: Menthol is the only characterizing flavor in cigarettes that was not banned as part of the 2009 Family Smoking Prevention and Tobacco Control Act. This longitudinal study explores the role of menthol in smoking initiation and progression. Purpose (a) to examine young adult patterns of menthol cigarette use including switching between menthol and non-menthol and (b) to describe associations between these patterns of menthol use and cessation related intentions and behaviors. Additional data on the role of menthol in cigarettes on smoking uptake and maintenance is needed to inform proposed policy making at the local,​ state,​ and national levels.,​ METHODS: Using 3 time points from a longitudinal national sample of young adults aged 18-34 years (N = 267 smokers),​ patterns of menthol use over 1 year were defined among smokers as: (a) remained menthol smoker; (b) remained non-menthol smoker; (c) switched from menthol to non-menthol; and (d) switched from non-menthol to menthol. Associations were assessed between current menthol cigarette use and cessation intentions and behaviors</w:t>
            </w:r>
            <w:proofErr w:type="gramStart"/>
            <w:r w:rsidRPr="005762E6">
              <w:rPr>
                <w:sz w:val="20"/>
                <w:szCs w:val="20"/>
              </w:rPr>
              <w:t>.,​</w:t>
            </w:r>
            <w:proofErr w:type="gramEnd"/>
            <w:r w:rsidRPr="005762E6">
              <w:rPr>
                <w:sz w:val="20"/>
                <w:szCs w:val="20"/>
              </w:rPr>
              <w:t xml:space="preserve"> RESULTS: Significant predictors of current menthol cigarette use at 1 year included initiation with menthol (OR = 8.26),​ Black race (OR = 23.60),​ and higher scores on the Allen menthol taste subscale (OR = 1.53). Menthol smokers were more likely to report intention to quit but no differences existed between menthol and non-menthol users in ever making a quit attempt</w:t>
            </w:r>
            <w:proofErr w:type="gramStart"/>
            <w:r w:rsidRPr="005762E6">
              <w:rPr>
                <w:sz w:val="20"/>
                <w:szCs w:val="20"/>
              </w:rPr>
              <w:t>.,​</w:t>
            </w:r>
            <w:proofErr w:type="gramEnd"/>
            <w:r w:rsidRPr="005762E6">
              <w:rPr>
                <w:sz w:val="20"/>
                <w:szCs w:val="20"/>
              </w:rPr>
              <w:t xml:space="preserve"> CONCLUSIONS: Most young adults stay with the product that they start smoking with. Menthol smokers were interested in </w:t>
            </w:r>
            <w:proofErr w:type="gramStart"/>
            <w:r w:rsidRPr="005762E6">
              <w:rPr>
                <w:sz w:val="20"/>
                <w:szCs w:val="20"/>
              </w:rPr>
              <w:t>quitting,​</w:t>
            </w:r>
            <w:proofErr w:type="gramEnd"/>
            <w:r w:rsidRPr="005762E6">
              <w:rPr>
                <w:sz w:val="20"/>
                <w:szCs w:val="20"/>
              </w:rPr>
              <w:t xml:space="preserve"> but less interested in next 30-day action than non-menthol smokers. Copyright © The Author 2014. Published by Oxford University Press on behalf of the Society for Research on Nicotine and Tobacco. All rights reserved. For </w:t>
            </w:r>
            <w:proofErr w:type="gramStart"/>
            <w:r w:rsidRPr="005762E6">
              <w:rPr>
                <w:sz w:val="20"/>
                <w:szCs w:val="20"/>
              </w:rPr>
              <w:t>permissions,​</w:t>
            </w:r>
            <w:proofErr w:type="gramEnd"/>
            <w:r w:rsidRPr="005762E6">
              <w:rPr>
                <w:sz w:val="20"/>
                <w:szCs w:val="20"/>
              </w:rPr>
              <w:t xml:space="preserve"> please e-mail: journals.permissions@oup.com.</w:t>
            </w:r>
          </w:p>
        </w:tc>
      </w:tr>
      <w:tr w:rsidR="00B44564" w:rsidRPr="005762E6" w14:paraId="6CA28650"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4CE07DC" w14:textId="77777777" w:rsidR="00B44564" w:rsidRPr="005762E6" w:rsidRDefault="00B44564" w:rsidP="00EA69AA">
            <w:pPr>
              <w:spacing w:after="120" w:line="240" w:lineRule="auto"/>
              <w:contextualSpacing/>
              <w:rPr>
                <w:sz w:val="20"/>
                <w:szCs w:val="20"/>
              </w:rPr>
            </w:pPr>
            <w:r w:rsidRPr="005762E6">
              <w:rPr>
                <w:sz w:val="20"/>
                <w:szCs w:val="20"/>
              </w:rPr>
              <w:t>484</w:t>
            </w:r>
          </w:p>
        </w:tc>
        <w:tc>
          <w:tcPr>
            <w:tcW w:w="0" w:type="auto"/>
            <w:tcBorders>
              <w:top w:val="single" w:sz="6" w:space="0" w:color="auto"/>
              <w:left w:val="single" w:sz="6" w:space="0" w:color="auto"/>
              <w:bottom w:val="single" w:sz="6" w:space="0" w:color="auto"/>
              <w:right w:val="single" w:sz="6" w:space="0" w:color="auto"/>
            </w:tcBorders>
          </w:tcPr>
          <w:p w14:paraId="4F106AEC"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3E2BE12" w14:textId="31B120B7" w:rsidR="00B44564" w:rsidRPr="005762E6" w:rsidRDefault="00B44564" w:rsidP="00EA69AA">
            <w:pPr>
              <w:spacing w:after="120" w:line="240" w:lineRule="auto"/>
              <w:contextualSpacing/>
              <w:rPr>
                <w:sz w:val="20"/>
                <w:szCs w:val="20"/>
              </w:rPr>
            </w:pPr>
            <w:r w:rsidRPr="005762E6">
              <w:rPr>
                <w:sz w:val="20"/>
                <w:szCs w:val="20"/>
              </w:rPr>
              <w:t xml:space="preserve">Yantao </w:t>
            </w:r>
            <w:proofErr w:type="gramStart"/>
            <w:r w:rsidRPr="005762E6">
              <w:rPr>
                <w:sz w:val="20"/>
                <w:szCs w:val="20"/>
              </w:rPr>
              <w:t>Zuo,​</w:t>
            </w:r>
            <w:proofErr w:type="gramEnd"/>
            <w:r w:rsidRPr="005762E6">
              <w:rPr>
                <w:sz w:val="20"/>
                <w:szCs w:val="20"/>
              </w:rPr>
              <w:t xml:space="preserve"> Alexey G Mukhin,​ Sudha Garg,​ Rachid Nazih,​ Frederique M Behm,​ Pradeep K Garg,​ Jed E Rose Sex-specific effects of cigarette mentholation on brain nicotine accumulation and smoking behavior</w:t>
            </w:r>
            <w:r w:rsidR="007F2F01">
              <w:rPr>
                <w:sz w:val="20"/>
                <w:szCs w:val="20"/>
              </w:rPr>
              <w:t>.</w:t>
            </w:r>
            <w:r w:rsidRPr="005762E6">
              <w:rPr>
                <w:sz w:val="20"/>
                <w:szCs w:val="20"/>
              </w:rPr>
              <w:t xml:space="preserve"> Neuropsychopharmacology : official publication of the American College of Neuropsychopharmacology; 2015;40:884.</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Adolescent,​Adult,​Aged,​Analysis of Variance,​Brain/dg [Diagnostic Imaging],​*Brain/de [Drug Effects],​Cross-Over Studies,​Female,​Humans,​Male,​*Menthol/ad [Administration &amp; Dosage],​Middle Aged,​Motivation,​*Nicotine/me [Metabolism],​Positron-Emission Tomography,​*Sex Characteristics,​*Smoking/pa [Pathology],​Statistics as Topic,​Tomography,​ X-Ray Computed,​Young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Menthol cigarettes are likely associated with greater risks of smoking dependence than non-menthol cigarettes. We sought to test the hypothesis that menthol increases the rate of brain nicotine accumulation (BNA) during smoking and thereby enhances its addictive effects. In a counter-balanced cross-over </w:t>
            </w:r>
            <w:proofErr w:type="gramStart"/>
            <w:r w:rsidRPr="005762E6">
              <w:rPr>
                <w:sz w:val="20"/>
                <w:szCs w:val="20"/>
              </w:rPr>
              <w:t>design,​</w:t>
            </w:r>
            <w:proofErr w:type="gramEnd"/>
            <w:r w:rsidRPr="005762E6">
              <w:rPr>
                <w:sz w:val="20"/>
                <w:szCs w:val="20"/>
              </w:rPr>
              <w:t xml:space="preserve"> 10 menthol and 9 non-menthol smokers (10 females and 9 males; mean age 44.3) underwent two study phases. In each </w:t>
            </w:r>
            <w:proofErr w:type="gramStart"/>
            <w:r w:rsidRPr="005762E6">
              <w:rPr>
                <w:sz w:val="20"/>
                <w:szCs w:val="20"/>
              </w:rPr>
              <w:t>phase,​</w:t>
            </w:r>
            <w:proofErr w:type="gramEnd"/>
            <w:r w:rsidRPr="005762E6">
              <w:rPr>
                <w:sz w:val="20"/>
                <w:szCs w:val="20"/>
              </w:rPr>
              <w:t xml:space="preserve"> the participant smoked exclusively either menthol or non-menthol research </w:t>
            </w:r>
            <w:r w:rsidRPr="005762E6">
              <w:rPr>
                <w:sz w:val="20"/>
                <w:szCs w:val="20"/>
              </w:rPr>
              <w:lastRenderedPageBreak/>
              <w:t xml:space="preserve">cigarettes for approximately 1 week prior to a positron emission tomography (PET) scan session,​ during which the subject's head was scanned following inhalation of a single puff of smoke from a cigarette containing (11)C-nicotine. No differences in initial </w:t>
            </w:r>
            <w:proofErr w:type="gramStart"/>
            <w:r w:rsidRPr="005762E6">
              <w:rPr>
                <w:sz w:val="20"/>
                <w:szCs w:val="20"/>
              </w:rPr>
              <w:t>slope,​</w:t>
            </w:r>
            <w:proofErr w:type="gramEnd"/>
            <w:r w:rsidRPr="005762E6">
              <w:rPr>
                <w:sz w:val="20"/>
                <w:szCs w:val="20"/>
              </w:rPr>
              <w:t xml:space="preserve"> Cmax,​ area under curve (AUC),​ and T1/2 of BNA were found between menthol and non-menthol cigarettes across all subjects; however,​ menthol relative to non-menthol cigarettes were associated with steeper initial slopes in men (p=0.008). </w:t>
            </w:r>
            <w:proofErr w:type="gramStart"/>
            <w:r w:rsidRPr="005762E6">
              <w:rPr>
                <w:sz w:val="20"/>
                <w:szCs w:val="20"/>
              </w:rPr>
              <w:t>Unexpectedly,​</w:t>
            </w:r>
            <w:proofErr w:type="gramEnd"/>
            <w:r w:rsidRPr="005762E6">
              <w:rPr>
                <w:sz w:val="20"/>
                <w:szCs w:val="20"/>
              </w:rPr>
              <w:t xml:space="preserve"> women had faster BNA as indicated by greater values of the initial slope,​ Cmax,​ AUC,​ and shorter T1/2 than men (all ps&lt;0.04). The rates of BNA were significantly correlated with ratings of smoking motivations of getting a 'rush</w:t>
            </w:r>
            <w:proofErr w:type="gramStart"/>
            <w:r w:rsidRPr="005762E6">
              <w:rPr>
                <w:sz w:val="20"/>
                <w:szCs w:val="20"/>
              </w:rPr>
              <w:t>',​</w:t>
            </w:r>
            <w:proofErr w:type="gramEnd"/>
            <w:r w:rsidRPr="005762E6">
              <w:rPr>
                <w:sz w:val="20"/>
                <w:szCs w:val="20"/>
              </w:rPr>
              <w:t xml:space="preserve"> getting relaxing effects and marginally with alleviation of craving. These results do not provide strong support for the putative role of menthol in enhancing </w:t>
            </w:r>
            <w:proofErr w:type="gramStart"/>
            <w:r w:rsidRPr="005762E6">
              <w:rPr>
                <w:sz w:val="20"/>
                <w:szCs w:val="20"/>
              </w:rPr>
              <w:t>BNA,​</w:t>
            </w:r>
            <w:proofErr w:type="gramEnd"/>
            <w:r w:rsidRPr="005762E6">
              <w:rPr>
                <w:sz w:val="20"/>
                <w:szCs w:val="20"/>
              </w:rPr>
              <w:t xml:space="preserve"> although further studies should explore the apparent effect of menthol on BNA in men. Fast BNA during smoking and preference of sensory properties of menthol cigarettes may independently or jointly contribute to smoking dependence among women.</w:t>
            </w:r>
          </w:p>
        </w:tc>
      </w:tr>
      <w:tr w:rsidR="00B44564" w:rsidRPr="005762E6" w14:paraId="11B1CE60"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20799BC" w14:textId="77777777" w:rsidR="00B44564" w:rsidRPr="005762E6" w:rsidRDefault="00B44564" w:rsidP="00EA69AA">
            <w:pPr>
              <w:spacing w:after="120" w:line="240" w:lineRule="auto"/>
              <w:contextualSpacing/>
              <w:rPr>
                <w:sz w:val="20"/>
                <w:szCs w:val="20"/>
              </w:rPr>
            </w:pPr>
            <w:r w:rsidRPr="005762E6">
              <w:rPr>
                <w:sz w:val="20"/>
                <w:szCs w:val="20"/>
              </w:rPr>
              <w:lastRenderedPageBreak/>
              <w:t>485</w:t>
            </w:r>
          </w:p>
        </w:tc>
        <w:tc>
          <w:tcPr>
            <w:tcW w:w="0" w:type="auto"/>
            <w:tcBorders>
              <w:top w:val="single" w:sz="6" w:space="0" w:color="auto"/>
              <w:left w:val="single" w:sz="6" w:space="0" w:color="auto"/>
              <w:bottom w:val="single" w:sz="6" w:space="0" w:color="auto"/>
              <w:right w:val="single" w:sz="6" w:space="0" w:color="auto"/>
            </w:tcBorders>
          </w:tcPr>
          <w:p w14:paraId="68A17FB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6AD4EB9" w14:textId="7340EBF0" w:rsidR="00B44564" w:rsidRPr="005762E6" w:rsidRDefault="00B44564" w:rsidP="00EA69AA">
            <w:pPr>
              <w:spacing w:after="120" w:line="240" w:lineRule="auto"/>
              <w:contextualSpacing/>
              <w:rPr>
                <w:sz w:val="20"/>
                <w:szCs w:val="20"/>
              </w:rPr>
            </w:pPr>
            <w:r w:rsidRPr="005762E6">
              <w:rPr>
                <w:sz w:val="20"/>
                <w:szCs w:val="20"/>
              </w:rPr>
              <w:t>Kelly C Young-</w:t>
            </w:r>
            <w:proofErr w:type="gramStart"/>
            <w:r w:rsidRPr="005762E6">
              <w:rPr>
                <w:sz w:val="20"/>
                <w:szCs w:val="20"/>
              </w:rPr>
              <w:t>Wolff,​</w:t>
            </w:r>
            <w:proofErr w:type="gramEnd"/>
            <w:r w:rsidRPr="005762E6">
              <w:rPr>
                <w:sz w:val="20"/>
                <w:szCs w:val="20"/>
              </w:rPr>
              <w:t xml:space="preserve"> Norval J 3rd Hickman,​ Romina Kim,​ Kathleen Gali,​ Judith J Prochaska Correlates and prevalence of menthol cigarette use among adults with serious mental illness</w:t>
            </w:r>
            <w:r w:rsidR="007F2F01">
              <w:rPr>
                <w:sz w:val="20"/>
                <w:szCs w:val="20"/>
              </w:rPr>
              <w:t>.</w:t>
            </w:r>
            <w:r w:rsidRPr="005762E6">
              <w:rPr>
                <w:sz w:val="20"/>
                <w:szCs w:val="20"/>
              </w:rPr>
              <w:t xml:space="preserve"> Nicotine &amp; tobacco research : official journal of the Society for Research on Nicotine and Tobacco; 2015;17:285.</w:t>
            </w:r>
            <w:r w:rsidRPr="005762E6">
              <w:rPr>
                <w:sz w:val="20"/>
                <w:szCs w:val="20"/>
              </w:rPr>
              <w:br/>
            </w:r>
            <w:r w:rsidRPr="005762E6">
              <w:rPr>
                <w:sz w:val="20"/>
                <w:szCs w:val="20"/>
              </w:rPr>
              <w:br/>
            </w:r>
            <w:r w:rsidRPr="005762E6">
              <w:rPr>
                <w:b/>
                <w:bCs/>
                <w:sz w:val="20"/>
                <w:szCs w:val="20"/>
              </w:rPr>
              <w:t>Keywords:</w:t>
            </w:r>
            <w:r w:rsidRPr="005762E6">
              <w:rPr>
                <w:sz w:val="20"/>
                <w:szCs w:val="20"/>
              </w:rPr>
              <w:br/>
              <w:t>Adult,​California/eh [Ethnology],​Female,​Humans,​Male,​*Menthol,​Middle Aged,​Minority Groups/px [Psychology],​Prevalence,​San Francisco/eh [Ethnology],​*Smoking/eh [Ethnology],​*Smoking/px [Psychology],​*Smoking Cessation/eh [Ethnology],​*Smoking Cessation/px [Psychology],​*Tobacco Products,​Young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With a focus on protecting vulnerable groups from initiating and continuing tobacco use,​ the FDA has been considering the regulation of menthol in cigarettes. Using a large sample of adult smokers with serious mental illness (SMI) in the San Francisco Bay </w:t>
            </w:r>
            <w:proofErr w:type="gramStart"/>
            <w:r w:rsidRPr="005762E6">
              <w:rPr>
                <w:sz w:val="20"/>
                <w:szCs w:val="20"/>
              </w:rPr>
              <w:t>Area,​</w:t>
            </w:r>
            <w:proofErr w:type="gramEnd"/>
            <w:r w:rsidRPr="005762E6">
              <w:rPr>
                <w:sz w:val="20"/>
                <w:szCs w:val="20"/>
              </w:rPr>
              <w:t xml:space="preserve"> we examined demographic and clinical correlates of menthol use,​ and we compared the prevalence of menthol use among our study participants to that of adult smokers in the general population in California.,​ METHODS: Adult smokers with SMI (N = 1,​042) were recruited from 7 acute inpatient psychiatric units in the San Francisco Bay Area. </w:t>
            </w:r>
            <w:proofErr w:type="gramStart"/>
            <w:r w:rsidRPr="005762E6">
              <w:rPr>
                <w:sz w:val="20"/>
                <w:szCs w:val="20"/>
              </w:rPr>
              <w:t>Demographic,​</w:t>
            </w:r>
            <w:proofErr w:type="gramEnd"/>
            <w:r w:rsidRPr="005762E6">
              <w:rPr>
                <w:sz w:val="20"/>
                <w:szCs w:val="20"/>
              </w:rPr>
              <w:t xml:space="preserve"> tobacco,​ and clinical correlates of menthol use were examined with bivariate and multivariate logistic regression analyses,​ and prevalence of menthol use was compared within racial/ethnic groups to California population estimates from the 2008-2011 National Survey on Drug Use and Health.,​ RESULTS: A sample majority (57%) reported smoking menthol cigarettes. Multivariate logistic regression analyses indicated that adult smokers with SMI who were </w:t>
            </w:r>
            <w:proofErr w:type="gramStart"/>
            <w:r w:rsidRPr="005762E6">
              <w:rPr>
                <w:sz w:val="20"/>
                <w:szCs w:val="20"/>
              </w:rPr>
              <w:t>younger,​</w:t>
            </w:r>
            <w:proofErr w:type="gramEnd"/>
            <w:r w:rsidRPr="005762E6">
              <w:rPr>
                <w:sz w:val="20"/>
                <w:szCs w:val="20"/>
              </w:rPr>
              <w:t xml:space="preserve"> who had racial/ethnic minority status,​ who had fewer perceived interpersonal problems,​ and who had greater psychotic symptoms also had a significantly greater likelihood of menthol use. Smokers with SMI had a higher prevalence of menthol use relative to the general population in California overall (24%)</w:t>
            </w:r>
            <w:proofErr w:type="gramStart"/>
            <w:r w:rsidRPr="005762E6">
              <w:rPr>
                <w:sz w:val="20"/>
                <w:szCs w:val="20"/>
              </w:rPr>
              <w:t>.,​</w:t>
            </w:r>
            <w:proofErr w:type="gramEnd"/>
            <w:r w:rsidRPr="005762E6">
              <w:rPr>
                <w:sz w:val="20"/>
                <w:szCs w:val="20"/>
              </w:rPr>
              <w:t xml:space="preserve"> CONCLUSIONS: Individuals with SMI-particularly those who are younger,​ have racial/ethnic minority status,​ and have been diagnosed with a psychotic disorder-are vulnerable to menthol cigarette use. FDA regulation of menthol may prevent initiation and may encourage cessation among smokers with SMI.</w:t>
            </w:r>
            <w:r>
              <w:rPr>
                <w:sz w:val="20"/>
                <w:szCs w:val="20"/>
              </w:rPr>
              <w:t xml:space="preserve"> </w:t>
            </w:r>
            <w:r w:rsidRPr="005762E6">
              <w:rPr>
                <w:sz w:val="20"/>
                <w:szCs w:val="20"/>
              </w:rPr>
              <w:t xml:space="preserve">Copyright © The Author 2014. Published by Oxford University Press on behalf of the Society for Research on Nicotine and Tobacco. All rights reserved. For </w:t>
            </w:r>
            <w:proofErr w:type="gramStart"/>
            <w:r w:rsidRPr="005762E6">
              <w:rPr>
                <w:sz w:val="20"/>
                <w:szCs w:val="20"/>
              </w:rPr>
              <w:t>permissions,​</w:t>
            </w:r>
            <w:proofErr w:type="gramEnd"/>
            <w:r w:rsidRPr="005762E6">
              <w:rPr>
                <w:sz w:val="20"/>
                <w:szCs w:val="20"/>
              </w:rPr>
              <w:t xml:space="preserve"> please e-mail: journals.permissions@oup.com.</w:t>
            </w:r>
          </w:p>
        </w:tc>
      </w:tr>
      <w:tr w:rsidR="00B44564" w:rsidRPr="005762E6" w14:paraId="372EC601"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D46F112" w14:textId="77777777" w:rsidR="00B44564" w:rsidRPr="005762E6" w:rsidRDefault="00B44564" w:rsidP="00EA69AA">
            <w:pPr>
              <w:spacing w:after="120" w:line="240" w:lineRule="auto"/>
              <w:contextualSpacing/>
              <w:rPr>
                <w:sz w:val="20"/>
                <w:szCs w:val="20"/>
              </w:rPr>
            </w:pPr>
            <w:r w:rsidRPr="005762E6">
              <w:rPr>
                <w:sz w:val="20"/>
                <w:szCs w:val="20"/>
              </w:rPr>
              <w:t>488</w:t>
            </w:r>
          </w:p>
        </w:tc>
        <w:tc>
          <w:tcPr>
            <w:tcW w:w="0" w:type="auto"/>
            <w:tcBorders>
              <w:top w:val="single" w:sz="6" w:space="0" w:color="auto"/>
              <w:left w:val="single" w:sz="6" w:space="0" w:color="auto"/>
              <w:bottom w:val="single" w:sz="6" w:space="0" w:color="auto"/>
              <w:right w:val="single" w:sz="6" w:space="0" w:color="auto"/>
            </w:tcBorders>
          </w:tcPr>
          <w:p w14:paraId="559B2238"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B7CA0BA" w14:textId="1CA83FC4" w:rsidR="00B44564" w:rsidRPr="005762E6" w:rsidRDefault="00B44564" w:rsidP="00EA69AA">
            <w:pPr>
              <w:spacing w:after="120" w:line="240" w:lineRule="auto"/>
              <w:contextualSpacing/>
              <w:rPr>
                <w:sz w:val="20"/>
                <w:szCs w:val="20"/>
              </w:rPr>
            </w:pPr>
            <w:r w:rsidRPr="005762E6">
              <w:rPr>
                <w:sz w:val="20"/>
                <w:szCs w:val="20"/>
              </w:rPr>
              <w:t xml:space="preserve">Emily </w:t>
            </w:r>
            <w:proofErr w:type="gramStart"/>
            <w:r w:rsidRPr="005762E6">
              <w:rPr>
                <w:sz w:val="20"/>
                <w:szCs w:val="20"/>
              </w:rPr>
              <w:t>Brennan,​</w:t>
            </w:r>
            <w:proofErr w:type="gramEnd"/>
            <w:r w:rsidRPr="005762E6">
              <w:rPr>
                <w:sz w:val="20"/>
                <w:szCs w:val="20"/>
              </w:rPr>
              <w:t xml:space="preserve"> Laura Gibson,​ Ani Momjian,​ Robert C Hornik Are young people's beliefs about menthol cigarettes associated with smoking-related intentions and behaviors?</w:t>
            </w:r>
            <w:r w:rsidR="007F2F01">
              <w:rPr>
                <w:sz w:val="20"/>
                <w:szCs w:val="20"/>
              </w:rPr>
              <w:t>.</w:t>
            </w:r>
            <w:r w:rsidRPr="005762E6">
              <w:rPr>
                <w:sz w:val="20"/>
                <w:szCs w:val="20"/>
              </w:rPr>
              <w:t xml:space="preserve"> Nicotine &amp; tobacco research : official journal of the Society for Research on Nicotine and Tobacco; 2015;17:81.</w:t>
            </w:r>
            <w:r w:rsidRPr="005762E6">
              <w:rPr>
                <w:sz w:val="20"/>
                <w:szCs w:val="20"/>
              </w:rPr>
              <w:br/>
            </w:r>
            <w:r w:rsidRPr="005762E6">
              <w:rPr>
                <w:sz w:val="20"/>
                <w:szCs w:val="20"/>
              </w:rPr>
              <w:br/>
            </w:r>
            <w:r w:rsidRPr="005762E6">
              <w:rPr>
                <w:b/>
                <w:bCs/>
                <w:sz w:val="20"/>
                <w:szCs w:val="20"/>
              </w:rPr>
              <w:t>Keywords:</w:t>
            </w:r>
            <w:r w:rsidRPr="005762E6">
              <w:rPr>
                <w:sz w:val="20"/>
                <w:szCs w:val="20"/>
              </w:rPr>
              <w:br/>
              <w:t>Adolescent,​*Adolescent Behavior,​Cross-Sectional Studies,​Female,​*Health Knowledge,​ Attitudes,​ Practice,​Humans,​Male,​*Menthol/ad [Administration &amp; Dosage],​*Smoking/ep [Epidemiology],​Smoking/px [Psychology],​Smoking Prevention,​Surveys and Questionnaires,​United States/ep [Epidemiology],​Young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Little is known about the beliefs that youth and young adults hold about menthol cigarettes or the influence of these beliefs on tobacco use initiation.,​ METHODS: Online cross-sectional surveys with 13- to 17-year-old current nonsmokers (n = 553) and 18- to 25-year-old never (n = 586) and current tobacco users (n = 307) in the United States assessed the association between endorsing each of 9 </w:t>
            </w:r>
            <w:r w:rsidRPr="005762E6">
              <w:rPr>
                <w:sz w:val="20"/>
                <w:szCs w:val="20"/>
              </w:rPr>
              <w:lastRenderedPageBreak/>
              <w:t xml:space="preserve">pro-menthol beliefs and (a) intentions to smoke menthol cigarettes over the next year,​ (b) current use of menthol cigarettes,​ (c) intentions to use tobacco in general over the next year,​ and (d) current use of tobacco products in general.,​ RESULTS: Menthols were perceived to be less harmful and addictive than nonmenthol cigarettes by between 13% and 23% of respondents. Between 20% and 58% believed that menthols had favorable sensory </w:t>
            </w:r>
            <w:proofErr w:type="gramStart"/>
            <w:r w:rsidRPr="005762E6">
              <w:rPr>
                <w:sz w:val="20"/>
                <w:szCs w:val="20"/>
              </w:rPr>
              <w:t>properties,​</w:t>
            </w:r>
            <w:proofErr w:type="gramEnd"/>
            <w:r w:rsidRPr="005762E6">
              <w:rPr>
                <w:sz w:val="20"/>
                <w:szCs w:val="20"/>
              </w:rPr>
              <w:t xml:space="preserve"> and 7%-25% believed that menthol smokers were more popular and attractive than nonmenthol smokers. Logistic regression analyses (adjusting for confounders) indicated </w:t>
            </w:r>
            <w:proofErr w:type="gramStart"/>
            <w:r w:rsidRPr="005762E6">
              <w:rPr>
                <w:sz w:val="20"/>
                <w:szCs w:val="20"/>
              </w:rPr>
              <w:t>that,​</w:t>
            </w:r>
            <w:proofErr w:type="gramEnd"/>
            <w:r w:rsidRPr="005762E6">
              <w:rPr>
                <w:sz w:val="20"/>
                <w:szCs w:val="20"/>
              </w:rPr>
              <w:t xml:space="preserve"> on the whole,​ those who endorsed pro-menthol beliefs were more likely to intend to use,​ and to currently use,​ both menthols and tobacco products in general. For example,​ respondents who believed that menthol cigarettes were more refreshing in sensation (one of the most frequently endorsed beliefs) were significantly more likely to (a) intend to smoke menthol cigarettes (13- to 17-year-olds,​ odds ratio [OR] = 2.12,​ 95% confidence interval [CI] = 1.03,​ 4.34; 18- to 25-year olds,​ OR = 2.62,​ 95% CI = 1.04,​ 6.60),​ (b) currently use menthol cigarettes (18- to 25-year olds,​ OR = 3.40,​ 95% CI = 2.20,​ 5.26),​ (c) intend to use tobacco (13- to 17-year-olds OR = 1.74,​ 95% CI = 1.14,​ 2.65),​ and (d) currently use tobacco (18- to 25-year olds,​ OR = 2.06,​ 95% CI = 1.44,​ 2.93).,​ CONCLUSIONS: Youth and young adults who do not currently smoke and who hold favorable beliefs about menthol cigarettes are at greater risk for beginning to use tobacco products,​ indicating that the availability of menthol cigarettes may contribute to tobacco use initiation. These findings support recent claims that the elimination of menthol cigarettes would improve public health in the United States. Copyright © The Author 2014. Published by Oxford University Press on behalf of the Society for Research on Nicotine and Tobacco. All rights reserved. For </w:t>
            </w:r>
            <w:proofErr w:type="gramStart"/>
            <w:r w:rsidRPr="005762E6">
              <w:rPr>
                <w:sz w:val="20"/>
                <w:szCs w:val="20"/>
              </w:rPr>
              <w:t>permissions,​</w:t>
            </w:r>
            <w:proofErr w:type="gramEnd"/>
            <w:r w:rsidRPr="005762E6">
              <w:rPr>
                <w:sz w:val="20"/>
                <w:szCs w:val="20"/>
              </w:rPr>
              <w:t xml:space="preserve"> please e-mail: journals.permissions@oup.com.</w:t>
            </w:r>
          </w:p>
        </w:tc>
      </w:tr>
      <w:tr w:rsidR="00B44564" w:rsidRPr="005762E6" w14:paraId="0BF327EE"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86EE451" w14:textId="77777777" w:rsidR="00B44564" w:rsidRPr="005762E6" w:rsidRDefault="00B44564" w:rsidP="00EA69AA">
            <w:pPr>
              <w:spacing w:after="120" w:line="240" w:lineRule="auto"/>
              <w:contextualSpacing/>
              <w:rPr>
                <w:sz w:val="20"/>
                <w:szCs w:val="20"/>
              </w:rPr>
            </w:pPr>
            <w:r w:rsidRPr="005762E6">
              <w:rPr>
                <w:sz w:val="20"/>
                <w:szCs w:val="20"/>
              </w:rPr>
              <w:lastRenderedPageBreak/>
              <w:t>490</w:t>
            </w:r>
          </w:p>
        </w:tc>
        <w:tc>
          <w:tcPr>
            <w:tcW w:w="0" w:type="auto"/>
            <w:tcBorders>
              <w:top w:val="single" w:sz="6" w:space="0" w:color="auto"/>
              <w:left w:val="single" w:sz="6" w:space="0" w:color="auto"/>
              <w:bottom w:val="single" w:sz="6" w:space="0" w:color="auto"/>
              <w:right w:val="single" w:sz="6" w:space="0" w:color="auto"/>
            </w:tcBorders>
          </w:tcPr>
          <w:p w14:paraId="7139A3A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B475E22" w14:textId="7DA2F321" w:rsidR="00B44564" w:rsidRPr="005762E6" w:rsidRDefault="00B44564" w:rsidP="00EA69AA">
            <w:pPr>
              <w:spacing w:after="120" w:line="240" w:lineRule="auto"/>
              <w:contextualSpacing/>
              <w:rPr>
                <w:sz w:val="20"/>
                <w:szCs w:val="20"/>
              </w:rPr>
            </w:pPr>
            <w:r w:rsidRPr="005762E6">
              <w:rPr>
                <w:sz w:val="20"/>
                <w:szCs w:val="20"/>
              </w:rPr>
              <w:t xml:space="preserve">Gary A </w:t>
            </w:r>
            <w:proofErr w:type="gramStart"/>
            <w:r w:rsidRPr="005762E6">
              <w:rPr>
                <w:sz w:val="20"/>
                <w:szCs w:val="20"/>
              </w:rPr>
              <w:t>Giovino,​</w:t>
            </w:r>
            <w:proofErr w:type="gramEnd"/>
            <w:r w:rsidRPr="005762E6">
              <w:rPr>
                <w:sz w:val="20"/>
                <w:szCs w:val="20"/>
              </w:rPr>
              <w:t xml:space="preserve"> Andrea C Villanti,​ Paul D Mowery,​ Varadan Sevilimedu,​ Raymond S Niaura,​ Donna M Vallone,​ David B Abrams Differential trends in cigarette smoking in the USA: is menthol slowing progress?</w:t>
            </w:r>
            <w:r w:rsidR="007F2F01">
              <w:rPr>
                <w:sz w:val="20"/>
                <w:szCs w:val="20"/>
              </w:rPr>
              <w:t>.</w:t>
            </w:r>
            <w:r w:rsidRPr="005762E6">
              <w:rPr>
                <w:sz w:val="20"/>
                <w:szCs w:val="20"/>
              </w:rPr>
              <w:t xml:space="preserve"> Tobacco control; </w:t>
            </w:r>
            <w:proofErr w:type="gramStart"/>
            <w:r w:rsidRPr="005762E6">
              <w:rPr>
                <w:sz w:val="20"/>
                <w:szCs w:val="20"/>
              </w:rPr>
              <w:t>2015;24:28</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Adolescent,​Adult,​Age Factors,​Child,​*Consumer Behavior,​Female,​Humans,​Male,​*Menthol,​Middle Aged,​*Smoking/td [Trends],​United States,​Young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Mentholated cigarettes are at least as dangerous to an individual's health as non-mentholated varieties. The addition of menthol to cigarettes reduces perceived harshness of </w:t>
            </w:r>
            <w:proofErr w:type="gramStart"/>
            <w:r w:rsidRPr="005762E6">
              <w:rPr>
                <w:sz w:val="20"/>
                <w:szCs w:val="20"/>
              </w:rPr>
              <w:t>smoke,​</w:t>
            </w:r>
            <w:proofErr w:type="gramEnd"/>
            <w:r w:rsidRPr="005762E6">
              <w:rPr>
                <w:sz w:val="20"/>
                <w:szCs w:val="20"/>
              </w:rPr>
              <w:t xml:space="preserve"> which can facilitate initiation. </w:t>
            </w:r>
            <w:proofErr w:type="gramStart"/>
            <w:r w:rsidRPr="005762E6">
              <w:rPr>
                <w:sz w:val="20"/>
                <w:szCs w:val="20"/>
              </w:rPr>
              <w:t>Here,​</w:t>
            </w:r>
            <w:proofErr w:type="gramEnd"/>
            <w:r w:rsidRPr="005762E6">
              <w:rPr>
                <w:sz w:val="20"/>
                <w:szCs w:val="20"/>
              </w:rPr>
              <w:t xml:space="preserve"> we examine correlates of menthol use,​ national trends in smoking menthol and non-menthol cigarettes,​ and brand preferences over time.,​ METHODS: We estimated menthol cigarette use during 2004-2010 using annual data on persons &gt;=12 years old from the National Surveys on Drug Use and Health. We adjusted self-reported menthol status for selected brands that were either exclusively menthol or non-</w:t>
            </w:r>
            <w:proofErr w:type="gramStart"/>
            <w:r w:rsidRPr="005762E6">
              <w:rPr>
                <w:sz w:val="20"/>
                <w:szCs w:val="20"/>
              </w:rPr>
              <w:t>menthol,​</w:t>
            </w:r>
            <w:proofErr w:type="gramEnd"/>
            <w:r w:rsidRPr="005762E6">
              <w:rPr>
                <w:sz w:val="20"/>
                <w:szCs w:val="20"/>
              </w:rPr>
              <w:t xml:space="preserve"> based on sales data. Data were weighted to provide national estimates</w:t>
            </w:r>
            <w:proofErr w:type="gramStart"/>
            <w:r w:rsidRPr="005762E6">
              <w:rPr>
                <w:sz w:val="20"/>
                <w:szCs w:val="20"/>
              </w:rPr>
              <w:t>.,​</w:t>
            </w:r>
            <w:proofErr w:type="gramEnd"/>
            <w:r w:rsidRPr="005762E6">
              <w:rPr>
                <w:sz w:val="20"/>
                <w:szCs w:val="20"/>
              </w:rPr>
              <w:t xml:space="preserve"> RESULTS: Among cigarette smokers,​ menthol cigarette use was more common among 12-17 year olds (56.7%) and 18-25 year olds (45.0%) than among older persons (range 30.5% to 34.7%). In a multivariable </w:t>
            </w:r>
            <w:proofErr w:type="gramStart"/>
            <w:r w:rsidRPr="005762E6">
              <w:rPr>
                <w:sz w:val="20"/>
                <w:szCs w:val="20"/>
              </w:rPr>
              <w:t>analysis,​</w:t>
            </w:r>
            <w:proofErr w:type="gramEnd"/>
            <w:r w:rsidRPr="005762E6">
              <w:rPr>
                <w:sz w:val="20"/>
                <w:szCs w:val="20"/>
              </w:rPr>
              <w:t xml:space="preserve"> menthol use was associated with being younger,​ female and of non-Caucasian race/ethnicity. Among all </w:t>
            </w:r>
            <w:proofErr w:type="gramStart"/>
            <w:r w:rsidRPr="005762E6">
              <w:rPr>
                <w:sz w:val="20"/>
                <w:szCs w:val="20"/>
              </w:rPr>
              <w:t>adolescents,​</w:t>
            </w:r>
            <w:proofErr w:type="gramEnd"/>
            <w:r w:rsidRPr="005762E6">
              <w:rPr>
                <w:sz w:val="20"/>
                <w:szCs w:val="20"/>
              </w:rPr>
              <w:t xml:space="preserve"> the percentage who smoked non-menthol cigarettes decreased from 2004-2010,​ while menthol smoking rates remained constant; among all young adults,​ the percentage who smoked non-menthol cigarettes also declined,​ while menthol smoking rates increased. The use of Camel menthol and Marlboro menthol increased among adolescent and young adult </w:t>
            </w:r>
            <w:proofErr w:type="gramStart"/>
            <w:r w:rsidRPr="005762E6">
              <w:rPr>
                <w:sz w:val="20"/>
                <w:szCs w:val="20"/>
              </w:rPr>
              <w:t>smokers,​</w:t>
            </w:r>
            <w:proofErr w:type="gramEnd"/>
            <w:r w:rsidRPr="005762E6">
              <w:rPr>
                <w:sz w:val="20"/>
                <w:szCs w:val="20"/>
              </w:rPr>
              <w:t xml:space="preserve"> particularly non-Hispanic Caucasians,​ during the study period.,​ CONCLUSIONS: Young people are heavy consumers of mentholated cigarettes. Progress in reducing youth smoking has likely been attenuated by the sale and marketing of mentholated </w:t>
            </w:r>
            <w:proofErr w:type="gramStart"/>
            <w:r w:rsidRPr="005762E6">
              <w:rPr>
                <w:sz w:val="20"/>
                <w:szCs w:val="20"/>
              </w:rPr>
              <w:t>cigarettes,​</w:t>
            </w:r>
            <w:proofErr w:type="gramEnd"/>
            <w:r w:rsidRPr="005762E6">
              <w:rPr>
                <w:sz w:val="20"/>
                <w:szCs w:val="20"/>
              </w:rPr>
              <w:t xml:space="preserve"> including emerging varieties of established youth brands. This study should inform the Food and Drug Administration regarding the potential public health impact of a menthol ban. Copyright Published by the BMJ Publishing Group Limited. For permission to use (where not already granted under a licence) please go to http://group.bmj.com/group/rights-licensing/permissions.</w:t>
            </w:r>
          </w:p>
        </w:tc>
      </w:tr>
      <w:tr w:rsidR="00B44564" w:rsidRPr="005762E6" w14:paraId="57177131"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A4F8651" w14:textId="77777777" w:rsidR="00B44564" w:rsidRPr="005762E6" w:rsidRDefault="00B44564" w:rsidP="00EA69AA">
            <w:pPr>
              <w:spacing w:after="120" w:line="240" w:lineRule="auto"/>
              <w:contextualSpacing/>
              <w:rPr>
                <w:sz w:val="20"/>
                <w:szCs w:val="20"/>
              </w:rPr>
            </w:pPr>
            <w:r w:rsidRPr="005762E6">
              <w:rPr>
                <w:sz w:val="20"/>
                <w:szCs w:val="20"/>
              </w:rPr>
              <w:t>491</w:t>
            </w:r>
          </w:p>
        </w:tc>
        <w:tc>
          <w:tcPr>
            <w:tcW w:w="0" w:type="auto"/>
            <w:tcBorders>
              <w:top w:val="single" w:sz="6" w:space="0" w:color="auto"/>
              <w:left w:val="single" w:sz="6" w:space="0" w:color="auto"/>
              <w:bottom w:val="single" w:sz="6" w:space="0" w:color="auto"/>
              <w:right w:val="single" w:sz="6" w:space="0" w:color="auto"/>
            </w:tcBorders>
          </w:tcPr>
          <w:p w14:paraId="27E09563"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DCFC723" w14:textId="6F562A47" w:rsidR="00B44564" w:rsidRPr="005762E6" w:rsidRDefault="00B44564" w:rsidP="00EA69AA">
            <w:pPr>
              <w:spacing w:after="120" w:line="240" w:lineRule="auto"/>
              <w:contextualSpacing/>
              <w:rPr>
                <w:sz w:val="20"/>
                <w:szCs w:val="20"/>
              </w:rPr>
            </w:pPr>
            <w:r w:rsidRPr="005762E6">
              <w:rPr>
                <w:sz w:val="20"/>
                <w:szCs w:val="20"/>
              </w:rPr>
              <w:t>Jack E Henningfield The tobacco endgame: it's all about behavior</w:t>
            </w:r>
            <w:r w:rsidR="007F2F01">
              <w:rPr>
                <w:sz w:val="20"/>
                <w:szCs w:val="20"/>
              </w:rPr>
              <w:t>.</w:t>
            </w:r>
            <w:r w:rsidRPr="005762E6">
              <w:rPr>
                <w:sz w:val="20"/>
                <w:szCs w:val="20"/>
              </w:rPr>
              <w:t xml:space="preserve"> Preventive medicine; 2014;68:11.</w:t>
            </w:r>
            <w:r w:rsidRPr="005762E6">
              <w:rPr>
                <w:sz w:val="20"/>
                <w:szCs w:val="20"/>
              </w:rPr>
              <w:br/>
            </w:r>
            <w:r w:rsidRPr="005762E6">
              <w:rPr>
                <w:sz w:val="20"/>
                <w:szCs w:val="20"/>
              </w:rPr>
              <w:br/>
            </w:r>
            <w:r w:rsidRPr="005762E6">
              <w:rPr>
                <w:b/>
                <w:bCs/>
                <w:sz w:val="20"/>
                <w:szCs w:val="20"/>
              </w:rPr>
              <w:t>Keywords:</w:t>
            </w:r>
            <w:r w:rsidRPr="005762E6">
              <w:rPr>
                <w:sz w:val="20"/>
                <w:szCs w:val="20"/>
              </w:rPr>
              <w:br/>
              <w:t xml:space="preserve">Behavior,​ Addictive,​Electronic Nicotine Delivery Systems/ae [Adverse Effects],​Electronic Nicotine Delivery Systems/px [Psychology],​*Health Behavior,​Health Policy,​Health Promotion,​Humans,​Marketing,​Menthol/ad </w:t>
            </w:r>
            <w:r w:rsidRPr="005762E6">
              <w:rPr>
                <w:sz w:val="20"/>
                <w:szCs w:val="20"/>
              </w:rPr>
              <w:lastRenderedPageBreak/>
              <w:t>[Administration &amp; Dosage],​Smoking/ae [Adverse Effects],​Smoking/ep [Epidemiology],​Smoking/px [Psychology],​*Smoking,​Smoking Cessation/lj [Legislation &amp; Jurisprudence],​Smoking Cessation/mt [Methods],​*Smoking Cessation,​Smoking Prevention,​Tobacco,​Tobacco Industry/lj [Legislation &amp; Jurisprudence],​*Tobacco Industry,​Tobacco Products,​United States/ep [Epidemiology],​United States Food and Drug Administration</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One of the ten great public health achievements in the 20th century was turning the tide on one of the greatest public health disasters of that century: the tobacco use and related disease epidemic. The premature death and disease caused by tobacco can be considered largely as a side-effect of tobacco use behavior and the disease of addiction. The spread of that disease was fostered by an industry that researched the behavioral and biological basis of tobacco use and addiction and applied its findings and knowledge to develop products and marketing approaches to increase the likelihood that </w:t>
            </w:r>
            <w:proofErr w:type="gramStart"/>
            <w:r w:rsidRPr="005762E6">
              <w:rPr>
                <w:sz w:val="20"/>
                <w:szCs w:val="20"/>
              </w:rPr>
              <w:t>people,​</w:t>
            </w:r>
            <w:proofErr w:type="gramEnd"/>
            <w:r w:rsidRPr="005762E6">
              <w:rPr>
                <w:sz w:val="20"/>
                <w:szCs w:val="20"/>
              </w:rPr>
              <w:t xml:space="preserve"> especially young people,​ would try tobacco products and develop persistent use and addiction. Researchers outside of the tobacco industry also investigated the behavioral biology of tobacco use and their research has been critical in turning the tide of the tobacco and disease epidemic. The behavioral factors are considered vital to understand and address by United States Food and Drug Administration and Surgeon </w:t>
            </w:r>
            <w:proofErr w:type="gramStart"/>
            <w:r w:rsidRPr="005762E6">
              <w:rPr>
                <w:sz w:val="20"/>
                <w:szCs w:val="20"/>
              </w:rPr>
              <w:t>General,​</w:t>
            </w:r>
            <w:proofErr w:type="gramEnd"/>
            <w:r w:rsidRPr="005762E6">
              <w:rPr>
                <w:sz w:val="20"/>
                <w:szCs w:val="20"/>
              </w:rPr>
              <w:t xml:space="preserve"> as well as the World Health Organization in their tobacco control efforts. This commentary discusses key behavioral factors in the rise and fall of the </w:t>
            </w:r>
            <w:proofErr w:type="gramStart"/>
            <w:r w:rsidRPr="005762E6">
              <w:rPr>
                <w:sz w:val="20"/>
                <w:szCs w:val="20"/>
              </w:rPr>
              <w:t>epidemic,​</w:t>
            </w:r>
            <w:proofErr w:type="gramEnd"/>
            <w:r w:rsidRPr="005762E6">
              <w:rPr>
                <w:sz w:val="20"/>
                <w:szCs w:val="20"/>
              </w:rPr>
              <w:t xml:space="preserve"> as well as some of those increasingly discussed as potential contributors to the endgame. Copyright © 2014 Elsevier Inc. All rights reserved.</w:t>
            </w:r>
          </w:p>
        </w:tc>
      </w:tr>
      <w:tr w:rsidR="00B44564" w:rsidRPr="005762E6" w14:paraId="65E0250F"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95E38CC" w14:textId="77777777" w:rsidR="00B44564" w:rsidRPr="005762E6" w:rsidRDefault="00B44564" w:rsidP="00EA69AA">
            <w:pPr>
              <w:spacing w:after="120" w:line="240" w:lineRule="auto"/>
              <w:contextualSpacing/>
              <w:rPr>
                <w:sz w:val="20"/>
                <w:szCs w:val="20"/>
              </w:rPr>
            </w:pPr>
            <w:r w:rsidRPr="005762E6">
              <w:rPr>
                <w:sz w:val="20"/>
                <w:szCs w:val="20"/>
              </w:rPr>
              <w:lastRenderedPageBreak/>
              <w:t>494</w:t>
            </w:r>
          </w:p>
        </w:tc>
        <w:tc>
          <w:tcPr>
            <w:tcW w:w="0" w:type="auto"/>
            <w:tcBorders>
              <w:top w:val="single" w:sz="6" w:space="0" w:color="auto"/>
              <w:left w:val="single" w:sz="6" w:space="0" w:color="auto"/>
              <w:bottom w:val="single" w:sz="6" w:space="0" w:color="auto"/>
              <w:right w:val="single" w:sz="6" w:space="0" w:color="auto"/>
            </w:tcBorders>
          </w:tcPr>
          <w:p w14:paraId="6EB5B55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BFA8C2B" w14:textId="57A0D835" w:rsidR="00B44564" w:rsidRPr="005762E6" w:rsidRDefault="00B44564" w:rsidP="00EA69AA">
            <w:pPr>
              <w:spacing w:after="120" w:line="240" w:lineRule="auto"/>
              <w:contextualSpacing/>
              <w:rPr>
                <w:sz w:val="20"/>
                <w:szCs w:val="20"/>
              </w:rPr>
            </w:pPr>
            <w:r w:rsidRPr="005762E6">
              <w:rPr>
                <w:sz w:val="20"/>
                <w:szCs w:val="20"/>
              </w:rPr>
              <w:t>Alain Braillon Reducing nicotine content of cigarettes: in search of a regulator</w:t>
            </w:r>
            <w:r w:rsidR="007F2F01">
              <w:rPr>
                <w:sz w:val="20"/>
                <w:szCs w:val="20"/>
              </w:rPr>
              <w:t>.</w:t>
            </w:r>
            <w:r w:rsidRPr="005762E6">
              <w:rPr>
                <w:sz w:val="20"/>
                <w:szCs w:val="20"/>
              </w:rPr>
              <w:t xml:space="preserve"> Preventive medicine; </w:t>
            </w:r>
            <w:proofErr w:type="gramStart"/>
            <w:r w:rsidRPr="005762E6">
              <w:rPr>
                <w:sz w:val="20"/>
                <w:szCs w:val="20"/>
              </w:rPr>
              <w:t>2014;69:306</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Humans,​*Nicotine/ch [Chemistry],​*Smoking,​*Tobacco/ch [Chemistry],​*Tobacco Industry,​*Tobacco Products/st [Standards]</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61DA1439"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2FAAFAD" w14:textId="77777777" w:rsidR="00B44564" w:rsidRPr="005762E6" w:rsidRDefault="00B44564" w:rsidP="00EA69AA">
            <w:pPr>
              <w:spacing w:after="120" w:line="240" w:lineRule="auto"/>
              <w:contextualSpacing/>
              <w:rPr>
                <w:sz w:val="20"/>
                <w:szCs w:val="20"/>
              </w:rPr>
            </w:pPr>
            <w:r w:rsidRPr="005762E6">
              <w:rPr>
                <w:sz w:val="20"/>
                <w:szCs w:val="20"/>
              </w:rPr>
              <w:t>495</w:t>
            </w:r>
          </w:p>
        </w:tc>
        <w:tc>
          <w:tcPr>
            <w:tcW w:w="0" w:type="auto"/>
            <w:tcBorders>
              <w:top w:val="single" w:sz="6" w:space="0" w:color="auto"/>
              <w:left w:val="single" w:sz="6" w:space="0" w:color="auto"/>
              <w:bottom w:val="single" w:sz="6" w:space="0" w:color="auto"/>
              <w:right w:val="single" w:sz="6" w:space="0" w:color="auto"/>
            </w:tcBorders>
          </w:tcPr>
          <w:p w14:paraId="46326A05"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71A2A6B" w14:textId="5093512E" w:rsidR="00B44564" w:rsidRPr="005762E6" w:rsidRDefault="00B44564" w:rsidP="00EA69AA">
            <w:pPr>
              <w:spacing w:after="120" w:line="240" w:lineRule="auto"/>
              <w:contextualSpacing/>
              <w:rPr>
                <w:sz w:val="20"/>
                <w:szCs w:val="20"/>
              </w:rPr>
            </w:pPr>
            <w:r w:rsidRPr="005762E6">
              <w:rPr>
                <w:sz w:val="20"/>
                <w:szCs w:val="20"/>
              </w:rPr>
              <w:t xml:space="preserve">M H </w:t>
            </w:r>
            <w:proofErr w:type="gramStart"/>
            <w:r w:rsidRPr="005762E6">
              <w:rPr>
                <w:sz w:val="20"/>
                <w:szCs w:val="20"/>
              </w:rPr>
              <w:t>Zimmermann,​</w:t>
            </w:r>
            <w:proofErr w:type="gramEnd"/>
            <w:r w:rsidRPr="005762E6">
              <w:rPr>
                <w:sz w:val="20"/>
                <w:szCs w:val="20"/>
              </w:rPr>
              <w:t xml:space="preserve"> D L Richardson,​ M T B Manderski,​ C D Delnevo,​ M B Steinberg Relighting behaviour among cigarette smokers seeking treatment: implications for tobacco treatment and policy</w:t>
            </w:r>
            <w:r w:rsidR="007F2F01">
              <w:rPr>
                <w:sz w:val="20"/>
                <w:szCs w:val="20"/>
              </w:rPr>
              <w:t>.</w:t>
            </w:r>
            <w:r w:rsidRPr="005762E6">
              <w:rPr>
                <w:sz w:val="20"/>
                <w:szCs w:val="20"/>
              </w:rPr>
              <w:t xml:space="preserve"> International journal of clinical practice; </w:t>
            </w:r>
            <w:proofErr w:type="gramStart"/>
            <w:r w:rsidRPr="005762E6">
              <w:rPr>
                <w:sz w:val="20"/>
                <w:szCs w:val="20"/>
              </w:rPr>
              <w:t>2014;68:1358</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Adult,​Aged,​Cross-Sectional Studies,​Female,​Humans,​Logistic Models,​Male,​Menthol,​Middle Aged,​*Smoking/px [Psychology],​*Smoking Cessation/px [Psychology],​Smoking Prevention,​*Tobacco Use Disorder/px [Psychology]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AIMS: During the recent economic downturn,​ trends towards fewer cigarettes smoked per day have emerged along with the practice of extinguishing and relighting cigarettes. Few studies have characterised factors related to relighting cigarettes and none have explored this behaviour in those seeking tobacco treatment. This study describes treatment-seeking patients who relight cigarettes and examines implications on tobacco policy and treatment.,​ METHODS: Data were collected from a cross-sectional sample of 496 patients at a specialty tobacco treatment programme in New Jersey from 2010 to 2012.,​ RESULTS: Forty-six per cent of the sample reported relighting,​ and those subjects smoked significantly fewer cigarettes per day (CPD),​ despite similar levels of dependence and exhaled carbon monoxide (CO) values. In unadjusted </w:t>
            </w:r>
            <w:proofErr w:type="gramStart"/>
            <w:r w:rsidRPr="005762E6">
              <w:rPr>
                <w:sz w:val="20"/>
                <w:szCs w:val="20"/>
              </w:rPr>
              <w:t>analyses,​</w:t>
            </w:r>
            <w:proofErr w:type="gramEnd"/>
            <w:r w:rsidRPr="005762E6">
              <w:rPr>
                <w:sz w:val="20"/>
                <w:szCs w:val="20"/>
              </w:rPr>
              <w:t xml:space="preserve"> significantly higher rates of relighting were found among females,​ African-Americans,​ smokers who had a high school diploma or less,​ and were unemployed,​ sick or disabled. Relighting was more prevalent among smokers with higher markers of </w:t>
            </w:r>
            <w:proofErr w:type="gramStart"/>
            <w:r w:rsidRPr="005762E6">
              <w:rPr>
                <w:sz w:val="20"/>
                <w:szCs w:val="20"/>
              </w:rPr>
              <w:t>dependence,​</w:t>
            </w:r>
            <w:proofErr w:type="gramEnd"/>
            <w:r w:rsidRPr="005762E6">
              <w:rPr>
                <w:sz w:val="20"/>
                <w:szCs w:val="20"/>
              </w:rPr>
              <w:t xml:space="preserve"> menthol smoking and night smoking. In multivariate </w:t>
            </w:r>
            <w:proofErr w:type="gramStart"/>
            <w:r w:rsidRPr="005762E6">
              <w:rPr>
                <w:sz w:val="20"/>
                <w:szCs w:val="20"/>
              </w:rPr>
              <w:t>analyses,​</w:t>
            </w:r>
            <w:proofErr w:type="gramEnd"/>
            <w:r w:rsidRPr="005762E6">
              <w:rPr>
                <w:sz w:val="20"/>
                <w:szCs w:val="20"/>
              </w:rPr>
              <w:t xml:space="preserve"> markers of dependence and economic factors (employment and education) remained significant.,​ CONCLUSIONS: Characteristics linked to economic factors were related to increased relighting. Implications for tobacco treatment include the impact on pharmacotherapy dosing and counselling interventions. The tobacco control community needs to be aware of this phenomenon. Collecting data on 'smoking sessions per day' might be a more accurate depiction of smoking exposure than CPD.</w:t>
            </w:r>
            <w:r>
              <w:rPr>
                <w:sz w:val="20"/>
                <w:szCs w:val="20"/>
              </w:rPr>
              <w:t xml:space="preserve"> </w:t>
            </w:r>
            <w:r w:rsidRPr="005762E6">
              <w:rPr>
                <w:sz w:val="20"/>
                <w:szCs w:val="20"/>
              </w:rPr>
              <w:t>Copyright © 2014 John Wiley &amp; Sons Ltd.</w:t>
            </w:r>
          </w:p>
        </w:tc>
      </w:tr>
      <w:tr w:rsidR="00B44564" w:rsidRPr="005762E6" w14:paraId="17B86C1C"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646C83F" w14:textId="77777777" w:rsidR="00B44564" w:rsidRPr="005762E6" w:rsidRDefault="00B44564" w:rsidP="00EA69AA">
            <w:pPr>
              <w:spacing w:after="120" w:line="240" w:lineRule="auto"/>
              <w:contextualSpacing/>
              <w:rPr>
                <w:sz w:val="20"/>
                <w:szCs w:val="20"/>
              </w:rPr>
            </w:pPr>
            <w:r w:rsidRPr="005762E6">
              <w:rPr>
                <w:sz w:val="20"/>
                <w:szCs w:val="20"/>
              </w:rPr>
              <w:lastRenderedPageBreak/>
              <w:t>496</w:t>
            </w:r>
          </w:p>
        </w:tc>
        <w:tc>
          <w:tcPr>
            <w:tcW w:w="0" w:type="auto"/>
            <w:tcBorders>
              <w:top w:val="single" w:sz="6" w:space="0" w:color="auto"/>
              <w:left w:val="single" w:sz="6" w:space="0" w:color="auto"/>
              <w:bottom w:val="single" w:sz="6" w:space="0" w:color="auto"/>
              <w:right w:val="single" w:sz="6" w:space="0" w:color="auto"/>
            </w:tcBorders>
          </w:tcPr>
          <w:p w14:paraId="647CBDD3"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08B368C" w14:textId="3E9E2914" w:rsidR="00B44564" w:rsidRPr="005762E6" w:rsidRDefault="00B44564" w:rsidP="00EA69AA">
            <w:pPr>
              <w:spacing w:after="120" w:line="240" w:lineRule="auto"/>
              <w:contextualSpacing/>
              <w:rPr>
                <w:sz w:val="20"/>
                <w:szCs w:val="20"/>
              </w:rPr>
            </w:pPr>
            <w:r w:rsidRPr="005762E6">
              <w:rPr>
                <w:sz w:val="20"/>
                <w:szCs w:val="20"/>
              </w:rPr>
              <w:t xml:space="preserve">Geoffrey M </w:t>
            </w:r>
            <w:proofErr w:type="gramStart"/>
            <w:r w:rsidRPr="005762E6">
              <w:rPr>
                <w:sz w:val="20"/>
                <w:szCs w:val="20"/>
              </w:rPr>
              <w:t>Curtin,​</w:t>
            </w:r>
            <w:proofErr w:type="gramEnd"/>
            <w:r w:rsidRPr="005762E6">
              <w:rPr>
                <w:sz w:val="20"/>
                <w:szCs w:val="20"/>
              </w:rPr>
              <w:t xml:space="preserve"> Sandra I Sulsky,​ Cynthia Van Landingham,​ Kristin M Marano,​ Monica J Graves,​ Michael W Ogden,​ James E Swauger Measures of initiation and progression to increased smoking among current menthol compared to non-menthol cigarette smokers based on data from four U.S. government surveys</w:t>
            </w:r>
            <w:r w:rsidR="007F2F01">
              <w:rPr>
                <w:sz w:val="20"/>
                <w:szCs w:val="20"/>
              </w:rPr>
              <w:t>.</w:t>
            </w:r>
            <w:r w:rsidRPr="005762E6">
              <w:rPr>
                <w:sz w:val="20"/>
                <w:szCs w:val="20"/>
              </w:rPr>
              <w:t xml:space="preserve"> Regulatory toxicology and pharmacology : RTP; 2014;70:446.</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Adolescent,​Adult,​Child,​Cross-Sectional Studies,​Data Collection,​Disease Progression,​Female,​Government,​Humans,​Male,​*Menthol/ae [Adverse Effects],​Prevalence,​*Smoking/ae [Adverse Effects],​*Smoking/ep [Epidemiology],​*Tobacco Products/ae [Adverse Effects],​*Tobacco Use Disorder/ep [Epidemiology],​United States,​Young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There are no large-scale,​ carefully designed cohort studies that provide evidence on whether menthol cigarette use is associated with a differential risk of initiating and/or progressing to increased smoking. </w:t>
            </w:r>
            <w:proofErr w:type="gramStart"/>
            <w:r w:rsidRPr="005762E6">
              <w:rPr>
                <w:sz w:val="20"/>
                <w:szCs w:val="20"/>
              </w:rPr>
              <w:t>However,​</w:t>
            </w:r>
            <w:proofErr w:type="gramEnd"/>
            <w:r w:rsidRPr="005762E6">
              <w:rPr>
                <w:sz w:val="20"/>
                <w:szCs w:val="20"/>
              </w:rPr>
              <w:t xml:space="preserve"> questions of whether current menthol cigarette smokers initiated smoking at a younger age or are more likely to have transitioned from non-daily to daily cigarette use compared to non-menthol smokers can be addressed using cross-sectional data from U.S. government surveys. Analyses of nationally representative samples of adult and youth smokers indicate that current menthol cigarette use is not associated with an earlier age of having initiated smoking or greater likelihood of being a daily versus non-daily smoker. Some surveys likewise provide information on cigarette type preference (menthol versus non-menthol) among youth at different stages or trajectories of </w:t>
            </w:r>
            <w:proofErr w:type="gramStart"/>
            <w:r w:rsidRPr="005762E6">
              <w:rPr>
                <w:sz w:val="20"/>
                <w:szCs w:val="20"/>
              </w:rPr>
              <w:t>smoking,​</w:t>
            </w:r>
            <w:proofErr w:type="gramEnd"/>
            <w:r w:rsidRPr="005762E6">
              <w:rPr>
                <w:sz w:val="20"/>
                <w:szCs w:val="20"/>
              </w:rPr>
              <w:t xml:space="preserve"> based on number of days smoked during the past month and/or cigarettes smoked per day. Prevalence of menthol cigarette use does not appear to differ among </w:t>
            </w:r>
            <w:proofErr w:type="gramStart"/>
            <w:r w:rsidRPr="005762E6">
              <w:rPr>
                <w:sz w:val="20"/>
                <w:szCs w:val="20"/>
              </w:rPr>
              <w:t>new,​</w:t>
            </w:r>
            <w:proofErr w:type="gramEnd"/>
            <w:r w:rsidRPr="005762E6">
              <w:rPr>
                <w:sz w:val="20"/>
                <w:szCs w:val="20"/>
              </w:rPr>
              <w:t xml:space="preserve"> less experienced youth smokers compared to established youth smokers. While there are limitations with regard to inferences that can be drawn from cross-sectional </w:t>
            </w:r>
            <w:proofErr w:type="gramStart"/>
            <w:r w:rsidRPr="005762E6">
              <w:rPr>
                <w:sz w:val="20"/>
                <w:szCs w:val="20"/>
              </w:rPr>
              <w:t>analyses,​</w:t>
            </w:r>
            <w:proofErr w:type="gramEnd"/>
            <w:r w:rsidRPr="005762E6">
              <w:rPr>
                <w:sz w:val="20"/>
                <w:szCs w:val="20"/>
              </w:rPr>
              <w:t xml:space="preserve"> these data do not suggest any adverse effects for menthol cigarettes on measures of initiation and progression to increased smoking. Copyright © 2014 The Authors. Published by Elsevier Inc. All rights reserved.</w:t>
            </w:r>
          </w:p>
        </w:tc>
      </w:tr>
      <w:tr w:rsidR="00B44564" w:rsidRPr="005762E6" w14:paraId="64A5EF5C"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9181A15" w14:textId="77777777" w:rsidR="00B44564" w:rsidRPr="005762E6" w:rsidRDefault="00B44564" w:rsidP="00EA69AA">
            <w:pPr>
              <w:spacing w:after="120" w:line="240" w:lineRule="auto"/>
              <w:contextualSpacing/>
              <w:rPr>
                <w:sz w:val="20"/>
                <w:szCs w:val="20"/>
              </w:rPr>
            </w:pPr>
            <w:r w:rsidRPr="005762E6">
              <w:rPr>
                <w:sz w:val="20"/>
                <w:szCs w:val="20"/>
              </w:rPr>
              <w:t>497</w:t>
            </w:r>
          </w:p>
        </w:tc>
        <w:tc>
          <w:tcPr>
            <w:tcW w:w="0" w:type="auto"/>
            <w:tcBorders>
              <w:top w:val="single" w:sz="6" w:space="0" w:color="auto"/>
              <w:left w:val="single" w:sz="6" w:space="0" w:color="auto"/>
              <w:bottom w:val="single" w:sz="6" w:space="0" w:color="auto"/>
              <w:right w:val="single" w:sz="6" w:space="0" w:color="auto"/>
            </w:tcBorders>
          </w:tcPr>
          <w:p w14:paraId="4CAD5C0A"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1B0BF41" w14:textId="549AB629" w:rsidR="00B44564" w:rsidRPr="005762E6" w:rsidRDefault="00B44564" w:rsidP="00EA69AA">
            <w:pPr>
              <w:spacing w:after="120" w:line="240" w:lineRule="auto"/>
              <w:contextualSpacing/>
              <w:rPr>
                <w:sz w:val="20"/>
                <w:szCs w:val="20"/>
              </w:rPr>
            </w:pPr>
            <w:r w:rsidRPr="005762E6">
              <w:rPr>
                <w:sz w:val="20"/>
                <w:szCs w:val="20"/>
              </w:rPr>
              <w:t xml:space="preserve">Shannon M </w:t>
            </w:r>
            <w:proofErr w:type="gramStart"/>
            <w:r w:rsidRPr="005762E6">
              <w:rPr>
                <w:sz w:val="20"/>
                <w:szCs w:val="20"/>
              </w:rPr>
              <w:t>Farley,​</w:t>
            </w:r>
            <w:proofErr w:type="gramEnd"/>
            <w:r w:rsidRPr="005762E6">
              <w:rPr>
                <w:sz w:val="20"/>
                <w:szCs w:val="20"/>
              </w:rPr>
              <w:t xml:space="preserve"> Hannah Seoh,​ Rachel Sacks,​ Michael Johns Teen use of flavored tobacco products in new york city</w:t>
            </w:r>
            <w:r w:rsidR="007F2F01">
              <w:rPr>
                <w:sz w:val="20"/>
                <w:szCs w:val="20"/>
              </w:rPr>
              <w:t>.</w:t>
            </w:r>
            <w:r w:rsidRPr="005762E6">
              <w:rPr>
                <w:sz w:val="20"/>
                <w:szCs w:val="20"/>
              </w:rPr>
              <w:t xml:space="preserve"> Nicotine &amp; tobacco research : official journal of the Society for Research on Nicotine and Tobacco; 2014;16:1518.</w:t>
            </w:r>
            <w:r w:rsidRPr="005762E6">
              <w:rPr>
                <w:sz w:val="20"/>
                <w:szCs w:val="20"/>
              </w:rPr>
              <w:br/>
            </w:r>
            <w:r w:rsidRPr="005762E6">
              <w:rPr>
                <w:sz w:val="20"/>
                <w:szCs w:val="20"/>
              </w:rPr>
              <w:br/>
            </w:r>
            <w:r w:rsidRPr="005762E6">
              <w:rPr>
                <w:b/>
                <w:bCs/>
                <w:sz w:val="20"/>
                <w:szCs w:val="20"/>
              </w:rPr>
              <w:t>Keywords:</w:t>
            </w:r>
            <w:r w:rsidRPr="005762E6">
              <w:rPr>
                <w:sz w:val="20"/>
                <w:szCs w:val="20"/>
              </w:rPr>
              <w:br/>
              <w:t>Adolescent,​*Adolescent Behavior/px [Psychology],​Cross-Sectional Studies/mt [Methods],​Female,​*Flavoring Agents/ad [Administration &amp; Dosage],​Humans,​Male,​Menthol/ad [Administration &amp; Dosage],​New York City/ep [Epidemiology],​*Smoking/ep [Epidemiology],​*Smoking/px [Psychology],​Taste/de [Drug Effects],​*Tobacco Products/ut [Utilization]</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Teen use of flavored tobacco products is a concern. Menthol cigarettes have been found to influence teen smoking; however,​ less is known about the association between teen use of other flavored tobacco products,​ such as cigars and dip,​ and cigarette smoking.,​ METHODS: The New York City 2010 Special Communities Putting Prevention to Work Youth Risk Behavior Survey data (N = 1,​800 aged 13-17 years) were analyzed to examine the association between ever trying flavored tobacco products and current smoking,​ after we adjusted for demographics and ever-use of menthol cigarettes.,​ RESULTS: Twenty percent of teens reported ever trying flavored tobacco products; youth who were current smokers (58%) were more likely to have tried flavored tobacco products than youth who were not current smokers (16%). Controlling for menthol cigarette </w:t>
            </w:r>
            <w:proofErr w:type="gramStart"/>
            <w:r w:rsidRPr="005762E6">
              <w:rPr>
                <w:sz w:val="20"/>
                <w:szCs w:val="20"/>
              </w:rPr>
              <w:t>use,​</w:t>
            </w:r>
            <w:proofErr w:type="gramEnd"/>
            <w:r w:rsidRPr="005762E6">
              <w:rPr>
                <w:sz w:val="20"/>
                <w:szCs w:val="20"/>
              </w:rPr>
              <w:t xml:space="preserve"> teens who had ever tried flavored tobacco products were nearly 3 times more likely to be current smokers than those who had never tried flavored tobacco products (odds ratio = 2.70,​ 95% confidence interval = 1.47-4.98).,​ CONCLUSIONS: Ever trying flavored tobacco products was strongly associated with current smoking among teens. The findings from this study suggest that regulations prohibiting sales of flavored tobacco products could decrease youth smoking. Copyright Published by Oxford University Press on behalf of the Society for Research on Nicotine and Tobacco 2014. This work is written by (a) US Government employee(s) and is in the public domain in the US.</w:t>
            </w:r>
          </w:p>
        </w:tc>
      </w:tr>
      <w:tr w:rsidR="00B44564" w:rsidRPr="005762E6" w14:paraId="271DF0CB"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CDC98F4" w14:textId="77777777" w:rsidR="00B44564" w:rsidRPr="005762E6" w:rsidRDefault="00B44564" w:rsidP="00EA69AA">
            <w:pPr>
              <w:spacing w:after="120" w:line="240" w:lineRule="auto"/>
              <w:contextualSpacing/>
              <w:rPr>
                <w:sz w:val="20"/>
                <w:szCs w:val="20"/>
              </w:rPr>
            </w:pPr>
            <w:r w:rsidRPr="005762E6">
              <w:rPr>
                <w:sz w:val="20"/>
                <w:szCs w:val="20"/>
              </w:rPr>
              <w:t>498</w:t>
            </w:r>
          </w:p>
        </w:tc>
        <w:tc>
          <w:tcPr>
            <w:tcW w:w="0" w:type="auto"/>
            <w:tcBorders>
              <w:top w:val="single" w:sz="6" w:space="0" w:color="auto"/>
              <w:left w:val="single" w:sz="6" w:space="0" w:color="auto"/>
              <w:bottom w:val="single" w:sz="6" w:space="0" w:color="auto"/>
              <w:right w:val="single" w:sz="6" w:space="0" w:color="auto"/>
            </w:tcBorders>
          </w:tcPr>
          <w:p w14:paraId="45E49E22"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E9361DB" w14:textId="4E4B3130" w:rsidR="00B44564" w:rsidRPr="005762E6" w:rsidRDefault="00B44564" w:rsidP="00EA69AA">
            <w:pPr>
              <w:spacing w:after="120" w:line="240" w:lineRule="auto"/>
              <w:contextualSpacing/>
              <w:rPr>
                <w:sz w:val="20"/>
                <w:szCs w:val="20"/>
              </w:rPr>
            </w:pPr>
            <w:r w:rsidRPr="005762E6">
              <w:rPr>
                <w:sz w:val="20"/>
                <w:szCs w:val="20"/>
              </w:rPr>
              <w:t xml:space="preserve">Sandra I </w:t>
            </w:r>
            <w:proofErr w:type="gramStart"/>
            <w:r w:rsidRPr="005762E6">
              <w:rPr>
                <w:sz w:val="20"/>
                <w:szCs w:val="20"/>
              </w:rPr>
              <w:t>Sulsky,​</w:t>
            </w:r>
            <w:proofErr w:type="gramEnd"/>
            <w:r w:rsidRPr="005762E6">
              <w:rPr>
                <w:sz w:val="20"/>
                <w:szCs w:val="20"/>
              </w:rPr>
              <w:t xml:space="preserve"> William G Fuller,​ Cynthia Van Landingham,​ Michael W Ogden,​ James E Swauger,​ Geoffrey M Curtin Evaluating the association between menthol cigarette use and the likelihood of being a former versus </w:t>
            </w:r>
            <w:r w:rsidRPr="005762E6">
              <w:rPr>
                <w:sz w:val="20"/>
                <w:szCs w:val="20"/>
              </w:rPr>
              <w:lastRenderedPageBreak/>
              <w:t>current smoker</w:t>
            </w:r>
            <w:r w:rsidR="007F2F01">
              <w:rPr>
                <w:sz w:val="20"/>
                <w:szCs w:val="20"/>
              </w:rPr>
              <w:t>.</w:t>
            </w:r>
            <w:r w:rsidRPr="005762E6">
              <w:rPr>
                <w:sz w:val="20"/>
                <w:szCs w:val="20"/>
              </w:rPr>
              <w:t xml:space="preserve"> Regulatory toxicology and pharmacology : RTP; 2014;70:231.</w:t>
            </w:r>
            <w:r w:rsidRPr="005762E6">
              <w:rPr>
                <w:sz w:val="20"/>
                <w:szCs w:val="20"/>
              </w:rPr>
              <w:br/>
            </w:r>
            <w:r w:rsidRPr="005762E6">
              <w:rPr>
                <w:sz w:val="20"/>
                <w:szCs w:val="20"/>
              </w:rPr>
              <w:br/>
            </w:r>
            <w:r w:rsidRPr="005762E6">
              <w:rPr>
                <w:b/>
                <w:bCs/>
                <w:sz w:val="20"/>
                <w:szCs w:val="20"/>
              </w:rPr>
              <w:t>Keywords:</w:t>
            </w:r>
            <w:r w:rsidRPr="005762E6">
              <w:rPr>
                <w:sz w:val="20"/>
                <w:szCs w:val="20"/>
              </w:rPr>
              <w:br/>
              <w:t>Ethnic Groups/sn [Statistics &amp; Numerical Data],​Humans,​Likelihood Functions,​*Menthol,​Research Design,​*Smoking/ep [Epidemiology],​Smoking Cessation/sn [Statistics &amp; Numerical Data],​*Tobacco Products/sn [Statistics &amp; Numerical Data]</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Menthol in cigarettes has been examined for its potential to affect smoking dependence,​ measured primarily as number of cigarettes smoked per day and time to first cigarette after waking; the ability to quit smoking constitutes an additional measure of dependence. Successful quitting among menthol compared to non-menthol cigarette smokers is difficult to determine from the </w:t>
            </w:r>
            <w:proofErr w:type="gramStart"/>
            <w:r w:rsidRPr="005762E6">
              <w:rPr>
                <w:sz w:val="20"/>
                <w:szCs w:val="20"/>
              </w:rPr>
              <w:t>literature,​</w:t>
            </w:r>
            <w:proofErr w:type="gramEnd"/>
            <w:r w:rsidRPr="005762E6">
              <w:rPr>
                <w:sz w:val="20"/>
                <w:szCs w:val="20"/>
              </w:rPr>
              <w:t xml:space="preserve"> due in part to the various definitions of quitting used by researchers. </w:t>
            </w:r>
            <w:proofErr w:type="gramStart"/>
            <w:r w:rsidRPr="005762E6">
              <w:rPr>
                <w:sz w:val="20"/>
                <w:szCs w:val="20"/>
              </w:rPr>
              <w:t>Nevertheless,​</w:t>
            </w:r>
            <w:proofErr w:type="gramEnd"/>
            <w:r w:rsidRPr="005762E6">
              <w:rPr>
                <w:sz w:val="20"/>
                <w:szCs w:val="20"/>
              </w:rPr>
              <w:t xml:space="preserve"> intervention and follow-up studies of smoking cessation treatments generally indicate no differences in quitting success among menthol compared to non-menthol smokers,​ while cross-sectional studies suggest some differences within race/ethnicity groups. The association between menthol cigarette use and likelihood of being a former versus current smoker was examined based on data from the National Health Interview Survey and Tobacco Use Supplement to the Current Population Survey. Analyses stratified by race/ethnicity and limited to smokers who had quit at least one year prior to survey participation provided inconsistent results with regard to menthol cigarette use and </w:t>
            </w:r>
            <w:proofErr w:type="gramStart"/>
            <w:r w:rsidRPr="005762E6">
              <w:rPr>
                <w:sz w:val="20"/>
                <w:szCs w:val="20"/>
              </w:rPr>
              <w:t>quitting,​</w:t>
            </w:r>
            <w:proofErr w:type="gramEnd"/>
            <w:r w:rsidRPr="005762E6">
              <w:rPr>
                <w:sz w:val="20"/>
                <w:szCs w:val="20"/>
              </w:rPr>
              <w:t xml:space="preserve"> both within surveys (i.e.,​ comparing race/ethnicity groups) and between surveys (i.e.,​ same race/ethnicity group across surveys). Evidence suggesting the existence or direction of an association between menthol in cigarettes and quitting depended on the data source. Copyright © 2014 The Authors. Published by Elsevier Inc. All rights reserved.</w:t>
            </w:r>
          </w:p>
        </w:tc>
      </w:tr>
      <w:tr w:rsidR="00B44564" w:rsidRPr="005762E6" w14:paraId="51AA9D80"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2AB5451" w14:textId="77777777" w:rsidR="00B44564" w:rsidRPr="005762E6" w:rsidRDefault="00B44564" w:rsidP="00EA69AA">
            <w:pPr>
              <w:spacing w:after="120" w:line="240" w:lineRule="auto"/>
              <w:contextualSpacing/>
              <w:rPr>
                <w:sz w:val="20"/>
                <w:szCs w:val="20"/>
              </w:rPr>
            </w:pPr>
            <w:r w:rsidRPr="005762E6">
              <w:rPr>
                <w:sz w:val="20"/>
                <w:szCs w:val="20"/>
              </w:rPr>
              <w:lastRenderedPageBreak/>
              <w:t>500</w:t>
            </w:r>
          </w:p>
        </w:tc>
        <w:tc>
          <w:tcPr>
            <w:tcW w:w="0" w:type="auto"/>
            <w:tcBorders>
              <w:top w:val="single" w:sz="6" w:space="0" w:color="auto"/>
              <w:left w:val="single" w:sz="6" w:space="0" w:color="auto"/>
              <w:bottom w:val="single" w:sz="6" w:space="0" w:color="auto"/>
              <w:right w:val="single" w:sz="6" w:space="0" w:color="auto"/>
            </w:tcBorders>
          </w:tcPr>
          <w:p w14:paraId="41CE869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B0DF632" w14:textId="35AAE6AA" w:rsidR="00B44564" w:rsidRPr="005762E6" w:rsidRDefault="00B44564" w:rsidP="00EA69AA">
            <w:pPr>
              <w:spacing w:after="120" w:line="240" w:lineRule="auto"/>
              <w:contextualSpacing/>
              <w:rPr>
                <w:sz w:val="20"/>
                <w:szCs w:val="20"/>
              </w:rPr>
            </w:pPr>
            <w:r w:rsidRPr="005762E6">
              <w:rPr>
                <w:sz w:val="20"/>
                <w:szCs w:val="20"/>
              </w:rPr>
              <w:t xml:space="preserve">Geoffrey M </w:t>
            </w:r>
            <w:proofErr w:type="gramStart"/>
            <w:r w:rsidRPr="005762E6">
              <w:rPr>
                <w:sz w:val="20"/>
                <w:szCs w:val="20"/>
              </w:rPr>
              <w:t>Curtin,​</w:t>
            </w:r>
            <w:proofErr w:type="gramEnd"/>
            <w:r w:rsidRPr="005762E6">
              <w:rPr>
                <w:sz w:val="20"/>
                <w:szCs w:val="20"/>
              </w:rPr>
              <w:t xml:space="preserve"> Sandra I Sulsky,​ Cynthia Van Landingham,​ Kristin M Marano,​ Monica J Graves,​ Michael W Ogden,​ James E Swauger Patterns of menthol cigarette use among current smokers,​ overall and within demographic strata,​ based on data from four U.S. government surveys</w:t>
            </w:r>
            <w:r w:rsidR="007F2F01">
              <w:rPr>
                <w:sz w:val="20"/>
                <w:szCs w:val="20"/>
              </w:rPr>
              <w:t>.</w:t>
            </w:r>
            <w:r w:rsidRPr="005762E6">
              <w:rPr>
                <w:sz w:val="20"/>
                <w:szCs w:val="20"/>
              </w:rPr>
              <w:t xml:space="preserve"> Regulatory toxicology and pharmacology : RTP; 2014;70:189.</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Adolescent,​Adult,​Age Factors,​Continental Population Groups/sn [Statistics &amp; Numerical Data],​Data Collection,​Ethnic Groups/sn [Statistics &amp; Numerical Data],​Female,​Humans,​Male,​*Menthol,​Nutrition Surveys,​Sex Factors,​*Smoking/ep [Epidemiology],​*Tobacco Products/sn [Statistics &amp; Numerical Data],​United States/ep [Epidemiology],​Young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The National Health and Nutrition Examination Survey,​ National Survey on Drug Use and Health,​ National Health Interview Survey and Tobacco Use Supplement to the Current Population Survey provide estimates of the proportions of U.S. smokers who currently use menthol cigarettes,​ overall and within demographic strata. Among adult past-</w:t>
            </w:r>
            <w:proofErr w:type="gramStart"/>
            <w:r w:rsidRPr="005762E6">
              <w:rPr>
                <w:sz w:val="20"/>
                <w:szCs w:val="20"/>
              </w:rPr>
              <w:t>month,​</w:t>
            </w:r>
            <w:proofErr w:type="gramEnd"/>
            <w:r w:rsidRPr="005762E6">
              <w:rPr>
                <w:sz w:val="20"/>
                <w:szCs w:val="20"/>
              </w:rPr>
              <w:t xml:space="preserve"> regular and daily smokers,​ menthol cigarette use ranges from 26% to 30%,​ with statistically higher proportions of female versus male smokers (8-11 percentage points higher) currently using menthol cigarettes. Compared to adult smokers </w:t>
            </w:r>
            <w:proofErr w:type="gramStart"/>
            <w:r w:rsidRPr="005762E6">
              <w:rPr>
                <w:sz w:val="20"/>
                <w:szCs w:val="20"/>
              </w:rPr>
              <w:t>overall,​</w:t>
            </w:r>
            <w:proofErr w:type="gramEnd"/>
            <w:r w:rsidRPr="005762E6">
              <w:rPr>
                <w:sz w:val="20"/>
                <w:szCs w:val="20"/>
              </w:rPr>
              <w:t xml:space="preserve"> statistically higher proportions of non-Hispanic Black smokers (72-79%) and statistically lower proportions of non-Hispanic White smokers (19-22%) currently use menthol cigarettes,​ with no differences among smokers of other race/ethnicity groups (18-20% to 28-30%,​ depending on the survey). Higher proportions of younger adult past-</w:t>
            </w:r>
            <w:proofErr w:type="gramStart"/>
            <w:r w:rsidRPr="005762E6">
              <w:rPr>
                <w:sz w:val="20"/>
                <w:szCs w:val="20"/>
              </w:rPr>
              <w:t>month,​</w:t>
            </w:r>
            <w:proofErr w:type="gramEnd"/>
            <w:r w:rsidRPr="005762E6">
              <w:rPr>
                <w:sz w:val="20"/>
                <w:szCs w:val="20"/>
              </w:rPr>
              <w:t xml:space="preserve"> regular and daily smokers (aged 18-25years) currently use menthol cigarettes compared to older adult smokers (aged 26-29years and/or 30years); however,​ differences are small in magnitude,​ with the vast majority of adult smokers (70-75%) who currently use menthol cigarettes being aged 30years. Comparisons between youth and adult smokers are </w:t>
            </w:r>
            <w:proofErr w:type="gramStart"/>
            <w:r w:rsidRPr="005762E6">
              <w:rPr>
                <w:sz w:val="20"/>
                <w:szCs w:val="20"/>
              </w:rPr>
              <w:t>provided,​</w:t>
            </w:r>
            <w:proofErr w:type="gramEnd"/>
            <w:r w:rsidRPr="005762E6">
              <w:rPr>
                <w:sz w:val="20"/>
                <w:szCs w:val="20"/>
              </w:rPr>
              <w:t xml:space="preserve"> although data for youth smokers are less available and provide less consistent patterns of menthol cigarette use. Copyright © 2014 The Authors. Published by Elsevier Inc. All rights reserved.</w:t>
            </w:r>
          </w:p>
        </w:tc>
      </w:tr>
      <w:tr w:rsidR="00B44564" w:rsidRPr="005762E6" w14:paraId="5D1A32ED"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9692054" w14:textId="77777777" w:rsidR="00B44564" w:rsidRPr="005762E6" w:rsidRDefault="00B44564" w:rsidP="00EA69AA">
            <w:pPr>
              <w:spacing w:after="120" w:line="240" w:lineRule="auto"/>
              <w:contextualSpacing/>
              <w:rPr>
                <w:sz w:val="20"/>
                <w:szCs w:val="20"/>
              </w:rPr>
            </w:pPr>
            <w:r w:rsidRPr="005762E6">
              <w:rPr>
                <w:sz w:val="20"/>
                <w:szCs w:val="20"/>
              </w:rPr>
              <w:t>501</w:t>
            </w:r>
          </w:p>
        </w:tc>
        <w:tc>
          <w:tcPr>
            <w:tcW w:w="0" w:type="auto"/>
            <w:tcBorders>
              <w:top w:val="single" w:sz="6" w:space="0" w:color="auto"/>
              <w:left w:val="single" w:sz="6" w:space="0" w:color="auto"/>
              <w:bottom w:val="single" w:sz="6" w:space="0" w:color="auto"/>
              <w:right w:val="single" w:sz="6" w:space="0" w:color="auto"/>
            </w:tcBorders>
          </w:tcPr>
          <w:p w14:paraId="7109EE69"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50C1F51" w14:textId="785FD4A2" w:rsidR="00B44564" w:rsidRPr="005762E6" w:rsidRDefault="00B44564" w:rsidP="00EA69AA">
            <w:pPr>
              <w:spacing w:after="120" w:line="240" w:lineRule="auto"/>
              <w:contextualSpacing/>
              <w:rPr>
                <w:sz w:val="20"/>
                <w:szCs w:val="20"/>
              </w:rPr>
            </w:pPr>
            <w:r w:rsidRPr="005762E6">
              <w:rPr>
                <w:sz w:val="20"/>
                <w:szCs w:val="20"/>
              </w:rPr>
              <w:t xml:space="preserve">Karin A </w:t>
            </w:r>
            <w:proofErr w:type="gramStart"/>
            <w:r w:rsidRPr="005762E6">
              <w:rPr>
                <w:sz w:val="20"/>
                <w:szCs w:val="20"/>
              </w:rPr>
              <w:t>Kasza,​</w:t>
            </w:r>
            <w:proofErr w:type="gramEnd"/>
            <w:r w:rsidRPr="005762E6">
              <w:rPr>
                <w:sz w:val="20"/>
                <w:szCs w:val="20"/>
              </w:rPr>
              <w:t xml:space="preserve"> Andrew J Hyland,​ Maansi Bansal-Travers,​ Lisa M Vogl,​ Jiping Chen,​ Sarah E Evans,​ Geoffrey T Fong,​ Kenneth Michael Cummings,​ Richard J O'Connor Switching between menthol and nonmenthol cigarettes: findings from the U.S. Cohort of the International Tobacco Control Four Country Survey</w:t>
            </w:r>
            <w:r w:rsidR="007F2F01">
              <w:rPr>
                <w:sz w:val="20"/>
                <w:szCs w:val="20"/>
              </w:rPr>
              <w:t>.</w:t>
            </w:r>
            <w:r w:rsidRPr="005762E6">
              <w:rPr>
                <w:sz w:val="20"/>
                <w:szCs w:val="20"/>
              </w:rPr>
              <w:t xml:space="preserve"> Nicotine &amp; tobacco research : official journal of the Society for Research on Nicotine and Tobacco; 2014;16:1255.</w:t>
            </w:r>
            <w:r w:rsidRPr="005762E6">
              <w:rPr>
                <w:sz w:val="20"/>
                <w:szCs w:val="20"/>
              </w:rPr>
              <w:br/>
            </w:r>
            <w:r w:rsidRPr="005762E6">
              <w:rPr>
                <w:sz w:val="20"/>
                <w:szCs w:val="20"/>
              </w:rPr>
              <w:lastRenderedPageBreak/>
              <w:br/>
            </w:r>
            <w:r w:rsidRPr="005762E6">
              <w:rPr>
                <w:b/>
                <w:bCs/>
                <w:sz w:val="20"/>
                <w:szCs w:val="20"/>
              </w:rPr>
              <w:t>Keywords:</w:t>
            </w:r>
            <w:r w:rsidRPr="005762E6">
              <w:rPr>
                <w:sz w:val="20"/>
                <w:szCs w:val="20"/>
              </w:rPr>
              <w:br/>
              <w:t>Adolescent,​Adult,​African Americans/sn [Statistics &amp; Numerical Data],​Female,​Humans,​Male,​*Menthol,​Middle Aged,​Smoking/ep [Epidemiology],​*Smoking/td [Trends],​Smoking Cessation/sn [Statistics &amp; Numerical Data],​*Tobacco Products/cl [Classification],​Tobacco Use Disorder/ep [Epidemiology],​United States/ep [Epidemiology],​Young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This article examines trends in switching between menthol and nonmenthol cigarettes,​ smoker characteristics associated with switching,​ and associations among switching,​ indicators of nicotine dependence,​ and quitting activity.,​ METHODS: Participants were 5,​932 U.S. adult smokers who were interviewed annually as part of the International Tobacco Control Four Country Survey between 2002 and 2011. Generalized estimating equations (GEEs) were used to examine the prevalence of menthol cigarette use and switching between menthol and nonmenthol cigarettes (among </w:t>
            </w:r>
            <w:proofErr w:type="gramStart"/>
            <w:r w:rsidRPr="005762E6">
              <w:rPr>
                <w:sz w:val="20"/>
                <w:szCs w:val="20"/>
              </w:rPr>
              <w:t>3,​</w:t>
            </w:r>
            <w:proofErr w:type="gramEnd"/>
            <w:r w:rsidRPr="005762E6">
              <w:rPr>
                <w:sz w:val="20"/>
                <w:szCs w:val="20"/>
              </w:rPr>
              <w:t xml:space="preserve">118 smokers who participated in at least 2 consecutive surveys). We also evaluated characteristics associated with menthol cigarette use and associations among </w:t>
            </w:r>
            <w:proofErr w:type="gramStart"/>
            <w:r w:rsidRPr="005762E6">
              <w:rPr>
                <w:sz w:val="20"/>
                <w:szCs w:val="20"/>
              </w:rPr>
              <w:t>switching,​</w:t>
            </w:r>
            <w:proofErr w:type="gramEnd"/>
            <w:r w:rsidRPr="005762E6">
              <w:rPr>
                <w:sz w:val="20"/>
                <w:szCs w:val="20"/>
              </w:rPr>
              <w:t xml:space="preserve"> indicators of nicotine dependence,​ and quitting activity using GEEs.,​ RESULTS: Across the entire study period,​ 27% of smokers smoked menthol cigarettes; prevalence was highest among Blacks (79%),​ young adults (36%),​ and females (30%). Prevalence of switching between menthol and nonmenthol cigarettes was low (3% switched to menthol and 8% switched to nonmenthol</w:t>
            </w:r>
            <w:proofErr w:type="gramStart"/>
            <w:r w:rsidRPr="005762E6">
              <w:rPr>
                <w:sz w:val="20"/>
                <w:szCs w:val="20"/>
              </w:rPr>
              <w:t>),​</w:t>
            </w:r>
            <w:proofErr w:type="gramEnd"/>
            <w:r w:rsidRPr="005762E6">
              <w:rPr>
                <w:sz w:val="20"/>
                <w:szCs w:val="20"/>
              </w:rPr>
              <w:t xml:space="preserve"> and switchers tended to revert back to their previous type. Switching types was not associated with indicators of nicotine dependence or quit attempts. </w:t>
            </w:r>
            <w:proofErr w:type="gramStart"/>
            <w:r w:rsidRPr="005762E6">
              <w:rPr>
                <w:sz w:val="20"/>
                <w:szCs w:val="20"/>
              </w:rPr>
              <w:t>However,​</w:t>
            </w:r>
            <w:proofErr w:type="gramEnd"/>
            <w:r w:rsidRPr="005762E6">
              <w:rPr>
                <w:sz w:val="20"/>
                <w:szCs w:val="20"/>
              </w:rPr>
              <w:t xml:space="preserve"> those who switched cigarette brands within cigarette types were more likely to attempt to quit smoking.,​ CONCLUSIONS: While overall switching rates were low,​ the percentage who switched from menthol to nonmenthol was significantly higher than the percentage who switched from nonmenthol to menthol. An asymmetry was seen in patterns of switching such that reverting back to menthol was more common than reverting back to </w:t>
            </w:r>
            <w:proofErr w:type="gramStart"/>
            <w:r w:rsidRPr="005762E6">
              <w:rPr>
                <w:sz w:val="20"/>
                <w:szCs w:val="20"/>
              </w:rPr>
              <w:t>nonmenthol,​</w:t>
            </w:r>
            <w:proofErr w:type="gramEnd"/>
            <w:r w:rsidRPr="005762E6">
              <w:rPr>
                <w:sz w:val="20"/>
                <w:szCs w:val="20"/>
              </w:rPr>
              <w:t xml:space="preserve"> particularly among Black smokers. Copyright Published by Oxford University Press on behalf of the Society for Research on Nicotine and Tobacco 2014. This work is written by (a) US Government employee(s) and is in the public domain in the US.</w:t>
            </w:r>
          </w:p>
        </w:tc>
      </w:tr>
      <w:tr w:rsidR="00B44564" w:rsidRPr="005762E6" w14:paraId="21486289"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1209965" w14:textId="77777777" w:rsidR="00B44564" w:rsidRPr="005762E6" w:rsidRDefault="00B44564" w:rsidP="00EA69AA">
            <w:pPr>
              <w:spacing w:after="120" w:line="240" w:lineRule="auto"/>
              <w:contextualSpacing/>
              <w:rPr>
                <w:sz w:val="20"/>
                <w:szCs w:val="20"/>
              </w:rPr>
            </w:pPr>
            <w:r w:rsidRPr="005762E6">
              <w:rPr>
                <w:sz w:val="20"/>
                <w:szCs w:val="20"/>
              </w:rPr>
              <w:lastRenderedPageBreak/>
              <w:t>504</w:t>
            </w:r>
          </w:p>
        </w:tc>
        <w:tc>
          <w:tcPr>
            <w:tcW w:w="0" w:type="auto"/>
            <w:tcBorders>
              <w:top w:val="single" w:sz="6" w:space="0" w:color="auto"/>
              <w:left w:val="single" w:sz="6" w:space="0" w:color="auto"/>
              <w:bottom w:val="single" w:sz="6" w:space="0" w:color="auto"/>
              <w:right w:val="single" w:sz="6" w:space="0" w:color="auto"/>
            </w:tcBorders>
          </w:tcPr>
          <w:p w14:paraId="6AA995B9"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6E1D8D7" w14:textId="0F6D32A1" w:rsidR="00B44564" w:rsidRPr="005762E6" w:rsidRDefault="00B44564" w:rsidP="00EA69AA">
            <w:pPr>
              <w:spacing w:after="120" w:line="240" w:lineRule="auto"/>
              <w:contextualSpacing/>
              <w:rPr>
                <w:sz w:val="20"/>
                <w:szCs w:val="20"/>
              </w:rPr>
            </w:pPr>
            <w:r w:rsidRPr="005762E6">
              <w:rPr>
                <w:sz w:val="20"/>
                <w:szCs w:val="20"/>
              </w:rPr>
              <w:t xml:space="preserve">Geoffrey M </w:t>
            </w:r>
            <w:proofErr w:type="gramStart"/>
            <w:r w:rsidRPr="005762E6">
              <w:rPr>
                <w:sz w:val="20"/>
                <w:szCs w:val="20"/>
              </w:rPr>
              <w:t>Curtin,​</w:t>
            </w:r>
            <w:proofErr w:type="gramEnd"/>
            <w:r w:rsidRPr="005762E6">
              <w:rPr>
                <w:sz w:val="20"/>
                <w:szCs w:val="20"/>
              </w:rPr>
              <w:t xml:space="preserve"> Sandra I Sulsky,​ Cynthia Van Landingham,​ Kristin M Marano,​ Monica J Graves,​ Michael W Ogden,​ James E Swauger Primary measures of dependence among menthol compared to non-menthol cigarette smokers in the United States</w:t>
            </w:r>
            <w:r w:rsidR="007F2F01">
              <w:rPr>
                <w:sz w:val="20"/>
                <w:szCs w:val="20"/>
              </w:rPr>
              <w:t>.</w:t>
            </w:r>
            <w:r w:rsidRPr="005762E6">
              <w:rPr>
                <w:sz w:val="20"/>
                <w:szCs w:val="20"/>
              </w:rPr>
              <w:t xml:space="preserve"> Regulatory toxicology and pharmacology : RTP; 2014;69:451.</w:t>
            </w:r>
            <w:r w:rsidRPr="005762E6">
              <w:rPr>
                <w:sz w:val="20"/>
                <w:szCs w:val="20"/>
              </w:rPr>
              <w:br/>
            </w:r>
            <w:r w:rsidRPr="005762E6">
              <w:rPr>
                <w:sz w:val="20"/>
                <w:szCs w:val="20"/>
              </w:rPr>
              <w:br/>
            </w:r>
            <w:r w:rsidRPr="005762E6">
              <w:rPr>
                <w:b/>
                <w:bCs/>
                <w:sz w:val="20"/>
                <w:szCs w:val="20"/>
              </w:rPr>
              <w:t>Keywords:</w:t>
            </w:r>
            <w:r w:rsidRPr="005762E6">
              <w:rPr>
                <w:sz w:val="20"/>
                <w:szCs w:val="20"/>
              </w:rPr>
              <w:br/>
              <w:t>Adult,​Female,​Humans,​Male,​*Menthol/ae [Adverse Effects],​Nutrition Surveys,​Smoking/ae [Adverse Effects],​*Smoking/ep [Epidemiology],​Tobacco/ae [Adverse Effects],​*Tobacco Products/ae [Adverse Effects],​*Tobacco Use Disorder/ep [Epidemiology],​United States,​Young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Previously published studies provide somewhat inconsistent evidence on whether menthol in cigarettes is associated with increased dependence. The National Health and Nutrition Examination </w:t>
            </w:r>
            <w:proofErr w:type="gramStart"/>
            <w:r w:rsidRPr="005762E6">
              <w:rPr>
                <w:sz w:val="20"/>
                <w:szCs w:val="20"/>
              </w:rPr>
              <w:t>Survey,​</w:t>
            </w:r>
            <w:proofErr w:type="gramEnd"/>
            <w:r w:rsidRPr="005762E6">
              <w:rPr>
                <w:sz w:val="20"/>
                <w:szCs w:val="20"/>
              </w:rPr>
              <w:t xml:space="preserve"> National Survey on Drug Use and Health,​ National Health Interview Survey,​ and Tobacco Use Supplement to the Current Population Survey collect data on current cigarette type preference and primary measures of dependence,​ and thus allow examination of whether menthol smokers are more dependent than non-menthol smokers. Analyses based on combined data from multiple administrations of each of these four nationally representative </w:t>
            </w:r>
            <w:proofErr w:type="gramStart"/>
            <w:r w:rsidRPr="005762E6">
              <w:rPr>
                <w:sz w:val="20"/>
                <w:szCs w:val="20"/>
              </w:rPr>
              <w:t>surveys,​</w:t>
            </w:r>
            <w:proofErr w:type="gramEnd"/>
            <w:r w:rsidRPr="005762E6">
              <w:rPr>
                <w:sz w:val="20"/>
                <w:szCs w:val="20"/>
              </w:rPr>
              <w:t xml:space="preserve"> using three definitions for current smokers (i.e.,​ smoked 1day,​ 10days and daily during the past month),​ consistently demonstrate that menthol smokers do not report smoking more cigarettes per day than non-menthol smokers. </w:t>
            </w:r>
            <w:proofErr w:type="gramStart"/>
            <w:r w:rsidRPr="005762E6">
              <w:rPr>
                <w:sz w:val="20"/>
                <w:szCs w:val="20"/>
              </w:rPr>
              <w:t>Moreover,​</w:t>
            </w:r>
            <w:proofErr w:type="gramEnd"/>
            <w:r w:rsidRPr="005762E6">
              <w:rPr>
                <w:sz w:val="20"/>
                <w:szCs w:val="20"/>
              </w:rPr>
              <w:t xml:space="preserve"> two of the three surveys that provide data on time to first cigarette after waking indicate no difference in urgency to smoke among menthol compared to non-menthol smokers,​ while the third suggests menthol smokers may experience a greater urgency to smoke; estimates from all three surveys indicate that menthol versus non-menthol smokers do not report a higher Heaviness of Smoking Index. </w:t>
            </w:r>
            <w:proofErr w:type="gramStart"/>
            <w:r w:rsidRPr="005762E6">
              <w:rPr>
                <w:sz w:val="20"/>
                <w:szCs w:val="20"/>
              </w:rPr>
              <w:t>Collectively,​</w:t>
            </w:r>
            <w:proofErr w:type="gramEnd"/>
            <w:r w:rsidRPr="005762E6">
              <w:rPr>
                <w:sz w:val="20"/>
                <w:szCs w:val="20"/>
              </w:rPr>
              <w:t xml:space="preserve"> these findings indicate no difference in dependence among U.S. smokers who use menthol compared to non-menthol cigarettes. Copyright © 2014 The Authors. Published by Elsevier Inc. All rights reserved.</w:t>
            </w:r>
          </w:p>
        </w:tc>
      </w:tr>
      <w:tr w:rsidR="00B44564" w:rsidRPr="005762E6" w14:paraId="44D5A70C"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0F8DE9C" w14:textId="77777777" w:rsidR="00B44564" w:rsidRPr="005762E6" w:rsidRDefault="00B44564" w:rsidP="00EA69AA">
            <w:pPr>
              <w:spacing w:after="120" w:line="240" w:lineRule="auto"/>
              <w:contextualSpacing/>
              <w:rPr>
                <w:sz w:val="20"/>
                <w:szCs w:val="20"/>
              </w:rPr>
            </w:pPr>
            <w:r w:rsidRPr="005762E6">
              <w:rPr>
                <w:sz w:val="20"/>
                <w:szCs w:val="20"/>
              </w:rPr>
              <w:t>505</w:t>
            </w:r>
          </w:p>
        </w:tc>
        <w:tc>
          <w:tcPr>
            <w:tcW w:w="0" w:type="auto"/>
            <w:tcBorders>
              <w:top w:val="single" w:sz="6" w:space="0" w:color="auto"/>
              <w:left w:val="single" w:sz="6" w:space="0" w:color="auto"/>
              <w:bottom w:val="single" w:sz="6" w:space="0" w:color="auto"/>
              <w:right w:val="single" w:sz="6" w:space="0" w:color="auto"/>
            </w:tcBorders>
          </w:tcPr>
          <w:p w14:paraId="1680F365"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C0632BE" w14:textId="6B3C13FE" w:rsidR="00B44564" w:rsidRPr="005762E6" w:rsidRDefault="00B44564" w:rsidP="00EA69AA">
            <w:pPr>
              <w:spacing w:after="120" w:line="240" w:lineRule="auto"/>
              <w:contextualSpacing/>
              <w:rPr>
                <w:sz w:val="20"/>
                <w:szCs w:val="20"/>
              </w:rPr>
            </w:pPr>
            <w:r w:rsidRPr="005762E6">
              <w:rPr>
                <w:sz w:val="20"/>
                <w:szCs w:val="20"/>
              </w:rPr>
              <w:t xml:space="preserve">Andrew </w:t>
            </w:r>
            <w:proofErr w:type="gramStart"/>
            <w:r w:rsidRPr="005762E6">
              <w:rPr>
                <w:sz w:val="20"/>
                <w:szCs w:val="20"/>
              </w:rPr>
              <w:t>Cheyne,​</w:t>
            </w:r>
            <w:proofErr w:type="gramEnd"/>
            <w:r w:rsidRPr="005762E6">
              <w:rPr>
                <w:sz w:val="20"/>
                <w:szCs w:val="20"/>
              </w:rPr>
              <w:t xml:space="preserve"> Lori Dorfman,​ Richard A Daynard,​ Pamela Mejia,​ Mark Gottlieb The debate on regulating menthol cigarettes: closing a dangerous loophole vs freedom of choice</w:t>
            </w:r>
            <w:r w:rsidR="007F2F01">
              <w:rPr>
                <w:sz w:val="20"/>
                <w:szCs w:val="20"/>
              </w:rPr>
              <w:t>.</w:t>
            </w:r>
            <w:r w:rsidRPr="005762E6">
              <w:rPr>
                <w:sz w:val="20"/>
                <w:szCs w:val="20"/>
              </w:rPr>
              <w:t xml:space="preserve"> American journal of public health; </w:t>
            </w:r>
            <w:r w:rsidRPr="005762E6">
              <w:rPr>
                <w:sz w:val="20"/>
                <w:szCs w:val="20"/>
              </w:rPr>
              <w:lastRenderedPageBreak/>
              <w:t>2014;</w:t>
            </w:r>
            <w:proofErr w:type="gramStart"/>
            <w:r w:rsidRPr="005762E6">
              <w:rPr>
                <w:sz w:val="20"/>
                <w:szCs w:val="20"/>
              </w:rPr>
              <w:t>104:e</w:t>
            </w:r>
            <w:proofErr w:type="gramEnd"/>
            <w:r w:rsidRPr="005762E6">
              <w:rPr>
                <w:sz w:val="20"/>
                <w:szCs w:val="20"/>
              </w:rPr>
              <w:t>54.</w:t>
            </w:r>
            <w:r w:rsidRPr="005762E6">
              <w:rPr>
                <w:sz w:val="20"/>
                <w:szCs w:val="20"/>
              </w:rPr>
              <w:br/>
            </w:r>
            <w:r w:rsidRPr="005762E6">
              <w:rPr>
                <w:sz w:val="20"/>
                <w:szCs w:val="20"/>
              </w:rPr>
              <w:br/>
            </w:r>
            <w:r w:rsidRPr="005762E6">
              <w:rPr>
                <w:b/>
                <w:bCs/>
                <w:sz w:val="20"/>
                <w:szCs w:val="20"/>
              </w:rPr>
              <w:t>Keywords:</w:t>
            </w:r>
            <w:r w:rsidRPr="005762E6">
              <w:rPr>
                <w:sz w:val="20"/>
                <w:szCs w:val="20"/>
              </w:rPr>
              <w:br/>
              <w:t>*African Americans,​*Choice Behavior,​Humans,​*Menthol,​Newspapers as Topic,​Policy,​Public Health,​Racism,​*Smoking/eh [Ethnology],​*Tobacco Industry/lj [Legislation &amp; Jurisprudence]</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The Family Smoking Prevention and Tobacco Control Act exempted menthol from a flavoring additive ban,​ tasking the Tobacco Products Safety Advisory Committee to advise on the scientific evidence on menthol. To inform future tobacco control </w:t>
            </w:r>
            <w:proofErr w:type="gramStart"/>
            <w:r w:rsidRPr="005762E6">
              <w:rPr>
                <w:sz w:val="20"/>
                <w:szCs w:val="20"/>
              </w:rPr>
              <w:t>efforts,​</w:t>
            </w:r>
            <w:proofErr w:type="gramEnd"/>
            <w:r w:rsidRPr="005762E6">
              <w:rPr>
                <w:sz w:val="20"/>
                <w:szCs w:val="20"/>
              </w:rPr>
              <w:t xml:space="preserve"> we examined the public debate from 2008 to 2011 over the exemption. Health advocates regularly warned of menthol's public health </w:t>
            </w:r>
            <w:proofErr w:type="gramStart"/>
            <w:r w:rsidRPr="005762E6">
              <w:rPr>
                <w:sz w:val="20"/>
                <w:szCs w:val="20"/>
              </w:rPr>
              <w:t>damages,​</w:t>
            </w:r>
            <w:proofErr w:type="gramEnd"/>
            <w:r w:rsidRPr="005762E6">
              <w:rPr>
                <w:sz w:val="20"/>
                <w:szCs w:val="20"/>
              </w:rPr>
              <w:t xml:space="preserve"> but inconsistently invoked the health disparities borne by African American smokers. Tobacco industry spokespeople insisted that making menthol available put them on the side of African Americans' struggle for justice and enlisted civil rights groups to help them make that case. In future </w:t>
            </w:r>
            <w:proofErr w:type="gramStart"/>
            <w:r w:rsidRPr="005762E6">
              <w:rPr>
                <w:sz w:val="20"/>
                <w:szCs w:val="20"/>
              </w:rPr>
              <w:t>debates,​</w:t>
            </w:r>
            <w:proofErr w:type="gramEnd"/>
            <w:r w:rsidRPr="005762E6">
              <w:rPr>
                <w:sz w:val="20"/>
                <w:szCs w:val="20"/>
              </w:rPr>
              <w:t xml:space="preserve"> public health must prioritize and invest in the leadership of communities most affected by health harms to ensure a strong,​ unrelenting voice in support of health equity.</w:t>
            </w:r>
          </w:p>
        </w:tc>
      </w:tr>
      <w:tr w:rsidR="00B44564" w:rsidRPr="005762E6" w14:paraId="144E6F5A"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376534C" w14:textId="77777777" w:rsidR="00B44564" w:rsidRPr="005762E6" w:rsidRDefault="00B44564" w:rsidP="00EA69AA">
            <w:pPr>
              <w:spacing w:after="120" w:line="240" w:lineRule="auto"/>
              <w:contextualSpacing/>
              <w:rPr>
                <w:sz w:val="20"/>
                <w:szCs w:val="20"/>
              </w:rPr>
            </w:pPr>
            <w:r w:rsidRPr="005762E6">
              <w:rPr>
                <w:sz w:val="20"/>
                <w:szCs w:val="20"/>
              </w:rPr>
              <w:lastRenderedPageBreak/>
              <w:t>506</w:t>
            </w:r>
          </w:p>
        </w:tc>
        <w:tc>
          <w:tcPr>
            <w:tcW w:w="0" w:type="auto"/>
            <w:tcBorders>
              <w:top w:val="single" w:sz="6" w:space="0" w:color="auto"/>
              <w:left w:val="single" w:sz="6" w:space="0" w:color="auto"/>
              <w:bottom w:val="single" w:sz="6" w:space="0" w:color="auto"/>
              <w:right w:val="single" w:sz="6" w:space="0" w:color="auto"/>
            </w:tcBorders>
          </w:tcPr>
          <w:p w14:paraId="7D665F93"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B6D89DB" w14:textId="7AD7D861" w:rsidR="00B44564" w:rsidRPr="005762E6" w:rsidRDefault="00B44564" w:rsidP="00EA69AA">
            <w:pPr>
              <w:spacing w:after="120" w:line="240" w:lineRule="auto"/>
              <w:contextualSpacing/>
              <w:rPr>
                <w:sz w:val="20"/>
                <w:szCs w:val="20"/>
              </w:rPr>
            </w:pPr>
            <w:r w:rsidRPr="005762E6">
              <w:rPr>
                <w:sz w:val="20"/>
                <w:szCs w:val="20"/>
              </w:rPr>
              <w:t xml:space="preserve">Michael </w:t>
            </w:r>
            <w:proofErr w:type="gramStart"/>
            <w:r w:rsidRPr="005762E6">
              <w:rPr>
                <w:sz w:val="20"/>
                <w:szCs w:val="20"/>
              </w:rPr>
              <w:t>Lewis,​</w:t>
            </w:r>
            <w:proofErr w:type="gramEnd"/>
            <w:r w:rsidRPr="005762E6">
              <w:rPr>
                <w:sz w:val="20"/>
                <w:szCs w:val="20"/>
              </w:rPr>
              <w:t xml:space="preserve"> Yanwen Wang,​ Carla J Berg Tobacco control environment in the United States and individual consumer characteristics in relation to continued smoking: differential responses among menthol smokers?</w:t>
            </w:r>
            <w:r w:rsidR="007F2F01">
              <w:rPr>
                <w:sz w:val="20"/>
                <w:szCs w:val="20"/>
              </w:rPr>
              <w:t>.</w:t>
            </w:r>
            <w:r w:rsidRPr="005762E6">
              <w:rPr>
                <w:sz w:val="20"/>
                <w:szCs w:val="20"/>
              </w:rPr>
              <w:t xml:space="preserve"> Preventive medicine; 2014;65:47.</w:t>
            </w:r>
            <w:r w:rsidRPr="005762E6">
              <w:rPr>
                <w:sz w:val="20"/>
                <w:szCs w:val="20"/>
              </w:rPr>
              <w:br/>
            </w:r>
            <w:r w:rsidRPr="005762E6">
              <w:rPr>
                <w:sz w:val="20"/>
                <w:szCs w:val="20"/>
              </w:rPr>
              <w:br/>
            </w:r>
            <w:r w:rsidRPr="005762E6">
              <w:rPr>
                <w:b/>
                <w:bCs/>
                <w:sz w:val="20"/>
                <w:szCs w:val="20"/>
              </w:rPr>
              <w:t>Keywords:</w:t>
            </w:r>
            <w:r w:rsidRPr="005762E6">
              <w:rPr>
                <w:sz w:val="20"/>
                <w:szCs w:val="20"/>
              </w:rPr>
              <w:br/>
              <w:t>African Americans/sn [Statistics &amp; Numerical Data],​Consumer Behavior/sn [Statistics &amp; Numerical Data],​Female,​Humans,​Male,​*Menthol/ae [Adverse Effects],​Middle Aged,​Sex Distribution,​Smoking/eh [Ethnology],​*Smoking/lj [Legislation &amp; Jurisprudence],​Smoking Cessation/eh [Ethnology],​*Smoking Cessation/lj [Legislation &amp; Jurisprudence],​Smoking Cessation/sn [Statistics &amp; Numerical Data],​Smoking Prevention,​Tobacco Products/ae [Adverse Effects],​Tobacco Products/an [Analysis],​*Tobacco Products/cl [Classification],​Tobacco Smoke Pollution/lj [Legislation &amp; Jurisprudence],​*Tobacco Smoke Pollution/pc [Prevention &amp; Control],​United States/ep [Epidemiology]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OBJECTIVE: We used a consumer panel augmented with state-specific measures of tobacco control activities to examine the main effects and interactions among consumer behaviors,​ particularly menthol cigarette smoking,​ and tobacco control environment on cessation over a six-year period.,​ METHODS: We used the Nielson Homescan Panel,​ which tracks consumer purchasing behaviors,​ and tobacco control information matched to panelist zip code. We focused on 1582 households purchasing &gt;=20 packs from 2004 to 2009. Our analysis included demographics; purchasing behavior including menthol versus nonmenthol use (&gt;=80% of cigarettes purchased being menthol),​ quality preferences (average price/pack),​ purchase recency,​ and nicotine intake (nicotine levels of cigarettes purchased); and tobacco control metrics (taxation,​ anti-tobacco advertising,​ smoke-free policies).,​ RESULTS: Menthol smoking (Hazard Ratio [HR]=0.79,​ 95% Confidence Interval [CI] 0.64,​ 0.99),​ being African American (HR=0.67,​ CI 0.46,​ 0.98),​ being male (HR=0.46,​ CI 0.28,​ 0.74),​ higher quality premium preferences (HR=0.80,​ CI 0.77,​ 0.91),​ lower recency (HR=1.04,​ CI 1.02,​ 1.05),​ and higher nicotine intake rates (HR=0.99,​ CI 0.99,​ 0.99) were related to continued smoking. No significant interactions were found</w:t>
            </w:r>
            <w:proofErr w:type="gramStart"/>
            <w:r w:rsidRPr="005762E6">
              <w:rPr>
                <w:sz w:val="20"/>
                <w:szCs w:val="20"/>
              </w:rPr>
              <w:t>.,​</w:t>
            </w:r>
            <w:proofErr w:type="gramEnd"/>
            <w:r w:rsidRPr="005762E6">
              <w:rPr>
                <w:sz w:val="20"/>
                <w:szCs w:val="20"/>
              </w:rPr>
              <w:t xml:space="preserve"> CONCLUSION: While there were no interactions between menthol use and effects of tobacco control activities,​ we did find additional support for the decreased cessation rates among menthol cigarette smokers,​ particularly in the African American population. Copyright © 2013 Elsevier Inc. All rights reserved.</w:t>
            </w:r>
          </w:p>
        </w:tc>
      </w:tr>
      <w:tr w:rsidR="00B44564" w:rsidRPr="005762E6" w14:paraId="368B54CF"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0128C8A" w14:textId="77777777" w:rsidR="00B44564" w:rsidRPr="005762E6" w:rsidRDefault="00B44564" w:rsidP="00EA69AA">
            <w:pPr>
              <w:spacing w:after="120" w:line="240" w:lineRule="auto"/>
              <w:contextualSpacing/>
              <w:rPr>
                <w:sz w:val="20"/>
                <w:szCs w:val="20"/>
              </w:rPr>
            </w:pPr>
            <w:r w:rsidRPr="005762E6">
              <w:rPr>
                <w:sz w:val="20"/>
                <w:szCs w:val="20"/>
              </w:rPr>
              <w:t>507</w:t>
            </w:r>
          </w:p>
        </w:tc>
        <w:tc>
          <w:tcPr>
            <w:tcW w:w="0" w:type="auto"/>
            <w:tcBorders>
              <w:top w:val="single" w:sz="6" w:space="0" w:color="auto"/>
              <w:left w:val="single" w:sz="6" w:space="0" w:color="auto"/>
              <w:bottom w:val="single" w:sz="6" w:space="0" w:color="auto"/>
              <w:right w:val="single" w:sz="6" w:space="0" w:color="auto"/>
            </w:tcBorders>
          </w:tcPr>
          <w:p w14:paraId="02A6507F"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16ABAC1" w14:textId="4594EAAA" w:rsidR="00B44564" w:rsidRPr="005762E6" w:rsidRDefault="00B44564" w:rsidP="00EA69AA">
            <w:pPr>
              <w:spacing w:after="120" w:line="240" w:lineRule="auto"/>
              <w:contextualSpacing/>
              <w:rPr>
                <w:sz w:val="20"/>
                <w:szCs w:val="20"/>
              </w:rPr>
            </w:pPr>
            <w:r w:rsidRPr="005762E6">
              <w:rPr>
                <w:sz w:val="20"/>
                <w:szCs w:val="20"/>
              </w:rPr>
              <w:t>Kimberly Frost-</w:t>
            </w:r>
            <w:proofErr w:type="gramStart"/>
            <w:r w:rsidRPr="005762E6">
              <w:rPr>
                <w:sz w:val="20"/>
                <w:szCs w:val="20"/>
              </w:rPr>
              <w:t>Pineda,​</w:t>
            </w:r>
            <w:proofErr w:type="gramEnd"/>
            <w:r w:rsidRPr="005762E6">
              <w:rPr>
                <w:sz w:val="20"/>
                <w:szCs w:val="20"/>
              </w:rPr>
              <w:t xml:space="preserve"> Raheema Muhammad-Kah,​ Lonnie Rimmer,​ Qiwei Liang Predictors,​ indicators,​ and validated measures of dependence in menthol smokers</w:t>
            </w:r>
            <w:r w:rsidR="007F2F01">
              <w:rPr>
                <w:sz w:val="20"/>
                <w:szCs w:val="20"/>
              </w:rPr>
              <w:t>.</w:t>
            </w:r>
            <w:r w:rsidRPr="005762E6">
              <w:rPr>
                <w:sz w:val="20"/>
                <w:szCs w:val="20"/>
              </w:rPr>
              <w:t xml:space="preserve"> Journal of addictive diseases; 2014;33:94.</w:t>
            </w:r>
            <w:r w:rsidRPr="005762E6">
              <w:rPr>
                <w:sz w:val="20"/>
                <w:szCs w:val="20"/>
              </w:rPr>
              <w:br/>
            </w:r>
            <w:r w:rsidRPr="005762E6">
              <w:rPr>
                <w:sz w:val="20"/>
                <w:szCs w:val="20"/>
              </w:rPr>
              <w:br/>
            </w:r>
            <w:r w:rsidRPr="005762E6">
              <w:rPr>
                <w:b/>
                <w:bCs/>
                <w:sz w:val="20"/>
                <w:szCs w:val="20"/>
              </w:rPr>
              <w:t>Keywords:</w:t>
            </w:r>
            <w:r w:rsidRPr="005762E6">
              <w:rPr>
                <w:sz w:val="20"/>
                <w:szCs w:val="20"/>
              </w:rPr>
              <w:br/>
              <w:t xml:space="preserve">Adult,​Aged,​Aged,​ 80 and over,​Behavior,​ Addictive/ep [Epidemiology],​Behavior,​ Addictive/px [Psychology],​*Behavior,​ Addictive,​Cross-Sectional Studies,​Female,​Humans,​Male,​*Menthol/ae [Adverse Effects],​Middle Aged,​Risk Factors,​Smoking/ep [Epidemiology],​Smoking/px [Psychology],​*Smoking,​Surveys and Questionnaires,​Tobacco Use Disorder/ep [Epidemiology],​Tobacco Use Disorder/px [Psychology],​*Tobacco </w:t>
            </w:r>
            <w:r w:rsidRPr="005762E6">
              <w:rPr>
                <w:sz w:val="20"/>
                <w:szCs w:val="20"/>
              </w:rPr>
              <w:lastRenderedPageBreak/>
              <w:t>Use Disorder,​Young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This article presents a comprehensive review of the menthol cigarette dependence-related literature and results from an original analysis of the Total Exposure Study (TES),​ which included 1,​100 menthol and 2,​400 nonmenthol adult smokers. The substantial scientific evidence available related to age of first </w:t>
            </w:r>
            <w:proofErr w:type="gramStart"/>
            <w:r w:rsidRPr="005762E6">
              <w:rPr>
                <w:sz w:val="20"/>
                <w:szCs w:val="20"/>
              </w:rPr>
              <w:t>cigarette,​</w:t>
            </w:r>
            <w:proofErr w:type="gramEnd"/>
            <w:r w:rsidRPr="005762E6">
              <w:rPr>
                <w:sz w:val="20"/>
                <w:szCs w:val="20"/>
              </w:rPr>
              <w:t xml:space="preserve"> age of regular use,​ single-item dependence indicators (smoking frequency,​ cigarettes per day,​ time to first cigarette,​ night waking to smoke),​ smoking duration,​ numerous validated and widely accepted measures of nicotine/cigarette dependence,​ and our analysis of the TES do not support that menthol smokers are more dependent than nonmenthol smokers or that menthol increases dependence.</w:t>
            </w:r>
          </w:p>
        </w:tc>
      </w:tr>
      <w:tr w:rsidR="00B44564" w:rsidRPr="005762E6" w14:paraId="6F1B21A6"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A4159C0" w14:textId="77777777" w:rsidR="00B44564" w:rsidRPr="005762E6" w:rsidRDefault="00B44564" w:rsidP="00EA69AA">
            <w:pPr>
              <w:spacing w:after="120" w:line="240" w:lineRule="auto"/>
              <w:contextualSpacing/>
              <w:rPr>
                <w:sz w:val="20"/>
                <w:szCs w:val="20"/>
              </w:rPr>
            </w:pPr>
            <w:r w:rsidRPr="005762E6">
              <w:rPr>
                <w:sz w:val="20"/>
                <w:szCs w:val="20"/>
              </w:rPr>
              <w:lastRenderedPageBreak/>
              <w:t>509</w:t>
            </w:r>
          </w:p>
        </w:tc>
        <w:tc>
          <w:tcPr>
            <w:tcW w:w="0" w:type="auto"/>
            <w:tcBorders>
              <w:top w:val="single" w:sz="6" w:space="0" w:color="auto"/>
              <w:left w:val="single" w:sz="6" w:space="0" w:color="auto"/>
              <w:bottom w:val="single" w:sz="6" w:space="0" w:color="auto"/>
              <w:right w:val="single" w:sz="6" w:space="0" w:color="auto"/>
            </w:tcBorders>
          </w:tcPr>
          <w:p w14:paraId="581CD857"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5A46748" w14:textId="7CFB451C" w:rsidR="00B44564" w:rsidRPr="005762E6" w:rsidRDefault="00B44564" w:rsidP="00EA69AA">
            <w:pPr>
              <w:spacing w:after="120" w:line="240" w:lineRule="auto"/>
              <w:contextualSpacing/>
              <w:rPr>
                <w:sz w:val="20"/>
                <w:szCs w:val="20"/>
              </w:rPr>
            </w:pPr>
            <w:r w:rsidRPr="005762E6">
              <w:rPr>
                <w:sz w:val="20"/>
                <w:szCs w:val="20"/>
              </w:rPr>
              <w:t>Brian Rostron Menthol cigarette use and stroke risk among US smokers: a critical reappraisal</w:t>
            </w:r>
            <w:r w:rsidR="007F2F01">
              <w:rPr>
                <w:sz w:val="20"/>
                <w:szCs w:val="20"/>
              </w:rPr>
              <w:t>.</w:t>
            </w:r>
            <w:r w:rsidRPr="005762E6">
              <w:rPr>
                <w:sz w:val="20"/>
                <w:szCs w:val="20"/>
              </w:rPr>
              <w:t xml:space="preserve"> JAMA internal medicine; </w:t>
            </w:r>
            <w:proofErr w:type="gramStart"/>
            <w:r w:rsidRPr="005762E6">
              <w:rPr>
                <w:sz w:val="20"/>
                <w:szCs w:val="20"/>
              </w:rPr>
              <w:t>2014;174:808</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Humans,​Incidence,​Logistic Models,​*Menthol/ae [Adverse Effects],​Nutrition Surveys,​Odds Ratio,​Risk,​*Smoking/ae [Adverse Effects],​Smoking/ep [Epidemiology],​*Stroke/ci [Chemically Induced],​Stroke/ep [Epidemiology],​*Tobacco Products/ae [Adverse Effects],​United States/ep [Epidemiology]</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608EEA99"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EE6DE1A" w14:textId="77777777" w:rsidR="00B44564" w:rsidRPr="005762E6" w:rsidRDefault="00B44564" w:rsidP="00EA69AA">
            <w:pPr>
              <w:spacing w:after="120" w:line="240" w:lineRule="auto"/>
              <w:contextualSpacing/>
              <w:rPr>
                <w:sz w:val="20"/>
                <w:szCs w:val="20"/>
              </w:rPr>
            </w:pPr>
            <w:r w:rsidRPr="005762E6">
              <w:rPr>
                <w:sz w:val="20"/>
                <w:szCs w:val="20"/>
              </w:rPr>
              <w:t>510</w:t>
            </w:r>
          </w:p>
        </w:tc>
        <w:tc>
          <w:tcPr>
            <w:tcW w:w="0" w:type="auto"/>
            <w:tcBorders>
              <w:top w:val="single" w:sz="6" w:space="0" w:color="auto"/>
              <w:left w:val="single" w:sz="6" w:space="0" w:color="auto"/>
              <w:bottom w:val="single" w:sz="6" w:space="0" w:color="auto"/>
              <w:right w:val="single" w:sz="6" w:space="0" w:color="auto"/>
            </w:tcBorders>
          </w:tcPr>
          <w:p w14:paraId="79E394EF"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AD5A104" w14:textId="4E973CB4" w:rsidR="00B44564" w:rsidRPr="005762E6" w:rsidRDefault="00B44564" w:rsidP="00EA69AA">
            <w:pPr>
              <w:spacing w:after="120" w:line="240" w:lineRule="auto"/>
              <w:contextualSpacing/>
              <w:rPr>
                <w:sz w:val="20"/>
                <w:szCs w:val="20"/>
              </w:rPr>
            </w:pPr>
            <w:r w:rsidRPr="005762E6">
              <w:rPr>
                <w:sz w:val="20"/>
                <w:szCs w:val="20"/>
              </w:rPr>
              <w:t>Maria Jose Miguez-</w:t>
            </w:r>
            <w:proofErr w:type="gramStart"/>
            <w:r w:rsidRPr="005762E6">
              <w:rPr>
                <w:sz w:val="20"/>
                <w:szCs w:val="20"/>
              </w:rPr>
              <w:t>Burbano,​</w:t>
            </w:r>
            <w:proofErr w:type="gramEnd"/>
            <w:r w:rsidRPr="005762E6">
              <w:rPr>
                <w:sz w:val="20"/>
                <w:szCs w:val="20"/>
              </w:rPr>
              <w:t xml:space="preserve"> Mayra Vargas,​ Clery Quiros,​ John E Lewis,​ Luis Espinoza,​ Asthana Deshratan Menthol cigarettes and the cardiovascular risks of people living with HIV</w:t>
            </w:r>
            <w:r w:rsidR="007F2F01">
              <w:rPr>
                <w:sz w:val="20"/>
                <w:szCs w:val="20"/>
              </w:rPr>
              <w:t>.</w:t>
            </w:r>
            <w:r w:rsidRPr="005762E6">
              <w:rPr>
                <w:sz w:val="20"/>
                <w:szCs w:val="20"/>
              </w:rPr>
              <w:t xml:space="preserve"> The Journal of the Association of Nurses in AIDS Care : JANAC; 2014;25:427.</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Adolescent,​Adult,​Anti-HIV Agents/tu [Therapeutic Use],​Antiretroviral Therapy,​ Highly Active,​*Cardiovascular Diseases/ep [Epidemiology],​Cardiovascular Diseases/et [Etiology],​Case-Control Studies,​Female,​Florida/ep [Epidemiology],​*HIV Infections/co [Complications],​HIV Infections/dt [Drug Therapy],​HIV Infections/ep [Epidemiology],​Humans,​Longitudinal Studies,​Male,​*Menthol,​Multivariate Analysis,​Prevalence,​Risk Factors,​*Smoking/ae [Adverse Effects],​Smoking/ep [Epidemiology],​Socioeconomic Factors,​Surveys and Questionnaires,​*Tobacco Use Disorder/co [Complications],​Tobacco Use Disorder/ep [Epidemiology],​Young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The possibility that menthol cigarettes add to the deleterious cardiovascular effects of smoking has been barely discussed. Although cardiovascular diseases (CVD) are at the forefront of medical concerns of people living with HIV (PLWH</w:t>
            </w:r>
            <w:proofErr w:type="gramStart"/>
            <w:r w:rsidRPr="005762E6">
              <w:rPr>
                <w:sz w:val="20"/>
                <w:szCs w:val="20"/>
              </w:rPr>
              <w:t>),​</w:t>
            </w:r>
            <w:proofErr w:type="gramEnd"/>
            <w:r w:rsidRPr="005762E6">
              <w:rPr>
                <w:sz w:val="20"/>
                <w:szCs w:val="20"/>
              </w:rPr>
              <w:t xml:space="preserve"> an important,​ yet unknown,​ issue for clinicians and public health authorities is whether use of menthol-flavored cigarettes heightens CVD risk factors. Our study aims to assess traditional (10-year risk using the Framingham Risk Model) and nontraditional CVD risk factors and to contrast the effects of menthol-flavored versus non-menthol-flavored cigarettes on these risk factors. Compared to </w:t>
            </w:r>
            <w:proofErr w:type="gramStart"/>
            <w:r w:rsidRPr="005762E6">
              <w:rPr>
                <w:sz w:val="20"/>
                <w:szCs w:val="20"/>
              </w:rPr>
              <w:t>controls,​</w:t>
            </w:r>
            <w:proofErr w:type="gramEnd"/>
            <w:r w:rsidRPr="005762E6">
              <w:rPr>
                <w:sz w:val="20"/>
                <w:szCs w:val="20"/>
              </w:rPr>
              <w:t xml:space="preserve"> menthol smokers were twice as likely to have hypertension. Users of menthol-flavored cigarettes had higher body mass index </w:t>
            </w:r>
            <w:proofErr w:type="gramStart"/>
            <w:r w:rsidRPr="005762E6">
              <w:rPr>
                <w:sz w:val="20"/>
                <w:szCs w:val="20"/>
              </w:rPr>
              <w:t>values,​</w:t>
            </w:r>
            <w:proofErr w:type="gramEnd"/>
            <w:r w:rsidRPr="005762E6">
              <w:rPr>
                <w:sz w:val="20"/>
                <w:szCs w:val="20"/>
              </w:rPr>
              <w:t xml:space="preserve"> and increased risk of abdominal obesity. Multivariate analyses indicated that menthol smokers doubled the odds of having moderate to high CVD risk. This finding is highly significant given the widespread use of menthol-flavored </w:t>
            </w:r>
            <w:proofErr w:type="gramStart"/>
            <w:r w:rsidRPr="005762E6">
              <w:rPr>
                <w:sz w:val="20"/>
                <w:szCs w:val="20"/>
              </w:rPr>
              <w:t>cigarettes,​</w:t>
            </w:r>
            <w:proofErr w:type="gramEnd"/>
            <w:r w:rsidRPr="005762E6">
              <w:rPr>
                <w:sz w:val="20"/>
                <w:szCs w:val="20"/>
              </w:rPr>
              <w:t xml:space="preserve"> particularly among women,​ minorities,​ and PLWH. Copyright © 2014 Association of Nurses in AIDS Care. All rights reserved.</w:t>
            </w:r>
          </w:p>
        </w:tc>
      </w:tr>
      <w:tr w:rsidR="00B44564" w:rsidRPr="005762E6" w14:paraId="36D4B8E3"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5CAC8BF" w14:textId="77777777" w:rsidR="00B44564" w:rsidRPr="005762E6" w:rsidRDefault="00B44564" w:rsidP="00EA69AA">
            <w:pPr>
              <w:spacing w:after="120" w:line="240" w:lineRule="auto"/>
              <w:contextualSpacing/>
              <w:rPr>
                <w:sz w:val="20"/>
                <w:szCs w:val="20"/>
              </w:rPr>
            </w:pPr>
            <w:r w:rsidRPr="005762E6">
              <w:rPr>
                <w:sz w:val="20"/>
                <w:szCs w:val="20"/>
              </w:rPr>
              <w:t>511</w:t>
            </w:r>
          </w:p>
        </w:tc>
        <w:tc>
          <w:tcPr>
            <w:tcW w:w="0" w:type="auto"/>
            <w:tcBorders>
              <w:top w:val="single" w:sz="6" w:space="0" w:color="auto"/>
              <w:left w:val="single" w:sz="6" w:space="0" w:color="auto"/>
              <w:bottom w:val="single" w:sz="6" w:space="0" w:color="auto"/>
              <w:right w:val="single" w:sz="6" w:space="0" w:color="auto"/>
            </w:tcBorders>
          </w:tcPr>
          <w:p w14:paraId="2F842712"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BDBB5A7" w14:textId="1B00B736" w:rsidR="00B44564" w:rsidRPr="005762E6" w:rsidRDefault="00B44564" w:rsidP="00EA69AA">
            <w:pPr>
              <w:spacing w:after="120" w:line="240" w:lineRule="auto"/>
              <w:contextualSpacing/>
              <w:rPr>
                <w:sz w:val="20"/>
                <w:szCs w:val="20"/>
              </w:rPr>
            </w:pPr>
            <w:r w:rsidRPr="005762E6">
              <w:rPr>
                <w:sz w:val="20"/>
                <w:szCs w:val="20"/>
              </w:rPr>
              <w:t xml:space="preserve">Olivia A </w:t>
            </w:r>
            <w:proofErr w:type="gramStart"/>
            <w:r w:rsidRPr="005762E6">
              <w:rPr>
                <w:sz w:val="20"/>
                <w:szCs w:val="20"/>
              </w:rPr>
              <w:t>Wackowski,​</w:t>
            </w:r>
            <w:proofErr w:type="gramEnd"/>
            <w:r w:rsidRPr="005762E6">
              <w:rPr>
                <w:sz w:val="20"/>
                <w:szCs w:val="20"/>
              </w:rPr>
              <w:t xml:space="preserve"> Michelle T Bover Manderski,​ Cristine D Delnevo Young adults' behavioral intentions surrounding a potential menthol cigarette ban</w:t>
            </w:r>
            <w:r w:rsidR="007F2F01">
              <w:rPr>
                <w:sz w:val="20"/>
                <w:szCs w:val="20"/>
              </w:rPr>
              <w:t>.</w:t>
            </w:r>
            <w:r w:rsidRPr="005762E6">
              <w:rPr>
                <w:sz w:val="20"/>
                <w:szCs w:val="20"/>
              </w:rPr>
              <w:t xml:space="preserve"> Nicotine &amp; tobacco research : official journal of the Society for Research on Nicotine and Tobacco; 2014;16:876.</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Adolescent,​Adult,​African Americans/sn [Statistics &amp; Numerical Data],​Ethnic Groups/sn [Statistics &amp; Numerical Data],​Female,​Humans,​*Intention,​Male,​*Menthol,​Smoking/eh [Ethnology],​*Smoking/px [Psychology],​*Smoking Cessation/px [Psychology],​Tobacco Products,​Young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Menthol cigarette smoking is more prevalent among young adults,​ who are a </w:t>
            </w:r>
            <w:r w:rsidRPr="005762E6">
              <w:rPr>
                <w:sz w:val="20"/>
                <w:szCs w:val="20"/>
              </w:rPr>
              <w:lastRenderedPageBreak/>
              <w:t>known target of tobacco industry marketing. This study explores young adults' menthol use and behavioral intentions in the event of a ban on menthol cigarettes</w:t>
            </w:r>
            <w:proofErr w:type="gramStart"/>
            <w:r w:rsidRPr="005762E6">
              <w:rPr>
                <w:sz w:val="20"/>
                <w:szCs w:val="20"/>
              </w:rPr>
              <w:t>.,​</w:t>
            </w:r>
            <w:proofErr w:type="gramEnd"/>
            <w:r w:rsidRPr="005762E6">
              <w:rPr>
                <w:sz w:val="20"/>
                <w:szCs w:val="20"/>
              </w:rPr>
              <w:t xml:space="preserve"> METHODS: Data from 2,​871 respondents of the 2011 National Young Adult Health Survey were examined to estimate young adults' current smoking,​ current menthol smoking,​ and behavioral intentions in the event of a menthol cigarette ban.,​ RESULTS: Of all respondents,​ 23.8% were current smokers,​ and 40.3% of the current smokers were menthol smokers. Menthol use was significantly higher among 18- to 24-year-olds versus 25- to 34-year-olds (51% vs. 34.3</w:t>
            </w:r>
            <w:proofErr w:type="gramStart"/>
            <w:r w:rsidRPr="005762E6">
              <w:rPr>
                <w:sz w:val="20"/>
                <w:szCs w:val="20"/>
              </w:rPr>
              <w:t>%,​</w:t>
            </w:r>
            <w:proofErr w:type="gramEnd"/>
            <w:r w:rsidRPr="005762E6">
              <w:rPr>
                <w:sz w:val="20"/>
                <w:szCs w:val="20"/>
              </w:rPr>
              <w:t xml:space="preserve"> p = .02) and was significantly associated with race/ethnicity (p &lt; .0001),​ with prevalence highest among Black smokers (82.0%). Among menthol </w:t>
            </w:r>
            <w:proofErr w:type="gramStart"/>
            <w:r w:rsidRPr="005762E6">
              <w:rPr>
                <w:sz w:val="20"/>
                <w:szCs w:val="20"/>
              </w:rPr>
              <w:t>smokers,​</w:t>
            </w:r>
            <w:proofErr w:type="gramEnd"/>
            <w:r w:rsidRPr="005762E6">
              <w:rPr>
                <w:sz w:val="20"/>
                <w:szCs w:val="20"/>
              </w:rPr>
              <w:t xml:space="preserve"> 65.7% indicated they would quit tobacco use altogether if menthol cigarettes were no longer sold,​ while 18.4% said they would switch to nonmenthol cigarettes,​ and 16.0% said they would switch to some other tobacco product (OTP). Behavioral intention was significantly associated with race/ethnicity (p = .02),​ where intention to quit tobacco was most prevalent among Black menthol smokers (79.3%),​ and concurrent use of OTPs (p = .03),​ where intention to switch to an OTP was more prevalent among menthol smokers who indicated concurrent OTP use (35.3% vs. 5.5%).,​ CONCLUSIONS: A majority of young adult menthol smokers stated they would quit smoking if menthol cigarettes were no longer sold,​ which builds on research finding public support for such a policy and on work modeling the public health impact such a ban could have.</w:t>
            </w:r>
          </w:p>
        </w:tc>
      </w:tr>
      <w:tr w:rsidR="00B44564" w:rsidRPr="005762E6" w14:paraId="297A4329"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9C5A1A0" w14:textId="77777777" w:rsidR="00B44564" w:rsidRPr="005762E6" w:rsidRDefault="00B44564" w:rsidP="00EA69AA">
            <w:pPr>
              <w:spacing w:after="120" w:line="240" w:lineRule="auto"/>
              <w:contextualSpacing/>
              <w:rPr>
                <w:sz w:val="20"/>
                <w:szCs w:val="20"/>
              </w:rPr>
            </w:pPr>
            <w:r w:rsidRPr="005762E6">
              <w:rPr>
                <w:sz w:val="20"/>
                <w:szCs w:val="20"/>
              </w:rPr>
              <w:lastRenderedPageBreak/>
              <w:t>512</w:t>
            </w:r>
          </w:p>
        </w:tc>
        <w:tc>
          <w:tcPr>
            <w:tcW w:w="0" w:type="auto"/>
            <w:tcBorders>
              <w:top w:val="single" w:sz="6" w:space="0" w:color="auto"/>
              <w:left w:val="single" w:sz="6" w:space="0" w:color="auto"/>
              <w:bottom w:val="single" w:sz="6" w:space="0" w:color="auto"/>
              <w:right w:val="single" w:sz="6" w:space="0" w:color="auto"/>
            </w:tcBorders>
          </w:tcPr>
          <w:p w14:paraId="4DD643B4"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FF01C4B" w14:textId="058142BA" w:rsidR="00B44564" w:rsidRPr="005762E6" w:rsidRDefault="00B44564" w:rsidP="00EA69AA">
            <w:pPr>
              <w:spacing w:after="120" w:line="240" w:lineRule="auto"/>
              <w:contextualSpacing/>
              <w:rPr>
                <w:sz w:val="20"/>
                <w:szCs w:val="20"/>
              </w:rPr>
            </w:pPr>
            <w:r w:rsidRPr="005762E6">
              <w:rPr>
                <w:sz w:val="20"/>
                <w:szCs w:val="20"/>
              </w:rPr>
              <w:t xml:space="preserve">Ken </w:t>
            </w:r>
            <w:proofErr w:type="gramStart"/>
            <w:r w:rsidRPr="005762E6">
              <w:rPr>
                <w:sz w:val="20"/>
                <w:szCs w:val="20"/>
              </w:rPr>
              <w:t>Resnicow,​</w:t>
            </w:r>
            <w:proofErr w:type="gramEnd"/>
            <w:r w:rsidRPr="005762E6">
              <w:rPr>
                <w:sz w:val="20"/>
                <w:szCs w:val="20"/>
              </w:rPr>
              <w:t xml:space="preserve"> Yan Zhou,​ Taneisha S Scheuermann,​ Nicole L Nollen,​ Jasjit S Ahluwalia Unplanned quitting in a triethnic sample of U.S. smokers</w:t>
            </w:r>
            <w:r w:rsidR="007F2F01">
              <w:rPr>
                <w:sz w:val="20"/>
                <w:szCs w:val="20"/>
              </w:rPr>
              <w:t>.</w:t>
            </w:r>
            <w:r w:rsidRPr="005762E6">
              <w:rPr>
                <w:sz w:val="20"/>
                <w:szCs w:val="20"/>
              </w:rPr>
              <w:t xml:space="preserve"> Nicotine &amp; tobacco research : official journal of the Society for Research on Nicotine and Tobacco; 2014;16:759.</w:t>
            </w:r>
            <w:r w:rsidRPr="005762E6">
              <w:rPr>
                <w:sz w:val="20"/>
                <w:szCs w:val="20"/>
              </w:rPr>
              <w:br/>
            </w:r>
            <w:r w:rsidRPr="005762E6">
              <w:rPr>
                <w:sz w:val="20"/>
                <w:szCs w:val="20"/>
              </w:rPr>
              <w:br/>
            </w:r>
            <w:r w:rsidRPr="005762E6">
              <w:rPr>
                <w:b/>
                <w:bCs/>
                <w:sz w:val="20"/>
                <w:szCs w:val="20"/>
              </w:rPr>
              <w:t>Keywords:</w:t>
            </w:r>
            <w:r w:rsidRPr="005762E6">
              <w:rPr>
                <w:sz w:val="20"/>
                <w:szCs w:val="20"/>
              </w:rPr>
              <w:br/>
              <w:t>Adult,​African Americans/sn [Statistics &amp; Numerical Data],​Cross-Sectional Studies,​European Continental Ancestry Group/sn [Statistics &amp; Numerical Data],​Female,​Hispanic Americans/sn [Statistics &amp; Numerical Data],​Humans,​Intention,​Male,​Middle Aged,​*Smoking/eh [Ethnology],​*Smoking Cessation/eh [Ethnology],​*Smoking Cessation/sn [Statistics &amp; Numerical Data],​United States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Smokers who report quitting without prior planning have been shown to report longer abstinence compared with those who planned. Little is known about unplanned quitting (UQ) among U.S. </w:t>
            </w:r>
            <w:proofErr w:type="gramStart"/>
            <w:r w:rsidRPr="005762E6">
              <w:rPr>
                <w:sz w:val="20"/>
                <w:szCs w:val="20"/>
              </w:rPr>
              <w:t>smokers,​</w:t>
            </w:r>
            <w:proofErr w:type="gramEnd"/>
            <w:r w:rsidRPr="005762E6">
              <w:rPr>
                <w:sz w:val="20"/>
                <w:szCs w:val="20"/>
              </w:rPr>
              <w:t xml:space="preserve"> minorities,​ or nondaily and light smokers.,​ METHODS: Using an online panel,​ we recruited equal numbers of Black,​ White,​ and Latino nondaily,​ light daily,​ and moderate/heavy daily smokers. Of the </w:t>
            </w:r>
            <w:proofErr w:type="gramStart"/>
            <w:r w:rsidRPr="005762E6">
              <w:rPr>
                <w:sz w:val="20"/>
                <w:szCs w:val="20"/>
              </w:rPr>
              <w:t>1,​</w:t>
            </w:r>
            <w:proofErr w:type="gramEnd"/>
            <w:r w:rsidRPr="005762E6">
              <w:rPr>
                <w:sz w:val="20"/>
                <w:szCs w:val="20"/>
              </w:rPr>
              <w:t xml:space="preserve">127 who reported a past-year quit attempt,​ we queried whether it was planned and the maximum number of days abstinent.,​ RESULTS: Overall,​ 38% reported that their last quit attempt was unplanned. The impact of planned versus unplanned quitting interacted with smoking level and race. Among White moderate/heavy </w:t>
            </w:r>
            <w:proofErr w:type="gramStart"/>
            <w:r w:rsidRPr="005762E6">
              <w:rPr>
                <w:sz w:val="20"/>
                <w:szCs w:val="20"/>
              </w:rPr>
              <w:t>smokers,​</w:t>
            </w:r>
            <w:proofErr w:type="gramEnd"/>
            <w:r w:rsidRPr="005762E6">
              <w:rPr>
                <w:sz w:val="20"/>
                <w:szCs w:val="20"/>
              </w:rPr>
              <w:t xml:space="preserve"> mean days abstinent was 99 for those who reported an unplanned quit attempt compared with 60 days for those who reported a planned attempt (p = .02). Among Black moderate/heavy </w:t>
            </w:r>
            <w:proofErr w:type="gramStart"/>
            <w:r w:rsidRPr="005762E6">
              <w:rPr>
                <w:sz w:val="20"/>
                <w:szCs w:val="20"/>
              </w:rPr>
              <w:t>smokers,​</w:t>
            </w:r>
            <w:proofErr w:type="gramEnd"/>
            <w:r w:rsidRPr="005762E6">
              <w:rPr>
                <w:sz w:val="20"/>
                <w:szCs w:val="20"/>
              </w:rPr>
              <w:t xml:space="preserve"> the mean days abstinent was higher among those whose last attempt was planned,​ 92 days,​ compared with 56 days among those whose last attempt was unplanned (p = .09). The pattern among Latinos resembled Whites but was not significant. Results remained after adjusting for confounds such as </w:t>
            </w:r>
            <w:proofErr w:type="gramStart"/>
            <w:r w:rsidRPr="005762E6">
              <w:rPr>
                <w:sz w:val="20"/>
                <w:szCs w:val="20"/>
              </w:rPr>
              <w:t>age,​</w:t>
            </w:r>
            <w:proofErr w:type="gramEnd"/>
            <w:r w:rsidRPr="005762E6">
              <w:rPr>
                <w:sz w:val="20"/>
                <w:szCs w:val="20"/>
              </w:rPr>
              <w:t xml:space="preserve"> gender,​ education,​ income,​ time to first cigarette,​ and menthol use. There were no significant differences in abstinence by quit type for light or nondaily smokers</w:t>
            </w:r>
            <w:proofErr w:type="gramStart"/>
            <w:r w:rsidRPr="005762E6">
              <w:rPr>
                <w:sz w:val="20"/>
                <w:szCs w:val="20"/>
              </w:rPr>
              <w:t>.,​</w:t>
            </w:r>
            <w:proofErr w:type="gramEnd"/>
            <w:r w:rsidRPr="005762E6">
              <w:rPr>
                <w:sz w:val="20"/>
                <w:szCs w:val="20"/>
              </w:rPr>
              <w:t xml:space="preserve"> CONCLUSIONS: Future studies are needed to elucidate why UQ appears to have differential effectiveness across racial/ethnic groups and different levels of cigarette use. Research examining the impact of UQ on long-term </w:t>
            </w:r>
            <w:proofErr w:type="gramStart"/>
            <w:r w:rsidRPr="005762E6">
              <w:rPr>
                <w:sz w:val="20"/>
                <w:szCs w:val="20"/>
              </w:rPr>
              <w:t>quitting,​</w:t>
            </w:r>
            <w:proofErr w:type="gramEnd"/>
            <w:r w:rsidRPr="005762E6">
              <w:rPr>
                <w:sz w:val="20"/>
                <w:szCs w:val="20"/>
              </w:rPr>
              <w:t xml:space="preserve"> which is not addressed here,​ is needed.</w:t>
            </w:r>
          </w:p>
        </w:tc>
      </w:tr>
      <w:tr w:rsidR="00B44564" w:rsidRPr="005762E6" w14:paraId="3283C507"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26F5489" w14:textId="77777777" w:rsidR="00B44564" w:rsidRPr="005762E6" w:rsidRDefault="00B44564" w:rsidP="00EA69AA">
            <w:pPr>
              <w:spacing w:after="120" w:line="240" w:lineRule="auto"/>
              <w:contextualSpacing/>
              <w:rPr>
                <w:sz w:val="20"/>
                <w:szCs w:val="20"/>
              </w:rPr>
            </w:pPr>
            <w:r w:rsidRPr="005762E6">
              <w:rPr>
                <w:sz w:val="20"/>
                <w:szCs w:val="20"/>
              </w:rPr>
              <w:t>514</w:t>
            </w:r>
          </w:p>
        </w:tc>
        <w:tc>
          <w:tcPr>
            <w:tcW w:w="0" w:type="auto"/>
            <w:tcBorders>
              <w:top w:val="single" w:sz="6" w:space="0" w:color="auto"/>
              <w:left w:val="single" w:sz="6" w:space="0" w:color="auto"/>
              <w:bottom w:val="single" w:sz="6" w:space="0" w:color="auto"/>
              <w:right w:val="single" w:sz="6" w:space="0" w:color="auto"/>
            </w:tcBorders>
          </w:tcPr>
          <w:p w14:paraId="140AE10A"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0680B3D" w14:textId="4AE97E36" w:rsidR="00B44564" w:rsidRPr="005762E6" w:rsidRDefault="00B44564" w:rsidP="00EA69AA">
            <w:pPr>
              <w:spacing w:after="120" w:line="240" w:lineRule="auto"/>
              <w:contextualSpacing/>
              <w:rPr>
                <w:sz w:val="20"/>
                <w:szCs w:val="20"/>
              </w:rPr>
            </w:pPr>
            <w:r w:rsidRPr="005762E6">
              <w:rPr>
                <w:sz w:val="20"/>
                <w:szCs w:val="20"/>
              </w:rPr>
              <w:t xml:space="preserve">Monica Webb </w:t>
            </w:r>
            <w:proofErr w:type="gramStart"/>
            <w:r w:rsidRPr="005762E6">
              <w:rPr>
                <w:sz w:val="20"/>
                <w:szCs w:val="20"/>
              </w:rPr>
              <w:t>Hooper,​</w:t>
            </w:r>
            <w:proofErr w:type="gramEnd"/>
            <w:r w:rsidRPr="005762E6">
              <w:rPr>
                <w:sz w:val="20"/>
                <w:szCs w:val="20"/>
              </w:rPr>
              <w:t xml:space="preserve"> Elizabeth A Baker,​ Marcia D McNutt Racial/Ethnic differences among smokers: revisited and expanded to help seekers</w:t>
            </w:r>
            <w:r w:rsidR="007F2F01">
              <w:rPr>
                <w:sz w:val="20"/>
                <w:szCs w:val="20"/>
              </w:rPr>
              <w:t>.</w:t>
            </w:r>
            <w:r w:rsidRPr="005762E6">
              <w:rPr>
                <w:sz w:val="20"/>
                <w:szCs w:val="20"/>
              </w:rPr>
              <w:t xml:space="preserve"> Nicotine &amp; tobacco research : official journal of the Society for Research on Nicotine and Tobacco; 2014;16:621.</w:t>
            </w:r>
            <w:r w:rsidRPr="005762E6">
              <w:rPr>
                <w:sz w:val="20"/>
                <w:szCs w:val="20"/>
              </w:rPr>
              <w:br/>
            </w:r>
            <w:r w:rsidRPr="005762E6">
              <w:rPr>
                <w:sz w:val="20"/>
                <w:szCs w:val="20"/>
              </w:rPr>
              <w:br/>
            </w:r>
            <w:r w:rsidRPr="005762E6">
              <w:rPr>
                <w:b/>
                <w:bCs/>
                <w:sz w:val="20"/>
                <w:szCs w:val="20"/>
              </w:rPr>
              <w:t>Keywords:</w:t>
            </w:r>
            <w:r w:rsidRPr="005762E6">
              <w:rPr>
                <w:sz w:val="20"/>
                <w:szCs w:val="20"/>
              </w:rPr>
              <w:br/>
              <w:t>Adult,​African Americans,​Demography,​European Continental Ancestry Group,​Female,​Hispanic Americans,​Humans,​Male,​Middle Aged,​Randomized Controlled Trials as Topic,​Risk Factors,​*Smoking/eh [Ethnology],​*Smoking Cessation/eh [Ethnology]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Most research on racial/ethnic differences among smokers is outdated and does </w:t>
            </w:r>
            <w:r w:rsidRPr="005762E6">
              <w:rPr>
                <w:sz w:val="20"/>
                <w:szCs w:val="20"/>
              </w:rPr>
              <w:lastRenderedPageBreak/>
              <w:t>not focus on help seekers. The purpose of this study was to revisit racial/ethnic differences in variables related to cessation in a sample of smokers enrolled in a randomized trial</w:t>
            </w:r>
            <w:proofErr w:type="gramStart"/>
            <w:r w:rsidRPr="005762E6">
              <w:rPr>
                <w:sz w:val="20"/>
                <w:szCs w:val="20"/>
              </w:rPr>
              <w:t>.,​</w:t>
            </w:r>
            <w:proofErr w:type="gramEnd"/>
            <w:r w:rsidRPr="005762E6">
              <w:rPr>
                <w:sz w:val="20"/>
                <w:szCs w:val="20"/>
              </w:rPr>
              <w:t xml:space="preserve"> METHODS: Adult smokers (N = 417; n = 126 White; n = 123 Hispanic; n = 168 Black) completed measures of demographics,​ smoking history,​ alcohol use,​ depressive symptoms,​ and readiness to quit.,​ RESULTS: We found significant differences in these factors across groups. Blacks were more likely to be </w:t>
            </w:r>
            <w:proofErr w:type="gramStart"/>
            <w:r w:rsidRPr="005762E6">
              <w:rPr>
                <w:sz w:val="20"/>
                <w:szCs w:val="20"/>
              </w:rPr>
              <w:t>older,​</w:t>
            </w:r>
            <w:proofErr w:type="gramEnd"/>
            <w:r w:rsidRPr="005762E6">
              <w:rPr>
                <w:sz w:val="20"/>
                <w:szCs w:val="20"/>
              </w:rPr>
              <w:t xml:space="preserve"> less educated,​ single,​ low income,​ smoke menthol cigarettes,​ and report greater nicotine dependence. Hispanics were </w:t>
            </w:r>
            <w:proofErr w:type="gramStart"/>
            <w:r w:rsidRPr="005762E6">
              <w:rPr>
                <w:sz w:val="20"/>
                <w:szCs w:val="20"/>
              </w:rPr>
              <w:t>younger,​</w:t>
            </w:r>
            <w:proofErr w:type="gramEnd"/>
            <w:r w:rsidRPr="005762E6">
              <w:rPr>
                <w:sz w:val="20"/>
                <w:szCs w:val="20"/>
              </w:rPr>
              <w:t xml:space="preserve"> reported fewer years smoking and cigarettes per day,​ lower nicotine dependence,​ preferred mentholated cigarettes,​ and reported greater alcohol use intensity. After controlling for demographics and smoking </w:t>
            </w:r>
            <w:proofErr w:type="gramStart"/>
            <w:r w:rsidRPr="005762E6">
              <w:rPr>
                <w:sz w:val="20"/>
                <w:szCs w:val="20"/>
              </w:rPr>
              <w:t>history,​</w:t>
            </w:r>
            <w:proofErr w:type="gramEnd"/>
            <w:r w:rsidRPr="005762E6">
              <w:rPr>
                <w:sz w:val="20"/>
                <w:szCs w:val="20"/>
              </w:rPr>
              <w:t xml:space="preserve"> Blacks reported greater depressive symptoms and lower readiness to quit compared with Whites and Hispanics.,​ CONCLUSIONS: Help-seeking Blacks may exhibit more risk factors for difficulty quitting compared with other groups. Hispanics may have some protective </w:t>
            </w:r>
            <w:proofErr w:type="gramStart"/>
            <w:r w:rsidRPr="005762E6">
              <w:rPr>
                <w:sz w:val="20"/>
                <w:szCs w:val="20"/>
              </w:rPr>
              <w:t>factors,​</w:t>
            </w:r>
            <w:proofErr w:type="gramEnd"/>
            <w:r w:rsidRPr="005762E6">
              <w:rPr>
                <w:sz w:val="20"/>
                <w:szCs w:val="20"/>
              </w:rPr>
              <w:t xml:space="preserve"> such as lower dependence,​ but require attention to alcohol use and menthol smoking. Identifying preintervention racial/ethnic differences in characteristics related to cessation is important for developing evidence-based and culturally specific interventions and for reducing tobacco-related health disparities.</w:t>
            </w:r>
          </w:p>
        </w:tc>
      </w:tr>
      <w:tr w:rsidR="00B44564" w:rsidRPr="005762E6" w14:paraId="765BD623"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42A7B49" w14:textId="77777777" w:rsidR="00B44564" w:rsidRPr="005762E6" w:rsidRDefault="00B44564" w:rsidP="00EA69AA">
            <w:pPr>
              <w:spacing w:after="120" w:line="240" w:lineRule="auto"/>
              <w:contextualSpacing/>
              <w:rPr>
                <w:sz w:val="20"/>
                <w:szCs w:val="20"/>
              </w:rPr>
            </w:pPr>
            <w:r w:rsidRPr="005762E6">
              <w:rPr>
                <w:sz w:val="20"/>
                <w:szCs w:val="20"/>
              </w:rPr>
              <w:lastRenderedPageBreak/>
              <w:t>515</w:t>
            </w:r>
          </w:p>
        </w:tc>
        <w:tc>
          <w:tcPr>
            <w:tcW w:w="0" w:type="auto"/>
            <w:tcBorders>
              <w:top w:val="single" w:sz="6" w:space="0" w:color="auto"/>
              <w:left w:val="single" w:sz="6" w:space="0" w:color="auto"/>
              <w:bottom w:val="single" w:sz="6" w:space="0" w:color="auto"/>
              <w:right w:val="single" w:sz="6" w:space="0" w:color="auto"/>
            </w:tcBorders>
          </w:tcPr>
          <w:p w14:paraId="6CC843EF"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9E30C4D" w14:textId="7A9BB0A2" w:rsidR="00B44564" w:rsidRPr="005762E6" w:rsidRDefault="00B44564" w:rsidP="00EA69AA">
            <w:pPr>
              <w:spacing w:after="120" w:line="240" w:lineRule="auto"/>
              <w:contextualSpacing/>
              <w:rPr>
                <w:sz w:val="20"/>
                <w:szCs w:val="20"/>
              </w:rPr>
            </w:pPr>
            <w:r w:rsidRPr="005762E6">
              <w:rPr>
                <w:sz w:val="20"/>
                <w:szCs w:val="20"/>
              </w:rPr>
              <w:t>Ram B Jain Trends in serum cotinine concentrations among daily cigarette smokers: data from NHANES 1999-2010</w:t>
            </w:r>
            <w:r w:rsidR="007F2F01">
              <w:rPr>
                <w:sz w:val="20"/>
                <w:szCs w:val="20"/>
              </w:rPr>
              <w:t>.</w:t>
            </w:r>
            <w:r w:rsidRPr="005762E6">
              <w:rPr>
                <w:sz w:val="20"/>
                <w:szCs w:val="20"/>
              </w:rPr>
              <w:t xml:space="preserve"> The Science of the total environment; </w:t>
            </w:r>
            <w:proofErr w:type="gramStart"/>
            <w:r w:rsidRPr="005762E6">
              <w:rPr>
                <w:sz w:val="20"/>
                <w:szCs w:val="20"/>
              </w:rPr>
              <w:t>2014;472:72</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Adult,​*Cotinine/bl [Blood],​Female,​Humans,​Male,​*Nutrition Surveys,​*Smoking/bl [Blood],​Smoking/ep [Epidemiology],​Tobacco Smoke Pollution/sn [Statistics &amp; Numerical Data]</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To the best of our knowledge,​ there have been no apparent studies of the trends in serum cotinine levels among smokers. Data from National Health and Nutrition Examination Survey for the period 1999-2010 were used to evaluate trends for serum cotinine levels; average number of cigarettes smoked per day; and Cambridge filter method (CFM) tar and CFM nicotine levels by </w:t>
            </w:r>
            <w:proofErr w:type="gramStart"/>
            <w:r w:rsidRPr="005762E6">
              <w:rPr>
                <w:sz w:val="20"/>
                <w:szCs w:val="20"/>
              </w:rPr>
              <w:t>gender,​</w:t>
            </w:r>
            <w:proofErr w:type="gramEnd"/>
            <w:r w:rsidRPr="005762E6">
              <w:rPr>
                <w:sz w:val="20"/>
                <w:szCs w:val="20"/>
              </w:rPr>
              <w:t xml:space="preserve"> race/ethnicity,​ and cigarette mentholation status. Regression models were fitted to evaluate the factors associated with serum cotinine levels. Serum cotinine levels increased over time for both males and </w:t>
            </w:r>
            <w:proofErr w:type="gramStart"/>
            <w:r w:rsidRPr="005762E6">
              <w:rPr>
                <w:sz w:val="20"/>
                <w:szCs w:val="20"/>
              </w:rPr>
              <w:t>females,​</w:t>
            </w:r>
            <w:proofErr w:type="gramEnd"/>
            <w:r w:rsidRPr="005762E6">
              <w:rPr>
                <w:sz w:val="20"/>
                <w:szCs w:val="20"/>
              </w:rPr>
              <w:t xml:space="preserve"> non-Hispanic whites and others. CFM nicotine levels also rose over time for cigarettes smoked by both males and females and by both non-Hispanic whites and non-Hispanic blacks. Average number of cigarettes smoked per day decreased over time for </w:t>
            </w:r>
            <w:proofErr w:type="gramStart"/>
            <w:r w:rsidRPr="005762E6">
              <w:rPr>
                <w:sz w:val="20"/>
                <w:szCs w:val="20"/>
              </w:rPr>
              <w:t>females,​</w:t>
            </w:r>
            <w:proofErr w:type="gramEnd"/>
            <w:r w:rsidRPr="005762E6">
              <w:rPr>
                <w:sz w:val="20"/>
                <w:szCs w:val="20"/>
              </w:rPr>
              <w:t xml:space="preserve"> non-Hispanic whites and non-Hispanic blacks. CFM tar levels fell only for Mexican Americans. Exposure to second hand smoke at home was found to be associated with more than 1 ng/ml increase in serum cotinine levels. This large study on a nationally representative sample of daily smokers suggested that increasing concentrations of CFM nicotine in cigarettes over time led to elevated serum cotinine levels even though the number of cigarettes smoked daily remained relatively constant. Copyright © 2013 Elsevier B.V. All rights reserved.</w:t>
            </w:r>
          </w:p>
        </w:tc>
      </w:tr>
      <w:tr w:rsidR="00B44564" w:rsidRPr="005762E6" w14:paraId="44A34B79"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C32F9B2" w14:textId="77777777" w:rsidR="00B44564" w:rsidRPr="005762E6" w:rsidRDefault="00B44564" w:rsidP="00EA69AA">
            <w:pPr>
              <w:spacing w:after="120" w:line="240" w:lineRule="auto"/>
              <w:contextualSpacing/>
              <w:rPr>
                <w:sz w:val="20"/>
                <w:szCs w:val="20"/>
              </w:rPr>
            </w:pPr>
            <w:r w:rsidRPr="005762E6">
              <w:rPr>
                <w:sz w:val="20"/>
                <w:szCs w:val="20"/>
              </w:rPr>
              <w:t>516</w:t>
            </w:r>
          </w:p>
        </w:tc>
        <w:tc>
          <w:tcPr>
            <w:tcW w:w="0" w:type="auto"/>
            <w:tcBorders>
              <w:top w:val="single" w:sz="6" w:space="0" w:color="auto"/>
              <w:left w:val="single" w:sz="6" w:space="0" w:color="auto"/>
              <w:bottom w:val="single" w:sz="6" w:space="0" w:color="auto"/>
              <w:right w:val="single" w:sz="6" w:space="0" w:color="auto"/>
            </w:tcBorders>
          </w:tcPr>
          <w:p w14:paraId="0AA1FA9C"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317D717" w14:textId="41D440F2" w:rsidR="00B44564" w:rsidRPr="005762E6" w:rsidRDefault="00B44564" w:rsidP="00EA69AA">
            <w:pPr>
              <w:spacing w:after="120" w:line="240" w:lineRule="auto"/>
              <w:contextualSpacing/>
              <w:rPr>
                <w:sz w:val="20"/>
                <w:szCs w:val="20"/>
              </w:rPr>
            </w:pPr>
            <w:r w:rsidRPr="005762E6">
              <w:rPr>
                <w:sz w:val="20"/>
                <w:szCs w:val="20"/>
              </w:rPr>
              <w:t xml:space="preserve">Alana M </w:t>
            </w:r>
            <w:proofErr w:type="gramStart"/>
            <w:r w:rsidRPr="005762E6">
              <w:rPr>
                <w:sz w:val="20"/>
                <w:szCs w:val="20"/>
              </w:rPr>
              <w:t>Rojewski,​</w:t>
            </w:r>
            <w:proofErr w:type="gramEnd"/>
            <w:r w:rsidRPr="005762E6">
              <w:rPr>
                <w:sz w:val="20"/>
                <w:szCs w:val="20"/>
              </w:rPr>
              <w:t xml:space="preserve"> Benjamin A Toll,​ Stephanie S O'Malley Menthol cigarette use predicts treatment outcomes of weight-concerned smokers</w:t>
            </w:r>
            <w:r w:rsidR="007F2F01">
              <w:rPr>
                <w:sz w:val="20"/>
                <w:szCs w:val="20"/>
              </w:rPr>
              <w:t>.</w:t>
            </w:r>
            <w:r w:rsidRPr="005762E6">
              <w:rPr>
                <w:sz w:val="20"/>
                <w:szCs w:val="20"/>
              </w:rPr>
              <w:t xml:space="preserve"> Nicotine &amp; tobacco research : official journal of the Society for Research on Nicotine and Tobacco; 2014;16:115.</w:t>
            </w:r>
            <w:r w:rsidRPr="005762E6">
              <w:rPr>
                <w:sz w:val="20"/>
                <w:szCs w:val="20"/>
              </w:rPr>
              <w:br/>
            </w:r>
            <w:r w:rsidRPr="005762E6">
              <w:rPr>
                <w:sz w:val="20"/>
                <w:szCs w:val="20"/>
              </w:rPr>
              <w:br/>
            </w:r>
            <w:r w:rsidRPr="005762E6">
              <w:rPr>
                <w:b/>
                <w:bCs/>
                <w:sz w:val="20"/>
                <w:szCs w:val="20"/>
              </w:rPr>
              <w:t>Keywords:</w:t>
            </w:r>
            <w:r w:rsidRPr="005762E6">
              <w:rPr>
                <w:sz w:val="20"/>
                <w:szCs w:val="20"/>
              </w:rPr>
              <w:br/>
              <w:t>Adult,​Body Weight,​Female,​Humans,​Male,​*Menthol/tu [Therapeutic Use],​Middle Aged,​*Smoking Cessation/mt [Methods],​Smoking Cessation/px [Psychology],​Treatment Outcome</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BACKGROUND: Studies have shown that individuals who smoke menthol cigarettes are less likely to quit smoking and more likely to relapse during a quit attempt. The current study investigated menthol cigarette use as a potential predictor of smoking cessation outcomes in a sample of treatment-seeking smokers</w:t>
            </w:r>
            <w:proofErr w:type="gramStart"/>
            <w:r w:rsidRPr="005762E6">
              <w:rPr>
                <w:sz w:val="20"/>
                <w:szCs w:val="20"/>
              </w:rPr>
              <w:t>.,​</w:t>
            </w:r>
            <w:proofErr w:type="gramEnd"/>
            <w:r w:rsidRPr="005762E6">
              <w:rPr>
                <w:sz w:val="20"/>
                <w:szCs w:val="20"/>
              </w:rPr>
              <w:t xml:space="preserve"> METHODS: This is a secondary analysis of data from a randomized controlled trial of low-dose naltrexone augmentation of nicotine replacement designed to examine smoking cessation and postcessation weight gain in weight-concerned smokers.,​ RESULTS: Analyses revealed that menthol use predicted lower quit rates. Among menthol smokers (N = 61</w:t>
            </w:r>
            <w:proofErr w:type="gramStart"/>
            <w:r w:rsidRPr="005762E6">
              <w:rPr>
                <w:sz w:val="20"/>
                <w:szCs w:val="20"/>
              </w:rPr>
              <w:t>),​</w:t>
            </w:r>
            <w:proofErr w:type="gramEnd"/>
            <w:r w:rsidRPr="005762E6">
              <w:rPr>
                <w:sz w:val="20"/>
                <w:szCs w:val="20"/>
              </w:rPr>
              <w:t xml:space="preserve"> 13% were abstinent at week 26,​ and among nonmenthol smokers (N = 105),​ 30% were abstinent (Wald = 4.15,​ p = .04; odds ratio [OR] = 2.47; 95% CI = 1.04-5.90). </w:t>
            </w:r>
            <w:proofErr w:type="gramStart"/>
            <w:r w:rsidRPr="005762E6">
              <w:rPr>
                <w:sz w:val="20"/>
                <w:szCs w:val="20"/>
              </w:rPr>
              <w:t>Further,​</w:t>
            </w:r>
            <w:proofErr w:type="gramEnd"/>
            <w:r w:rsidRPr="005762E6">
              <w:rPr>
                <w:sz w:val="20"/>
                <w:szCs w:val="20"/>
              </w:rPr>
              <w:t xml:space="preserve"> menthol smokers who quit smoking gained significantly more weight at week 26 (M = 14.87 lbs,​ SD = 9.08; </w:t>
            </w:r>
            <w:r w:rsidRPr="005762E6">
              <w:rPr>
                <w:sz w:val="20"/>
                <w:szCs w:val="20"/>
              </w:rPr>
              <w:lastRenderedPageBreak/>
              <w:t xml:space="preserve">t(37) = -2.22,​ p = .03) than nonmenthol smokers who quit (M = 7.95 lbs,​ SD = 7.53).,​ CONCLUSIONS: Menthol cigarette use has not typically been evaluated as a predictor of smoking cessation outcomes,​ but emerging evidence suggests that consumption of menthol may make cessation more difficult. This study adds to the literature supporting the claim that smoking menthol cigarettes can have adverse effects on smoking cessation efforts and on other cessation-related </w:t>
            </w:r>
            <w:proofErr w:type="gramStart"/>
            <w:r w:rsidRPr="005762E6">
              <w:rPr>
                <w:sz w:val="20"/>
                <w:szCs w:val="20"/>
              </w:rPr>
              <w:t>outcomes,​</w:t>
            </w:r>
            <w:proofErr w:type="gramEnd"/>
            <w:r w:rsidRPr="005762E6">
              <w:rPr>
                <w:sz w:val="20"/>
                <w:szCs w:val="20"/>
              </w:rPr>
              <w:t xml:space="preserve"> such as postcessation weight gain.</w:t>
            </w:r>
          </w:p>
        </w:tc>
      </w:tr>
      <w:tr w:rsidR="00B44564" w:rsidRPr="005762E6" w14:paraId="417A6280"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7932AB0" w14:textId="77777777" w:rsidR="00B44564" w:rsidRPr="005762E6" w:rsidRDefault="00B44564" w:rsidP="00EA69AA">
            <w:pPr>
              <w:spacing w:after="120" w:line="240" w:lineRule="auto"/>
              <w:contextualSpacing/>
              <w:rPr>
                <w:sz w:val="20"/>
                <w:szCs w:val="20"/>
              </w:rPr>
            </w:pPr>
            <w:r w:rsidRPr="005762E6">
              <w:rPr>
                <w:sz w:val="20"/>
                <w:szCs w:val="20"/>
              </w:rPr>
              <w:lastRenderedPageBreak/>
              <w:t>517</w:t>
            </w:r>
          </w:p>
        </w:tc>
        <w:tc>
          <w:tcPr>
            <w:tcW w:w="0" w:type="auto"/>
            <w:tcBorders>
              <w:top w:val="single" w:sz="6" w:space="0" w:color="auto"/>
              <w:left w:val="single" w:sz="6" w:space="0" w:color="auto"/>
              <w:bottom w:val="single" w:sz="6" w:space="0" w:color="auto"/>
              <w:right w:val="single" w:sz="6" w:space="0" w:color="auto"/>
            </w:tcBorders>
          </w:tcPr>
          <w:p w14:paraId="73D9889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B59DCD9" w14:textId="06CC54C4" w:rsidR="00B44564" w:rsidRPr="005762E6" w:rsidRDefault="00B44564" w:rsidP="00EA69AA">
            <w:pPr>
              <w:spacing w:after="120" w:line="240" w:lineRule="auto"/>
              <w:contextualSpacing/>
              <w:rPr>
                <w:sz w:val="20"/>
                <w:szCs w:val="20"/>
              </w:rPr>
            </w:pPr>
            <w:r w:rsidRPr="005762E6">
              <w:rPr>
                <w:sz w:val="20"/>
                <w:szCs w:val="20"/>
              </w:rPr>
              <w:t xml:space="preserve">Cendrine D </w:t>
            </w:r>
            <w:proofErr w:type="gramStart"/>
            <w:r w:rsidRPr="005762E6">
              <w:rPr>
                <w:sz w:val="20"/>
                <w:szCs w:val="20"/>
              </w:rPr>
              <w:t>Robinson,​</w:t>
            </w:r>
            <w:proofErr w:type="gramEnd"/>
            <w:r w:rsidRPr="005762E6">
              <w:rPr>
                <w:sz w:val="20"/>
                <w:szCs w:val="20"/>
              </w:rPr>
              <w:t xml:space="preserve"> Wallace B Pickworth,​ Stephen J Heishman,​ Andrew J Waters The acute tobacco withdrawal syndrome among black smokers</w:t>
            </w:r>
            <w:r w:rsidR="007F2F01">
              <w:rPr>
                <w:sz w:val="20"/>
                <w:szCs w:val="20"/>
              </w:rPr>
              <w:t>.</w:t>
            </w:r>
            <w:r w:rsidRPr="005762E6">
              <w:rPr>
                <w:sz w:val="20"/>
                <w:szCs w:val="20"/>
              </w:rPr>
              <w:t xml:space="preserve"> Psychology of addictive behaviors : journal of the Society of Psychologists in Addictive Behaviors; 2014;28:173.</w:t>
            </w:r>
            <w:r w:rsidRPr="005762E6">
              <w:rPr>
                <w:sz w:val="20"/>
                <w:szCs w:val="20"/>
              </w:rPr>
              <w:br/>
            </w:r>
            <w:r w:rsidRPr="005762E6">
              <w:rPr>
                <w:sz w:val="20"/>
                <w:szCs w:val="20"/>
              </w:rPr>
              <w:br/>
            </w:r>
            <w:r w:rsidRPr="005762E6">
              <w:rPr>
                <w:b/>
                <w:bCs/>
                <w:sz w:val="20"/>
                <w:szCs w:val="20"/>
              </w:rPr>
              <w:t>Keywords:</w:t>
            </w:r>
            <w:r w:rsidRPr="005762E6">
              <w:rPr>
                <w:sz w:val="20"/>
                <w:szCs w:val="20"/>
              </w:rPr>
              <w:br/>
              <w:t>Adult,​*African Americans/eh [Ethnology],​African Americans/px [Psychology],​*European Continental Ancestry Group/eh [Ethnology],​European Continental Ancestry Group/px [Psychology],​Female,​Humans,​Male,​Middle Aged,​*Smoking/eh [Ethnology],​Smoking/pp [Physiopathology],​*Substance Withdrawal Syndrome/eh [Ethnology],​Substance Withdrawal Syndrome/pp [Physiopathology]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Black smokers have greater difficulty quitting tobacco than White smokers,​ but the mechanisms underlying between-race differences in smoking cessation are not clear. One possibility is that Black smokers experience greater acute withdrawal than Whites. We investigated whether Black (n = 104) and White smokers (n = 99) differed in abstinence-induced changes in self-</w:t>
            </w:r>
            <w:proofErr w:type="gramStart"/>
            <w:r w:rsidRPr="005762E6">
              <w:rPr>
                <w:sz w:val="20"/>
                <w:szCs w:val="20"/>
              </w:rPr>
              <w:t>report,​</w:t>
            </w:r>
            <w:proofErr w:type="gramEnd"/>
            <w:r w:rsidRPr="005762E6">
              <w:rPr>
                <w:sz w:val="20"/>
                <w:szCs w:val="20"/>
              </w:rPr>
              <w:t xml:space="preserve"> physiological,​ and cognitive performance measures. Smokers not wishing to quit completed two counterbalanced experimental sessions. Before one </w:t>
            </w:r>
            <w:proofErr w:type="gramStart"/>
            <w:r w:rsidRPr="005762E6">
              <w:rPr>
                <w:sz w:val="20"/>
                <w:szCs w:val="20"/>
              </w:rPr>
              <w:t>session,​</w:t>
            </w:r>
            <w:proofErr w:type="gramEnd"/>
            <w:r w:rsidRPr="005762E6">
              <w:rPr>
                <w:sz w:val="20"/>
                <w:szCs w:val="20"/>
              </w:rPr>
              <w:t xml:space="preserve"> they abstained from smoking for at least 12 hr. They smoked normally before the other session. Black smokers reported smaller abstinence-induced changes on a number of subjective measures including the total score of the 10-item Questionnaire for Smoking Urges (QSU) and the total score of the Wisconsin Smoking Withdrawal Scale (WSWS). </w:t>
            </w:r>
            <w:proofErr w:type="gramStart"/>
            <w:r w:rsidRPr="005762E6">
              <w:rPr>
                <w:sz w:val="20"/>
                <w:szCs w:val="20"/>
              </w:rPr>
              <w:t>However,​</w:t>
            </w:r>
            <w:proofErr w:type="gramEnd"/>
            <w:r w:rsidRPr="005762E6">
              <w:rPr>
                <w:sz w:val="20"/>
                <w:szCs w:val="20"/>
              </w:rPr>
              <w:t xml:space="preserve"> on most subjective measures,​ and on all objective measures,​ there were no between-race differences in abstinence-induced change scores. </w:t>
            </w:r>
            <w:proofErr w:type="gramStart"/>
            <w:r w:rsidRPr="005762E6">
              <w:rPr>
                <w:sz w:val="20"/>
                <w:szCs w:val="20"/>
              </w:rPr>
              <w:t>Moreover,​</w:t>
            </w:r>
            <w:proofErr w:type="gramEnd"/>
            <w:r w:rsidRPr="005762E6">
              <w:rPr>
                <w:sz w:val="20"/>
                <w:szCs w:val="20"/>
              </w:rPr>
              <w:t xml:space="preserve"> Black participants did not report lower QSU and WSWS ratings at the abstinent session,​ but they did experience significantly higher QSU and WSWS ratings at the nonabstinent session. Abstinence-induced changes in </w:t>
            </w:r>
            <w:proofErr w:type="gramStart"/>
            <w:r w:rsidRPr="005762E6">
              <w:rPr>
                <w:sz w:val="20"/>
                <w:szCs w:val="20"/>
              </w:rPr>
              <w:t>subjective,​</w:t>
            </w:r>
            <w:proofErr w:type="gramEnd"/>
            <w:r w:rsidRPr="005762E6">
              <w:rPr>
                <w:sz w:val="20"/>
                <w:szCs w:val="20"/>
              </w:rPr>
              <w:t xml:space="preserve"> physiological,​ and cognitive measures in White smokers were similar for smokers of nonflavored and menthol-flavored cigarettes. There was no evidence that Black smokers experienced greater acute tobacco withdrawal than Whites. To the </w:t>
            </w:r>
            <w:proofErr w:type="gramStart"/>
            <w:r w:rsidRPr="005762E6">
              <w:rPr>
                <w:sz w:val="20"/>
                <w:szCs w:val="20"/>
              </w:rPr>
              <w:t>contrary,​</w:t>
            </w:r>
            <w:proofErr w:type="gramEnd"/>
            <w:r w:rsidRPr="005762E6">
              <w:rPr>
                <w:sz w:val="20"/>
                <w:szCs w:val="20"/>
              </w:rPr>
              <w:t xml:space="preserve"> Black participants experienced smaller abstinence-induced changes in self-reported craving and withdrawal on some measures. Racial differences in smoking cessation are unlikely to be explained by acute withdrawal.</w:t>
            </w:r>
          </w:p>
        </w:tc>
      </w:tr>
      <w:tr w:rsidR="00B44564" w:rsidRPr="005762E6" w14:paraId="53CE50AA"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F21911C" w14:textId="77777777" w:rsidR="00B44564" w:rsidRPr="005762E6" w:rsidRDefault="00B44564" w:rsidP="00EA69AA">
            <w:pPr>
              <w:spacing w:after="120" w:line="240" w:lineRule="auto"/>
              <w:contextualSpacing/>
              <w:rPr>
                <w:sz w:val="20"/>
                <w:szCs w:val="20"/>
              </w:rPr>
            </w:pPr>
            <w:r w:rsidRPr="005762E6">
              <w:rPr>
                <w:sz w:val="20"/>
                <w:szCs w:val="20"/>
              </w:rPr>
              <w:t>518</w:t>
            </w:r>
          </w:p>
        </w:tc>
        <w:tc>
          <w:tcPr>
            <w:tcW w:w="0" w:type="auto"/>
            <w:tcBorders>
              <w:top w:val="single" w:sz="6" w:space="0" w:color="auto"/>
              <w:left w:val="single" w:sz="6" w:space="0" w:color="auto"/>
              <w:bottom w:val="single" w:sz="6" w:space="0" w:color="auto"/>
              <w:right w:val="single" w:sz="6" w:space="0" w:color="auto"/>
            </w:tcBorders>
          </w:tcPr>
          <w:p w14:paraId="15C8930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ABD1B54" w14:textId="67DC964D" w:rsidR="00B44564" w:rsidRPr="005762E6" w:rsidRDefault="00B44564" w:rsidP="00EA69AA">
            <w:pPr>
              <w:spacing w:after="120" w:line="240" w:lineRule="auto"/>
              <w:contextualSpacing/>
              <w:rPr>
                <w:sz w:val="20"/>
                <w:szCs w:val="20"/>
              </w:rPr>
            </w:pPr>
            <w:r w:rsidRPr="005762E6">
              <w:rPr>
                <w:sz w:val="20"/>
                <w:szCs w:val="20"/>
              </w:rPr>
              <w:t xml:space="preserve">Norval J 3rd </w:t>
            </w:r>
            <w:proofErr w:type="gramStart"/>
            <w:r w:rsidRPr="005762E6">
              <w:rPr>
                <w:sz w:val="20"/>
                <w:szCs w:val="20"/>
              </w:rPr>
              <w:t>Hickman,​</w:t>
            </w:r>
            <w:proofErr w:type="gramEnd"/>
            <w:r w:rsidRPr="005762E6">
              <w:rPr>
                <w:sz w:val="20"/>
                <w:szCs w:val="20"/>
              </w:rPr>
              <w:t xml:space="preserve"> Kevin L Delucchi,​ Judith J Prochaska Menthol use among smokers with psychological distress: findings from the 2008 and 2009 National Survey on Drug Use and Health</w:t>
            </w:r>
            <w:r w:rsidR="007F2F01">
              <w:rPr>
                <w:sz w:val="20"/>
                <w:szCs w:val="20"/>
              </w:rPr>
              <w:t>.</w:t>
            </w:r>
            <w:r w:rsidRPr="005762E6">
              <w:rPr>
                <w:sz w:val="20"/>
                <w:szCs w:val="20"/>
              </w:rPr>
              <w:t xml:space="preserve"> Tobacco control; </w:t>
            </w:r>
            <w:proofErr w:type="gramStart"/>
            <w:r w:rsidRPr="005762E6">
              <w:rPr>
                <w:sz w:val="20"/>
                <w:szCs w:val="20"/>
              </w:rPr>
              <w:t>2014;23:7</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Adolescent,​Adult,​Data Collection,​Ethnic Groups,​Female,​Humans,​Insurance,​ Health,​Male,​*Menthol,​Odds Ratio,​*Severity of Illness Index,​Sex Factors,​*Smoking/px [Psychology],​Smoking Cessation,​Socioeconomic Factors,​*Stress,​ Psychological,​Tobacco Use Disorder,​United States,​Young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OBJECTIVE: The Food and Drug Administration is considering regulation of menthol cigarettes. While persons with mental distress are known to smoke cigarettes at high </w:t>
            </w:r>
            <w:proofErr w:type="gramStart"/>
            <w:r w:rsidRPr="005762E6">
              <w:rPr>
                <w:sz w:val="20"/>
                <w:szCs w:val="20"/>
              </w:rPr>
              <w:t>rates,​</w:t>
            </w:r>
            <w:proofErr w:type="gramEnd"/>
            <w:r w:rsidRPr="005762E6">
              <w:rPr>
                <w:sz w:val="20"/>
                <w:szCs w:val="20"/>
              </w:rPr>
              <w:t xml:space="preserve"> little is known about their use of menthol. The authors examined the association of psychological distress and menthol use in a national sample of adult smokers</w:t>
            </w:r>
            <w:proofErr w:type="gramStart"/>
            <w:r w:rsidRPr="005762E6">
              <w:rPr>
                <w:sz w:val="20"/>
                <w:szCs w:val="20"/>
              </w:rPr>
              <w:t>.,​</w:t>
            </w:r>
            <w:proofErr w:type="gramEnd"/>
            <w:r w:rsidRPr="005762E6">
              <w:rPr>
                <w:sz w:val="20"/>
                <w:szCs w:val="20"/>
              </w:rPr>
              <w:t xml:space="preserve"> METHODS: Data were from the 2008 and 2009 National Survey on Drug Use and Health. Past month smokers (N=</w:t>
            </w:r>
            <w:proofErr w:type="gramStart"/>
            <w:r w:rsidRPr="005762E6">
              <w:rPr>
                <w:sz w:val="20"/>
                <w:szCs w:val="20"/>
              </w:rPr>
              <w:t>24,​</w:t>
            </w:r>
            <w:proofErr w:type="gramEnd"/>
            <w:r w:rsidRPr="005762E6">
              <w:rPr>
                <w:sz w:val="20"/>
                <w:szCs w:val="20"/>
              </w:rPr>
              <w:t>157) were categorised for menthol or non-menthol use. Psychological distress was categorised as none/</w:t>
            </w:r>
            <w:proofErr w:type="gramStart"/>
            <w:r w:rsidRPr="005762E6">
              <w:rPr>
                <w:sz w:val="20"/>
                <w:szCs w:val="20"/>
              </w:rPr>
              <w:t>mild,​</w:t>
            </w:r>
            <w:proofErr w:type="gramEnd"/>
            <w:r w:rsidRPr="005762E6">
              <w:rPr>
                <w:sz w:val="20"/>
                <w:szCs w:val="20"/>
              </w:rPr>
              <w:t xml:space="preserve"> moderate or severe on the Kessler six-item scale.,​ RESULTS: The prevalence of menthol use was higher among individuals with severe psychological distress,​ women,​ young adults,​ African-Americans,​ Native Hawaiians/Pacific Islanders,​ persons with fewer years of education and lower income,​ and the unmarried and uninsured. In a multivariate model controlling for socio-demographic factors,​ smoking intensity and time to first cigarette,​ smokers with severe (adjusted OR (AOR) 1.23,​ 95% CI 1.04 to 1.46,​ p=0.02) but not moderate (AOR 1.03,​ 95% CI 0.92 to 1.15,​ p=0.58) psychological distress were </w:t>
            </w:r>
            <w:r w:rsidRPr="005762E6">
              <w:rPr>
                <w:sz w:val="20"/>
                <w:szCs w:val="20"/>
              </w:rPr>
              <w:lastRenderedPageBreak/>
              <w:t>significantly more likely to smoke menthols compared with smokers with none/mild distress.,​ CONCLUSION: An elevated prevalence of menthol use was found among persons with severe psychological distress,​ suggesting another group that could potentially benefit from the regulation of menthol cigarettes.</w:t>
            </w:r>
          </w:p>
        </w:tc>
      </w:tr>
      <w:tr w:rsidR="00B44564" w:rsidRPr="005762E6" w14:paraId="2335FB4E"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CF959DC" w14:textId="77777777" w:rsidR="00B44564" w:rsidRPr="005762E6" w:rsidRDefault="00B44564" w:rsidP="00EA69AA">
            <w:pPr>
              <w:spacing w:after="120" w:line="240" w:lineRule="auto"/>
              <w:contextualSpacing/>
              <w:rPr>
                <w:sz w:val="20"/>
                <w:szCs w:val="20"/>
              </w:rPr>
            </w:pPr>
            <w:r w:rsidRPr="005762E6">
              <w:rPr>
                <w:sz w:val="20"/>
                <w:szCs w:val="20"/>
              </w:rPr>
              <w:lastRenderedPageBreak/>
              <w:t>520</w:t>
            </w:r>
          </w:p>
        </w:tc>
        <w:tc>
          <w:tcPr>
            <w:tcW w:w="0" w:type="auto"/>
            <w:tcBorders>
              <w:top w:val="single" w:sz="6" w:space="0" w:color="auto"/>
              <w:left w:val="single" w:sz="6" w:space="0" w:color="auto"/>
              <w:bottom w:val="single" w:sz="6" w:space="0" w:color="auto"/>
              <w:right w:val="single" w:sz="6" w:space="0" w:color="auto"/>
            </w:tcBorders>
          </w:tcPr>
          <w:p w14:paraId="74F90710"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090EF38" w14:textId="147F0388" w:rsidR="00B44564" w:rsidRPr="005762E6" w:rsidRDefault="00B44564" w:rsidP="00EA69AA">
            <w:pPr>
              <w:spacing w:after="120" w:line="240" w:lineRule="auto"/>
              <w:contextualSpacing/>
              <w:rPr>
                <w:sz w:val="20"/>
                <w:szCs w:val="20"/>
              </w:rPr>
            </w:pPr>
            <w:r w:rsidRPr="005762E6">
              <w:rPr>
                <w:sz w:val="20"/>
                <w:szCs w:val="20"/>
              </w:rPr>
              <w:t xml:space="preserve">Theresa M </w:t>
            </w:r>
            <w:proofErr w:type="gramStart"/>
            <w:r w:rsidRPr="005762E6">
              <w:rPr>
                <w:sz w:val="20"/>
                <w:szCs w:val="20"/>
              </w:rPr>
              <w:t>Winhusen,​</w:t>
            </w:r>
            <w:proofErr w:type="gramEnd"/>
            <w:r w:rsidRPr="005762E6">
              <w:rPr>
                <w:sz w:val="20"/>
                <w:szCs w:val="20"/>
              </w:rPr>
              <w:t xml:space="preserve"> Bryon Adinoff,​ Daniel F Lewis,​ Gregory S Brigham,​ John G 2nd Gardin,​ Susan C Sonne,​ Jeff Theobald,​ Udi Ghitza A tale of two stimulants: mentholated cigarettes may play a role in cocaine,​ but not methamphetamine,​ dependence</w:t>
            </w:r>
            <w:r w:rsidR="007F2F01">
              <w:rPr>
                <w:sz w:val="20"/>
                <w:szCs w:val="20"/>
              </w:rPr>
              <w:t>.</w:t>
            </w:r>
            <w:r w:rsidRPr="005762E6">
              <w:rPr>
                <w:sz w:val="20"/>
                <w:szCs w:val="20"/>
              </w:rPr>
              <w:t xml:space="preserve"> Drug and alcohol dependence; 2013;133:845.</w:t>
            </w:r>
            <w:r w:rsidRPr="005762E6">
              <w:rPr>
                <w:sz w:val="20"/>
                <w:szCs w:val="20"/>
              </w:rPr>
              <w:br/>
            </w:r>
            <w:r w:rsidRPr="005762E6">
              <w:rPr>
                <w:sz w:val="20"/>
                <w:szCs w:val="20"/>
              </w:rPr>
              <w:br/>
            </w:r>
            <w:r w:rsidRPr="005762E6">
              <w:rPr>
                <w:b/>
                <w:bCs/>
                <w:sz w:val="20"/>
                <w:szCs w:val="20"/>
              </w:rPr>
              <w:t>Keywords:</w:t>
            </w:r>
            <w:r w:rsidRPr="005762E6">
              <w:rPr>
                <w:sz w:val="20"/>
                <w:szCs w:val="20"/>
              </w:rPr>
              <w:br/>
              <w:t>Adult,​*Amphetamine-Related Disorders/co [Complications],​*Amphetamine-Related Disorders/ep [Epidemiology],​Amphetamine-Related Disorders/px [Psychology],​Amphetamine-Related Disorders/th [Therapy],​Behavior,​ Addictive/ep [Epidemiology],​Behavior,​ Addictive/px [Psychology],​Behavior,​ Addictive/th [Therapy],​*Cocaine-Related Disorders/co [Complications],​*Cocaine-Related Disorders/ep [Epidemiology],​Cocaine-Related Disorders/px [Psychology],​Cocaine-Related Disorders/th [Therapy],​European Continental Ancestry Group/px [Psychology],​Female,​Humans,​Male,​*Menthol/ad [Administration &amp; Dosage],​*Menthol/ae [Adverse Effects],​Prevalence,​Self-Administration,​Self-Report,​*Smoking/ep [Epidemiology],​Smoking/px [Psychology],​Smoking Cessation/px [Psychology],​Smoking Cessation/sn [Statistics &amp; Numerical Data],​Tobacco Products/ae [Adverse Effects],​*Tobacco Products,​Treatment Outcome,​Young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BACKGROUND: Research suggests that mentholated cigarettes may play a role in cocaine dependence. The purpose of the present study was to expand upon the research on mentholated cigarettes and cocaine dependence and to evaluate the role of mentholated cigarettes in methamphetamine dependence</w:t>
            </w:r>
            <w:proofErr w:type="gramStart"/>
            <w:r w:rsidRPr="005762E6">
              <w:rPr>
                <w:sz w:val="20"/>
                <w:szCs w:val="20"/>
              </w:rPr>
              <w:t>.,​</w:t>
            </w:r>
            <w:proofErr w:type="gramEnd"/>
            <w:r w:rsidRPr="005762E6">
              <w:rPr>
                <w:sz w:val="20"/>
                <w:szCs w:val="20"/>
              </w:rPr>
              <w:t xml:space="preserve"> METHODS: Secondary analysis of a multisite,​ randomized trial evaluating the impact of smoking-cessation treatment in stimulant-dependent outpatients (N=538). Participants' reasons for concurrent use of cigarettes and illicit stimulants were assessed via self-report. Stimulant-abstinence was measured by self-report and urine drug screens. Smoking cessation was assessed via self-report and carbon monoxide levels</w:t>
            </w:r>
            <w:proofErr w:type="gramStart"/>
            <w:r w:rsidRPr="005762E6">
              <w:rPr>
                <w:sz w:val="20"/>
                <w:szCs w:val="20"/>
              </w:rPr>
              <w:t>.,​</w:t>
            </w:r>
            <w:proofErr w:type="gramEnd"/>
            <w:r w:rsidRPr="005762E6">
              <w:rPr>
                <w:sz w:val="20"/>
                <w:szCs w:val="20"/>
              </w:rPr>
              <w:t xml:space="preserve"> RESULTS: Of the 301 cocaine-dependent participants,​ 201 (67%) were menthol and 100 (33%) were non-menthol cigarette smokers. Cocaine-dependent participants who smoked menthol,​ compared to non-menthol,​ cigarettes were significantly more likely to report that cigarettes prolong their cocaine high (X(2)(1)=16.3,​ p&lt;.0001,​ OR=3.58 [95% CI: 1.88-6.79]) and were less likely to be stimulant abstinent during active treatment (W=3.6,​ p&lt;0.001,​ d=.39 [95% CI: 0.16-0.62]),​ at 3-month follow-up (X(2)(1)=14.4,​ p&lt;0.001,​ OR=.32 [95% CI: 0.17-0.58]),​ and at 6-month follow-up (X(2)(1)=4.6,​ p=0.03,​ OR=.53 [95% CI: 0.29-0.95]). No parallel differences were found between menthol and non-menthol methamphetamine-dependent smokers. The prevalence of Caucasian menthol smokers was significantly greater in the cocaine-dependent participants (37.2%) than in the methamphetamine-dependent participants (17.61%</w:t>
            </w:r>
            <w:proofErr w:type="gramStart"/>
            <w:r w:rsidRPr="005762E6">
              <w:rPr>
                <w:sz w:val="20"/>
                <w:szCs w:val="20"/>
              </w:rPr>
              <w:t>),​</w:t>
            </w:r>
            <w:proofErr w:type="gramEnd"/>
            <w:r w:rsidRPr="005762E6">
              <w:rPr>
                <w:sz w:val="20"/>
                <w:szCs w:val="20"/>
              </w:rPr>
              <w:t xml:space="preserve"> (X(2)(1)=14.4,​ p&lt;.001,​ OR=2.77 [95% CI:1.62-4.73]). Smoking cessation was not significantly associated with cigarette type for either cocaine- or methamphetamine-dependent participants</w:t>
            </w:r>
            <w:proofErr w:type="gramStart"/>
            <w:r w:rsidRPr="005762E6">
              <w:rPr>
                <w:sz w:val="20"/>
                <w:szCs w:val="20"/>
              </w:rPr>
              <w:t>.,​</w:t>
            </w:r>
            <w:proofErr w:type="gramEnd"/>
            <w:r w:rsidRPr="005762E6">
              <w:rPr>
                <w:sz w:val="20"/>
                <w:szCs w:val="20"/>
              </w:rPr>
              <w:t xml:space="preserve"> CONCLUSIONS: The present results suggest that mentholated cigarettes play a role in cocaine,​ but not methamphetamine,​ dependence. Copyright © 2013 Elsevier Ireland Ltd. All rights reserved.</w:t>
            </w:r>
          </w:p>
        </w:tc>
      </w:tr>
      <w:tr w:rsidR="00B44564" w:rsidRPr="005762E6" w14:paraId="364C9753"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8F6AF82" w14:textId="77777777" w:rsidR="00B44564" w:rsidRPr="005762E6" w:rsidRDefault="00B44564" w:rsidP="00EA69AA">
            <w:pPr>
              <w:spacing w:after="120" w:line="240" w:lineRule="auto"/>
              <w:contextualSpacing/>
              <w:rPr>
                <w:sz w:val="20"/>
                <w:szCs w:val="20"/>
              </w:rPr>
            </w:pPr>
            <w:r w:rsidRPr="005762E6">
              <w:rPr>
                <w:sz w:val="20"/>
                <w:szCs w:val="20"/>
              </w:rPr>
              <w:t>524</w:t>
            </w:r>
          </w:p>
        </w:tc>
        <w:tc>
          <w:tcPr>
            <w:tcW w:w="0" w:type="auto"/>
            <w:tcBorders>
              <w:top w:val="single" w:sz="6" w:space="0" w:color="auto"/>
              <w:left w:val="single" w:sz="6" w:space="0" w:color="auto"/>
              <w:bottom w:val="single" w:sz="6" w:space="0" w:color="auto"/>
              <w:right w:val="single" w:sz="6" w:space="0" w:color="auto"/>
            </w:tcBorders>
          </w:tcPr>
          <w:p w14:paraId="5AB7F5B4"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E59CE4F" w14:textId="67B74009" w:rsidR="00B44564" w:rsidRPr="005762E6" w:rsidRDefault="00B44564" w:rsidP="00EA69AA">
            <w:pPr>
              <w:spacing w:after="120" w:line="240" w:lineRule="auto"/>
              <w:contextualSpacing/>
              <w:rPr>
                <w:sz w:val="20"/>
                <w:szCs w:val="20"/>
              </w:rPr>
            </w:pPr>
            <w:r w:rsidRPr="005762E6">
              <w:rPr>
                <w:sz w:val="20"/>
                <w:szCs w:val="20"/>
              </w:rPr>
              <w:t xml:space="preserve">Lorraine R </w:t>
            </w:r>
            <w:proofErr w:type="gramStart"/>
            <w:r w:rsidRPr="005762E6">
              <w:rPr>
                <w:sz w:val="20"/>
                <w:szCs w:val="20"/>
              </w:rPr>
              <w:t>Reitzel,​</w:t>
            </w:r>
            <w:proofErr w:type="gramEnd"/>
            <w:r w:rsidRPr="005762E6">
              <w:rPr>
                <w:sz w:val="20"/>
                <w:szCs w:val="20"/>
              </w:rPr>
              <w:t xml:space="preserve"> Carol J Etzel,​ Yumei Cao,​ Kolawole S Okuyemi,​ Jasjit S Ahluwalia Associations of menthol use with motivation and confidence to quit smoking</w:t>
            </w:r>
            <w:r w:rsidR="007F2F01">
              <w:rPr>
                <w:sz w:val="20"/>
                <w:szCs w:val="20"/>
              </w:rPr>
              <w:t>.</w:t>
            </w:r>
            <w:r w:rsidRPr="005762E6">
              <w:rPr>
                <w:sz w:val="20"/>
                <w:szCs w:val="20"/>
              </w:rPr>
              <w:t xml:space="preserve"> American journal of health behavior; 2013;37:629.</w:t>
            </w:r>
            <w:r w:rsidRPr="005762E6">
              <w:rPr>
                <w:sz w:val="20"/>
                <w:szCs w:val="20"/>
              </w:rPr>
              <w:br/>
            </w:r>
            <w:r w:rsidRPr="005762E6">
              <w:rPr>
                <w:sz w:val="20"/>
                <w:szCs w:val="20"/>
              </w:rPr>
              <w:br/>
            </w:r>
            <w:r w:rsidRPr="005762E6">
              <w:rPr>
                <w:b/>
                <w:bCs/>
                <w:sz w:val="20"/>
                <w:szCs w:val="20"/>
              </w:rPr>
              <w:t>Keywords:</w:t>
            </w:r>
            <w:r w:rsidRPr="005762E6">
              <w:rPr>
                <w:sz w:val="20"/>
                <w:szCs w:val="20"/>
              </w:rPr>
              <w:br/>
              <w:t>African Americans/px [Psychology],​European Continental Ancestry Group/px [Psychology],​Female,​Humans,​Male,​*Menthol/ad [Administration &amp; Dosage],​Middle Aged,​*Motivation,​Self-Administration,​*</w:t>
            </w:r>
            <w:proofErr w:type="spellStart"/>
            <w:r w:rsidRPr="005762E6">
              <w:rPr>
                <w:sz w:val="20"/>
                <w:szCs w:val="20"/>
              </w:rPr>
              <w:t>Self Efficacy</w:t>
            </w:r>
            <w:proofErr w:type="spellEnd"/>
            <w:r w:rsidRPr="005762E6">
              <w:rPr>
                <w:sz w:val="20"/>
                <w:szCs w:val="20"/>
              </w:rPr>
              <w:t>,​*Smoking Cessation/px [Psychology]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OBJECTIVES: To examine associations of menthol cigarette use with motivation and confidence to quit smoking,​ and potential moderation by race,​ among adult current smokers (N = 1067; 85% White,​ 15% Black).,​ METHODS: Regression analyses,​ adjusted for sociodemographics and tobacco dependence,​ examined associations of menthol use with motivation and confidence to quit smoking with and without an interaction term for race.,​ RESULTS: Main effects were not significant; however,​ there was a significant interaction for confidence to quit smoking (p = .02). Stratified analyses indicated that Black menthol users were more </w:t>
            </w:r>
            <w:r w:rsidRPr="005762E6">
              <w:rPr>
                <w:sz w:val="20"/>
                <w:szCs w:val="20"/>
              </w:rPr>
              <w:lastRenderedPageBreak/>
              <w:t>confident about quitting than Black non-menthol users (p = .01)</w:t>
            </w:r>
            <w:proofErr w:type="gramStart"/>
            <w:r w:rsidRPr="005762E6">
              <w:rPr>
                <w:sz w:val="20"/>
                <w:szCs w:val="20"/>
              </w:rPr>
              <w:t>.,​</w:t>
            </w:r>
            <w:proofErr w:type="gramEnd"/>
            <w:r w:rsidRPr="005762E6">
              <w:rPr>
                <w:sz w:val="20"/>
                <w:szCs w:val="20"/>
              </w:rPr>
              <w:t xml:space="preserve"> CONCLUSIONS: Given their relatively lower quit rates as cited in previous literature,​ Black menthol users appear overly confident about their ability to quit smoking.</w:t>
            </w:r>
          </w:p>
        </w:tc>
      </w:tr>
      <w:tr w:rsidR="00B44564" w:rsidRPr="005762E6" w14:paraId="11EC1E05"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35610D6" w14:textId="77777777" w:rsidR="00B44564" w:rsidRPr="005762E6" w:rsidRDefault="00B44564" w:rsidP="00EA69AA">
            <w:pPr>
              <w:spacing w:after="120" w:line="240" w:lineRule="auto"/>
              <w:contextualSpacing/>
              <w:rPr>
                <w:sz w:val="20"/>
                <w:szCs w:val="20"/>
              </w:rPr>
            </w:pPr>
            <w:r w:rsidRPr="005762E6">
              <w:rPr>
                <w:sz w:val="20"/>
                <w:szCs w:val="20"/>
              </w:rPr>
              <w:lastRenderedPageBreak/>
              <w:t>525</w:t>
            </w:r>
          </w:p>
        </w:tc>
        <w:tc>
          <w:tcPr>
            <w:tcW w:w="0" w:type="auto"/>
            <w:tcBorders>
              <w:top w:val="single" w:sz="6" w:space="0" w:color="auto"/>
              <w:left w:val="single" w:sz="6" w:space="0" w:color="auto"/>
              <w:bottom w:val="single" w:sz="6" w:space="0" w:color="auto"/>
              <w:right w:val="single" w:sz="6" w:space="0" w:color="auto"/>
            </w:tcBorders>
          </w:tcPr>
          <w:p w14:paraId="07D0B8BD"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D4BD9B6" w14:textId="7C208BFB" w:rsidR="00B44564" w:rsidRPr="005762E6" w:rsidRDefault="00B44564" w:rsidP="00EA69AA">
            <w:pPr>
              <w:spacing w:after="120" w:line="240" w:lineRule="auto"/>
              <w:contextualSpacing/>
              <w:rPr>
                <w:sz w:val="20"/>
                <w:szCs w:val="20"/>
              </w:rPr>
            </w:pPr>
            <w:r w:rsidRPr="005762E6">
              <w:rPr>
                <w:sz w:val="20"/>
                <w:szCs w:val="20"/>
              </w:rPr>
              <w:t xml:space="preserve">Kymberle </w:t>
            </w:r>
            <w:proofErr w:type="gramStart"/>
            <w:r w:rsidRPr="005762E6">
              <w:rPr>
                <w:sz w:val="20"/>
                <w:szCs w:val="20"/>
              </w:rPr>
              <w:t>Sterling,​</w:t>
            </w:r>
            <w:proofErr w:type="gramEnd"/>
            <w:r w:rsidRPr="005762E6">
              <w:rPr>
                <w:sz w:val="20"/>
                <w:szCs w:val="20"/>
              </w:rPr>
              <w:t xml:space="preserve"> Carla J Berg,​ Akilah N Thomas,​ Stanton A Glantz,​ Jasjit S Ahluwalia Factors associated with small cigar use among college students</w:t>
            </w:r>
            <w:r w:rsidR="007F2F01">
              <w:rPr>
                <w:sz w:val="20"/>
                <w:szCs w:val="20"/>
              </w:rPr>
              <w:t>.</w:t>
            </w:r>
            <w:r w:rsidRPr="005762E6">
              <w:rPr>
                <w:sz w:val="20"/>
                <w:szCs w:val="20"/>
              </w:rPr>
              <w:t xml:space="preserve"> American journal of health behavior; 2013;37:325.</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Adolescent,​Adult,​Demography,​Female,​*Health Knowledge,​ Attitudes,​ Practice,​Health Surveys,​Humans,​Male,​*Smoking/px [Psychology],​*Students/px [Psychology],​*Universities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OBJECTIVE: To assess small cigar use among college students in the southeastern United States.,​ METHODS: Data from a 2010 online survey were analyzed to examine small cigar smoking and its sociodemographic and psychosocial correlates among 4388 college students,​ aged 18-30.,​ RESULTS: Small cigar users were more likely to be younger,​ male,​ black,​ and current cigarette,​ cigar,​ hookah,​ or marijuana smokers (p's &lt; .05). They reported lower perceived harm of smoking and greater sensation seeking and perceived stress. Menthol cigarette smokers were more likely to smoke small cigars</w:t>
            </w:r>
            <w:proofErr w:type="gramStart"/>
            <w:r w:rsidRPr="005762E6">
              <w:rPr>
                <w:sz w:val="20"/>
                <w:szCs w:val="20"/>
              </w:rPr>
              <w:t>.,​</w:t>
            </w:r>
            <w:proofErr w:type="gramEnd"/>
            <w:r w:rsidRPr="005762E6">
              <w:rPr>
                <w:sz w:val="20"/>
                <w:szCs w:val="20"/>
              </w:rPr>
              <w:t xml:space="preserve"> CONCLUSIONS: Small cigar use and the co-occurrence of other tobacco and substance use should be addressed among college students.</w:t>
            </w:r>
          </w:p>
        </w:tc>
      </w:tr>
      <w:tr w:rsidR="00B44564" w:rsidRPr="005762E6" w14:paraId="763F3420"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A4865E2" w14:textId="77777777" w:rsidR="00B44564" w:rsidRPr="005762E6" w:rsidRDefault="00B44564" w:rsidP="00EA69AA">
            <w:pPr>
              <w:spacing w:after="120" w:line="240" w:lineRule="auto"/>
              <w:contextualSpacing/>
              <w:rPr>
                <w:sz w:val="20"/>
                <w:szCs w:val="20"/>
              </w:rPr>
            </w:pPr>
            <w:r w:rsidRPr="005762E6">
              <w:rPr>
                <w:sz w:val="20"/>
                <w:szCs w:val="20"/>
              </w:rPr>
              <w:t>526</w:t>
            </w:r>
          </w:p>
        </w:tc>
        <w:tc>
          <w:tcPr>
            <w:tcW w:w="0" w:type="auto"/>
            <w:tcBorders>
              <w:top w:val="single" w:sz="6" w:space="0" w:color="auto"/>
              <w:left w:val="single" w:sz="6" w:space="0" w:color="auto"/>
              <w:bottom w:val="single" w:sz="6" w:space="0" w:color="auto"/>
              <w:right w:val="single" w:sz="6" w:space="0" w:color="auto"/>
            </w:tcBorders>
          </w:tcPr>
          <w:p w14:paraId="36794E3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6B98564" w14:textId="07A71FE9" w:rsidR="00B44564" w:rsidRPr="005762E6" w:rsidRDefault="00B44564" w:rsidP="00EA69AA">
            <w:pPr>
              <w:spacing w:after="120" w:line="240" w:lineRule="auto"/>
              <w:contextualSpacing/>
              <w:rPr>
                <w:sz w:val="20"/>
                <w:szCs w:val="20"/>
              </w:rPr>
            </w:pPr>
            <w:r w:rsidRPr="005762E6">
              <w:rPr>
                <w:sz w:val="20"/>
                <w:szCs w:val="20"/>
              </w:rPr>
              <w:t>Mike Mitka FDA might consider restrictions on menthol cigarettes</w:t>
            </w:r>
            <w:r w:rsidR="007F2F01">
              <w:rPr>
                <w:sz w:val="20"/>
                <w:szCs w:val="20"/>
              </w:rPr>
              <w:t>.</w:t>
            </w:r>
            <w:r w:rsidRPr="005762E6">
              <w:rPr>
                <w:sz w:val="20"/>
                <w:szCs w:val="20"/>
              </w:rPr>
              <w:t xml:space="preserve"> JAMA; </w:t>
            </w:r>
            <w:proofErr w:type="gramStart"/>
            <w:r w:rsidRPr="005762E6">
              <w:rPr>
                <w:sz w:val="20"/>
                <w:szCs w:val="20"/>
              </w:rPr>
              <w:t>2013;310:784</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Adolescent,​Adult,​Biomedical Research/td [Trends],​Humans,​Legislation as Topic,​*Menthol/ae [Adverse Effects],​Public Health,​Smoking/ae [Adverse Effects],​*Tobacco Products/ae [Adverse Effects],​Tobacco Use Disorder/pc [Prevention &amp; Control],​United States,​*United States Food and Drug Administration,​Young Adult</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7E806A66"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1BFB7EB" w14:textId="77777777" w:rsidR="00B44564" w:rsidRPr="005762E6" w:rsidRDefault="00B44564" w:rsidP="00EA69AA">
            <w:pPr>
              <w:spacing w:after="120" w:line="240" w:lineRule="auto"/>
              <w:contextualSpacing/>
              <w:rPr>
                <w:sz w:val="20"/>
                <w:szCs w:val="20"/>
              </w:rPr>
            </w:pPr>
            <w:r w:rsidRPr="005762E6">
              <w:rPr>
                <w:sz w:val="20"/>
                <w:szCs w:val="20"/>
              </w:rPr>
              <w:t>529</w:t>
            </w:r>
          </w:p>
        </w:tc>
        <w:tc>
          <w:tcPr>
            <w:tcW w:w="0" w:type="auto"/>
            <w:tcBorders>
              <w:top w:val="single" w:sz="6" w:space="0" w:color="auto"/>
              <w:left w:val="single" w:sz="6" w:space="0" w:color="auto"/>
              <w:bottom w:val="single" w:sz="6" w:space="0" w:color="auto"/>
              <w:right w:val="single" w:sz="6" w:space="0" w:color="auto"/>
            </w:tcBorders>
          </w:tcPr>
          <w:p w14:paraId="62FF9BCB"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308AA78" w14:textId="317FEDB6" w:rsidR="00B44564" w:rsidRPr="005762E6" w:rsidRDefault="00B44564" w:rsidP="00EA69AA">
            <w:pPr>
              <w:spacing w:after="120" w:line="240" w:lineRule="auto"/>
              <w:contextualSpacing/>
              <w:rPr>
                <w:sz w:val="20"/>
                <w:szCs w:val="20"/>
              </w:rPr>
            </w:pPr>
            <w:r w:rsidRPr="005762E6">
              <w:rPr>
                <w:sz w:val="20"/>
                <w:szCs w:val="20"/>
              </w:rPr>
              <w:t xml:space="preserve">Grace </w:t>
            </w:r>
            <w:proofErr w:type="gramStart"/>
            <w:r w:rsidRPr="005762E6">
              <w:rPr>
                <w:sz w:val="20"/>
                <w:szCs w:val="20"/>
              </w:rPr>
              <w:t>Kong,​</w:t>
            </w:r>
            <w:proofErr w:type="gramEnd"/>
            <w:r w:rsidRPr="005762E6">
              <w:rPr>
                <w:sz w:val="20"/>
                <w:szCs w:val="20"/>
              </w:rPr>
              <w:t xml:space="preserve"> Nisha Singh,​ Deepa Camenga,​ Dana Cavallo,​ Suchitra Krishnan-Sarin Menthol cigarette and marijuana use among adolescents</w:t>
            </w:r>
            <w:r w:rsidR="007F2F01">
              <w:rPr>
                <w:sz w:val="20"/>
                <w:szCs w:val="20"/>
              </w:rPr>
              <w:t>.</w:t>
            </w:r>
            <w:r w:rsidRPr="005762E6">
              <w:rPr>
                <w:sz w:val="20"/>
                <w:szCs w:val="20"/>
              </w:rPr>
              <w:t xml:space="preserve"> Nicotine &amp; tobacco research : official journal of the Society for Research on Nicotine and Tobacco; 2013;15:2094.</w:t>
            </w:r>
            <w:r w:rsidRPr="005762E6">
              <w:rPr>
                <w:sz w:val="20"/>
                <w:szCs w:val="20"/>
              </w:rPr>
              <w:br/>
            </w:r>
            <w:r w:rsidRPr="005762E6">
              <w:rPr>
                <w:sz w:val="20"/>
                <w:szCs w:val="20"/>
              </w:rPr>
              <w:br/>
            </w:r>
            <w:r w:rsidRPr="005762E6">
              <w:rPr>
                <w:b/>
                <w:bCs/>
                <w:sz w:val="20"/>
                <w:szCs w:val="20"/>
              </w:rPr>
              <w:t>Keywords:</w:t>
            </w:r>
            <w:r w:rsidRPr="005762E6">
              <w:rPr>
                <w:sz w:val="20"/>
                <w:szCs w:val="20"/>
              </w:rPr>
              <w:br/>
              <w:t>Adolescent,​Cannabis,​Connecticut/ep [Epidemiology],​Demography,​Female,​Humans,​Logistic Models,​Male,​*Marijuana Smoking/ep [Epidemiology],​Menthol,​Multivariate Analysis,​Odds Ratio,​*Smoking/ep [Epidemiology],​*Smoking Cessation/sn [Statistics &amp; Numerical Data],​Students/sn [Statistics &amp; Numerical Data],​Surveys and Questionnaires,​*Tobacco Products/sn [Statistics &amp; Numerical Data],​*Tobacco Use Disorder/ep [Epidemiology]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Menthol cigarette and marijuana use among adolescents is high; however,​ little is known about dual use in this age. Thus,​ we examined these rates among 2 samples of adolescents in Connecticut.,​ METHODS: Study 1 examined a school-wide survey assessing variables related to cigarettes and marijuana among high school students (N = 837 [13% smokers]),​ and Study 2 examined these factors using baseline data of high school-aged,​ treatment-seeking,​ daily cigarette smokers prior to quitting (N = 132).,​ RESULTS: In Study 1,​ lifetime marijuana use among all adolescents was 33% and past 30-day marijuana use was 21%. Among cigarette </w:t>
            </w:r>
            <w:proofErr w:type="gramStart"/>
            <w:r w:rsidRPr="005762E6">
              <w:rPr>
                <w:sz w:val="20"/>
                <w:szCs w:val="20"/>
              </w:rPr>
              <w:t>smokers,​</w:t>
            </w:r>
            <w:proofErr w:type="gramEnd"/>
            <w:r w:rsidRPr="005762E6">
              <w:rPr>
                <w:sz w:val="20"/>
                <w:szCs w:val="20"/>
              </w:rPr>
              <w:t xml:space="preserve"> 55% reported smoking menthol cigarettes,​ 84% reported lifetime marijuana use,​ and 66% reported past 30-day marijuana use. Multivariate-adjusted logistic regression models indicated that cigarette </w:t>
            </w:r>
            <w:proofErr w:type="gramStart"/>
            <w:r w:rsidRPr="005762E6">
              <w:rPr>
                <w:sz w:val="20"/>
                <w:szCs w:val="20"/>
              </w:rPr>
              <w:t>smokers,​</w:t>
            </w:r>
            <w:proofErr w:type="gramEnd"/>
            <w:r w:rsidRPr="005762E6">
              <w:rPr>
                <w:sz w:val="20"/>
                <w:szCs w:val="20"/>
              </w:rPr>
              <w:t xml:space="preserve"> when compared with nonsmokers,​ had greater rates of lifetime (odds ratio [OR] = 10.91) and past 30-day marijuana use (OR = 10.44). Among </w:t>
            </w:r>
            <w:proofErr w:type="gramStart"/>
            <w:r w:rsidRPr="005762E6">
              <w:rPr>
                <w:sz w:val="20"/>
                <w:szCs w:val="20"/>
              </w:rPr>
              <w:t>smokers,​</w:t>
            </w:r>
            <w:proofErr w:type="gramEnd"/>
            <w:r w:rsidRPr="005762E6">
              <w:rPr>
                <w:sz w:val="20"/>
                <w:szCs w:val="20"/>
              </w:rPr>
              <w:t xml:space="preserve"> use of menthol cigarettes,​ when compared with use of nonmenthol cigarettes,​ was associated with greater lifetime (OR = 5.05) but not past 30-day marijuana use. In Study 2 with daily </w:t>
            </w:r>
            <w:proofErr w:type="gramStart"/>
            <w:r w:rsidRPr="005762E6">
              <w:rPr>
                <w:sz w:val="20"/>
                <w:szCs w:val="20"/>
              </w:rPr>
              <w:t>smokers,​</w:t>
            </w:r>
            <w:proofErr w:type="gramEnd"/>
            <w:r w:rsidRPr="005762E6">
              <w:rPr>
                <w:sz w:val="20"/>
                <w:szCs w:val="20"/>
              </w:rPr>
              <w:t xml:space="preserve"> 59% of adolescents reported use of menthol cigarettes and 66% reported past 30-day marijuana use. Compared with nonmenthol cigarette </w:t>
            </w:r>
            <w:proofErr w:type="gramStart"/>
            <w:r w:rsidRPr="005762E6">
              <w:rPr>
                <w:sz w:val="20"/>
                <w:szCs w:val="20"/>
              </w:rPr>
              <w:t>smokers,​</w:t>
            </w:r>
            <w:proofErr w:type="gramEnd"/>
            <w:r w:rsidRPr="005762E6">
              <w:rPr>
                <w:sz w:val="20"/>
                <w:szCs w:val="20"/>
              </w:rPr>
              <w:t xml:space="preserve"> menthol cigarette smokers were more likely to report past 30-day marijuana use (OR = 2.44).,​ CONCLUSIONS: Cigarette smoking is associated with marijuana use,​ and among smokers,​ menthol cigarette smoking further increased </w:t>
            </w:r>
            <w:r w:rsidRPr="005762E6">
              <w:rPr>
                <w:sz w:val="20"/>
                <w:szCs w:val="20"/>
              </w:rPr>
              <w:lastRenderedPageBreak/>
              <w:t>the odds of marijuana use. More research on the dual use of marijuana and tobacco is needed to inform prevention and treatment of substance use.</w:t>
            </w:r>
          </w:p>
        </w:tc>
      </w:tr>
      <w:tr w:rsidR="00B44564" w:rsidRPr="005762E6" w14:paraId="6074F8FC"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F7EBCBA" w14:textId="77777777" w:rsidR="00B44564" w:rsidRPr="005762E6" w:rsidRDefault="00B44564" w:rsidP="00EA69AA">
            <w:pPr>
              <w:spacing w:after="120" w:line="240" w:lineRule="auto"/>
              <w:contextualSpacing/>
              <w:rPr>
                <w:sz w:val="20"/>
                <w:szCs w:val="20"/>
              </w:rPr>
            </w:pPr>
            <w:r w:rsidRPr="005762E6">
              <w:rPr>
                <w:sz w:val="20"/>
                <w:szCs w:val="20"/>
              </w:rPr>
              <w:lastRenderedPageBreak/>
              <w:t>531</w:t>
            </w:r>
          </w:p>
        </w:tc>
        <w:tc>
          <w:tcPr>
            <w:tcW w:w="0" w:type="auto"/>
            <w:tcBorders>
              <w:top w:val="single" w:sz="6" w:space="0" w:color="auto"/>
              <w:left w:val="single" w:sz="6" w:space="0" w:color="auto"/>
              <w:bottom w:val="single" w:sz="6" w:space="0" w:color="auto"/>
              <w:right w:val="single" w:sz="6" w:space="0" w:color="auto"/>
            </w:tcBorders>
          </w:tcPr>
          <w:p w14:paraId="5C1AE4BD"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EC61735" w14:textId="13CF1E36" w:rsidR="00B44564" w:rsidRPr="005762E6" w:rsidRDefault="00B44564" w:rsidP="00EA69AA">
            <w:pPr>
              <w:spacing w:after="120" w:line="240" w:lineRule="auto"/>
              <w:contextualSpacing/>
              <w:rPr>
                <w:sz w:val="20"/>
                <w:szCs w:val="20"/>
              </w:rPr>
            </w:pPr>
            <w:r w:rsidRPr="005762E6">
              <w:rPr>
                <w:sz w:val="20"/>
                <w:szCs w:val="20"/>
              </w:rPr>
              <w:t xml:space="preserve">Andrea C </w:t>
            </w:r>
            <w:proofErr w:type="gramStart"/>
            <w:r w:rsidRPr="005762E6">
              <w:rPr>
                <w:sz w:val="20"/>
                <w:szCs w:val="20"/>
              </w:rPr>
              <w:t>Villanti,​</w:t>
            </w:r>
            <w:proofErr w:type="gramEnd"/>
            <w:r w:rsidRPr="005762E6">
              <w:rPr>
                <w:sz w:val="20"/>
                <w:szCs w:val="20"/>
              </w:rPr>
              <w:t xml:space="preserve"> Amanda Richardson,​ Donna M Vallone,​ Jessica M Rath Flavored tobacco product use among U.S. young adults</w:t>
            </w:r>
            <w:r w:rsidR="007F2F01">
              <w:rPr>
                <w:sz w:val="20"/>
                <w:szCs w:val="20"/>
              </w:rPr>
              <w:t>.</w:t>
            </w:r>
            <w:r w:rsidRPr="005762E6">
              <w:rPr>
                <w:sz w:val="20"/>
                <w:szCs w:val="20"/>
              </w:rPr>
              <w:t xml:space="preserve"> American journal of preventive medicine; 2013;44:388.</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Adolescent,​Adult,​Age Factors,​Cross-Sectional Studies,​Data Collection,​Educational Status,​Female,​*Flavoring Agents/ch [Chemistry],​Humans,​Male,​Menthol/ad [Administration &amp; Dosage],​Multivariate Analysis,​*Tobacco Products/ut [Utilization],​*Tobacco,​ Smokeless/ut [Utilization],​United States,​Young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BACKGROUND: Passage of the U.S. Family Smoking Prevention and Tobacco Control Act in 2009 led to a ban on the sale of flavored cigarettes,​ largely because of studies showing targeting of these products to youth and young adults. There are no current restrictions on the marketing or sale of noncigarette or new nontraditional smokeless tobacco products (such as snus and dissolvable products),​ which are available in more than 45 flavors.,​ PURPOSE: To determine the prevalence of flavored tobacco use,​ dual use of flavored and menthol tobacco products,​ and sociodemographic predictors of flavored tobacco product use in young adults aged 18-34 years (N=4196).,​ METHODS: The current study utilizes data from Legacy's Young Adult Cohort Study,​ a nationally representative sample collected in January 2012. Data were analyzed using Stata IC 11.0 in June 2012</w:t>
            </w:r>
            <w:proofErr w:type="gramStart"/>
            <w:r w:rsidRPr="005762E6">
              <w:rPr>
                <w:sz w:val="20"/>
                <w:szCs w:val="20"/>
              </w:rPr>
              <w:t>.,​</w:t>
            </w:r>
            <w:proofErr w:type="gramEnd"/>
            <w:r w:rsidRPr="005762E6">
              <w:rPr>
                <w:sz w:val="20"/>
                <w:szCs w:val="20"/>
              </w:rPr>
              <w:t xml:space="preserve"> RESULTS: Overall,​ 18.5% of tobacco users report using flavored products,​ and dual use of menthol and flavored product use ranged from 1% (nicotine products) to 72% (chewing tobacco). In a multivariable model controlling for menthol </w:t>
            </w:r>
            <w:proofErr w:type="gramStart"/>
            <w:r w:rsidRPr="005762E6">
              <w:rPr>
                <w:sz w:val="20"/>
                <w:szCs w:val="20"/>
              </w:rPr>
              <w:t>use,​</w:t>
            </w:r>
            <w:proofErr w:type="gramEnd"/>
            <w:r w:rsidRPr="005762E6">
              <w:rPr>
                <w:sz w:val="20"/>
                <w:szCs w:val="20"/>
              </w:rPr>
              <w:t xml:space="preserve"> younger adults were more likely to use flavored tobacco products (OR=1.89,​ 95% CI=1.14,​ 3.11),​ and those with a high school education had decreased use of flavored products (OR=0.56; 95% CI=0.32,​ 0.97).,​ CONCLUSIONS: Differences in use may be due to the continued targeted advertising of flavored products to young adults and minorities. Those most likely to use flavored products are also those most at risk of developing established tobacco-use patterns that persist through their lifetime. Copyright © 2013 American Journal of Preventive Medicine. Published by Elsevier Inc. All rights reserved.</w:t>
            </w:r>
          </w:p>
        </w:tc>
      </w:tr>
      <w:tr w:rsidR="00B44564" w:rsidRPr="005762E6" w14:paraId="7B11B328"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280C640" w14:textId="77777777" w:rsidR="00B44564" w:rsidRPr="005762E6" w:rsidRDefault="00B44564" w:rsidP="00EA69AA">
            <w:pPr>
              <w:spacing w:after="120" w:line="240" w:lineRule="auto"/>
              <w:contextualSpacing/>
              <w:rPr>
                <w:sz w:val="20"/>
                <w:szCs w:val="20"/>
              </w:rPr>
            </w:pPr>
            <w:r w:rsidRPr="005762E6">
              <w:rPr>
                <w:sz w:val="20"/>
                <w:szCs w:val="20"/>
              </w:rPr>
              <w:t>532</w:t>
            </w:r>
          </w:p>
        </w:tc>
        <w:tc>
          <w:tcPr>
            <w:tcW w:w="0" w:type="auto"/>
            <w:tcBorders>
              <w:top w:val="single" w:sz="6" w:space="0" w:color="auto"/>
              <w:left w:val="single" w:sz="6" w:space="0" w:color="auto"/>
              <w:bottom w:val="single" w:sz="6" w:space="0" w:color="auto"/>
              <w:right w:val="single" w:sz="6" w:space="0" w:color="auto"/>
            </w:tcBorders>
          </w:tcPr>
          <w:p w14:paraId="21422B8A"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28D2003" w14:textId="0BC6AED9" w:rsidR="00B44564" w:rsidRPr="005762E6" w:rsidRDefault="00B44564" w:rsidP="00EA69AA">
            <w:pPr>
              <w:spacing w:after="120" w:line="240" w:lineRule="auto"/>
              <w:contextualSpacing/>
              <w:rPr>
                <w:sz w:val="20"/>
                <w:szCs w:val="20"/>
              </w:rPr>
            </w:pPr>
            <w:r w:rsidRPr="005762E6">
              <w:rPr>
                <w:sz w:val="20"/>
                <w:szCs w:val="20"/>
              </w:rPr>
              <w:t xml:space="preserve">Juliet P </w:t>
            </w:r>
            <w:proofErr w:type="gramStart"/>
            <w:r w:rsidRPr="005762E6">
              <w:rPr>
                <w:sz w:val="20"/>
                <w:szCs w:val="20"/>
              </w:rPr>
              <w:t>Lee,​</w:t>
            </w:r>
            <w:proofErr w:type="gramEnd"/>
            <w:r w:rsidRPr="005762E6">
              <w:rPr>
                <w:sz w:val="20"/>
                <w:szCs w:val="20"/>
              </w:rPr>
              <w:t xml:space="preserve"> Sharon Lipperman-Kreda,​ Sang Saephan,​ Sean Kirkpatrick Tobacco environment for Southeast Asian American youth: results from a participatory research project</w:t>
            </w:r>
            <w:r w:rsidR="007F2F01">
              <w:rPr>
                <w:sz w:val="20"/>
                <w:szCs w:val="20"/>
              </w:rPr>
              <w:t>.</w:t>
            </w:r>
            <w:r w:rsidRPr="005762E6">
              <w:rPr>
                <w:sz w:val="20"/>
                <w:szCs w:val="20"/>
              </w:rPr>
              <w:t xml:space="preserve"> Journal of ethnicity in substance abuse; 2013;12:30.</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Adolescent,​Adult,​Asia,​ Southeastern/eh [Ethnology],​*Asian Americans/sn [Statistics &amp; Numerical Data],​California/ep [Epidemiology],​Community-Based Participatory Research,​Female,​Humans,​Male,​Refugees,​*Smoking/ep [Epidemiology],​Smoking/eh [Ethnology],​*Social Environment,​*Tobacco Products,​Young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Despite reports of high rates of smoking among Southeast Asian refugees in the United States,​ few studies have described the environmental aspects of tobacco use among this population,​ particularly for the second-generation youths. This absence is notable because the social environment within which second-generation youths are exposed to tobacco products differs radically from the natal environment of their parents. We describe results of a youth-led community participatory research project for Southeast Asians in Northern California. Using multiple data </w:t>
            </w:r>
            <w:proofErr w:type="gramStart"/>
            <w:r w:rsidRPr="005762E6">
              <w:rPr>
                <w:sz w:val="20"/>
                <w:szCs w:val="20"/>
              </w:rPr>
              <w:t>sources,​</w:t>
            </w:r>
            <w:proofErr w:type="gramEnd"/>
            <w:r w:rsidRPr="005762E6">
              <w:rPr>
                <w:sz w:val="20"/>
                <w:szCs w:val="20"/>
              </w:rPr>
              <w:t xml:space="preserve"> second-generation youths documented the salience of tobacco products in their social environment,​ notably products such as blunts and mentholated cigarettes.</w:t>
            </w:r>
          </w:p>
        </w:tc>
      </w:tr>
      <w:tr w:rsidR="00B44564" w:rsidRPr="005762E6" w14:paraId="7D15B9CF"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112FBD8" w14:textId="77777777" w:rsidR="00B44564" w:rsidRPr="005762E6" w:rsidRDefault="00B44564" w:rsidP="00EA69AA">
            <w:pPr>
              <w:spacing w:after="120" w:line="240" w:lineRule="auto"/>
              <w:contextualSpacing/>
              <w:rPr>
                <w:sz w:val="20"/>
                <w:szCs w:val="20"/>
              </w:rPr>
            </w:pPr>
            <w:r w:rsidRPr="005762E6">
              <w:rPr>
                <w:sz w:val="20"/>
                <w:szCs w:val="20"/>
              </w:rPr>
              <w:t>533</w:t>
            </w:r>
          </w:p>
        </w:tc>
        <w:tc>
          <w:tcPr>
            <w:tcW w:w="0" w:type="auto"/>
            <w:tcBorders>
              <w:top w:val="single" w:sz="6" w:space="0" w:color="auto"/>
              <w:left w:val="single" w:sz="6" w:space="0" w:color="auto"/>
              <w:bottom w:val="single" w:sz="6" w:space="0" w:color="auto"/>
              <w:right w:val="single" w:sz="6" w:space="0" w:color="auto"/>
            </w:tcBorders>
          </w:tcPr>
          <w:p w14:paraId="0054770C"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367B84A" w14:textId="602E7B45" w:rsidR="00B44564" w:rsidRPr="005762E6" w:rsidRDefault="00B44564" w:rsidP="00EA69AA">
            <w:pPr>
              <w:spacing w:after="120" w:line="240" w:lineRule="auto"/>
              <w:contextualSpacing/>
              <w:rPr>
                <w:sz w:val="20"/>
                <w:szCs w:val="20"/>
              </w:rPr>
            </w:pPr>
            <w:r w:rsidRPr="005762E6">
              <w:rPr>
                <w:sz w:val="20"/>
                <w:szCs w:val="20"/>
              </w:rPr>
              <w:t xml:space="preserve">Amanda L </w:t>
            </w:r>
            <w:proofErr w:type="gramStart"/>
            <w:r w:rsidRPr="005762E6">
              <w:rPr>
                <w:sz w:val="20"/>
                <w:szCs w:val="20"/>
              </w:rPr>
              <w:t>Dauphinee,​</w:t>
            </w:r>
            <w:proofErr w:type="gramEnd"/>
            <w:r w:rsidRPr="005762E6">
              <w:rPr>
                <w:sz w:val="20"/>
                <w:szCs w:val="20"/>
              </w:rPr>
              <w:t xml:space="preserve"> Juliana R Doxey,​ Nina C Schleicher,​ Stephen P Fortmann,​ Lisa Henriksen Racial differences in cigarette brand recognition and impact on youth smoking</w:t>
            </w:r>
            <w:r w:rsidR="007F2F01">
              <w:rPr>
                <w:sz w:val="20"/>
                <w:szCs w:val="20"/>
              </w:rPr>
              <w:t>.</w:t>
            </w:r>
            <w:r w:rsidRPr="005762E6">
              <w:rPr>
                <w:sz w:val="20"/>
                <w:szCs w:val="20"/>
              </w:rPr>
              <w:t xml:space="preserve"> BMC public health; 2013;13:170.</w:t>
            </w:r>
            <w:r w:rsidRPr="005762E6">
              <w:rPr>
                <w:sz w:val="20"/>
                <w:szCs w:val="20"/>
              </w:rPr>
              <w:br/>
            </w:r>
            <w:r w:rsidRPr="005762E6">
              <w:rPr>
                <w:sz w:val="20"/>
                <w:szCs w:val="20"/>
              </w:rPr>
              <w:br/>
            </w:r>
            <w:r w:rsidRPr="005762E6">
              <w:rPr>
                <w:b/>
                <w:bCs/>
                <w:sz w:val="20"/>
                <w:szCs w:val="20"/>
              </w:rPr>
              <w:t>Keywords:</w:t>
            </w:r>
            <w:r w:rsidRPr="005762E6">
              <w:rPr>
                <w:sz w:val="20"/>
                <w:szCs w:val="20"/>
              </w:rPr>
              <w:br/>
              <w:t xml:space="preserve">Adolescent,​*Advertising as Topic,​*African Americans/px [Psychology],​African Americans/sn [Statistics &amp; Numerical Data],​Asian Americans/px [Psychology],​Asian Americans/sn [Statistics &amp; Numerical Data],​California,​Child,​Cross-Sectional Studies,​European Continental Ancestry Group/px [Psychology],​European Continental Ancestry Group/sn [Statistics &amp; Numerical Data],​Female,​Follow-Up Studies,​Hispanic Americans/px [Psychology],​Hispanic Americans/sn [Statistics &amp; Numerical Data],​Humans,​Male,​Oceanic </w:t>
            </w:r>
            <w:r w:rsidRPr="005762E6">
              <w:rPr>
                <w:sz w:val="20"/>
                <w:szCs w:val="20"/>
              </w:rPr>
              <w:lastRenderedPageBreak/>
              <w:t>Ancestry Group/px [Psychology],​Oceanic Ancestry Group/sn [Statistics &amp; Numerical Data],​*Smoking/eh [Ethnology],​*Tobacco Products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African Americans are disproportionately exposed to cigarette advertisements,​ particularly for menthol brands. Tobacco industry documents outline strategic efforts to promote menthol cigarettes to African Americans at the point of </w:t>
            </w:r>
            <w:proofErr w:type="gramStart"/>
            <w:r w:rsidRPr="005762E6">
              <w:rPr>
                <w:sz w:val="20"/>
                <w:szCs w:val="20"/>
              </w:rPr>
              <w:t>sale,​</w:t>
            </w:r>
            <w:proofErr w:type="gramEnd"/>
            <w:r w:rsidRPr="005762E6">
              <w:rPr>
                <w:sz w:val="20"/>
                <w:szCs w:val="20"/>
              </w:rPr>
              <w:t xml:space="preserve"> and studies have observed more outdoor and retail menthol advertisements in neighborhoods with more African-American residents. Little research has been conducted to examine the effect of this target marketing on adolescents' recognition of cigarette brand advertising and on smoking uptake. To our </w:t>
            </w:r>
            <w:proofErr w:type="gramStart"/>
            <w:r w:rsidRPr="005762E6">
              <w:rPr>
                <w:sz w:val="20"/>
                <w:szCs w:val="20"/>
              </w:rPr>
              <w:t>knowledge,​</w:t>
            </w:r>
            <w:proofErr w:type="gramEnd"/>
            <w:r w:rsidRPr="005762E6">
              <w:rPr>
                <w:sz w:val="20"/>
                <w:szCs w:val="20"/>
              </w:rPr>
              <w:t xml:space="preserve"> this is the first study to examine racial differences in brand recognition and to assess the prospective relationship between brand recognition and smoking uptake.,​ METHODS: School-based surveys assessing tobacco use and environmental and social influences to smoke were administered to 6th through 9th graders (ages 11 to 15) in an urban and racially diverse California school district. The primary outcome for the cross-sectional analysis (n=</w:t>
            </w:r>
            <w:proofErr w:type="gramStart"/>
            <w:r w:rsidRPr="005762E6">
              <w:rPr>
                <w:sz w:val="20"/>
                <w:szCs w:val="20"/>
              </w:rPr>
              <w:t>2,​</w:t>
            </w:r>
            <w:proofErr w:type="gramEnd"/>
            <w:r w:rsidRPr="005762E6">
              <w:rPr>
                <w:sz w:val="20"/>
                <w:szCs w:val="20"/>
              </w:rPr>
              <w:t>589) was brand recognition,​ measured by students' identification of masked tobacco advertisements from the point of sale. The primary outcome for the longitudinal analysis (n=</w:t>
            </w:r>
            <w:proofErr w:type="gramStart"/>
            <w:r w:rsidRPr="005762E6">
              <w:rPr>
                <w:sz w:val="20"/>
                <w:szCs w:val="20"/>
              </w:rPr>
              <w:t>1,​</w:t>
            </w:r>
            <w:proofErr w:type="gramEnd"/>
            <w:r w:rsidRPr="005762E6">
              <w:rPr>
                <w:sz w:val="20"/>
                <w:szCs w:val="20"/>
              </w:rPr>
              <w:t>179) was progression from never to ever smoking within 12months.,​ RESULTS: At baseline,​ 52% of students recognized the Camel brand,​ 36% Marlboro,​ and 32% Newport. African-American students were three times more likely than others to recognize Newport (OR=3.</w:t>
            </w:r>
            <w:proofErr w:type="gramStart"/>
            <w:r w:rsidRPr="005762E6">
              <w:rPr>
                <w:sz w:val="20"/>
                <w:szCs w:val="20"/>
              </w:rPr>
              <w:t>03,​</w:t>
            </w:r>
            <w:proofErr w:type="gramEnd"/>
            <w:r w:rsidRPr="005762E6">
              <w:rPr>
                <w:sz w:val="20"/>
                <w:szCs w:val="20"/>
              </w:rPr>
              <w:t xml:space="preserve"> CI=2.45,​ 3.74,​ p&lt;0.01) and less likely than others to recognize Marlboro (OR=0.60,​ CI=0.48,​ 0.73,​ p&lt;0.01). At follow-</w:t>
            </w:r>
            <w:proofErr w:type="gramStart"/>
            <w:r w:rsidRPr="005762E6">
              <w:rPr>
                <w:sz w:val="20"/>
                <w:szCs w:val="20"/>
              </w:rPr>
              <w:t>up,​</w:t>
            </w:r>
            <w:proofErr w:type="gramEnd"/>
            <w:r w:rsidRPr="005762E6">
              <w:rPr>
                <w:sz w:val="20"/>
                <w:szCs w:val="20"/>
              </w:rPr>
              <w:t xml:space="preserve"> 17% of never smokers reported trying smoking. In this racially diverse </w:t>
            </w:r>
            <w:proofErr w:type="gramStart"/>
            <w:r w:rsidRPr="005762E6">
              <w:rPr>
                <w:sz w:val="20"/>
                <w:szCs w:val="20"/>
              </w:rPr>
              <w:t>sample,​</w:t>
            </w:r>
            <w:proofErr w:type="gramEnd"/>
            <w:r w:rsidRPr="005762E6">
              <w:rPr>
                <w:sz w:val="20"/>
                <w:szCs w:val="20"/>
              </w:rPr>
              <w:t xml:space="preserve"> brand recognition of Camel and Marlboro did not predict smoking initiation. Regardless of </w:t>
            </w:r>
            <w:proofErr w:type="gramStart"/>
            <w:r w:rsidRPr="005762E6">
              <w:rPr>
                <w:sz w:val="20"/>
                <w:szCs w:val="20"/>
              </w:rPr>
              <w:t>race,​</w:t>
            </w:r>
            <w:proofErr w:type="gramEnd"/>
            <w:r w:rsidRPr="005762E6">
              <w:rPr>
                <w:sz w:val="20"/>
                <w:szCs w:val="20"/>
              </w:rPr>
              <w:t xml:space="preserve"> students who recognized the Newport brand at baseline were more likely to initiate smoking at follow-up (OR=1.49,​ CI=1.04,​ 2.15,​ p&lt;0.05) after adjusting for shopping frequency and other risk factors.,​ CONCLUSIONS: The study findings illustrate that African-American youth are better able to recognize Newport cigarette advertisements,​ even after adjustment for exposure to smoking by parents and peers. In </w:t>
            </w:r>
            <w:proofErr w:type="gramStart"/>
            <w:r w:rsidRPr="005762E6">
              <w:rPr>
                <w:sz w:val="20"/>
                <w:szCs w:val="20"/>
              </w:rPr>
              <w:t>addition,​</w:t>
            </w:r>
            <w:proofErr w:type="gramEnd"/>
            <w:r w:rsidRPr="005762E6">
              <w:rPr>
                <w:sz w:val="20"/>
                <w:szCs w:val="20"/>
              </w:rPr>
              <w:t xml:space="preserve"> recognition of Newport cigarette advertising predicted smoking initiation,​ regardless of race. This longitudinal study contributes to a growing body of evidence that supports a ban on menthol flavored cigarettes in the US as well as stronger regulation of tobacco advertising at the point of sale.</w:t>
            </w:r>
          </w:p>
        </w:tc>
      </w:tr>
      <w:tr w:rsidR="00B44564" w:rsidRPr="005762E6" w14:paraId="0EFAC321"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5863B00" w14:textId="77777777" w:rsidR="00B44564" w:rsidRPr="005762E6" w:rsidRDefault="00B44564" w:rsidP="00EA69AA">
            <w:pPr>
              <w:spacing w:after="120" w:line="240" w:lineRule="auto"/>
              <w:contextualSpacing/>
              <w:rPr>
                <w:sz w:val="20"/>
                <w:szCs w:val="20"/>
              </w:rPr>
            </w:pPr>
            <w:r w:rsidRPr="005762E6">
              <w:rPr>
                <w:sz w:val="20"/>
                <w:szCs w:val="20"/>
              </w:rPr>
              <w:lastRenderedPageBreak/>
              <w:t>534</w:t>
            </w:r>
          </w:p>
        </w:tc>
        <w:tc>
          <w:tcPr>
            <w:tcW w:w="0" w:type="auto"/>
            <w:tcBorders>
              <w:top w:val="single" w:sz="6" w:space="0" w:color="auto"/>
              <w:left w:val="single" w:sz="6" w:space="0" w:color="auto"/>
              <w:bottom w:val="single" w:sz="6" w:space="0" w:color="auto"/>
              <w:right w:val="single" w:sz="6" w:space="0" w:color="auto"/>
            </w:tcBorders>
          </w:tcPr>
          <w:p w14:paraId="4992522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D65A1BF" w14:textId="723BE7FF" w:rsidR="00B44564" w:rsidRPr="005762E6" w:rsidRDefault="00B44564" w:rsidP="00EA69AA">
            <w:pPr>
              <w:spacing w:after="120" w:line="240" w:lineRule="auto"/>
              <w:contextualSpacing/>
              <w:rPr>
                <w:sz w:val="20"/>
                <w:szCs w:val="20"/>
              </w:rPr>
            </w:pPr>
            <w:r w:rsidRPr="005762E6">
              <w:rPr>
                <w:sz w:val="20"/>
                <w:szCs w:val="20"/>
              </w:rPr>
              <w:t xml:space="preserve">Andrew A </w:t>
            </w:r>
            <w:proofErr w:type="gramStart"/>
            <w:r w:rsidRPr="005762E6">
              <w:rPr>
                <w:sz w:val="20"/>
                <w:szCs w:val="20"/>
              </w:rPr>
              <w:t>Strasser,​</w:t>
            </w:r>
            <w:proofErr w:type="gramEnd"/>
            <w:r w:rsidRPr="005762E6">
              <w:rPr>
                <w:sz w:val="20"/>
                <w:szCs w:val="20"/>
              </w:rPr>
              <w:t xml:space="preserve"> Rebecca L Ashare,​ Madeline Kaufman,​ Kathy Z Tang,​ A Clementina Mesaros,​ Ian A Blair The effect of menthol on cigarette smoking behaviors,​ biomarkers and subjective responses</w:t>
            </w:r>
            <w:r w:rsidR="007F2F01">
              <w:rPr>
                <w:sz w:val="20"/>
                <w:szCs w:val="20"/>
              </w:rPr>
              <w:t>.</w:t>
            </w:r>
            <w:r w:rsidRPr="005762E6">
              <w:rPr>
                <w:sz w:val="20"/>
                <w:szCs w:val="20"/>
              </w:rPr>
              <w:t xml:space="preserve"> Cancer epidemiology,​ biomarkers &amp; prevention : a publication of the American Association for Cancer Research,​ cosponsored by the American Society of Preventive Oncology; 2013;22:382.</w:t>
            </w:r>
            <w:r w:rsidRPr="005762E6">
              <w:rPr>
                <w:sz w:val="20"/>
                <w:szCs w:val="20"/>
              </w:rPr>
              <w:br/>
            </w:r>
            <w:r w:rsidRPr="005762E6">
              <w:rPr>
                <w:sz w:val="20"/>
                <w:szCs w:val="20"/>
              </w:rPr>
              <w:br/>
            </w:r>
            <w:r w:rsidRPr="005762E6">
              <w:rPr>
                <w:b/>
                <w:bCs/>
                <w:sz w:val="20"/>
                <w:szCs w:val="20"/>
              </w:rPr>
              <w:t>Keywords:</w:t>
            </w:r>
            <w:r w:rsidRPr="005762E6">
              <w:rPr>
                <w:sz w:val="20"/>
                <w:szCs w:val="20"/>
              </w:rPr>
              <w:br/>
              <w:t>Adult,​Aged,​*Biomarkers/an [Analysis],​Chromatography,​ Liquid,​*Deoxyguanosine/aa [Analogs &amp; Derivatives],​Deoxyguanosine/an [Analysis],​*Environmental Exposure/an [Analysis],​Female,​Follow-Up Studies,​*Health Behavior,​Humans,​Male,​*Menthol/pd [Pharmacology],​Middle Aged,​Prognosis,​Smell/de [Drug Effects],​*Smoking/td [Trends],​Spectrometry,​ Mass,​ Matrix-Assisted Laser Desorption-Ionization,​Taste/de [Drug Effects],​Young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As part of the Family Smoking Prevention and Tobacco Control Act,​ the U.S. Food and Drug Administration charged the Tobacco Products Scientific Advisory Committee with developing a report and recommendations about the effect of menthol in cigarettes on the public health. The purpose of this study was to examine smoking </w:t>
            </w:r>
            <w:proofErr w:type="gramStart"/>
            <w:r w:rsidRPr="005762E6">
              <w:rPr>
                <w:sz w:val="20"/>
                <w:szCs w:val="20"/>
              </w:rPr>
              <w:t>behaviors,​</w:t>
            </w:r>
            <w:proofErr w:type="gramEnd"/>
            <w:r w:rsidRPr="005762E6">
              <w:rPr>
                <w:sz w:val="20"/>
                <w:szCs w:val="20"/>
              </w:rPr>
              <w:t xml:space="preserve"> biomarkers of exposure,​ and subjective responses when switching from a novel menthol cigarette to a non-menthol cigarette to isolate the effect of menthol and to approximate the effect a menthol ban might have on smokers.,​ METHODS: Thirty-two adult smokers completed this 35-day randomized,​ open-label,​ laboratory study. After a 5-day baseline </w:t>
            </w:r>
            <w:proofErr w:type="gramStart"/>
            <w:r w:rsidRPr="005762E6">
              <w:rPr>
                <w:sz w:val="20"/>
                <w:szCs w:val="20"/>
              </w:rPr>
              <w:t>period,​</w:t>
            </w:r>
            <w:proofErr w:type="gramEnd"/>
            <w:r w:rsidRPr="005762E6">
              <w:rPr>
                <w:sz w:val="20"/>
                <w:szCs w:val="20"/>
              </w:rPr>
              <w:t xml:space="preserve"> participants were randomized to the experimental group (n = 22) where they would smoke menthol Camel crush for 15 days followed by 15 days of non-menthol Camel crush,​ or the control group (n = 10) where they smoked their own brand cigarette across all periods. Participants attended study visits every 5 days and completed measures of smoking </w:t>
            </w:r>
            <w:proofErr w:type="gramStart"/>
            <w:r w:rsidRPr="005762E6">
              <w:rPr>
                <w:sz w:val="20"/>
                <w:szCs w:val="20"/>
              </w:rPr>
              <w:t>rate,​</w:t>
            </w:r>
            <w:proofErr w:type="gramEnd"/>
            <w:r w:rsidRPr="005762E6">
              <w:rPr>
                <w:sz w:val="20"/>
                <w:szCs w:val="20"/>
              </w:rPr>
              <w:t xml:space="preserve"> smoking topography,​ biomarkers of exposure,​ and subjective responses.,​ RESULTS: Although total puff volume tended to increase when the experimental group switched from menthol to non-menthol (P = 0.06),​ there were no corresponding increases in cigarette consumption or biomarkers of </w:t>
            </w:r>
            <w:r w:rsidRPr="005762E6">
              <w:rPr>
                <w:sz w:val="20"/>
                <w:szCs w:val="20"/>
              </w:rPr>
              <w:lastRenderedPageBreak/>
              <w:t>exposure (P &gt; 0.1). Subjective ratings related to taste and smell decreased during the non-menthol period (P &lt; 0.01</w:t>
            </w:r>
            <w:proofErr w:type="gramStart"/>
            <w:r w:rsidRPr="005762E6">
              <w:rPr>
                <w:sz w:val="20"/>
                <w:szCs w:val="20"/>
              </w:rPr>
              <w:t>),​</w:t>
            </w:r>
            <w:proofErr w:type="gramEnd"/>
            <w:r w:rsidRPr="005762E6">
              <w:rPr>
                <w:sz w:val="20"/>
                <w:szCs w:val="20"/>
              </w:rPr>
              <w:t xml:space="preserve"> compared with the menthol.,​ CONCLUSIONS: Results suggest menthol has minimal impact on smoking behaviors,​ biomarkers of exposure,​ and subjective ratings.,​ IMPACT: When controlling for all other cigarette design features,​ menthol in cigarettes had minimal effect on outcome measures.</w:t>
            </w:r>
          </w:p>
        </w:tc>
      </w:tr>
      <w:tr w:rsidR="00B44564" w:rsidRPr="005762E6" w14:paraId="000AE88C"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51C78F1" w14:textId="77777777" w:rsidR="00B44564" w:rsidRPr="005762E6" w:rsidRDefault="00B44564" w:rsidP="00EA69AA">
            <w:pPr>
              <w:spacing w:after="120" w:line="240" w:lineRule="auto"/>
              <w:contextualSpacing/>
              <w:rPr>
                <w:sz w:val="20"/>
                <w:szCs w:val="20"/>
              </w:rPr>
            </w:pPr>
            <w:r w:rsidRPr="005762E6">
              <w:rPr>
                <w:sz w:val="20"/>
                <w:szCs w:val="20"/>
              </w:rPr>
              <w:lastRenderedPageBreak/>
              <w:t>535</w:t>
            </w:r>
          </w:p>
        </w:tc>
        <w:tc>
          <w:tcPr>
            <w:tcW w:w="0" w:type="auto"/>
            <w:tcBorders>
              <w:top w:val="single" w:sz="6" w:space="0" w:color="auto"/>
              <w:left w:val="single" w:sz="6" w:space="0" w:color="auto"/>
              <w:bottom w:val="single" w:sz="6" w:space="0" w:color="auto"/>
              <w:right w:val="single" w:sz="6" w:space="0" w:color="auto"/>
            </w:tcBorders>
          </w:tcPr>
          <w:p w14:paraId="705898FA"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1F1B073" w14:textId="7F400AFB" w:rsidR="00B44564" w:rsidRPr="005762E6" w:rsidRDefault="00B44564" w:rsidP="00EA69AA">
            <w:pPr>
              <w:spacing w:after="120" w:line="240" w:lineRule="auto"/>
              <w:contextualSpacing/>
              <w:rPr>
                <w:sz w:val="20"/>
                <w:szCs w:val="20"/>
              </w:rPr>
            </w:pPr>
            <w:r w:rsidRPr="005762E6">
              <w:rPr>
                <w:sz w:val="20"/>
                <w:szCs w:val="20"/>
              </w:rPr>
              <w:t xml:space="preserve">Alicia K </w:t>
            </w:r>
            <w:proofErr w:type="gramStart"/>
            <w:r w:rsidRPr="005762E6">
              <w:rPr>
                <w:sz w:val="20"/>
                <w:szCs w:val="20"/>
              </w:rPr>
              <w:t>Matthews,​</w:t>
            </w:r>
            <w:proofErr w:type="gramEnd"/>
            <w:r w:rsidRPr="005762E6">
              <w:rPr>
                <w:sz w:val="20"/>
                <w:szCs w:val="20"/>
              </w:rPr>
              <w:t xml:space="preserve"> Megan Conrad,​ Lisa Kuhns,​ Maria Vargas,​ Andrea C King Project Exhale: preliminary evaluation of a tailored smoking cessation treatment for HIV-positive African American smokers</w:t>
            </w:r>
            <w:r w:rsidR="007F2F01">
              <w:rPr>
                <w:sz w:val="20"/>
                <w:szCs w:val="20"/>
              </w:rPr>
              <w:t>.</w:t>
            </w:r>
            <w:r w:rsidRPr="005762E6">
              <w:rPr>
                <w:sz w:val="20"/>
                <w:szCs w:val="20"/>
              </w:rPr>
              <w:t xml:space="preserve"> AIDS patient care and STDs; 2013;27:22.</w:t>
            </w:r>
            <w:r w:rsidRPr="005762E6">
              <w:rPr>
                <w:sz w:val="20"/>
                <w:szCs w:val="20"/>
              </w:rPr>
              <w:br/>
            </w:r>
            <w:r w:rsidRPr="005762E6">
              <w:rPr>
                <w:sz w:val="20"/>
                <w:szCs w:val="20"/>
              </w:rPr>
              <w:br/>
            </w:r>
            <w:r w:rsidRPr="005762E6">
              <w:rPr>
                <w:b/>
                <w:bCs/>
                <w:sz w:val="20"/>
                <w:szCs w:val="20"/>
              </w:rPr>
              <w:t>Keywords:</w:t>
            </w:r>
            <w:r w:rsidRPr="005762E6">
              <w:rPr>
                <w:sz w:val="20"/>
                <w:szCs w:val="20"/>
              </w:rPr>
              <w:br/>
              <w:t>Administration,​ Cutaneous,​Adult,​*African Americans/px [Psychology],​Aged,​Community Health Centers,​Follow-Up Studies,​HIV Seropositivity/eh [Ethnology],​*HIV Seropositivity/px [Psychology],​Health Promotion/mt [Methods],​Humans,​Interviews as Topic,​Male,​Middle Aged,​Motivation,​Nicotine/ad [Administration &amp; Dosage],​Patient Acceptance of Health Care,​Patient-Centered Care,​Program Evaluation/mt [Methods],​*Psychotherapy,​ Group,​*Smoking/eh [Ethnology],​Smoking/th [Therapy],​*Smoking Cessation/eh [Ethnology],​*Smoking Cessation/mt [Methods],​Smoking Cessation/px [Psychology],​Surveys and Questionnaires,​Treatment Outcome,​United States/ep [Epidemiology]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This study examined the feasibility,​ acceptability,​ and outcomes of a culturally tailored smoking cessation intervention for HIV-positive African American male smokers. Eligible smokers were enrolled in a seven-session group-based treatment combined with nicotine patch. The mean age of participants was M=46 years. The majority were daily smokers (71%</w:t>
            </w:r>
            <w:proofErr w:type="gramStart"/>
            <w:r w:rsidRPr="005762E6">
              <w:rPr>
                <w:sz w:val="20"/>
                <w:szCs w:val="20"/>
              </w:rPr>
              <w:t>),​</w:t>
            </w:r>
            <w:proofErr w:type="gramEnd"/>
            <w:r w:rsidRPr="005762E6">
              <w:rPr>
                <w:sz w:val="20"/>
                <w:szCs w:val="20"/>
              </w:rPr>
              <w:t xml:space="preserve"> smoked a mentholated brand (80%),​ and averaged 8.6 (standard deviation [SD]=8.1) cigarettes per day. Baseline nicotine dependency scores (M=5.8) indicated a moderate to high degree of physical dependence. Of the 31 participants </w:t>
            </w:r>
            <w:proofErr w:type="gramStart"/>
            <w:r w:rsidRPr="005762E6">
              <w:rPr>
                <w:sz w:val="20"/>
                <w:szCs w:val="20"/>
              </w:rPr>
              <w:t>enrolled,​</w:t>
            </w:r>
            <w:proofErr w:type="gramEnd"/>
            <w:r w:rsidRPr="005762E6">
              <w:rPr>
                <w:sz w:val="20"/>
                <w:szCs w:val="20"/>
              </w:rPr>
              <w:t xml:space="preserve"> the majority completed treatment (&gt;=3 sessions; 68%),​ 1-month follow-up (74%),​ and 3-month follow-up (87%) interviews. Program acceptability scores were strong. </w:t>
            </w:r>
            <w:proofErr w:type="gramStart"/>
            <w:r w:rsidRPr="005762E6">
              <w:rPr>
                <w:sz w:val="20"/>
                <w:szCs w:val="20"/>
              </w:rPr>
              <w:t>However,​</w:t>
            </w:r>
            <w:proofErr w:type="gramEnd"/>
            <w:r w:rsidRPr="005762E6">
              <w:rPr>
                <w:sz w:val="20"/>
                <w:szCs w:val="20"/>
              </w:rPr>
              <w:t xml:space="preserve"> adherence to the patch was low,​ with 39% reporting daily patch use. The majority of participants (80</w:t>
            </w:r>
            <w:proofErr w:type="gramStart"/>
            <w:r w:rsidRPr="005762E6">
              <w:rPr>
                <w:sz w:val="20"/>
                <w:szCs w:val="20"/>
              </w:rPr>
              <w:t>%,​</w:t>
            </w:r>
            <w:proofErr w:type="gramEnd"/>
            <w:r w:rsidRPr="005762E6">
              <w:rPr>
                <w:sz w:val="20"/>
                <w:szCs w:val="20"/>
              </w:rPr>
              <w:t xml:space="preserve"> n=24) made a quit attempt. </w:t>
            </w:r>
            <w:proofErr w:type="gramStart"/>
            <w:r w:rsidRPr="005762E6">
              <w:rPr>
                <w:sz w:val="20"/>
                <w:szCs w:val="20"/>
              </w:rPr>
              <w:t>Furthermore,​</w:t>
            </w:r>
            <w:proofErr w:type="gramEnd"/>
            <w:r w:rsidRPr="005762E6">
              <w:rPr>
                <w:sz w:val="20"/>
                <w:szCs w:val="20"/>
              </w:rPr>
              <w:t xml:space="preserve"> over the course of the intervention,​ smoking urge,​ cigarettes smoked,​ nicotine dependence,​ withdrawal symptoms,​ and depression scores all significantly decreased. Follow-up quit rates at 1 and 3 months ranged from 6% to 24</w:t>
            </w:r>
            <w:proofErr w:type="gramStart"/>
            <w:r w:rsidRPr="005762E6">
              <w:rPr>
                <w:sz w:val="20"/>
                <w:szCs w:val="20"/>
              </w:rPr>
              <w:t>%,​</w:t>
            </w:r>
            <w:proofErr w:type="gramEnd"/>
            <w:r w:rsidRPr="005762E6">
              <w:rPr>
                <w:sz w:val="20"/>
                <w:szCs w:val="20"/>
              </w:rPr>
              <w:t xml:space="preserve"> with treatment completers having better outcomes. This first of its kind intervention for HIV-positive African American male smokers was </w:t>
            </w:r>
            <w:proofErr w:type="gramStart"/>
            <w:r w:rsidRPr="005762E6">
              <w:rPr>
                <w:sz w:val="20"/>
                <w:szCs w:val="20"/>
              </w:rPr>
              <w:t>feasible,​</w:t>
            </w:r>
            <w:proofErr w:type="gramEnd"/>
            <w:r w:rsidRPr="005762E6">
              <w:rPr>
                <w:sz w:val="20"/>
                <w:szCs w:val="20"/>
              </w:rPr>
              <w:t xml:space="preserve"> acceptable,​ and showed benefit for reducing smoking behaviors and depression scores. Smoking cessation outcomes were on par with other similar programs. A larger trial is needed to address limitations and to confirm benefits.</w:t>
            </w:r>
          </w:p>
        </w:tc>
      </w:tr>
      <w:tr w:rsidR="00B44564" w:rsidRPr="005762E6" w14:paraId="619B33FB"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D880240" w14:textId="77777777" w:rsidR="00B44564" w:rsidRPr="005762E6" w:rsidRDefault="00B44564" w:rsidP="00EA69AA">
            <w:pPr>
              <w:spacing w:after="120" w:line="240" w:lineRule="auto"/>
              <w:contextualSpacing/>
              <w:rPr>
                <w:sz w:val="20"/>
                <w:szCs w:val="20"/>
              </w:rPr>
            </w:pPr>
            <w:r w:rsidRPr="005762E6">
              <w:rPr>
                <w:sz w:val="20"/>
                <w:szCs w:val="20"/>
              </w:rPr>
              <w:t>536</w:t>
            </w:r>
          </w:p>
        </w:tc>
        <w:tc>
          <w:tcPr>
            <w:tcW w:w="0" w:type="auto"/>
            <w:tcBorders>
              <w:top w:val="single" w:sz="6" w:space="0" w:color="auto"/>
              <w:left w:val="single" w:sz="6" w:space="0" w:color="auto"/>
              <w:bottom w:val="single" w:sz="6" w:space="0" w:color="auto"/>
              <w:right w:val="single" w:sz="6" w:space="0" w:color="auto"/>
            </w:tcBorders>
          </w:tcPr>
          <w:p w14:paraId="25CB1E5B"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C5846A5" w14:textId="56F24E5F" w:rsidR="00B44564" w:rsidRPr="005762E6" w:rsidRDefault="00B44564" w:rsidP="00EA69AA">
            <w:pPr>
              <w:spacing w:after="120" w:line="240" w:lineRule="auto"/>
              <w:contextualSpacing/>
              <w:rPr>
                <w:sz w:val="20"/>
                <w:szCs w:val="20"/>
              </w:rPr>
            </w:pPr>
            <w:r w:rsidRPr="005762E6">
              <w:rPr>
                <w:sz w:val="20"/>
                <w:szCs w:val="20"/>
              </w:rPr>
              <w:t xml:space="preserve">Lorraine R </w:t>
            </w:r>
            <w:proofErr w:type="gramStart"/>
            <w:r w:rsidRPr="005762E6">
              <w:rPr>
                <w:sz w:val="20"/>
                <w:szCs w:val="20"/>
              </w:rPr>
              <w:t>Reitzel,​</w:t>
            </w:r>
            <w:proofErr w:type="gramEnd"/>
            <w:r w:rsidRPr="005762E6">
              <w:rPr>
                <w:sz w:val="20"/>
                <w:szCs w:val="20"/>
              </w:rPr>
              <w:t xml:space="preserve"> Yisheng Li,​ Diana W Stewart,​ Yumei Cao,​ David W Wetter,​ Andrew J Waters,​ Jennifer I Vidrine Race moderates the effect of menthol cigarette use on short-term smoking abstinence</w:t>
            </w:r>
            <w:r w:rsidR="007F2F01">
              <w:rPr>
                <w:sz w:val="20"/>
                <w:szCs w:val="20"/>
              </w:rPr>
              <w:t>.</w:t>
            </w:r>
            <w:r w:rsidRPr="005762E6">
              <w:rPr>
                <w:sz w:val="20"/>
                <w:szCs w:val="20"/>
              </w:rPr>
              <w:t xml:space="preserve"> Nicotine &amp; tobacco research : official journal of the Society for Research on Nicotine and Tobacco; 2013;15:883.</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Adolescent,​Adult,​*African Americans/sn [Statistics &amp; Numerical Data],​Aged,​Cohort Studies,​Demography,​*European Continental Ancestry Group/sn [Statistics &amp; Numerical Data],​Female,​Follow-Up Studies,​Humans,​Longitudinal Studies,​Male,​*Menthol/ae [Adverse Effects],​Middle Aged,​*Smoking/eh [Ethnology],​*Smoking Cessation/eh [Ethnology],​Smoking Cessation/sn [Statistics &amp; Numerical Data],​Socioeconomic Factors,​Tobacco Products,​Tobacco Use Disorder/ep [Epidemiology],​*Tobacco Use Disorder/eh [Ethnology],​United States/ep [Epidemiology],​United States Food and Drug Administration,​Young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The Food and Drug Administration is in the process of reviewing evidence of the impact of mentholated cigarettes on smoking behaviors and smoking cessation in order to determine if these products should be removed from the market. More empirical research is needed to inform those decisions. The goal of this study was to examine associations of menthol cigarette use with biochemically verified continuous short-term smoking abstinence,​ and potential moderation by race,​ among adult current smokers enrolled in a cohort study (N = 183; 57.4% female; 48.1% non-Hispanic Black,​ 51.9% non-Hispanic White).,​ METHODS: Continuation ratio logit models,​ adjusted for age,​ race,​ gender,​ total annual household income,​ educational level,​ employment status,​ and partner status,​ were used to examine associations of menthol use </w:t>
            </w:r>
            <w:r w:rsidRPr="005762E6">
              <w:rPr>
                <w:sz w:val="20"/>
                <w:szCs w:val="20"/>
              </w:rPr>
              <w:lastRenderedPageBreak/>
              <w:t xml:space="preserve">with smoking abstinence with and without an interaction term for race.,​ RESULTS: Menthol cigarette use was not significantly associated with smoking abstinence in the sample as a whole; however,​ there was a significant interaction of menthol use with race (p = .03). Follow-up analyses stratified by race indicated that among White </w:t>
            </w:r>
            <w:proofErr w:type="gramStart"/>
            <w:r w:rsidRPr="005762E6">
              <w:rPr>
                <w:sz w:val="20"/>
                <w:szCs w:val="20"/>
              </w:rPr>
              <w:t>participants,​</w:t>
            </w:r>
            <w:proofErr w:type="gramEnd"/>
            <w:r w:rsidRPr="005762E6">
              <w:rPr>
                <w:sz w:val="20"/>
                <w:szCs w:val="20"/>
              </w:rPr>
              <w:t xml:space="preserve"> menthol users had significantly lower odds of maintaining continuous abstinence than nonmenthol users (p = .05). Exploratory analyses suggested that tobacco dependence may lie along the causal pathway and partially explain this effect</w:t>
            </w:r>
            <w:proofErr w:type="gramStart"/>
            <w:r w:rsidRPr="005762E6">
              <w:rPr>
                <w:sz w:val="20"/>
                <w:szCs w:val="20"/>
              </w:rPr>
              <w:t>.,​</w:t>
            </w:r>
            <w:proofErr w:type="gramEnd"/>
            <w:r w:rsidRPr="005762E6">
              <w:rPr>
                <w:sz w:val="20"/>
                <w:szCs w:val="20"/>
              </w:rPr>
              <w:t xml:space="preserve"> CONCLUSIONS: White menthol smokers in this sample were at increased risk of smoking relapse relative to White nonmenthol smokers,​ at least partially due to greater tobacco dependence. Results should be replicated among other treatment-seeking samples with a greater representation of White menthol and Black nonmenthol smokers.</w:t>
            </w:r>
          </w:p>
        </w:tc>
      </w:tr>
      <w:tr w:rsidR="00B44564" w:rsidRPr="005762E6" w14:paraId="66D83468"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A2610C2" w14:textId="77777777" w:rsidR="00B44564" w:rsidRPr="005762E6" w:rsidRDefault="00B44564" w:rsidP="00EA69AA">
            <w:pPr>
              <w:spacing w:after="120" w:line="240" w:lineRule="auto"/>
              <w:contextualSpacing/>
              <w:rPr>
                <w:sz w:val="20"/>
                <w:szCs w:val="20"/>
              </w:rPr>
            </w:pPr>
            <w:r w:rsidRPr="005762E6">
              <w:rPr>
                <w:sz w:val="20"/>
                <w:szCs w:val="20"/>
              </w:rPr>
              <w:lastRenderedPageBreak/>
              <w:t>538</w:t>
            </w:r>
          </w:p>
        </w:tc>
        <w:tc>
          <w:tcPr>
            <w:tcW w:w="0" w:type="auto"/>
            <w:tcBorders>
              <w:top w:val="single" w:sz="6" w:space="0" w:color="auto"/>
              <w:left w:val="single" w:sz="6" w:space="0" w:color="auto"/>
              <w:bottom w:val="single" w:sz="6" w:space="0" w:color="auto"/>
              <w:right w:val="single" w:sz="6" w:space="0" w:color="auto"/>
            </w:tcBorders>
          </w:tcPr>
          <w:p w14:paraId="415D9D85"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F70D640" w14:textId="28B570D9" w:rsidR="00B44564" w:rsidRPr="005762E6" w:rsidRDefault="00B44564" w:rsidP="00EA69AA">
            <w:pPr>
              <w:spacing w:after="120" w:line="240" w:lineRule="auto"/>
              <w:contextualSpacing/>
              <w:rPr>
                <w:sz w:val="20"/>
                <w:szCs w:val="20"/>
              </w:rPr>
            </w:pPr>
            <w:r w:rsidRPr="005762E6">
              <w:rPr>
                <w:sz w:val="20"/>
                <w:szCs w:val="20"/>
              </w:rPr>
              <w:t xml:space="preserve">Babalola </w:t>
            </w:r>
            <w:proofErr w:type="gramStart"/>
            <w:r w:rsidRPr="005762E6">
              <w:rPr>
                <w:sz w:val="20"/>
                <w:szCs w:val="20"/>
              </w:rPr>
              <w:t>Faseru,​</w:t>
            </w:r>
            <w:proofErr w:type="gramEnd"/>
            <w:r w:rsidRPr="005762E6">
              <w:rPr>
                <w:sz w:val="20"/>
                <w:szCs w:val="20"/>
              </w:rPr>
              <w:t xml:space="preserve"> Nicole L Nollen,​ Matthew S Mayo,​ Ron Krebill,​ Won S Choi,​ Neal L Benowitz,​ Rachel F Tyndale,​ Kolawole S Okuyemi,​ Jasjit S Ahluwalia,​ Lisa Sanderson Cox Predictors of cessation in African American light smokers enrolled in a bupropion clinical trial</w:t>
            </w:r>
            <w:r w:rsidR="007F2F01">
              <w:rPr>
                <w:sz w:val="20"/>
                <w:szCs w:val="20"/>
              </w:rPr>
              <w:t>.</w:t>
            </w:r>
            <w:r w:rsidRPr="005762E6">
              <w:rPr>
                <w:sz w:val="20"/>
                <w:szCs w:val="20"/>
              </w:rPr>
              <w:t xml:space="preserve"> Addictive behaviors; 2013;38:1796.</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Adolescent,​Adult,​African Americans,​Aged,​*Bupropion/tu [Therapeutic Use],​Combined Modality Therapy,​Counseling,​*Dopamine Uptake Inhibitors/tu [Therapeutic Use],​Double-Blind Method,​Female,​Health Education/mt [Methods],​Humans,​Male,​Middle Aged,​*Smoking Cessation/mt [Methods],​*Smoking Prevention,​Young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This is the first study to examine predictors of successful cessation in African American (AA) light smokers treated within a placebo-controlled trial of bupropion.,​ METHODS: We analyzed data from a randomized,​ double-blind,​ placebo-controlled trial of bupropion and health education for 540 African American light smokers. African American light smokers (&lt;=10 cigarettes per </w:t>
            </w:r>
            <w:proofErr w:type="gramStart"/>
            <w:r w:rsidRPr="005762E6">
              <w:rPr>
                <w:sz w:val="20"/>
                <w:szCs w:val="20"/>
              </w:rPr>
              <w:t>day,​</w:t>
            </w:r>
            <w:proofErr w:type="gramEnd"/>
            <w:r w:rsidRPr="005762E6">
              <w:rPr>
                <w:sz w:val="20"/>
                <w:szCs w:val="20"/>
              </w:rPr>
              <w:t xml:space="preserve"> cpd) were randomly assigned to receive 150mg bid bupropion SR (n=270) or placebo (n=270) for 7weeks. All participants received health education counseling at weeks 0,​ 1,​ 3,​ 5 and 7. Using chi-square tests,​ two sample t-tests,​ and multiple logistic regression analyses,​ we examined baseline psychosocial and smoking characteristics as predictors of cotinine-verified 7-day point prevalence smoking abstinence among study participants at the end treatment (Week 7) and at the end of follow-up (Week 26).,​ RESULTS: Participants who received bupropion were significantly more likely to quit smoking compared to those who received placebo (OR=2.72,​ 95% CI=1.60-4.62,​ P=0.0002). Greater study session attendance (OR=2.</w:t>
            </w:r>
            <w:proofErr w:type="gramStart"/>
            <w:r w:rsidRPr="005762E6">
              <w:rPr>
                <w:sz w:val="20"/>
                <w:szCs w:val="20"/>
              </w:rPr>
              <w:t>47,​</w:t>
            </w:r>
            <w:proofErr w:type="gramEnd"/>
            <w:r w:rsidRPr="005762E6">
              <w:rPr>
                <w:sz w:val="20"/>
                <w:szCs w:val="20"/>
              </w:rPr>
              <w:t xml:space="preserve"> 95% CI=1.76-3.46,​ P=0.0001),​ and smoking non-menthol cigarettes increased the likelihood of quitting (OR=1.84,​ 95% CI=1.01-3.36,​ P=0.05); while longer years of smoking (OR=0.98,​ 95% CI=0.96-1.00,​ P=0.05) and higher baseline cotinine (OR=0.97,​ 95% CI=0.95-0.99,​ P=0.002) significantly reduced the odds of quitting at Week 7. </w:t>
            </w:r>
            <w:proofErr w:type="gramStart"/>
            <w:r w:rsidRPr="005762E6">
              <w:rPr>
                <w:sz w:val="20"/>
                <w:szCs w:val="20"/>
              </w:rPr>
              <w:t>Conversely,​</w:t>
            </w:r>
            <w:proofErr w:type="gramEnd"/>
            <w:r w:rsidRPr="005762E6">
              <w:rPr>
                <w:sz w:val="20"/>
                <w:szCs w:val="20"/>
              </w:rPr>
              <w:t xml:space="preserve"> at the end of follow-up (Week 26),​ treatment with bupropion vs. placebo (OR=1.14,​ 95% CI=0.65-2.02,​ P=0.64) was not significantly associated with quitting and type of cigarette smoked (menthol vs. non-menthol) did not appear in the final logistic regression model. Greater study session attendance (OR=1.</w:t>
            </w:r>
            <w:proofErr w:type="gramStart"/>
            <w:r w:rsidRPr="005762E6">
              <w:rPr>
                <w:sz w:val="20"/>
                <w:szCs w:val="20"/>
              </w:rPr>
              <w:t>96,​</w:t>
            </w:r>
            <w:proofErr w:type="gramEnd"/>
            <w:r w:rsidRPr="005762E6">
              <w:rPr>
                <w:sz w:val="20"/>
                <w:szCs w:val="20"/>
              </w:rPr>
              <w:t xml:space="preserve"> 95% CI=1.44-2.66,​ P=0.0001); BMI (OR=1.03,​ 95% CI=1.00-1.07,​ P=0.04); and weight efficacy (OR=1.03,​ 95% CI=1.01-1.05,​ P=0.01) increased the likelihood of quitting at Week 26. Similar to our findings at Week 7,​ longer years of smoking (OR=0.96,​ 95% CI=0.94-0.99,​ P=0.01) and higher baseline cotinine (OR=0.97,​ 95% CI=0.95-0.99,​ P=0.02) significantly reduced the odds of quitting at Week 26.,​ CONCLUSIONS: Baseline cotinine levels,​ number of years smoked and study session attendance are associated with both short- and long-term smoking cessation,​ while bupropion and the type of cigarette smoked were associated with quitting on short term only. Copyright © 2012 Elsevier Ltd. All rights reserved.</w:t>
            </w:r>
          </w:p>
        </w:tc>
      </w:tr>
      <w:tr w:rsidR="00B44564" w:rsidRPr="005762E6" w14:paraId="7EC0BCAC"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F5F6DD9" w14:textId="77777777" w:rsidR="00B44564" w:rsidRPr="005762E6" w:rsidRDefault="00B44564" w:rsidP="00EA69AA">
            <w:pPr>
              <w:spacing w:after="120" w:line="240" w:lineRule="auto"/>
              <w:contextualSpacing/>
              <w:rPr>
                <w:sz w:val="20"/>
                <w:szCs w:val="20"/>
              </w:rPr>
            </w:pPr>
            <w:r w:rsidRPr="005762E6">
              <w:rPr>
                <w:sz w:val="20"/>
                <w:szCs w:val="20"/>
              </w:rPr>
              <w:t>539</w:t>
            </w:r>
          </w:p>
        </w:tc>
        <w:tc>
          <w:tcPr>
            <w:tcW w:w="0" w:type="auto"/>
            <w:tcBorders>
              <w:top w:val="single" w:sz="6" w:space="0" w:color="auto"/>
              <w:left w:val="single" w:sz="6" w:space="0" w:color="auto"/>
              <w:bottom w:val="single" w:sz="6" w:space="0" w:color="auto"/>
              <w:right w:val="single" w:sz="6" w:space="0" w:color="auto"/>
            </w:tcBorders>
          </w:tcPr>
          <w:p w14:paraId="5B05DF2B"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B4F5D73" w14:textId="53B7029B" w:rsidR="00B44564" w:rsidRPr="005762E6" w:rsidRDefault="00B44564" w:rsidP="00EA69AA">
            <w:pPr>
              <w:spacing w:after="120" w:line="240" w:lineRule="auto"/>
              <w:contextualSpacing/>
              <w:rPr>
                <w:sz w:val="20"/>
                <w:szCs w:val="20"/>
              </w:rPr>
            </w:pPr>
            <w:r w:rsidRPr="005762E6">
              <w:rPr>
                <w:sz w:val="20"/>
                <w:szCs w:val="20"/>
              </w:rPr>
              <w:t xml:space="preserve">Miranda R </w:t>
            </w:r>
            <w:proofErr w:type="gramStart"/>
            <w:r w:rsidRPr="005762E6">
              <w:rPr>
                <w:sz w:val="20"/>
                <w:szCs w:val="20"/>
              </w:rPr>
              <w:t>Jones,​</w:t>
            </w:r>
            <w:proofErr w:type="gramEnd"/>
            <w:r w:rsidRPr="005762E6">
              <w:rPr>
                <w:sz w:val="20"/>
                <w:szCs w:val="20"/>
              </w:rPr>
              <w:t xml:space="preserve"> Benjamin J Apelberg,​ Maria Tellez-Plaza,​ Jonathan M Samet,​ Ana Navas-Acien Menthol cigarettes,​ race/ethnicity,​ and biomarkers of tobacco use in U.S. adults: the 1999-2010 National Health and Nutrition Examination Survey (NHANES)</w:t>
            </w:r>
            <w:r w:rsidR="007F2F01">
              <w:rPr>
                <w:sz w:val="20"/>
                <w:szCs w:val="20"/>
              </w:rPr>
              <w:t>.</w:t>
            </w:r>
            <w:r w:rsidRPr="005762E6">
              <w:rPr>
                <w:sz w:val="20"/>
                <w:szCs w:val="20"/>
              </w:rPr>
              <w:t xml:space="preserve"> Cancer epidemiology,​ biomarkers &amp; prevention : a publication of the American Association for Cancer Research,​ cosponsored by the American Society of Preventive Oncology; 2013;22:224.</w:t>
            </w:r>
            <w:r w:rsidRPr="005762E6">
              <w:rPr>
                <w:sz w:val="20"/>
                <w:szCs w:val="20"/>
              </w:rPr>
              <w:br/>
            </w:r>
            <w:r w:rsidRPr="005762E6">
              <w:rPr>
                <w:sz w:val="20"/>
                <w:szCs w:val="20"/>
              </w:rPr>
              <w:br/>
            </w:r>
            <w:r w:rsidRPr="005762E6">
              <w:rPr>
                <w:b/>
                <w:bCs/>
                <w:sz w:val="20"/>
                <w:szCs w:val="20"/>
              </w:rPr>
              <w:t>Keywords:</w:t>
            </w:r>
            <w:r w:rsidRPr="005762E6">
              <w:rPr>
                <w:sz w:val="20"/>
                <w:szCs w:val="20"/>
              </w:rPr>
              <w:br/>
              <w:t xml:space="preserve">Adolescent,​Adult,​African Americans/sn [Statistics &amp; Numerical Data],​*Biomarkers/an [Analysis],​Cadmium/bl [Blood],​Case-Control Studies,​Cotinine/bl [Blood],​*Ethnic Groups/sn [Statistics &amp; Numerical Data],​European </w:t>
            </w:r>
            <w:r w:rsidRPr="005762E6">
              <w:rPr>
                <w:sz w:val="20"/>
                <w:szCs w:val="20"/>
              </w:rPr>
              <w:lastRenderedPageBreak/>
              <w:t>Continental Ancestry Group/sn [Statistics &amp; Numerical Data],​Female,​Follow-Up Studies,​Humans,​Lead/bl [Blood],​Male,​*Menthol/ae [Adverse Effects],​Mexican Americans/sn [Statistics &amp; Numerical Data],​Nitrosamines/ur [Urine],​Nutrition Surveys,​Prognosis,​Pyridines/ur [Urine],​Smoking/bl [Blood],​*Smoking/ep [Epidemiology],​Smoking/ur [Urine],​Time Factors,​*Tobacco Products/ut [Utilization],​United States/ep [Epidemiology],​Young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BACKGROUND: In the United States,​ cigarette flavorings are banned,​ with the exception of menthol. The cooling effects of menthol could facilitate the absorption of tobacco toxicants. We examined levels of biomarkers of tobacco exposure among U.S. smokers of menthol and nonmenthol cigarettes</w:t>
            </w:r>
            <w:proofErr w:type="gramStart"/>
            <w:r w:rsidRPr="005762E6">
              <w:rPr>
                <w:sz w:val="20"/>
                <w:szCs w:val="20"/>
              </w:rPr>
              <w:t>.,​</w:t>
            </w:r>
            <w:proofErr w:type="gramEnd"/>
            <w:r w:rsidRPr="005762E6">
              <w:rPr>
                <w:sz w:val="20"/>
                <w:szCs w:val="20"/>
              </w:rPr>
              <w:t xml:space="preserve"> METHODS: We studied 4,​603 White,​ African-American,​ and Mexican-American current smokers 20 years of age or older who participated in the National Health and Nutrition Examination Survey (NHANES) from 1999 through 2010 and had data on cigarette type and serum cotinine,​ blood cadmium,​ and blood lead concentrations. Urinary total 4-(methylnitrosamino)-1-(3-pyridyl)-1-butanol) (NNAL) was studied in </w:t>
            </w:r>
            <w:proofErr w:type="gramStart"/>
            <w:r w:rsidRPr="005762E6">
              <w:rPr>
                <w:sz w:val="20"/>
                <w:szCs w:val="20"/>
              </w:rPr>
              <w:t>1,​</w:t>
            </w:r>
            <w:proofErr w:type="gramEnd"/>
            <w:r w:rsidRPr="005762E6">
              <w:rPr>
                <w:sz w:val="20"/>
                <w:szCs w:val="20"/>
              </w:rPr>
              <w:t>607 participants with available measures.,​ RESULTS: A total of 3,​210 (74.3%) participants smoked nonmenthol cigarettes compared with 1,​393 (25.7%) participants who smoked menthol cigarettes. The geometric mean concentrations comparing smokers of nonmenthol with menthol cigarettes were 163.1 versus 175.9 ng/mL for serum cotinine; 0.95 versus 1.02 mug/L for blood cadmium; 1.87 versus 1.75 mug/dL for blood lead; and 0.27 versus 0.23 ng/mL for urine NNAL. After multivariable adjustment,​ the ratios [95% confidence interval (CI)] comparing smokers of menthol with nonmenthol cigarettes were 1.03 (0.95-1.11) for cotinine,​ 1.10 (1.04-1.16) for cadmium,​ 0.95 (0.90-1.01) for lead,​ and 0.81 (0.65-1.01) for NNAL.,​ CONCLUSIONS: In a representative sample of U.S. adult smokers,​ current menthol cigarette use was associated with increased concentration of blood cadmium,​ an established carcinogen and highly toxic metal,​ but not with other biomarkers.,​ IMPACT: These findings provide information regarding possible differences in exposure to toxic constituents among menthol cigarette smokers compared with nonmenthol cigarette smokers.</w:t>
            </w:r>
          </w:p>
        </w:tc>
      </w:tr>
      <w:tr w:rsidR="00B44564" w:rsidRPr="005762E6" w14:paraId="5BC4EF6D"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312FFA8" w14:textId="77777777" w:rsidR="00B44564" w:rsidRPr="005762E6" w:rsidRDefault="00B44564" w:rsidP="00EA69AA">
            <w:pPr>
              <w:spacing w:after="120" w:line="240" w:lineRule="auto"/>
              <w:contextualSpacing/>
              <w:rPr>
                <w:sz w:val="20"/>
                <w:szCs w:val="20"/>
              </w:rPr>
            </w:pPr>
            <w:r w:rsidRPr="005762E6">
              <w:rPr>
                <w:sz w:val="20"/>
                <w:szCs w:val="20"/>
              </w:rPr>
              <w:lastRenderedPageBreak/>
              <w:t>540</w:t>
            </w:r>
          </w:p>
        </w:tc>
        <w:tc>
          <w:tcPr>
            <w:tcW w:w="0" w:type="auto"/>
            <w:tcBorders>
              <w:top w:val="single" w:sz="6" w:space="0" w:color="auto"/>
              <w:left w:val="single" w:sz="6" w:space="0" w:color="auto"/>
              <w:bottom w:val="single" w:sz="6" w:space="0" w:color="auto"/>
              <w:right w:val="single" w:sz="6" w:space="0" w:color="auto"/>
            </w:tcBorders>
          </w:tcPr>
          <w:p w14:paraId="4AE69C88"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C0FF8B5" w14:textId="2EEBE2FB" w:rsidR="00B44564" w:rsidRPr="005762E6" w:rsidRDefault="00B44564" w:rsidP="00EA69AA">
            <w:pPr>
              <w:spacing w:after="120" w:line="240" w:lineRule="auto"/>
              <w:contextualSpacing/>
              <w:rPr>
                <w:sz w:val="20"/>
                <w:szCs w:val="20"/>
              </w:rPr>
            </w:pPr>
            <w:r w:rsidRPr="005762E6">
              <w:rPr>
                <w:sz w:val="20"/>
                <w:szCs w:val="20"/>
              </w:rPr>
              <w:t xml:space="preserve">Miranda R </w:t>
            </w:r>
            <w:proofErr w:type="gramStart"/>
            <w:r w:rsidRPr="005762E6">
              <w:rPr>
                <w:sz w:val="20"/>
                <w:szCs w:val="20"/>
              </w:rPr>
              <w:t>Jones,​</w:t>
            </w:r>
            <w:proofErr w:type="gramEnd"/>
            <w:r w:rsidRPr="005762E6">
              <w:rPr>
                <w:sz w:val="20"/>
                <w:szCs w:val="20"/>
              </w:rPr>
              <w:t xml:space="preserve"> Benjamin J Apelberg,​ Jonathan M Samet,​ Ana Navas-Acien Smoking,​ menthol cigarettes,​ and peripheral artery disease in U.S. adults</w:t>
            </w:r>
            <w:r w:rsidR="007F2F01">
              <w:rPr>
                <w:sz w:val="20"/>
                <w:szCs w:val="20"/>
              </w:rPr>
              <w:t>.</w:t>
            </w:r>
            <w:r w:rsidRPr="005762E6">
              <w:rPr>
                <w:sz w:val="20"/>
                <w:szCs w:val="20"/>
              </w:rPr>
              <w:t xml:space="preserve"> Nicotine &amp; tobacco research : official journal of the Society for Research on Nicotine and Tobacco; 2013;15:1183.</w:t>
            </w:r>
            <w:r w:rsidRPr="005762E6">
              <w:rPr>
                <w:sz w:val="20"/>
                <w:szCs w:val="20"/>
              </w:rPr>
              <w:br/>
            </w:r>
            <w:r w:rsidRPr="005762E6">
              <w:rPr>
                <w:sz w:val="20"/>
                <w:szCs w:val="20"/>
              </w:rPr>
              <w:br/>
            </w:r>
            <w:r w:rsidRPr="005762E6">
              <w:rPr>
                <w:b/>
                <w:bCs/>
                <w:sz w:val="20"/>
                <w:szCs w:val="20"/>
              </w:rPr>
              <w:t>Keywords:</w:t>
            </w:r>
            <w:r w:rsidRPr="005762E6">
              <w:rPr>
                <w:sz w:val="20"/>
                <w:szCs w:val="20"/>
              </w:rPr>
              <w:br/>
              <w:t>Female,​Humans,​Menthol,​Middle Aged,​Odds Ratio,​*Peripheral Arterial Disease/ep [Epidemiology],​Peripheral Arterial Disease/eh [Ethnology],​*Peripheral Arterial Disease/et [Etiology],​Self-Report,​Smoking/ae [Adverse Effects],​*Smoking/ep [Epidemiology],​Smoking/eh [Ethnology],​Surveys and Questionnaires,​Tobacco Products,​United States/ep [Epidemiology]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Cigarette flavorings,​ with the exception of menthol,​ have been banned in the United States under the Family Smoking Prevention and Tobacco Control Act. Given the large number of menthol cigarette smokers in the United </w:t>
            </w:r>
            <w:proofErr w:type="gramStart"/>
            <w:r w:rsidRPr="005762E6">
              <w:rPr>
                <w:sz w:val="20"/>
                <w:szCs w:val="20"/>
              </w:rPr>
              <w:t>States,​</w:t>
            </w:r>
            <w:proofErr w:type="gramEnd"/>
            <w:r w:rsidRPr="005762E6">
              <w:rPr>
                <w:sz w:val="20"/>
                <w:szCs w:val="20"/>
              </w:rPr>
              <w:t xml:space="preserve"> we investigated whether cigarette type (nonmenthol or menthol) is associated with peripheral artery disease (PAD).,​ METHODS: The authors studied 5,​973 adults,​ 40 years of age and older,​ who participated in the National Health and Nutrition Examination Survey (NHANES) from 1999 to 2004. Smoking status and cigarette type were derived from self-reported questionnaires. PAD was defined as an ankle-brachial blood pressure index &lt;0.9 in at least 1 leg</w:t>
            </w:r>
            <w:proofErr w:type="gramStart"/>
            <w:r w:rsidRPr="005762E6">
              <w:rPr>
                <w:sz w:val="20"/>
                <w:szCs w:val="20"/>
              </w:rPr>
              <w:t>.,​</w:t>
            </w:r>
            <w:proofErr w:type="gramEnd"/>
            <w:r w:rsidRPr="005762E6">
              <w:rPr>
                <w:sz w:val="20"/>
                <w:szCs w:val="20"/>
              </w:rPr>
              <w:t xml:space="preserve"> RESULTS: Fifty percent of participants were never-smokers compared to 31%,​ 14%,​ and 5% of former,​ current nonmenthol,​ and current menthol cigarette smokers,​ respectively. The weighted prevalence of PAD in the study population was 5%. After multivariable </w:t>
            </w:r>
            <w:proofErr w:type="gramStart"/>
            <w:r w:rsidRPr="005762E6">
              <w:rPr>
                <w:sz w:val="20"/>
                <w:szCs w:val="20"/>
              </w:rPr>
              <w:t>adjustment,​</w:t>
            </w:r>
            <w:proofErr w:type="gramEnd"/>
            <w:r w:rsidRPr="005762E6">
              <w:rPr>
                <w:sz w:val="20"/>
                <w:szCs w:val="20"/>
              </w:rPr>
              <w:t xml:space="preserve"> the odds ratios for PAD were 1.44 (95% CI: 0.97,​ 2.15),​ 3.65 (95% CI: 1.57,​ 8.50),​ and 2.51 (95% CI: 1.09,​ 5.80) comparing former,​ current nonmenthol cigarette smokers,​ and current menthol cigarette smokers to never-smokers. The associations between smoking and PAD were similar for smokers of nonmenthol and menthol cigarettes (p value for heterogeneity = .59)</w:t>
            </w:r>
            <w:proofErr w:type="gramStart"/>
            <w:r w:rsidRPr="005762E6">
              <w:rPr>
                <w:sz w:val="20"/>
                <w:szCs w:val="20"/>
              </w:rPr>
              <w:t>.,​</w:t>
            </w:r>
            <w:proofErr w:type="gramEnd"/>
            <w:r w:rsidRPr="005762E6">
              <w:rPr>
                <w:sz w:val="20"/>
                <w:szCs w:val="20"/>
              </w:rPr>
              <w:t xml:space="preserve"> CONCLUSIONS: In a representative sample of the U.S. population,​ current use of both menthol and nonmenthol cigarettes was associated with increased prevalence of PAD,​ with no difference in risk between cigarette types.</w:t>
            </w:r>
          </w:p>
        </w:tc>
      </w:tr>
      <w:tr w:rsidR="00B44564" w:rsidRPr="005762E6" w14:paraId="46CC3388"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D2200DD" w14:textId="77777777" w:rsidR="00B44564" w:rsidRPr="005762E6" w:rsidRDefault="00B44564" w:rsidP="00EA69AA">
            <w:pPr>
              <w:spacing w:after="120" w:line="240" w:lineRule="auto"/>
              <w:contextualSpacing/>
              <w:rPr>
                <w:sz w:val="20"/>
                <w:szCs w:val="20"/>
              </w:rPr>
            </w:pPr>
            <w:r w:rsidRPr="005762E6">
              <w:rPr>
                <w:sz w:val="20"/>
                <w:szCs w:val="20"/>
              </w:rPr>
              <w:t>541</w:t>
            </w:r>
          </w:p>
        </w:tc>
        <w:tc>
          <w:tcPr>
            <w:tcW w:w="0" w:type="auto"/>
            <w:tcBorders>
              <w:top w:val="single" w:sz="6" w:space="0" w:color="auto"/>
              <w:left w:val="single" w:sz="6" w:space="0" w:color="auto"/>
              <w:bottom w:val="single" w:sz="6" w:space="0" w:color="auto"/>
              <w:right w:val="single" w:sz="6" w:space="0" w:color="auto"/>
            </w:tcBorders>
          </w:tcPr>
          <w:p w14:paraId="0C87F714"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71E771B" w14:textId="2A6F7587" w:rsidR="00B44564" w:rsidRPr="005762E6" w:rsidRDefault="00B44564" w:rsidP="00EA69AA">
            <w:pPr>
              <w:spacing w:after="120" w:line="240" w:lineRule="auto"/>
              <w:contextualSpacing/>
              <w:rPr>
                <w:sz w:val="20"/>
                <w:szCs w:val="20"/>
              </w:rPr>
            </w:pPr>
            <w:r w:rsidRPr="005762E6">
              <w:rPr>
                <w:sz w:val="20"/>
                <w:szCs w:val="20"/>
              </w:rPr>
              <w:t xml:space="preserve">Arthur L </w:t>
            </w:r>
            <w:proofErr w:type="gramStart"/>
            <w:r w:rsidRPr="005762E6">
              <w:rPr>
                <w:sz w:val="20"/>
                <w:szCs w:val="20"/>
              </w:rPr>
              <w:t>Brody,​</w:t>
            </w:r>
            <w:proofErr w:type="gramEnd"/>
            <w:r w:rsidRPr="005762E6">
              <w:rPr>
                <w:sz w:val="20"/>
                <w:szCs w:val="20"/>
              </w:rPr>
              <w:t xml:space="preserve"> Alexey G Mukhin,​ Jaime La Charite,​ Karen Ta,​ Judah Farahi,​ Catherine A Sugar,​ Michael S Mamoun,​ Evan Vellios,​ Meena Archie,​ Maggie Kozman,​ Jonathan Phuong,​ Franca Arlorio,​ Mark A Mandelkern Up-regulation of nicotinic acetylcholine receptors in menthol cigarette smokers</w:t>
            </w:r>
            <w:r w:rsidR="007F2F01">
              <w:rPr>
                <w:sz w:val="20"/>
                <w:szCs w:val="20"/>
              </w:rPr>
              <w:t>.</w:t>
            </w:r>
            <w:r w:rsidRPr="005762E6">
              <w:rPr>
                <w:sz w:val="20"/>
                <w:szCs w:val="20"/>
              </w:rPr>
              <w:t xml:space="preserve"> The international journal of </w:t>
            </w:r>
            <w:r w:rsidRPr="005762E6">
              <w:rPr>
                <w:sz w:val="20"/>
                <w:szCs w:val="20"/>
              </w:rPr>
              <w:lastRenderedPageBreak/>
              <w:t>neuropsychopharmacology; 2013;16:957.</w:t>
            </w:r>
            <w:r w:rsidRPr="005762E6">
              <w:rPr>
                <w:sz w:val="20"/>
                <w:szCs w:val="20"/>
              </w:rPr>
              <w:br/>
            </w:r>
            <w:r w:rsidRPr="005762E6">
              <w:rPr>
                <w:sz w:val="20"/>
                <w:szCs w:val="20"/>
              </w:rPr>
              <w:br/>
            </w:r>
            <w:r w:rsidRPr="005762E6">
              <w:rPr>
                <w:b/>
                <w:bCs/>
                <w:sz w:val="20"/>
                <w:szCs w:val="20"/>
              </w:rPr>
              <w:t>Keywords:</w:t>
            </w:r>
            <w:r w:rsidRPr="005762E6">
              <w:rPr>
                <w:sz w:val="20"/>
                <w:szCs w:val="20"/>
              </w:rPr>
              <w:br/>
              <w:t>Adult,​Analysis of Variance,​Azetidines/pd [Pharmacology],​*Brain/dg [Diagnostic Imaging],​Brain/de [Drug Effects],​Brain Mapping,​Female,​Fluorine Radioisotopes,​Humans,​Male,​*Menthol/ad [Administration &amp; Dosage],​Middle Aged,​Positron-Emission Tomography,​*Receptors,​ Nicotinic/me [Metabolism],​*Smoking/bl [Blood],​*Smoking/pa [Pathology],​*Up-Regulation/de [Drug Effects]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One-third of smokers primarily use menthol cigarettes and usage of these cigarettes leads to elevated serum nicotine levels and more difficulty quitting in standard treatment programmes. Previous brain imaging studies demonstrate that smoking (without regard to cigarette type) leads to up-regulation of </w:t>
            </w:r>
            <w:proofErr w:type="gramStart"/>
            <w:r w:rsidRPr="005762E6">
              <w:rPr>
                <w:sz w:val="20"/>
                <w:szCs w:val="20"/>
              </w:rPr>
              <w:t>beta(</w:t>
            </w:r>
            <w:proofErr w:type="gramEnd"/>
            <w:r w:rsidRPr="005762E6">
              <w:rPr>
                <w:sz w:val="20"/>
                <w:szCs w:val="20"/>
              </w:rPr>
              <w:t xml:space="preserve">2)*-containing nicotinic acetylcholine receptors (nAChRs). We sought to determine if menthol cigarette usage results in greater nAChR up-regulation than non-menthol cigarette usage. </w:t>
            </w:r>
            <w:proofErr w:type="gramStart"/>
            <w:r w:rsidRPr="005762E6">
              <w:rPr>
                <w:sz w:val="20"/>
                <w:szCs w:val="20"/>
              </w:rPr>
              <w:t>Altogether,​</w:t>
            </w:r>
            <w:proofErr w:type="gramEnd"/>
            <w:r w:rsidRPr="005762E6">
              <w:rPr>
                <w:sz w:val="20"/>
                <w:szCs w:val="20"/>
              </w:rPr>
              <w:t xml:space="preserve"> 114 participants (22 menthol cigarette smokers,​ 41 non-menthol cigarette smokers and 51 non-smokers) underwent positron emission tomography scanning using the alpha(4)beta(2)* nAChR radioligand 2-[(18)F]fluoro-A-85380 (2-FA). In comparing menthol to non-menthol cigarette </w:t>
            </w:r>
            <w:proofErr w:type="gramStart"/>
            <w:r w:rsidRPr="005762E6">
              <w:rPr>
                <w:sz w:val="20"/>
                <w:szCs w:val="20"/>
              </w:rPr>
              <w:t>smokers,​</w:t>
            </w:r>
            <w:proofErr w:type="gramEnd"/>
            <w:r w:rsidRPr="005762E6">
              <w:rPr>
                <w:sz w:val="20"/>
                <w:szCs w:val="20"/>
              </w:rPr>
              <w:t xml:space="preserve"> an overall test of 2-FA total volume of distribution values revealed a significant between-group difference,​ resulting from menthol smokers having 9-28% higher alpha(4)beta(2)* nAChR densities than non-menthol smokers across regions. In comparing the entire group of smokers to non-</w:t>
            </w:r>
            <w:proofErr w:type="gramStart"/>
            <w:r w:rsidRPr="005762E6">
              <w:rPr>
                <w:sz w:val="20"/>
                <w:szCs w:val="20"/>
              </w:rPr>
              <w:t>smokers,​</w:t>
            </w:r>
            <w:proofErr w:type="gramEnd"/>
            <w:r w:rsidRPr="005762E6">
              <w:rPr>
                <w:sz w:val="20"/>
                <w:szCs w:val="20"/>
              </w:rPr>
              <w:t xml:space="preserve"> an overall test revealed a significant between-group difference,​ resulting from smokers having higher alpha(4)beta(2)* nAChR levels in all regions studied (36-42%) other than thalamus (3%). Study results demonstrate that menthol smokers have greater up-regulation of nAChRs than non-menthol smokers. This difference is presumably related to higher nicotine exposure in menthol </w:t>
            </w:r>
            <w:proofErr w:type="gramStart"/>
            <w:r w:rsidRPr="005762E6">
              <w:rPr>
                <w:sz w:val="20"/>
                <w:szCs w:val="20"/>
              </w:rPr>
              <w:t>smokers,​</w:t>
            </w:r>
            <w:proofErr w:type="gramEnd"/>
            <w:r w:rsidRPr="005762E6">
              <w:rPr>
                <w:sz w:val="20"/>
                <w:szCs w:val="20"/>
              </w:rPr>
              <w:t xml:space="preserve"> although other mechanisms for menthol influencing receptor density are possible. These results provide additional information about the severity of menthol cigarette use and may help explain why these smokers have more trouble quitting in standard treatment programmes.</w:t>
            </w:r>
          </w:p>
        </w:tc>
      </w:tr>
      <w:tr w:rsidR="00B44564" w:rsidRPr="005762E6" w14:paraId="0C31C136"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2E1B163" w14:textId="77777777" w:rsidR="00B44564" w:rsidRPr="005762E6" w:rsidRDefault="00B44564" w:rsidP="00EA69AA">
            <w:pPr>
              <w:spacing w:after="120" w:line="240" w:lineRule="auto"/>
              <w:contextualSpacing/>
              <w:rPr>
                <w:sz w:val="20"/>
                <w:szCs w:val="20"/>
              </w:rPr>
            </w:pPr>
            <w:r w:rsidRPr="005762E6">
              <w:rPr>
                <w:sz w:val="20"/>
                <w:szCs w:val="20"/>
              </w:rPr>
              <w:lastRenderedPageBreak/>
              <w:t>543</w:t>
            </w:r>
          </w:p>
        </w:tc>
        <w:tc>
          <w:tcPr>
            <w:tcW w:w="0" w:type="auto"/>
            <w:tcBorders>
              <w:top w:val="single" w:sz="6" w:space="0" w:color="auto"/>
              <w:left w:val="single" w:sz="6" w:space="0" w:color="auto"/>
              <w:bottom w:val="single" w:sz="6" w:space="0" w:color="auto"/>
              <w:right w:val="single" w:sz="6" w:space="0" w:color="auto"/>
            </w:tcBorders>
          </w:tcPr>
          <w:p w14:paraId="475EF9A8"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19C81F1" w14:textId="10FC7451" w:rsidR="00B44564" w:rsidRPr="005762E6" w:rsidRDefault="00B44564" w:rsidP="00EA69AA">
            <w:pPr>
              <w:spacing w:after="120" w:line="240" w:lineRule="auto"/>
              <w:contextualSpacing/>
              <w:rPr>
                <w:sz w:val="20"/>
                <w:szCs w:val="20"/>
              </w:rPr>
            </w:pPr>
            <w:r w:rsidRPr="005762E6">
              <w:rPr>
                <w:sz w:val="20"/>
                <w:szCs w:val="20"/>
              </w:rPr>
              <w:t xml:space="preserve">V Blair </w:t>
            </w:r>
            <w:proofErr w:type="gramStart"/>
            <w:r w:rsidRPr="005762E6">
              <w:rPr>
                <w:sz w:val="20"/>
                <w:szCs w:val="20"/>
              </w:rPr>
              <w:t>Journigan,​</w:t>
            </w:r>
            <w:proofErr w:type="gramEnd"/>
            <w:r w:rsidRPr="005762E6">
              <w:rPr>
                <w:sz w:val="20"/>
                <w:szCs w:val="20"/>
              </w:rPr>
              <w:t xml:space="preserve"> Nurulain T Zaveri TRPM8 ion channel ligands for new therapeutic applications and as probes to study menthol pharmacology</w:t>
            </w:r>
            <w:r w:rsidR="007F2F01">
              <w:rPr>
                <w:sz w:val="20"/>
                <w:szCs w:val="20"/>
              </w:rPr>
              <w:t>.</w:t>
            </w:r>
            <w:r w:rsidRPr="005762E6">
              <w:rPr>
                <w:sz w:val="20"/>
                <w:szCs w:val="20"/>
              </w:rPr>
              <w:t xml:space="preserve"> Life sciences; 2013;92:425.</w:t>
            </w:r>
            <w:r w:rsidRPr="005762E6">
              <w:rPr>
                <w:sz w:val="20"/>
                <w:szCs w:val="20"/>
              </w:rPr>
              <w:br/>
            </w:r>
            <w:r w:rsidRPr="005762E6">
              <w:rPr>
                <w:sz w:val="20"/>
                <w:szCs w:val="20"/>
              </w:rPr>
              <w:br/>
            </w:r>
            <w:r w:rsidRPr="005762E6">
              <w:rPr>
                <w:b/>
                <w:bCs/>
                <w:sz w:val="20"/>
                <w:szCs w:val="20"/>
              </w:rPr>
              <w:t>Keywords:</w:t>
            </w:r>
            <w:r w:rsidRPr="005762E6">
              <w:rPr>
                <w:sz w:val="20"/>
                <w:szCs w:val="20"/>
              </w:rPr>
              <w:br/>
              <w:t>Animals,​Antineoplastic Agents/ch [Chemistry],​Antineoplastic Agents/pd [Pharmacology],​Cold Temperature,​Female,​Humans,​Inflammation/dt [Drug Therapy],​Ligands,​Male,​Menthol/aa [Analogs &amp; Derivatives],​Menthol/ch [Chemistry],​*Menthol/pd [Pharmacology],​Neuralgia/dt [Drug Therapy],​Prostatic Hyperplasia/dt [Drug Therapy],​Prostatic Hyperplasia/pa [Pathology],​Prostatic Neoplasms/dt [Drug Therapy],​Sensory Receptor Cells/ph [Physiology],​Smoking/ae [Adverse Effects],​TRPM Cation Channels/ag [Agonists],​TRPM Cation Channels/ai [Antagonists &amp; Inhibitors],​*TRPM Cation Channels/de [Drug Effects],​Thermosensing/ph [Physiology],​Urologic Diseases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Since the discovery of the TRPM8 gene in 2001,​ the TRPM8 ion channel,​ better known as the 'cold receptor' has been the target of a significant effort from the pharmaceutical industry to produce small-molecule agonists and antagonists of this receptor for various therapeutic applications ranging from cancer and urological disorders to the treatment of cold hypersensitivity and pain. </w:t>
            </w:r>
            <w:proofErr w:type="gramStart"/>
            <w:r w:rsidRPr="005762E6">
              <w:rPr>
                <w:sz w:val="20"/>
                <w:szCs w:val="20"/>
              </w:rPr>
              <w:t>Recently,​</w:t>
            </w:r>
            <w:proofErr w:type="gramEnd"/>
            <w:r w:rsidRPr="005762E6">
              <w:rPr>
                <w:sz w:val="20"/>
                <w:szCs w:val="20"/>
              </w:rPr>
              <w:t xml:space="preserve"> a number of clinical studies have implicated menthol,​ the natural ligand of TRPM8,​ in facilitating and maintaining cigarette smoking behavior,​ possibly through its counter-irritant effects. </w:t>
            </w:r>
            <w:proofErr w:type="gramStart"/>
            <w:r w:rsidRPr="005762E6">
              <w:rPr>
                <w:sz w:val="20"/>
                <w:szCs w:val="20"/>
              </w:rPr>
              <w:t>However,​</w:t>
            </w:r>
            <w:proofErr w:type="gramEnd"/>
            <w:r w:rsidRPr="005762E6">
              <w:rPr>
                <w:sz w:val="20"/>
                <w:szCs w:val="20"/>
              </w:rPr>
              <w:t xml:space="preserve"> a pharmacological link between menthol's action via TRPM8 and nicotine addiction has not been yet been investigated. This review gives an overview of reported small-molecule TRPM8 agonists and antagonists and discusses their efficacy in models of various disease states. These compounds may be useful pharmacological tools to investigate the effect of menthol on nicotine addiction. Copyright © 2012 Elsevier Inc. All rights reserved.</w:t>
            </w:r>
          </w:p>
        </w:tc>
      </w:tr>
      <w:tr w:rsidR="00B44564" w:rsidRPr="005762E6" w14:paraId="1F2271C0"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BCDF31B" w14:textId="77777777" w:rsidR="00B44564" w:rsidRPr="005762E6" w:rsidRDefault="00B44564" w:rsidP="00EA69AA">
            <w:pPr>
              <w:spacing w:after="120" w:line="240" w:lineRule="auto"/>
              <w:contextualSpacing/>
              <w:rPr>
                <w:sz w:val="20"/>
                <w:szCs w:val="20"/>
              </w:rPr>
            </w:pPr>
            <w:r w:rsidRPr="005762E6">
              <w:rPr>
                <w:sz w:val="20"/>
                <w:szCs w:val="20"/>
              </w:rPr>
              <w:t>544</w:t>
            </w:r>
          </w:p>
        </w:tc>
        <w:tc>
          <w:tcPr>
            <w:tcW w:w="0" w:type="auto"/>
            <w:tcBorders>
              <w:top w:val="single" w:sz="6" w:space="0" w:color="auto"/>
              <w:left w:val="single" w:sz="6" w:space="0" w:color="auto"/>
              <w:bottom w:val="single" w:sz="6" w:space="0" w:color="auto"/>
              <w:right w:val="single" w:sz="6" w:space="0" w:color="auto"/>
            </w:tcBorders>
          </w:tcPr>
          <w:p w14:paraId="56F43F6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3304DB8" w14:textId="40070AB6" w:rsidR="00B44564" w:rsidRPr="005762E6" w:rsidRDefault="00B44564" w:rsidP="00EA69AA">
            <w:pPr>
              <w:spacing w:after="120" w:line="240" w:lineRule="auto"/>
              <w:contextualSpacing/>
              <w:rPr>
                <w:sz w:val="20"/>
                <w:szCs w:val="20"/>
              </w:rPr>
            </w:pPr>
            <w:r w:rsidRPr="005762E6">
              <w:rPr>
                <w:sz w:val="20"/>
                <w:szCs w:val="20"/>
              </w:rPr>
              <w:t>Brian Rostron NNAL exposure by race and menthol cigarette use among U.S. smokers</w:t>
            </w:r>
            <w:r w:rsidR="007F2F01">
              <w:rPr>
                <w:sz w:val="20"/>
                <w:szCs w:val="20"/>
              </w:rPr>
              <w:t>.</w:t>
            </w:r>
            <w:r w:rsidRPr="005762E6">
              <w:rPr>
                <w:sz w:val="20"/>
                <w:szCs w:val="20"/>
              </w:rPr>
              <w:t xml:space="preserve"> Nicotine &amp; tobacco research : official journal of the Society for Research on Nicotine and Tobacco; 2013;15:950.</w:t>
            </w:r>
            <w:r w:rsidRPr="005762E6">
              <w:rPr>
                <w:sz w:val="20"/>
                <w:szCs w:val="20"/>
              </w:rPr>
              <w:br/>
            </w:r>
            <w:r w:rsidRPr="005762E6">
              <w:rPr>
                <w:sz w:val="20"/>
                <w:szCs w:val="20"/>
              </w:rPr>
              <w:br/>
            </w:r>
            <w:r w:rsidRPr="005762E6">
              <w:rPr>
                <w:b/>
                <w:bCs/>
                <w:sz w:val="20"/>
                <w:szCs w:val="20"/>
              </w:rPr>
              <w:t>Keywords:</w:t>
            </w:r>
            <w:r w:rsidRPr="005762E6">
              <w:rPr>
                <w:sz w:val="20"/>
                <w:szCs w:val="20"/>
              </w:rPr>
              <w:br/>
              <w:t>Adult,​African Continental Ancestry Group/sn [Statistics &amp; Numerical Data],​Biomarkers/an [Analysis],​</w:t>
            </w:r>
            <w:r w:rsidRPr="005762E6">
              <w:rPr>
                <w:sz w:val="20"/>
                <w:szCs w:val="20"/>
              </w:rPr>
              <w:lastRenderedPageBreak/>
              <w:t>*Carcinogens/me [Metabolism],​*Cotinine/bl [Blood],​Demography,​European Continental Ancestry Group/sn [Statistics &amp; Numerical Data],​Female,​Hispanic Americans/sn [Statistics &amp; Numerical Data],​Humans,​Male,​Menthol,​Middle Aged,​*Nicotine/me [Metabolism],​*Nitrosamines/me [Metabolism],​Nitrosamines/ur [Urine],​Nutrition Surveys,​*Pyridines/me [Metabolism],​Pyridines/ur [Urine],​*Smoking/ep [Epidemiology],​Smoking/eh [Ethnology],​Tobacco Products,​United States/ep [Epidemiology]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Researchers have recently suggested that nicotine and carcinogen exposure as measured by biomarkers such as cotinine and NNAL (4-(methylnitrosamino)-1-(3-pyridyl)-1-butanol) does not vary with cigarettes smoked per day (CPD) among Black smokers. Researchers have also suggested that nicotine exposure does not differ between menthol and nonmenthol smokers. In this </w:t>
            </w:r>
            <w:proofErr w:type="gramStart"/>
            <w:r w:rsidRPr="005762E6">
              <w:rPr>
                <w:sz w:val="20"/>
                <w:szCs w:val="20"/>
              </w:rPr>
              <w:t>study,​</w:t>
            </w:r>
            <w:proofErr w:type="gramEnd"/>
            <w:r w:rsidRPr="005762E6">
              <w:rPr>
                <w:sz w:val="20"/>
                <w:szCs w:val="20"/>
              </w:rPr>
              <w:t xml:space="preserve"> we examine NNAL exposure for U.S. smokers by race,​ CPD,​ and menthol cigarette use.,​ METHODS: We analyzed urinary NNAL concentrations for more than 1500 everyday smokers participating in the National Health and Nutrition Examination Survey from 2007-2010. For purposes of </w:t>
            </w:r>
            <w:proofErr w:type="gramStart"/>
            <w:r w:rsidRPr="005762E6">
              <w:rPr>
                <w:sz w:val="20"/>
                <w:szCs w:val="20"/>
              </w:rPr>
              <w:t>comparison,​</w:t>
            </w:r>
            <w:proofErr w:type="gramEnd"/>
            <w:r w:rsidRPr="005762E6">
              <w:rPr>
                <w:sz w:val="20"/>
                <w:szCs w:val="20"/>
              </w:rPr>
              <w:t xml:space="preserve"> we also analyzed serum cotinine concentrations for these smokers. We used linear regression analysis to estimate mean biomarker concentrations by CPD and race/ethnicity group and to examine the association between biomarker concentrations and menthol cigarette use by race/ethnicity </w:t>
            </w:r>
            <w:proofErr w:type="gramStart"/>
            <w:r w:rsidRPr="005762E6">
              <w:rPr>
                <w:sz w:val="20"/>
                <w:szCs w:val="20"/>
              </w:rPr>
              <w:t>group,​</w:t>
            </w:r>
            <w:proofErr w:type="gramEnd"/>
            <w:r w:rsidRPr="005762E6">
              <w:rPr>
                <w:sz w:val="20"/>
                <w:szCs w:val="20"/>
              </w:rPr>
              <w:t xml:space="preserve"> controlling for other demographic and smoking characteristics.,​ RESULTS: Biomarker concentrations increased with CPD for White,​ Black,​ and Hispanic smokers although NNAL concentrations leveled off for Black smokers at lower CPD levels compared with other smokers. Mean NNAL concentrations were lower among menthol smokers compared with nonmenthol smokers among smokers overall (beta = -0.</w:t>
            </w:r>
            <w:proofErr w:type="gramStart"/>
            <w:r w:rsidRPr="005762E6">
              <w:rPr>
                <w:sz w:val="20"/>
                <w:szCs w:val="20"/>
              </w:rPr>
              <w:t>165,​</w:t>
            </w:r>
            <w:proofErr w:type="gramEnd"/>
            <w:r w:rsidRPr="005762E6">
              <w:rPr>
                <w:sz w:val="20"/>
                <w:szCs w:val="20"/>
              </w:rPr>
              <w:t xml:space="preserve"> p = .032) and White smokers (beta = -0.207,​ p = .048).,​ CONCLUSIONS: We find evidence in national health survey data that nicotine and carcinogen exposure generally increases with CPD across race/ethnicity groups although the pattern of NNAL exposure differs by race/ethnicity group at high CPD levels. We also find evidence of differences in NNAL exposure for menthol smokers compared with nonmenthol smokers among smokers overall and White smokers.</w:t>
            </w:r>
          </w:p>
        </w:tc>
      </w:tr>
      <w:tr w:rsidR="00B44564" w:rsidRPr="005762E6" w14:paraId="02DA2DFB"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772876E" w14:textId="77777777" w:rsidR="00B44564" w:rsidRPr="005762E6" w:rsidRDefault="00B44564" w:rsidP="00EA69AA">
            <w:pPr>
              <w:spacing w:after="120" w:line="240" w:lineRule="auto"/>
              <w:contextualSpacing/>
              <w:rPr>
                <w:sz w:val="20"/>
                <w:szCs w:val="20"/>
              </w:rPr>
            </w:pPr>
            <w:r w:rsidRPr="005762E6">
              <w:rPr>
                <w:sz w:val="20"/>
                <w:szCs w:val="20"/>
              </w:rPr>
              <w:lastRenderedPageBreak/>
              <w:t>546</w:t>
            </w:r>
          </w:p>
        </w:tc>
        <w:tc>
          <w:tcPr>
            <w:tcW w:w="0" w:type="auto"/>
            <w:tcBorders>
              <w:top w:val="single" w:sz="6" w:space="0" w:color="auto"/>
              <w:left w:val="single" w:sz="6" w:space="0" w:color="auto"/>
              <w:bottom w:val="single" w:sz="6" w:space="0" w:color="auto"/>
              <w:right w:val="single" w:sz="6" w:space="0" w:color="auto"/>
            </w:tcBorders>
          </w:tcPr>
          <w:p w14:paraId="4FC22EAC"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78560A9" w14:textId="6932C64D" w:rsidR="00B44564" w:rsidRPr="005762E6" w:rsidRDefault="00B44564" w:rsidP="00EA69AA">
            <w:pPr>
              <w:spacing w:after="120" w:line="240" w:lineRule="auto"/>
              <w:contextualSpacing/>
              <w:rPr>
                <w:sz w:val="20"/>
                <w:szCs w:val="20"/>
              </w:rPr>
            </w:pPr>
            <w:r w:rsidRPr="005762E6">
              <w:rPr>
                <w:sz w:val="20"/>
                <w:szCs w:val="20"/>
              </w:rPr>
              <w:t xml:space="preserve">James </w:t>
            </w:r>
            <w:proofErr w:type="gramStart"/>
            <w:r w:rsidRPr="005762E6">
              <w:rPr>
                <w:sz w:val="20"/>
                <w:szCs w:val="20"/>
              </w:rPr>
              <w:t>Nonnemaker,​</w:t>
            </w:r>
            <w:proofErr w:type="gramEnd"/>
            <w:r w:rsidRPr="005762E6">
              <w:rPr>
                <w:sz w:val="20"/>
                <w:szCs w:val="20"/>
              </w:rPr>
              <w:t xml:space="preserve"> James Hersey,​ Ghada Homsi,​ Andrew Busey,​ Jane Allen,​ Donna Vallone Initiation with menthol cigarettes and youth smoking uptake</w:t>
            </w:r>
            <w:r w:rsidR="007F2F01">
              <w:rPr>
                <w:sz w:val="20"/>
                <w:szCs w:val="20"/>
              </w:rPr>
              <w:t>.</w:t>
            </w:r>
            <w:r w:rsidRPr="005762E6">
              <w:rPr>
                <w:sz w:val="20"/>
                <w:szCs w:val="20"/>
              </w:rPr>
              <w:t xml:space="preserve"> Addiction (Abingdon,​ England); 2013;108:171.</w:t>
            </w:r>
            <w:r w:rsidRPr="005762E6">
              <w:rPr>
                <w:sz w:val="20"/>
                <w:szCs w:val="20"/>
              </w:rPr>
              <w:br/>
            </w:r>
            <w:r w:rsidRPr="005762E6">
              <w:rPr>
                <w:sz w:val="20"/>
                <w:szCs w:val="20"/>
              </w:rPr>
              <w:br/>
            </w:r>
            <w:r w:rsidRPr="005762E6">
              <w:rPr>
                <w:b/>
                <w:bCs/>
                <w:sz w:val="20"/>
                <w:szCs w:val="20"/>
              </w:rPr>
              <w:t>Keywords:</w:t>
            </w:r>
            <w:r w:rsidRPr="005762E6">
              <w:rPr>
                <w:sz w:val="20"/>
                <w:szCs w:val="20"/>
              </w:rPr>
              <w:br/>
              <w:t>Adolescent,​Age Distribution,​Child,​Female,​*Flavoring Agents/ae [Adverse Effects],​Humans,​Longitudinal Studies,​Male,​*Menthol/ae [Adverse Effects],​Risk Factors,​Sex Distribution,​*Smoking/ae [Adverse Effects],​Smoking Cessation/px [Psychology],​Smoking Cessation/sn [Statistics &amp; Numerical Data],​*Tobacco Products/ae [Adverse Effects],​*Tobacco Use Disorder/et [Etiology],​United States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AIMS: We aimed to assess whether young people who first tried menthol cigarettes were at greater risk of becoming established smokers and dependent on nicotine than young people who started smoking non-menthol cigarettes.,​ DESIGN: Cohort study using data from the American Legacy Longitudinal Tobacco Use Reduction Study (ALLTURS),​ a three-wave longitudinal school-based survey of middle school and high school students. Regression methods were used to assess the association between initiation with menthol cigarettes on risk of transitioning to established smoking or quitting from a non-smoking state at baseline and on nicotine dependence score at wave 3.,​ SETTING: The study was conducted in 83 schools in seven communities and five states in the United States.,​ PARTICIPANTS: Analyses were restricted to youth who participated in all three waves of ALLTURS,​ were younger than age 17 at baseline,​ and had initiated smoking during waves 1 or 2 of the study.,​ MEASUREMENTS: Outcomes were indicators of a transition to established smoking or non-smoking from non-established smoking and a nicotine dependence score. The key explanatory variables were an indicator of initiation with menthol cigarettes and indicators for pattern of menthol use over time.,​ FINDINGS: Initiating smoking with menthol cigarettes was associated with progression to established smoking [odds ratio (OR) = 1.80,​ confidence interval (CI): 1.02-3.16] and higher levels of nicotine dependence (beta = 1.25,​ CI: 0.1-2.4).,​ CONCLUSION: Young people in the United States who start smoking menthol cigarettes are at greater risk of progression to regular smoking and nicotine dependence than are young people who start smoking non-menthol cigarettes. Copyright © 2012 The </w:t>
            </w:r>
            <w:proofErr w:type="gramStart"/>
            <w:r w:rsidRPr="005762E6">
              <w:rPr>
                <w:sz w:val="20"/>
                <w:szCs w:val="20"/>
              </w:rPr>
              <w:t>Authors,​</w:t>
            </w:r>
            <w:proofErr w:type="gramEnd"/>
            <w:r w:rsidRPr="005762E6">
              <w:rPr>
                <w:sz w:val="20"/>
                <w:szCs w:val="20"/>
              </w:rPr>
              <w:t xml:space="preserve"> Addiction © 2012 Society for the Study of Addiction.</w:t>
            </w:r>
          </w:p>
        </w:tc>
      </w:tr>
      <w:tr w:rsidR="00B44564" w:rsidRPr="005762E6" w14:paraId="692E0137"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722AFF5" w14:textId="77777777" w:rsidR="00B44564" w:rsidRPr="005762E6" w:rsidRDefault="00B44564" w:rsidP="00EA69AA">
            <w:pPr>
              <w:spacing w:after="120" w:line="240" w:lineRule="auto"/>
              <w:contextualSpacing/>
              <w:rPr>
                <w:sz w:val="20"/>
                <w:szCs w:val="20"/>
              </w:rPr>
            </w:pPr>
            <w:r w:rsidRPr="005762E6">
              <w:rPr>
                <w:sz w:val="20"/>
                <w:szCs w:val="20"/>
              </w:rPr>
              <w:lastRenderedPageBreak/>
              <w:t>550</w:t>
            </w:r>
          </w:p>
        </w:tc>
        <w:tc>
          <w:tcPr>
            <w:tcW w:w="0" w:type="auto"/>
            <w:tcBorders>
              <w:top w:val="single" w:sz="6" w:space="0" w:color="auto"/>
              <w:left w:val="single" w:sz="6" w:space="0" w:color="auto"/>
              <w:bottom w:val="single" w:sz="6" w:space="0" w:color="auto"/>
              <w:right w:val="single" w:sz="6" w:space="0" w:color="auto"/>
            </w:tcBorders>
          </w:tcPr>
          <w:p w14:paraId="58C4FF34"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87F5D61" w14:textId="5BEE5E2C" w:rsidR="00B44564" w:rsidRPr="005762E6" w:rsidRDefault="00B44564" w:rsidP="00EA69AA">
            <w:pPr>
              <w:spacing w:after="120" w:line="240" w:lineRule="auto"/>
              <w:contextualSpacing/>
              <w:rPr>
                <w:sz w:val="20"/>
                <w:szCs w:val="20"/>
              </w:rPr>
            </w:pPr>
            <w:r w:rsidRPr="005762E6">
              <w:rPr>
                <w:sz w:val="20"/>
                <w:szCs w:val="20"/>
              </w:rPr>
              <w:t xml:space="preserve">Joanne </w:t>
            </w:r>
            <w:proofErr w:type="gramStart"/>
            <w:r w:rsidRPr="005762E6">
              <w:rPr>
                <w:sz w:val="20"/>
                <w:szCs w:val="20"/>
              </w:rPr>
              <w:t>D'Silva,​</w:t>
            </w:r>
            <w:proofErr w:type="gramEnd"/>
            <w:r w:rsidRPr="005762E6">
              <w:rPr>
                <w:sz w:val="20"/>
                <w:szCs w:val="20"/>
              </w:rPr>
              <w:t xml:space="preserve"> Raymond G Boyle,​ Rebecca Lien,​ Peter Rode,​ Kolawole S Okuyemi Cessation outcomes among treatment-seeking menthol and nonmenthol smokers</w:t>
            </w:r>
            <w:r w:rsidR="007F2F01">
              <w:rPr>
                <w:sz w:val="20"/>
                <w:szCs w:val="20"/>
              </w:rPr>
              <w:t>.</w:t>
            </w:r>
            <w:r w:rsidRPr="005762E6">
              <w:rPr>
                <w:sz w:val="20"/>
                <w:szCs w:val="20"/>
              </w:rPr>
              <w:t xml:space="preserve"> American journal of preventive medicine; 2012;43:S242.</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Adolescent,​Adult,​African Americans/sn [Statistics &amp; Numerical Data],​Age Factors,​Aged,​Educational Status,​Female,​Follow-Up Studies,​Hotlines,​Humans,​Male,​*Menthol,​Middle Aged,​Motivation,​Sex Factors,​Smoking/ep [Epidemiology],​*Smoking Cessation/sn [Statistics &amp; Numerical Data],​*Smoking Prevention,​*Tobacco Products/sn [Statistics &amp; Numerical Data],​Tobacco Use Disorder/rh [Rehabilitation],​United States,​United States Food and Drug Administration,​Young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Menthol cigarettes account for 25% of the market in the U.S. The Food and Drug Administration currently is considering regulatory action on tobacco </w:t>
            </w:r>
            <w:proofErr w:type="gramStart"/>
            <w:r w:rsidRPr="005762E6">
              <w:rPr>
                <w:sz w:val="20"/>
                <w:szCs w:val="20"/>
              </w:rPr>
              <w:t>products,​</w:t>
            </w:r>
            <w:proofErr w:type="gramEnd"/>
            <w:r w:rsidRPr="005762E6">
              <w:rPr>
                <w:sz w:val="20"/>
                <w:szCs w:val="20"/>
              </w:rPr>
              <w:t xml:space="preserve"> including a ban on menthol cigarettes. With 39% of menthol smokers reporting that they would quit smoking if menthol cigarettes were </w:t>
            </w:r>
            <w:proofErr w:type="gramStart"/>
            <w:r w:rsidRPr="005762E6">
              <w:rPr>
                <w:sz w:val="20"/>
                <w:szCs w:val="20"/>
              </w:rPr>
              <w:t>banned,​</w:t>
            </w:r>
            <w:proofErr w:type="gramEnd"/>
            <w:r w:rsidRPr="005762E6">
              <w:rPr>
                <w:sz w:val="20"/>
                <w:szCs w:val="20"/>
              </w:rPr>
              <w:t xml:space="preserve"> there is a need to better understand whether existing cessation programs,​ such as quitlines,​ are serving menthol smokers.,​ PURPOSE: This study compared baseline characteristics and cessation outcomes of menthol and nonmenthol smokers who were seeking treatment through a quitline.,​ METHODS: Data were collected between September 2009 and July 2011 on 6257 participants. A random sample of eligible participants who registered for services between March 2010 and February 2011 was contacted for a follow-up survey 7 months post-registration (n=1147). Data were analyzed in 2011</w:t>
            </w:r>
            <w:proofErr w:type="gramStart"/>
            <w:r w:rsidRPr="005762E6">
              <w:rPr>
                <w:sz w:val="20"/>
                <w:szCs w:val="20"/>
              </w:rPr>
              <w:t>.,​</w:t>
            </w:r>
            <w:proofErr w:type="gramEnd"/>
            <w:r w:rsidRPr="005762E6">
              <w:rPr>
                <w:sz w:val="20"/>
                <w:szCs w:val="20"/>
              </w:rPr>
              <w:t xml:space="preserve"> RESULTS: Among participants,​ 18.7% of smokers reported using menthol cigarettes. Menthol smokers were more likely to be </w:t>
            </w:r>
            <w:proofErr w:type="gramStart"/>
            <w:r w:rsidRPr="005762E6">
              <w:rPr>
                <w:sz w:val="20"/>
                <w:szCs w:val="20"/>
              </w:rPr>
              <w:t>female,​</w:t>
            </w:r>
            <w:proofErr w:type="gramEnd"/>
            <w:r w:rsidRPr="005762E6">
              <w:rPr>
                <w:sz w:val="20"/>
                <w:szCs w:val="20"/>
              </w:rPr>
              <w:t xml:space="preserve"> younger,​ African-American,​ and have less than a high school education. Menthol smokers who called the quitline were slightly less likely to enroll in services than nonmenthol smokers (92.2% vs 94.8</w:t>
            </w:r>
            <w:proofErr w:type="gramStart"/>
            <w:r w:rsidRPr="005762E6">
              <w:rPr>
                <w:sz w:val="20"/>
                <w:szCs w:val="20"/>
              </w:rPr>
              <w:t>%,​</w:t>
            </w:r>
            <w:proofErr w:type="gramEnd"/>
            <w:r w:rsidRPr="005762E6">
              <w:rPr>
                <w:sz w:val="20"/>
                <w:szCs w:val="20"/>
              </w:rPr>
              <w:t xml:space="preserve"> p&lt;0.001). </w:t>
            </w:r>
            <w:proofErr w:type="gramStart"/>
            <w:r w:rsidRPr="005762E6">
              <w:rPr>
                <w:sz w:val="20"/>
                <w:szCs w:val="20"/>
              </w:rPr>
              <w:t>However,​</w:t>
            </w:r>
            <w:proofErr w:type="gramEnd"/>
            <w:r w:rsidRPr="005762E6">
              <w:rPr>
                <w:sz w:val="20"/>
                <w:szCs w:val="20"/>
              </w:rPr>
              <w:t xml:space="preserve"> for those that did enroll,​ there were no significant differences in self-reported intent-to-treat 30-day point prevalence abstinence rates between menthol and nonmenthol smokers (17.3% vs 13.8%,​ p=0.191).,​ CONCLUSIONS: Quitlines appear to be adequately serving menthol smokers who call for help. Cessation outcomes for menthol smokers are comparable to nonmenthol smokers. </w:t>
            </w:r>
            <w:proofErr w:type="gramStart"/>
            <w:r w:rsidRPr="005762E6">
              <w:rPr>
                <w:sz w:val="20"/>
                <w:szCs w:val="20"/>
              </w:rPr>
              <w:t>However,​</w:t>
            </w:r>
            <w:proofErr w:type="gramEnd"/>
            <w:r w:rsidRPr="005762E6">
              <w:rPr>
                <w:sz w:val="20"/>
                <w:szCs w:val="20"/>
              </w:rPr>
              <w:t xml:space="preserve"> if a menthol ban motivates many menthol smokers to quit,​ quitlines may have to increase their capacity to meet the increase in demand. Copyright © 2012 American Journal of Preventive Medicine. Published by Elsevier Inc. All rights reserved.</w:t>
            </w:r>
          </w:p>
        </w:tc>
      </w:tr>
      <w:tr w:rsidR="00B44564" w:rsidRPr="005762E6" w14:paraId="2FE11FF6"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4F196EA" w14:textId="77777777" w:rsidR="00B44564" w:rsidRPr="005762E6" w:rsidRDefault="00B44564" w:rsidP="00EA69AA">
            <w:pPr>
              <w:spacing w:after="120" w:line="240" w:lineRule="auto"/>
              <w:contextualSpacing/>
              <w:rPr>
                <w:sz w:val="20"/>
                <w:szCs w:val="20"/>
              </w:rPr>
            </w:pPr>
            <w:r w:rsidRPr="005762E6">
              <w:rPr>
                <w:sz w:val="20"/>
                <w:szCs w:val="20"/>
              </w:rPr>
              <w:t>551</w:t>
            </w:r>
          </w:p>
        </w:tc>
        <w:tc>
          <w:tcPr>
            <w:tcW w:w="0" w:type="auto"/>
            <w:tcBorders>
              <w:top w:val="single" w:sz="6" w:space="0" w:color="auto"/>
              <w:left w:val="single" w:sz="6" w:space="0" w:color="auto"/>
              <w:bottom w:val="single" w:sz="6" w:space="0" w:color="auto"/>
              <w:right w:val="single" w:sz="6" w:space="0" w:color="auto"/>
            </w:tcBorders>
          </w:tcPr>
          <w:p w14:paraId="6337531E"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C7C8402" w14:textId="629FB4E5" w:rsidR="00B44564" w:rsidRPr="005762E6" w:rsidRDefault="00B44564" w:rsidP="00EA69AA">
            <w:pPr>
              <w:spacing w:after="120" w:line="240" w:lineRule="auto"/>
              <w:contextualSpacing/>
              <w:rPr>
                <w:sz w:val="20"/>
                <w:szCs w:val="20"/>
              </w:rPr>
            </w:pPr>
            <w:r w:rsidRPr="005762E6">
              <w:rPr>
                <w:sz w:val="20"/>
                <w:szCs w:val="20"/>
              </w:rPr>
              <w:t xml:space="preserve">Louise </w:t>
            </w:r>
            <w:proofErr w:type="gramStart"/>
            <w:r w:rsidRPr="005762E6">
              <w:rPr>
                <w:sz w:val="20"/>
                <w:szCs w:val="20"/>
              </w:rPr>
              <w:t>Marsh,​</w:t>
            </w:r>
            <w:proofErr w:type="gramEnd"/>
            <w:r w:rsidRPr="005762E6">
              <w:rPr>
                <w:sz w:val="20"/>
                <w:szCs w:val="20"/>
              </w:rPr>
              <w:t xml:space="preserve"> Rob McGee,​ Andrew Gray A refreshing poison: one-quarter of young New Zealand smokers choose menthol</w:t>
            </w:r>
            <w:r w:rsidR="007F2F01">
              <w:rPr>
                <w:sz w:val="20"/>
                <w:szCs w:val="20"/>
              </w:rPr>
              <w:t>.</w:t>
            </w:r>
            <w:r w:rsidRPr="005762E6">
              <w:rPr>
                <w:sz w:val="20"/>
                <w:szCs w:val="20"/>
              </w:rPr>
              <w:t xml:space="preserve"> Australian and New Zealand journal of public health; </w:t>
            </w:r>
            <w:proofErr w:type="gramStart"/>
            <w:r w:rsidRPr="005762E6">
              <w:rPr>
                <w:sz w:val="20"/>
                <w:szCs w:val="20"/>
              </w:rPr>
              <w:t>2012;36:495</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Adolescent,​*Adolescent Behavior,​*Choice Behavior,​Female,​Health Surveys,​Humans,​Linear Models,​Logistic Models,​Male,​*Menthol/ad [Administration &amp; Dosage],​New Zealand/ep [Epidemiology],​Prevalence,​Risk-Taking,​Sex Distribution,​*Smoking/ep [Epidemiology],​Smoking/px [Psychology],​Smoking Cessation/sn [Statistics &amp; Numerical Data],​Tobacco Use Disorder/ep [Epidemiology]</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58A7E8A5"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A93F509" w14:textId="77777777" w:rsidR="00B44564" w:rsidRPr="005762E6" w:rsidRDefault="00B44564" w:rsidP="00EA69AA">
            <w:pPr>
              <w:spacing w:after="120" w:line="240" w:lineRule="auto"/>
              <w:contextualSpacing/>
              <w:rPr>
                <w:sz w:val="20"/>
                <w:szCs w:val="20"/>
              </w:rPr>
            </w:pPr>
            <w:r w:rsidRPr="005762E6">
              <w:rPr>
                <w:sz w:val="20"/>
                <w:szCs w:val="20"/>
              </w:rPr>
              <w:t>552</w:t>
            </w:r>
          </w:p>
        </w:tc>
        <w:tc>
          <w:tcPr>
            <w:tcW w:w="0" w:type="auto"/>
            <w:tcBorders>
              <w:top w:val="single" w:sz="6" w:space="0" w:color="auto"/>
              <w:left w:val="single" w:sz="6" w:space="0" w:color="auto"/>
              <w:bottom w:val="single" w:sz="6" w:space="0" w:color="auto"/>
              <w:right w:val="single" w:sz="6" w:space="0" w:color="auto"/>
            </w:tcBorders>
          </w:tcPr>
          <w:p w14:paraId="492C3DD9"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14D9708" w14:textId="23EB9926" w:rsidR="00B44564" w:rsidRPr="005762E6" w:rsidRDefault="00B44564" w:rsidP="00EA69AA">
            <w:pPr>
              <w:spacing w:after="120" w:line="240" w:lineRule="auto"/>
              <w:contextualSpacing/>
              <w:rPr>
                <w:sz w:val="20"/>
                <w:szCs w:val="20"/>
              </w:rPr>
            </w:pPr>
            <w:r w:rsidRPr="005762E6">
              <w:rPr>
                <w:sz w:val="20"/>
                <w:szCs w:val="20"/>
              </w:rPr>
              <w:t xml:space="preserve">Jennifer L </w:t>
            </w:r>
            <w:proofErr w:type="gramStart"/>
            <w:r w:rsidRPr="005762E6">
              <w:rPr>
                <w:sz w:val="20"/>
                <w:szCs w:val="20"/>
              </w:rPr>
              <w:t>Pearson,​</w:t>
            </w:r>
            <w:proofErr w:type="gramEnd"/>
            <w:r w:rsidRPr="005762E6">
              <w:rPr>
                <w:sz w:val="20"/>
                <w:szCs w:val="20"/>
              </w:rPr>
              <w:t xml:space="preserve"> David B Abrams,​ Raymond S Niaura,​ Amanda Richardson,​ Donna M Vallone A ban on menthol cigarettes: impact on public opinion and smokers' intention to quit</w:t>
            </w:r>
            <w:r w:rsidR="007F2F01">
              <w:rPr>
                <w:sz w:val="20"/>
                <w:szCs w:val="20"/>
              </w:rPr>
              <w:t>.</w:t>
            </w:r>
            <w:r w:rsidRPr="005762E6">
              <w:rPr>
                <w:sz w:val="20"/>
                <w:szCs w:val="20"/>
              </w:rPr>
              <w:t xml:space="preserve"> American journal of public health; 2012;102:e107.</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Adolescent,​Adult,​Data Collection,​Educational Status,​Female,​Humans,​Male,​Menthol,​Middle Aged,​*Public Opinion,​Smoking/px [Psychology],​*Smoking Cessation/px [Psychology],​*Tobacco Products,​United States,​United States Food and Drug Administration,​Young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OBJECTIVES: We assessed support for a ban by the Food and Drug Administration on menthol in cigarettes and behavioral intentions among menthol smokers in the event of such a ban.,​ METHODS: We surveyed 2649 never,​ former,​ and current smokers and used ordinal logistic regression to calculate weighted </w:t>
            </w:r>
            <w:r w:rsidRPr="005762E6">
              <w:rPr>
                <w:sz w:val="20"/>
                <w:szCs w:val="20"/>
              </w:rPr>
              <w:lastRenderedPageBreak/>
              <w:t xml:space="preserve">point estimates and predictors of support for a menthol ban among the adult population and menthol smokers only. For menthol </w:t>
            </w:r>
            <w:proofErr w:type="gramStart"/>
            <w:r w:rsidRPr="005762E6">
              <w:rPr>
                <w:sz w:val="20"/>
                <w:szCs w:val="20"/>
              </w:rPr>
              <w:t>smokers,​</w:t>
            </w:r>
            <w:proofErr w:type="gramEnd"/>
            <w:r w:rsidRPr="005762E6">
              <w:rPr>
                <w:sz w:val="20"/>
                <w:szCs w:val="20"/>
              </w:rPr>
              <w:t xml:space="preserve"> we also calculated weighted point estimates and predictors of behavioral intentions.,​ RESULTS: Overall,​ 28.2% of adults opposed,​ 20.0% supported,​ and 51.9% lacked a strong opinion about a menthol ban. Support was highest among Hispanics (36.4%</w:t>
            </w:r>
            <w:proofErr w:type="gramStart"/>
            <w:r w:rsidRPr="005762E6">
              <w:rPr>
                <w:sz w:val="20"/>
                <w:szCs w:val="20"/>
              </w:rPr>
              <w:t>),​</w:t>
            </w:r>
            <w:proofErr w:type="gramEnd"/>
            <w:r w:rsidRPr="005762E6">
              <w:rPr>
                <w:sz w:val="20"/>
                <w:szCs w:val="20"/>
              </w:rPr>
              <w:t xml:space="preserve"> African Americans (29.0%),​ never smokers (26.8%),​ and respondents with less than a high school education (28.8%). Nearly 40% of menthol smokers said they would quit if menthol cigarettes were no longer </w:t>
            </w:r>
            <w:proofErr w:type="gramStart"/>
            <w:r w:rsidRPr="005762E6">
              <w:rPr>
                <w:sz w:val="20"/>
                <w:szCs w:val="20"/>
              </w:rPr>
              <w:t>available,​</w:t>
            </w:r>
            <w:proofErr w:type="gramEnd"/>
            <w:r w:rsidRPr="005762E6">
              <w:rPr>
                <w:sz w:val="20"/>
                <w:szCs w:val="20"/>
              </w:rPr>
              <w:t xml:space="preserve"> 12.5% would switch to a nonmenthol brand,​ and 25.2% would both switch and try to quit.,​ CONCLUSIONS: Support for a menthol ban is strongest among populations with the highest prevalence of menthol cigarette use. A menthol ban might motivate many menthol smokers to quit.</w:t>
            </w:r>
          </w:p>
        </w:tc>
      </w:tr>
      <w:tr w:rsidR="00B44564" w:rsidRPr="005762E6" w14:paraId="1E907310"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C94DA82" w14:textId="77777777" w:rsidR="00B44564" w:rsidRPr="005762E6" w:rsidRDefault="00B44564" w:rsidP="00EA69AA">
            <w:pPr>
              <w:spacing w:after="120" w:line="240" w:lineRule="auto"/>
              <w:contextualSpacing/>
              <w:rPr>
                <w:sz w:val="20"/>
                <w:szCs w:val="20"/>
              </w:rPr>
            </w:pPr>
            <w:r w:rsidRPr="005762E6">
              <w:rPr>
                <w:sz w:val="20"/>
                <w:szCs w:val="20"/>
              </w:rPr>
              <w:lastRenderedPageBreak/>
              <w:t>554</w:t>
            </w:r>
          </w:p>
        </w:tc>
        <w:tc>
          <w:tcPr>
            <w:tcW w:w="0" w:type="auto"/>
            <w:tcBorders>
              <w:top w:val="single" w:sz="6" w:space="0" w:color="auto"/>
              <w:left w:val="single" w:sz="6" w:space="0" w:color="auto"/>
              <w:bottom w:val="single" w:sz="6" w:space="0" w:color="auto"/>
              <w:right w:val="single" w:sz="6" w:space="0" w:color="auto"/>
            </w:tcBorders>
          </w:tcPr>
          <w:p w14:paraId="358F7B87"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C82BCC3" w14:textId="205F061F" w:rsidR="00B44564" w:rsidRPr="005762E6" w:rsidRDefault="00B44564" w:rsidP="00EA69AA">
            <w:pPr>
              <w:spacing w:after="120" w:line="240" w:lineRule="auto"/>
              <w:contextualSpacing/>
              <w:rPr>
                <w:sz w:val="20"/>
                <w:szCs w:val="20"/>
              </w:rPr>
            </w:pPr>
            <w:r w:rsidRPr="005762E6">
              <w:rPr>
                <w:sz w:val="20"/>
                <w:szCs w:val="20"/>
              </w:rPr>
              <w:t xml:space="preserve">Peter N </w:t>
            </w:r>
            <w:proofErr w:type="gramStart"/>
            <w:r w:rsidRPr="005762E6">
              <w:rPr>
                <w:sz w:val="20"/>
                <w:szCs w:val="20"/>
              </w:rPr>
              <w:t>Lee,​</w:t>
            </w:r>
            <w:proofErr w:type="gramEnd"/>
            <w:r w:rsidRPr="005762E6">
              <w:rPr>
                <w:sz w:val="20"/>
                <w:szCs w:val="20"/>
              </w:rPr>
              <w:t xml:space="preserve"> Barbara A Forey,​ Katharine J Coombs Systematic review with meta-analysis of the epidemiological evidence in the 1900s relating smoking to lung cancer</w:t>
            </w:r>
            <w:r w:rsidR="007F2F01">
              <w:rPr>
                <w:sz w:val="20"/>
                <w:szCs w:val="20"/>
              </w:rPr>
              <w:t>.</w:t>
            </w:r>
            <w:r w:rsidRPr="005762E6">
              <w:rPr>
                <w:sz w:val="20"/>
                <w:szCs w:val="20"/>
              </w:rPr>
              <w:t xml:space="preserve"> BMC cancer; </w:t>
            </w:r>
            <w:proofErr w:type="gramStart"/>
            <w:r w:rsidRPr="005762E6">
              <w:rPr>
                <w:sz w:val="20"/>
                <w:szCs w:val="20"/>
              </w:rPr>
              <w:t>2012;12:385</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Asia/ep [Epidemiology],​Epidemiologic Studies,​Europe/ep [Epidemiology],​Female,​History,​ 20th Century,​Humans,​*Lung Neoplasms/ep [Epidemiology],​*Lung Neoplasms/hi [History],​Male,​North America/ep [Epidemiology],​Risk,​*Smoking/ep [Epidemiology],​*Smoking/hi [History]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BACKGROUND: Smoking is a known lung cancer cause,​ but no detailed quantitative systematic review exists. We summarize evidence for various indices</w:t>
            </w:r>
            <w:proofErr w:type="gramStart"/>
            <w:r w:rsidRPr="005762E6">
              <w:rPr>
                <w:sz w:val="20"/>
                <w:szCs w:val="20"/>
              </w:rPr>
              <w:t>.,​</w:t>
            </w:r>
            <w:proofErr w:type="gramEnd"/>
            <w:r w:rsidRPr="005762E6">
              <w:rPr>
                <w:sz w:val="20"/>
                <w:szCs w:val="20"/>
              </w:rPr>
              <w:t xml:space="preserve"> METHODS: Papers published before 2000 describing epidemiological studies involving 100+ lung cancer cases were obtained from Medline and other sources. Studies were classified as </w:t>
            </w:r>
            <w:proofErr w:type="gramStart"/>
            <w:r w:rsidRPr="005762E6">
              <w:rPr>
                <w:sz w:val="20"/>
                <w:szCs w:val="20"/>
              </w:rPr>
              <w:t>principal,​</w:t>
            </w:r>
            <w:proofErr w:type="gramEnd"/>
            <w:r w:rsidRPr="005762E6">
              <w:rPr>
                <w:sz w:val="20"/>
                <w:szCs w:val="20"/>
              </w:rPr>
              <w:t xml:space="preserve"> or subsidiary where cases overlapped with principal studies. Data were extracted on </w:t>
            </w:r>
            <w:proofErr w:type="gramStart"/>
            <w:r w:rsidRPr="005762E6">
              <w:rPr>
                <w:sz w:val="20"/>
                <w:szCs w:val="20"/>
              </w:rPr>
              <w:t>design,​</w:t>
            </w:r>
            <w:proofErr w:type="gramEnd"/>
            <w:r w:rsidRPr="005762E6">
              <w:rPr>
                <w:sz w:val="20"/>
                <w:szCs w:val="20"/>
              </w:rPr>
              <w:t xml:space="preserve"> exposures,​ histological types and confounder adjustment. RRs/ORs and 95% CIs were extracted for </w:t>
            </w:r>
            <w:proofErr w:type="gramStart"/>
            <w:r w:rsidRPr="005762E6">
              <w:rPr>
                <w:sz w:val="20"/>
                <w:szCs w:val="20"/>
              </w:rPr>
              <w:t>ever,​</w:t>
            </w:r>
            <w:proofErr w:type="gramEnd"/>
            <w:r w:rsidRPr="005762E6">
              <w:rPr>
                <w:sz w:val="20"/>
                <w:szCs w:val="20"/>
              </w:rPr>
              <w:t xml:space="preserve"> current and ex smoking of cigarettes,​ pipes and cigars and indices of cigarette type and dose-response. Meta-analyses and meta-regressions investigated how relationships varied by study and RR </w:t>
            </w:r>
            <w:proofErr w:type="gramStart"/>
            <w:r w:rsidRPr="005762E6">
              <w:rPr>
                <w:sz w:val="20"/>
                <w:szCs w:val="20"/>
              </w:rPr>
              <w:t>characteristics,​</w:t>
            </w:r>
            <w:proofErr w:type="gramEnd"/>
            <w:r w:rsidRPr="005762E6">
              <w:rPr>
                <w:sz w:val="20"/>
                <w:szCs w:val="20"/>
              </w:rPr>
              <w:t xml:space="preserve"> mainly for outcomes exactly or closely equivalent to all lung cancer,​ squamous cell carcinoma ("squamous") and adenocarcinoma ("adeno").,​ RESULTS: 287 studies (20 subsidiary) were identified. Although RR estimates were markedly </w:t>
            </w:r>
            <w:proofErr w:type="gramStart"/>
            <w:r w:rsidRPr="005762E6">
              <w:rPr>
                <w:sz w:val="20"/>
                <w:szCs w:val="20"/>
              </w:rPr>
              <w:t>heterogeneous,​</w:t>
            </w:r>
            <w:proofErr w:type="gramEnd"/>
            <w:r w:rsidRPr="005762E6">
              <w:rPr>
                <w:sz w:val="20"/>
                <w:szCs w:val="20"/>
              </w:rPr>
              <w:t xml:space="preserve"> the meta-analyses demonstrated a relationship of smoking with lung cancer risk,​ clearly seen for ever smoking (random-effects RR 5.50,​ CI 5.07-5.96) current smoking (8.43,​ 7.63-9.31),​ ex smoking (4.30,​ 3.93-4.71) and pipe/cigar only smoking (2.92,​ 2.38-3.57). It was stronger for squamous (current smoking RR </w:t>
            </w:r>
            <w:proofErr w:type="gramStart"/>
            <w:r w:rsidRPr="005762E6">
              <w:rPr>
                <w:sz w:val="20"/>
                <w:szCs w:val="20"/>
              </w:rPr>
              <w:t>16.91,​</w:t>
            </w:r>
            <w:proofErr w:type="gramEnd"/>
            <w:r w:rsidRPr="005762E6">
              <w:rPr>
                <w:sz w:val="20"/>
                <w:szCs w:val="20"/>
              </w:rPr>
              <w:t xml:space="preserve"> 13.14-21.76) than adeno (4.21,​ 3.32-5.34),​ and evident in both sexes (RRs somewhat higher in males),​ all continents (RRs highest for North America and lowest for Asia,​ particularly China),​ and both study types (RRs higher for prospective studies). Relationships were somewhat stronger in later starting and larger studies. RR estimates were similar in cigarette only and mixed </w:t>
            </w:r>
            <w:proofErr w:type="gramStart"/>
            <w:r w:rsidRPr="005762E6">
              <w:rPr>
                <w:sz w:val="20"/>
                <w:szCs w:val="20"/>
              </w:rPr>
              <w:t>smokers,​</w:t>
            </w:r>
            <w:proofErr w:type="gramEnd"/>
            <w:r w:rsidRPr="005762E6">
              <w:rPr>
                <w:sz w:val="20"/>
                <w:szCs w:val="20"/>
              </w:rPr>
              <w:t xml:space="preserve"> and similar in smokers of pipes/cigars only,​ pipes only and cigars only. Exceptionally no increase in adeno risk was seen for pipe/cigar only smokers (</w:t>
            </w:r>
            <w:proofErr w:type="gramStart"/>
            <w:r w:rsidRPr="005762E6">
              <w:rPr>
                <w:sz w:val="20"/>
                <w:szCs w:val="20"/>
              </w:rPr>
              <w:t>0.93,​</w:t>
            </w:r>
            <w:proofErr w:type="gramEnd"/>
            <w:r w:rsidRPr="005762E6">
              <w:rPr>
                <w:sz w:val="20"/>
                <w:szCs w:val="20"/>
              </w:rPr>
              <w:t xml:space="preserve"> 0.62-1.40). RRs were unrelated to </w:t>
            </w:r>
            <w:proofErr w:type="gramStart"/>
            <w:r w:rsidRPr="005762E6">
              <w:rPr>
                <w:sz w:val="20"/>
                <w:szCs w:val="20"/>
              </w:rPr>
              <w:t>mentholation,​</w:t>
            </w:r>
            <w:proofErr w:type="gramEnd"/>
            <w:r w:rsidRPr="005762E6">
              <w:rPr>
                <w:sz w:val="20"/>
                <w:szCs w:val="20"/>
              </w:rPr>
              <w:t xml:space="preserve"> and higher for non-filter and handrolled cigarettes. RRs increased with amount </w:t>
            </w:r>
            <w:proofErr w:type="gramStart"/>
            <w:r w:rsidRPr="005762E6">
              <w:rPr>
                <w:sz w:val="20"/>
                <w:szCs w:val="20"/>
              </w:rPr>
              <w:t>smoked,​</w:t>
            </w:r>
            <w:proofErr w:type="gramEnd"/>
            <w:r w:rsidRPr="005762E6">
              <w:rPr>
                <w:sz w:val="20"/>
                <w:szCs w:val="20"/>
              </w:rPr>
              <w:t xml:space="preserve"> duration,​ earlier starting age,​ tar level and fraction smoked and decreased with time quit. Relationships were strongest for small and squamous </w:t>
            </w:r>
            <w:proofErr w:type="gramStart"/>
            <w:r w:rsidRPr="005762E6">
              <w:rPr>
                <w:sz w:val="20"/>
                <w:szCs w:val="20"/>
              </w:rPr>
              <w:t>cell,​</w:t>
            </w:r>
            <w:proofErr w:type="gramEnd"/>
            <w:r w:rsidRPr="005762E6">
              <w:rPr>
                <w:sz w:val="20"/>
                <w:szCs w:val="20"/>
              </w:rPr>
              <w:t xml:space="preserve"> intermediate for large cell and weakest for adenocarcinoma. Covariate-adjustment little affected RR estimates</w:t>
            </w:r>
            <w:proofErr w:type="gramStart"/>
            <w:r w:rsidRPr="005762E6">
              <w:rPr>
                <w:sz w:val="20"/>
                <w:szCs w:val="20"/>
              </w:rPr>
              <w:t>.,​</w:t>
            </w:r>
            <w:proofErr w:type="gramEnd"/>
            <w:r w:rsidRPr="005762E6">
              <w:rPr>
                <w:sz w:val="20"/>
                <w:szCs w:val="20"/>
              </w:rPr>
              <w:t xml:space="preserve"> CONCLUSIONS: The association of lung cancer with smoking is strong,​ evident for all lung cancer types,​ dose-related and insensitive to covariate-adjustment. This emphasises the causal nature of the relationship. Our results quantify the relationships more precisely than previously.</w:t>
            </w:r>
          </w:p>
        </w:tc>
      </w:tr>
      <w:tr w:rsidR="00B44564" w:rsidRPr="005762E6" w14:paraId="31EE711F"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69AE7B5" w14:textId="77777777" w:rsidR="00B44564" w:rsidRPr="005762E6" w:rsidRDefault="00B44564" w:rsidP="00EA69AA">
            <w:pPr>
              <w:spacing w:after="120" w:line="240" w:lineRule="auto"/>
              <w:contextualSpacing/>
              <w:rPr>
                <w:sz w:val="20"/>
                <w:szCs w:val="20"/>
              </w:rPr>
            </w:pPr>
            <w:r w:rsidRPr="005762E6">
              <w:rPr>
                <w:sz w:val="20"/>
                <w:szCs w:val="20"/>
              </w:rPr>
              <w:t>557</w:t>
            </w:r>
          </w:p>
        </w:tc>
        <w:tc>
          <w:tcPr>
            <w:tcW w:w="0" w:type="auto"/>
            <w:tcBorders>
              <w:top w:val="single" w:sz="6" w:space="0" w:color="auto"/>
              <w:left w:val="single" w:sz="6" w:space="0" w:color="auto"/>
              <w:bottom w:val="single" w:sz="6" w:space="0" w:color="auto"/>
              <w:right w:val="single" w:sz="6" w:space="0" w:color="auto"/>
            </w:tcBorders>
          </w:tcPr>
          <w:p w14:paraId="1FB7DBC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B763C26" w14:textId="787A9964" w:rsidR="00B44564" w:rsidRPr="005762E6" w:rsidRDefault="00B44564" w:rsidP="00EA69AA">
            <w:pPr>
              <w:spacing w:after="120" w:line="240" w:lineRule="auto"/>
              <w:contextualSpacing/>
              <w:rPr>
                <w:sz w:val="20"/>
                <w:szCs w:val="20"/>
              </w:rPr>
            </w:pPr>
            <w:r w:rsidRPr="005762E6">
              <w:rPr>
                <w:sz w:val="20"/>
                <w:szCs w:val="20"/>
              </w:rPr>
              <w:t>Alex Cabrera-</w:t>
            </w:r>
            <w:proofErr w:type="gramStart"/>
            <w:r w:rsidRPr="005762E6">
              <w:rPr>
                <w:sz w:val="20"/>
                <w:szCs w:val="20"/>
              </w:rPr>
              <w:t>Serrano,​</w:t>
            </w:r>
            <w:proofErr w:type="gramEnd"/>
            <w:r w:rsidRPr="005762E6">
              <w:rPr>
                <w:sz w:val="20"/>
                <w:szCs w:val="20"/>
              </w:rPr>
              <w:t xml:space="preserve"> Miriam V Ramos-Colon,​ Abraham Rivera-Alvarado,​ Antonio Cases-Rosario,​ Jessica Irizarry Ramos Descriptive profile of people with diabetes who use the Puerto Rico Quitline</w:t>
            </w:r>
            <w:r w:rsidR="007F2F01">
              <w:rPr>
                <w:sz w:val="20"/>
                <w:szCs w:val="20"/>
              </w:rPr>
              <w:t>.</w:t>
            </w:r>
            <w:r w:rsidRPr="005762E6">
              <w:rPr>
                <w:sz w:val="20"/>
                <w:szCs w:val="20"/>
              </w:rPr>
              <w:t xml:space="preserve"> Ethnicity &amp; disease; 2012;22:45.</w:t>
            </w:r>
            <w:r w:rsidRPr="005762E6">
              <w:rPr>
                <w:sz w:val="20"/>
                <w:szCs w:val="20"/>
              </w:rPr>
              <w:br/>
            </w:r>
            <w:r w:rsidRPr="005762E6">
              <w:rPr>
                <w:sz w:val="20"/>
                <w:szCs w:val="20"/>
              </w:rPr>
              <w:br/>
            </w:r>
            <w:r w:rsidRPr="005762E6">
              <w:rPr>
                <w:b/>
                <w:bCs/>
                <w:sz w:val="20"/>
                <w:szCs w:val="20"/>
              </w:rPr>
              <w:t>Keywords:</w:t>
            </w:r>
            <w:r w:rsidRPr="005762E6">
              <w:rPr>
                <w:sz w:val="20"/>
                <w:szCs w:val="20"/>
              </w:rPr>
              <w:br/>
              <w:t>Adult,​Aged,​Attitude to Health,​Chi-Square Distribution,​Counseling,​Cross-Sectional Studies,​*Diabetes Mellitus/ep [Epidemiology],​Female,​*Hotlines/ut [Utilization],​Humans,​Interviews as Topic,​Male,​Middle Aged,​Puerto Rico/ep [Epidemiology],​*Smoking Cessation/sn [Statistics &amp; Numerical Data],​Telephone</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OBJECTIVE: To provide a descriptive profile of the people with diabetes (PWD) who received the </w:t>
            </w:r>
            <w:r w:rsidRPr="005762E6">
              <w:rPr>
                <w:sz w:val="20"/>
                <w:szCs w:val="20"/>
              </w:rPr>
              <w:lastRenderedPageBreak/>
              <w:t xml:space="preserve">services of the Puerto Rico Quitline (PRQ) during 2008,​ compared to non-diabetic people (NDP) to establish a significant statistical difference.,​ METHODS: Using a cross-sectional study methodology,​ the Quitline database was analyzed. Ninety-four percent of the </w:t>
            </w:r>
            <w:proofErr w:type="gramStart"/>
            <w:r w:rsidRPr="005762E6">
              <w:rPr>
                <w:sz w:val="20"/>
                <w:szCs w:val="20"/>
              </w:rPr>
              <w:t>1,​</w:t>
            </w:r>
            <w:proofErr w:type="gramEnd"/>
            <w:r w:rsidRPr="005762E6">
              <w:rPr>
                <w:sz w:val="20"/>
                <w:szCs w:val="20"/>
              </w:rPr>
              <w:t xml:space="preserve">137 people who received the services of the PRQ during 2008 and completed all the interviews were included in the analysis. Frequency distributions and means calculation were performed to describe the PWD. Chi-square </w:t>
            </w:r>
            <w:proofErr w:type="gramStart"/>
            <w:r w:rsidRPr="005762E6">
              <w:rPr>
                <w:sz w:val="20"/>
                <w:szCs w:val="20"/>
              </w:rPr>
              <w:t>tests,​</w:t>
            </w:r>
            <w:proofErr w:type="gramEnd"/>
            <w:r w:rsidRPr="005762E6">
              <w:rPr>
                <w:sz w:val="20"/>
                <w:szCs w:val="20"/>
              </w:rPr>
              <w:t xml:space="preserve"> odds ratio,​ t test and 95% confidence intervals were calculated to identify statistically significant differences between the PWD and NDP.,​ RESULTS: Nearly 11 percent (10.9%) of the people who received the services of the PRQ during 2008 and completed all the interviews reported a diabetes diagnosis. Health conditions were reported by 95.7% of PWD vs. 62.3% of NDP (P &lt; .01). People with diabetes were more likely to have hypertension (P &lt; .01</w:t>
            </w:r>
            <w:proofErr w:type="gramStart"/>
            <w:r w:rsidRPr="005762E6">
              <w:rPr>
                <w:sz w:val="20"/>
                <w:szCs w:val="20"/>
              </w:rPr>
              <w:t>),​</w:t>
            </w:r>
            <w:proofErr w:type="gramEnd"/>
            <w:r w:rsidRPr="005762E6">
              <w:rPr>
                <w:sz w:val="20"/>
                <w:szCs w:val="20"/>
              </w:rPr>
              <w:t xml:space="preserve"> circulatory problems (P &lt; .01),​ and respiratory infections (P = .02) than NDP. They also reported a higher mean number of smoking years than the NDP (P &lt; .01</w:t>
            </w:r>
            <w:proofErr w:type="gramStart"/>
            <w:r w:rsidRPr="005762E6">
              <w:rPr>
                <w:sz w:val="20"/>
                <w:szCs w:val="20"/>
              </w:rPr>
              <w:t>),​</w:t>
            </w:r>
            <w:proofErr w:type="gramEnd"/>
            <w:r w:rsidRPr="005762E6">
              <w:rPr>
                <w:sz w:val="20"/>
                <w:szCs w:val="20"/>
              </w:rPr>
              <w:t xml:space="preserve"> but the PWD were less likely to use menthol cigarettes Sthan NDP (P =.01). A physician's recommendation is the only reason for trying to quit smoking with a statically significant difference between the PWD and the NDP (P = .02). The mean number of alcoholic beverages consumed per day for the PWD was 8 and for the NDP it was 5 (P &lt; .01)</w:t>
            </w:r>
            <w:proofErr w:type="gramStart"/>
            <w:r w:rsidRPr="005762E6">
              <w:rPr>
                <w:sz w:val="20"/>
                <w:szCs w:val="20"/>
              </w:rPr>
              <w:t>.,​</w:t>
            </w:r>
            <w:proofErr w:type="gramEnd"/>
            <w:r w:rsidRPr="005762E6">
              <w:rPr>
                <w:sz w:val="20"/>
                <w:szCs w:val="20"/>
              </w:rPr>
              <w:t xml:space="preserve"> CONCLUSION: This study provides important evidence that can help increase the chances of success in the smoking cessation process in the PWD who access the services of the Quitline program.</w:t>
            </w:r>
          </w:p>
        </w:tc>
      </w:tr>
      <w:tr w:rsidR="00B44564" w:rsidRPr="005762E6" w14:paraId="59379911"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3767AB8" w14:textId="77777777" w:rsidR="00B44564" w:rsidRPr="005762E6" w:rsidRDefault="00B44564" w:rsidP="00EA69AA">
            <w:pPr>
              <w:spacing w:after="120" w:line="240" w:lineRule="auto"/>
              <w:contextualSpacing/>
              <w:rPr>
                <w:sz w:val="20"/>
                <w:szCs w:val="20"/>
              </w:rPr>
            </w:pPr>
            <w:r w:rsidRPr="005762E6">
              <w:rPr>
                <w:sz w:val="20"/>
                <w:szCs w:val="20"/>
              </w:rPr>
              <w:lastRenderedPageBreak/>
              <w:t>560</w:t>
            </w:r>
          </w:p>
        </w:tc>
        <w:tc>
          <w:tcPr>
            <w:tcW w:w="0" w:type="auto"/>
            <w:tcBorders>
              <w:top w:val="single" w:sz="6" w:space="0" w:color="auto"/>
              <w:left w:val="single" w:sz="6" w:space="0" w:color="auto"/>
              <w:bottom w:val="single" w:sz="6" w:space="0" w:color="auto"/>
              <w:right w:val="single" w:sz="6" w:space="0" w:color="auto"/>
            </w:tcBorders>
          </w:tcPr>
          <w:p w14:paraId="134EB120"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CEDC8A7" w14:textId="125B9222" w:rsidR="00B44564" w:rsidRPr="005762E6" w:rsidRDefault="00B44564" w:rsidP="00EA69AA">
            <w:pPr>
              <w:spacing w:after="120" w:line="240" w:lineRule="auto"/>
              <w:contextualSpacing/>
              <w:rPr>
                <w:sz w:val="20"/>
                <w:szCs w:val="20"/>
              </w:rPr>
            </w:pPr>
            <w:r w:rsidRPr="005762E6">
              <w:rPr>
                <w:sz w:val="20"/>
                <w:szCs w:val="20"/>
              </w:rPr>
              <w:t xml:space="preserve">Andrea C </w:t>
            </w:r>
            <w:proofErr w:type="gramStart"/>
            <w:r w:rsidRPr="005762E6">
              <w:rPr>
                <w:sz w:val="20"/>
                <w:szCs w:val="20"/>
              </w:rPr>
              <w:t>Villanti,​</w:t>
            </w:r>
            <w:proofErr w:type="gramEnd"/>
            <w:r w:rsidRPr="005762E6">
              <w:rPr>
                <w:sz w:val="20"/>
                <w:szCs w:val="20"/>
              </w:rPr>
              <w:t xml:space="preserve"> Gary A Giovino,​ Dianne C Barker,​ Paul D Mowery,​ Varadan Sevilimedu,​ David B Abrams Menthol brand switching among adolescents and young adults in the National Youth Smoking Cessation Survey</w:t>
            </w:r>
            <w:r w:rsidR="007F2F01">
              <w:rPr>
                <w:sz w:val="20"/>
                <w:szCs w:val="20"/>
              </w:rPr>
              <w:t>.</w:t>
            </w:r>
            <w:r w:rsidRPr="005762E6">
              <w:rPr>
                <w:sz w:val="20"/>
                <w:szCs w:val="20"/>
              </w:rPr>
              <w:t xml:space="preserve"> American journal of public health; </w:t>
            </w:r>
            <w:proofErr w:type="gramStart"/>
            <w:r w:rsidRPr="005762E6">
              <w:rPr>
                <w:sz w:val="20"/>
                <w:szCs w:val="20"/>
              </w:rPr>
              <w:t>2012;102:1310</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Adolescent,​Age Factors,​Female,​Health Surveys,​Humans,​Male,​Menthol,​*Smoking/ep [Epidemiology],​*Smoking Cessation/sn [Statistics &amp; Numerical Data],​Young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This study examines patterns of menthol and nonmenthol cigarette use from 2003 to 2005 in a cohort of smokers,​ aged 16 to 24 years in the National Youth Smoking Cessation Survey. At follow-</w:t>
            </w:r>
            <w:proofErr w:type="gramStart"/>
            <w:r w:rsidRPr="005762E6">
              <w:rPr>
                <w:sz w:val="20"/>
                <w:szCs w:val="20"/>
              </w:rPr>
              <w:t>up,​</w:t>
            </w:r>
            <w:proofErr w:type="gramEnd"/>
            <w:r w:rsidRPr="005762E6">
              <w:rPr>
                <w:sz w:val="20"/>
                <w:szCs w:val="20"/>
              </w:rPr>
              <w:t xml:space="preserve"> 15.0% of baseline menthol smokers had switched to nonmentholated cigarettes; by contrast,​ 6.9% of baseline nonmenthol smokers had switched to mentholated cigarettes. Differences in switching patterns were evident by </w:t>
            </w:r>
            <w:proofErr w:type="gramStart"/>
            <w:r w:rsidRPr="005762E6">
              <w:rPr>
                <w:sz w:val="20"/>
                <w:szCs w:val="20"/>
              </w:rPr>
              <w:t>gender,​</w:t>
            </w:r>
            <w:proofErr w:type="gramEnd"/>
            <w:r w:rsidRPr="005762E6">
              <w:rPr>
                <w:sz w:val="20"/>
                <w:szCs w:val="20"/>
              </w:rPr>
              <w:t xml:space="preserve"> race/ethnicity,​ parental education,​ and smoking frequency. These data support previous evidence that young smokers start with mentholated cigarettes and progress to nonmentholated cigarettes.</w:t>
            </w:r>
          </w:p>
        </w:tc>
      </w:tr>
      <w:tr w:rsidR="00B44564" w:rsidRPr="005762E6" w14:paraId="08B0FB75"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4F7F851" w14:textId="77777777" w:rsidR="00B44564" w:rsidRPr="005762E6" w:rsidRDefault="00B44564" w:rsidP="00EA69AA">
            <w:pPr>
              <w:spacing w:after="120" w:line="240" w:lineRule="auto"/>
              <w:contextualSpacing/>
              <w:rPr>
                <w:sz w:val="20"/>
                <w:szCs w:val="20"/>
              </w:rPr>
            </w:pPr>
            <w:r w:rsidRPr="005762E6">
              <w:rPr>
                <w:sz w:val="20"/>
                <w:szCs w:val="20"/>
              </w:rPr>
              <w:t>561</w:t>
            </w:r>
          </w:p>
        </w:tc>
        <w:tc>
          <w:tcPr>
            <w:tcW w:w="0" w:type="auto"/>
            <w:tcBorders>
              <w:top w:val="single" w:sz="6" w:space="0" w:color="auto"/>
              <w:left w:val="single" w:sz="6" w:space="0" w:color="auto"/>
              <w:bottom w:val="single" w:sz="6" w:space="0" w:color="auto"/>
              <w:right w:val="single" w:sz="6" w:space="0" w:color="auto"/>
            </w:tcBorders>
          </w:tcPr>
          <w:p w14:paraId="77FE1EC7"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AEFB2F3" w14:textId="5E01DF1E" w:rsidR="00B44564" w:rsidRPr="005762E6" w:rsidRDefault="00B44564" w:rsidP="00EA69AA">
            <w:pPr>
              <w:spacing w:after="120" w:line="240" w:lineRule="auto"/>
              <w:contextualSpacing/>
              <w:rPr>
                <w:sz w:val="20"/>
                <w:szCs w:val="20"/>
              </w:rPr>
            </w:pPr>
            <w:r w:rsidRPr="005762E6">
              <w:rPr>
                <w:sz w:val="20"/>
                <w:szCs w:val="20"/>
              </w:rPr>
              <w:t>Nicholas T Vozoris Mentholated cigarettes and cardiovascular and pulmonary diseases: a population-based study</w:t>
            </w:r>
            <w:r w:rsidR="007F2F01">
              <w:rPr>
                <w:sz w:val="20"/>
                <w:szCs w:val="20"/>
              </w:rPr>
              <w:t>.</w:t>
            </w:r>
            <w:r w:rsidRPr="005762E6">
              <w:rPr>
                <w:sz w:val="20"/>
                <w:szCs w:val="20"/>
              </w:rPr>
              <w:t xml:space="preserve"> Archives of internal medicine; 2012;172:590.</w:t>
            </w:r>
            <w:r w:rsidRPr="005762E6">
              <w:rPr>
                <w:sz w:val="20"/>
                <w:szCs w:val="20"/>
              </w:rPr>
              <w:br/>
            </w:r>
            <w:r w:rsidRPr="005762E6">
              <w:rPr>
                <w:sz w:val="20"/>
                <w:szCs w:val="20"/>
              </w:rPr>
              <w:br/>
            </w:r>
            <w:r w:rsidRPr="005762E6">
              <w:rPr>
                <w:b/>
                <w:bCs/>
                <w:sz w:val="20"/>
                <w:szCs w:val="20"/>
              </w:rPr>
              <w:t>Keywords:</w:t>
            </w:r>
            <w:r w:rsidRPr="005762E6">
              <w:rPr>
                <w:sz w:val="20"/>
                <w:szCs w:val="20"/>
              </w:rPr>
              <w:br/>
              <w:t>Adult,​Aged,​Cardiovascular Diseases/ep [Epidemiology],​Cross-Sectional Studies,​Female,​Humans,​*Lung Diseases/ep [Epidemiology],​Lung Diseases/et [Etiology],​Male,​*Menthol,​Middle Aged,​Nutrition Surveys,​Odds Ratio,​Sex Distribution,​Sex Factors,​*Smoking/ae [Adverse Effects],​*Smoking/ep [Epidemiology],​*Stroke/ep [Epidemiology],​Stroke/et [Etiology],​United States/ep [Epidemiology]</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2A76D713"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8AB6FA1" w14:textId="77777777" w:rsidR="00B44564" w:rsidRPr="005762E6" w:rsidRDefault="00B44564" w:rsidP="00EA69AA">
            <w:pPr>
              <w:spacing w:after="120" w:line="240" w:lineRule="auto"/>
              <w:contextualSpacing/>
              <w:rPr>
                <w:sz w:val="20"/>
                <w:szCs w:val="20"/>
              </w:rPr>
            </w:pPr>
            <w:r w:rsidRPr="005762E6">
              <w:rPr>
                <w:sz w:val="20"/>
                <w:szCs w:val="20"/>
              </w:rPr>
              <w:t>562</w:t>
            </w:r>
          </w:p>
        </w:tc>
        <w:tc>
          <w:tcPr>
            <w:tcW w:w="0" w:type="auto"/>
            <w:tcBorders>
              <w:top w:val="single" w:sz="6" w:space="0" w:color="auto"/>
              <w:left w:val="single" w:sz="6" w:space="0" w:color="auto"/>
              <w:bottom w:val="single" w:sz="6" w:space="0" w:color="auto"/>
              <w:right w:val="single" w:sz="6" w:space="0" w:color="auto"/>
            </w:tcBorders>
          </w:tcPr>
          <w:p w14:paraId="33E628D7"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FB9802C" w14:textId="08D967A8" w:rsidR="00B44564" w:rsidRPr="005762E6" w:rsidRDefault="00B44564" w:rsidP="00EA69AA">
            <w:pPr>
              <w:spacing w:after="120" w:line="240" w:lineRule="auto"/>
              <w:contextualSpacing/>
              <w:rPr>
                <w:sz w:val="20"/>
                <w:szCs w:val="20"/>
              </w:rPr>
            </w:pPr>
            <w:r w:rsidRPr="005762E6">
              <w:rPr>
                <w:sz w:val="20"/>
                <w:szCs w:val="20"/>
              </w:rPr>
              <w:t xml:space="preserve">Joshua E </w:t>
            </w:r>
            <w:proofErr w:type="gramStart"/>
            <w:r w:rsidRPr="005762E6">
              <w:rPr>
                <w:sz w:val="20"/>
                <w:szCs w:val="20"/>
              </w:rPr>
              <w:t>Muscat,​</w:t>
            </w:r>
            <w:proofErr w:type="gramEnd"/>
            <w:r w:rsidRPr="005762E6">
              <w:rPr>
                <w:sz w:val="20"/>
                <w:szCs w:val="20"/>
              </w:rPr>
              <w:t xml:space="preserve"> Hsiao-Pin Liu,​ Steven D Stellman,​ John P Jr Richie Menthol smoking in relation to time to first cigarette and cotinine: results from a community-based study</w:t>
            </w:r>
            <w:r w:rsidR="007F2F01">
              <w:rPr>
                <w:sz w:val="20"/>
                <w:szCs w:val="20"/>
              </w:rPr>
              <w:t>.</w:t>
            </w:r>
            <w:r w:rsidRPr="005762E6">
              <w:rPr>
                <w:sz w:val="20"/>
                <w:szCs w:val="20"/>
              </w:rPr>
              <w:t xml:space="preserve"> Regulatory toxicology and pharmacology : RTP; 2012;63:166.</w:t>
            </w:r>
            <w:r w:rsidRPr="005762E6">
              <w:rPr>
                <w:sz w:val="20"/>
                <w:szCs w:val="20"/>
              </w:rPr>
              <w:br/>
            </w:r>
            <w:r w:rsidRPr="005762E6">
              <w:rPr>
                <w:sz w:val="20"/>
                <w:szCs w:val="20"/>
              </w:rPr>
              <w:br/>
            </w:r>
            <w:r w:rsidRPr="005762E6">
              <w:rPr>
                <w:b/>
                <w:bCs/>
                <w:sz w:val="20"/>
                <w:szCs w:val="20"/>
              </w:rPr>
              <w:t>Keywords:</w:t>
            </w:r>
            <w:r w:rsidRPr="005762E6">
              <w:rPr>
                <w:sz w:val="20"/>
                <w:szCs w:val="20"/>
              </w:rPr>
              <w:br/>
              <w:t>Adult,​African Continental Ancestry Group,​*Behavior,​ Addictive/bl [Blood],​*Cotinine/bl [Blood],​Cross-Sectional Studies,​European Continental Ancestry Group,​Female,​Humans,​Male,​*Menthol,​*Smoking/bl [Blood],​Smoking/px [Psychology],​Time Factors,​*Tobacco Use Disorder/bl [Blood],​Tobacco Use Disorder/px [Psychology],​Young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Smokers who have their first cigarette shortly after waking,​ an indicator of nicotine dependence,​ have substantially higher cotinine levels. There is controversy regarding the role of menthol in nicotine </w:t>
            </w:r>
            <w:r w:rsidRPr="005762E6">
              <w:rPr>
                <w:sz w:val="20"/>
                <w:szCs w:val="20"/>
              </w:rPr>
              <w:lastRenderedPageBreak/>
              <w:t>dependence. We hypothesized that menthol smokers have a shorter time to first cigarette (TTFC</w:t>
            </w:r>
            <w:proofErr w:type="gramStart"/>
            <w:r w:rsidRPr="005762E6">
              <w:rPr>
                <w:sz w:val="20"/>
                <w:szCs w:val="20"/>
              </w:rPr>
              <w:t>),​</w:t>
            </w:r>
            <w:proofErr w:type="gramEnd"/>
            <w:r w:rsidRPr="005762E6">
              <w:rPr>
                <w:sz w:val="20"/>
                <w:szCs w:val="20"/>
              </w:rPr>
              <w:t xml:space="preserve"> and tested whether any statistical association actually reflects increased dependence by measuring nicotine uptake (e.g. cotinine) in the same group of smokers. A cross-sectional community-based study was conducted that included 495 black and white daily cigarette smokers. Results showed a trend between menthol smoking and a shorter TTFC (P &lt; 0.04 in blacks). Menthol was not an independent predictor of cotinine or an effect modifier with TTFC on cotinine levels in blacks and whites. These results show that while menthol in tobacco is associated with an indicator of nicotine dependence in </w:t>
            </w:r>
            <w:proofErr w:type="gramStart"/>
            <w:r w:rsidRPr="005762E6">
              <w:rPr>
                <w:sz w:val="20"/>
                <w:szCs w:val="20"/>
              </w:rPr>
              <w:t>blacks,​</w:t>
            </w:r>
            <w:proofErr w:type="gramEnd"/>
            <w:r w:rsidRPr="005762E6">
              <w:rPr>
                <w:sz w:val="20"/>
                <w:szCs w:val="20"/>
              </w:rPr>
              <w:t xml:space="preserve"> menthol was not associated with biological uptake of nicotine in black and white smokers. Copyright © 2012 Elsevier Inc. All rights reserved.</w:t>
            </w:r>
          </w:p>
        </w:tc>
      </w:tr>
      <w:tr w:rsidR="00B44564" w:rsidRPr="005762E6" w14:paraId="544F4A3A"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C25CB7F" w14:textId="77777777" w:rsidR="00B44564" w:rsidRPr="005762E6" w:rsidRDefault="00B44564" w:rsidP="00EA69AA">
            <w:pPr>
              <w:spacing w:after="120" w:line="240" w:lineRule="auto"/>
              <w:contextualSpacing/>
              <w:rPr>
                <w:sz w:val="20"/>
                <w:szCs w:val="20"/>
              </w:rPr>
            </w:pPr>
            <w:r w:rsidRPr="005762E6">
              <w:rPr>
                <w:sz w:val="20"/>
                <w:szCs w:val="20"/>
              </w:rPr>
              <w:lastRenderedPageBreak/>
              <w:t>563</w:t>
            </w:r>
          </w:p>
        </w:tc>
        <w:tc>
          <w:tcPr>
            <w:tcW w:w="0" w:type="auto"/>
            <w:tcBorders>
              <w:top w:val="single" w:sz="6" w:space="0" w:color="auto"/>
              <w:left w:val="single" w:sz="6" w:space="0" w:color="auto"/>
              <w:bottom w:val="single" w:sz="6" w:space="0" w:color="auto"/>
              <w:right w:val="single" w:sz="6" w:space="0" w:color="auto"/>
            </w:tcBorders>
          </w:tcPr>
          <w:p w14:paraId="40FC8793"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2E9F456" w14:textId="176A3EC6" w:rsidR="00B44564" w:rsidRPr="005762E6" w:rsidRDefault="00B44564" w:rsidP="00EA69AA">
            <w:pPr>
              <w:spacing w:after="120" w:line="240" w:lineRule="auto"/>
              <w:contextualSpacing/>
              <w:rPr>
                <w:sz w:val="20"/>
                <w:szCs w:val="20"/>
              </w:rPr>
            </w:pPr>
            <w:r w:rsidRPr="005762E6">
              <w:rPr>
                <w:sz w:val="20"/>
                <w:szCs w:val="20"/>
              </w:rPr>
              <w:t xml:space="preserve">Valerie M </w:t>
            </w:r>
            <w:proofErr w:type="gramStart"/>
            <w:r w:rsidRPr="005762E6">
              <w:rPr>
                <w:sz w:val="20"/>
                <w:szCs w:val="20"/>
              </w:rPr>
              <w:t>Kramlinger,​</w:t>
            </w:r>
            <w:proofErr w:type="gramEnd"/>
            <w:r w:rsidRPr="005762E6">
              <w:rPr>
                <w:sz w:val="20"/>
                <w:szCs w:val="20"/>
              </w:rPr>
              <w:t xml:space="preserve"> Linda B von Weymarn,​ Sharon E Murphy Inhibition and inactivation of cytochrome P450 2A6 and cytochrome P450 2A13 by menthofuran,​ beta-nicotyrine and menthol</w:t>
            </w:r>
            <w:r w:rsidR="007F2F01">
              <w:rPr>
                <w:sz w:val="20"/>
                <w:szCs w:val="20"/>
              </w:rPr>
              <w:t>.</w:t>
            </w:r>
            <w:r w:rsidRPr="005762E6">
              <w:rPr>
                <w:sz w:val="20"/>
                <w:szCs w:val="20"/>
              </w:rPr>
              <w:t xml:space="preserve"> Chemico-biological interactions; 2012;197:87.</w:t>
            </w:r>
            <w:r w:rsidRPr="005762E6">
              <w:rPr>
                <w:sz w:val="20"/>
                <w:szCs w:val="20"/>
              </w:rPr>
              <w:br/>
            </w:r>
            <w:r w:rsidRPr="005762E6">
              <w:rPr>
                <w:sz w:val="20"/>
                <w:szCs w:val="20"/>
              </w:rPr>
              <w:br/>
            </w:r>
            <w:r w:rsidRPr="005762E6">
              <w:rPr>
                <w:b/>
                <w:bCs/>
                <w:sz w:val="20"/>
                <w:szCs w:val="20"/>
              </w:rPr>
              <w:t>Keywords:</w:t>
            </w:r>
            <w:r w:rsidRPr="005762E6">
              <w:rPr>
                <w:sz w:val="20"/>
                <w:szCs w:val="20"/>
              </w:rPr>
              <w:br/>
              <w:t>*Aryl Hydrocarbon Hydroxylases/ai [Antagonists &amp; Inhibitors],​Aryl Hydrocarbon Hydroxylases/me [Metabolism],​Cytochrome P-450 CYP2A6,​Enzyme Activation/de [Drug Effects],​*Enzyme Inhibitors/pd [Pharmacology],​Heme/ch [Chemistry],​Heme/me [Metabolism],​*Menthol/pd [Pharmacology],​*Monoterpenes/pd [Pharmacology],​*Pyridines/pd [Pharmacology],​Tobacco/ch [Chemistry]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Nicotine is the primary addictive agent in tobacco products and is metabolized in humans by CYP2A6. Decreased CYP2A6 activity has been associated with decreased smoking. The extrahepatic </w:t>
            </w:r>
            <w:proofErr w:type="gramStart"/>
            <w:r w:rsidRPr="005762E6">
              <w:rPr>
                <w:sz w:val="20"/>
                <w:szCs w:val="20"/>
              </w:rPr>
              <w:t>enzyme,​</w:t>
            </w:r>
            <w:proofErr w:type="gramEnd"/>
            <w:r w:rsidRPr="005762E6">
              <w:rPr>
                <w:sz w:val="20"/>
                <w:szCs w:val="20"/>
              </w:rPr>
              <w:t xml:space="preserve"> CYP2A13 (94% identical to CYP2A6) also catalyzes the metabolism of nicotine,​ but is most noted for its role in the metabolic activation of the tobacco specific lung carcinogen,​ 4-(methylnitrosamino)-1-(3-pyridyl)-1-butanone (NNK). In this </w:t>
            </w:r>
            <w:proofErr w:type="gramStart"/>
            <w:r w:rsidRPr="005762E6">
              <w:rPr>
                <w:sz w:val="20"/>
                <w:szCs w:val="20"/>
              </w:rPr>
              <w:t>study,​</w:t>
            </w:r>
            <w:proofErr w:type="gramEnd"/>
            <w:r w:rsidRPr="005762E6">
              <w:rPr>
                <w:sz w:val="20"/>
                <w:szCs w:val="20"/>
              </w:rPr>
              <w:t xml:space="preserve"> the inhibition and potential inactivation of CYP2A6 and CYP2A13 by two tobacco constituents,​ 1-methyl-4-(3-pyridinyl) pyrrole (beta-nicotyrine) and (-)-menthol were characterized and compared to the potent mechanism based inactivator of CYP2A6,​ menthofuran. The effect of these compounds on CYP2A6 and CYP2A13 activity was significantly different. (-)-Menthol was a more efficient inhibitor of CYP2A13 than of CYP2A6 (</w:t>
            </w:r>
            <w:proofErr w:type="gramStart"/>
            <w:r w:rsidRPr="005762E6">
              <w:rPr>
                <w:sz w:val="20"/>
                <w:szCs w:val="20"/>
              </w:rPr>
              <w:t>KI,​</w:t>
            </w:r>
            <w:proofErr w:type="gramEnd"/>
            <w:r w:rsidRPr="005762E6">
              <w:rPr>
                <w:sz w:val="20"/>
                <w:szCs w:val="20"/>
              </w:rPr>
              <w:t xml:space="preserve"> 8.2 muM and 110 muM,​ respectively). beta-Nicotyrine was a potent inhibitor of CYP2A13 (</w:t>
            </w:r>
            <w:proofErr w:type="gramStart"/>
            <w:r w:rsidRPr="005762E6">
              <w:rPr>
                <w:sz w:val="20"/>
                <w:szCs w:val="20"/>
              </w:rPr>
              <w:t>KI,​</w:t>
            </w:r>
            <w:proofErr w:type="gramEnd"/>
            <w:r w:rsidRPr="005762E6">
              <w:rPr>
                <w:sz w:val="20"/>
                <w:szCs w:val="20"/>
              </w:rPr>
              <w:t xml:space="preserve"> 0.17 muM). Neither menthol nor beta-nicotyrine was an inactivator of CYP2A13. </w:t>
            </w:r>
            <w:proofErr w:type="gramStart"/>
            <w:r w:rsidRPr="005762E6">
              <w:rPr>
                <w:sz w:val="20"/>
                <w:szCs w:val="20"/>
              </w:rPr>
              <w:t>Whereas,​</w:t>
            </w:r>
            <w:proofErr w:type="gramEnd"/>
            <w:r w:rsidRPr="005762E6">
              <w:rPr>
                <w:sz w:val="20"/>
                <w:szCs w:val="20"/>
              </w:rPr>
              <w:t xml:space="preserve"> beta-nicotyrine was a mechanism based inactivator of CYP2A6 (KI(inact),​ 106 muM,​ kinact was 0.61 min(-1)). </w:t>
            </w:r>
            <w:proofErr w:type="gramStart"/>
            <w:r w:rsidRPr="005762E6">
              <w:rPr>
                <w:sz w:val="20"/>
                <w:szCs w:val="20"/>
              </w:rPr>
              <w:t>Similarly,​</w:t>
            </w:r>
            <w:proofErr w:type="gramEnd"/>
            <w:r w:rsidRPr="005762E6">
              <w:rPr>
                <w:sz w:val="20"/>
                <w:szCs w:val="20"/>
              </w:rPr>
              <w:t xml:space="preserve"> menthofuran,​ a potent mechanism based inactivator of CYP2A6 did not inactivate CYP2A13. Menthofuran was an inhibitor of CYPA13 (</w:t>
            </w:r>
            <w:proofErr w:type="gramStart"/>
            <w:r w:rsidRPr="005762E6">
              <w:rPr>
                <w:sz w:val="20"/>
                <w:szCs w:val="20"/>
              </w:rPr>
              <w:t>KI,​</w:t>
            </w:r>
            <w:proofErr w:type="gramEnd"/>
            <w:r w:rsidRPr="005762E6">
              <w:rPr>
                <w:sz w:val="20"/>
                <w:szCs w:val="20"/>
              </w:rPr>
              <w:t xml:space="preserve"> 1.24 muM). The inactivation of CYP2A6 by either beta-nicotyrine or menthofuran was not due to modification of the heme and was likely due to modification of the apo-protein. These studies suggest that beta-</w:t>
            </w:r>
            <w:proofErr w:type="gramStart"/>
            <w:r w:rsidRPr="005762E6">
              <w:rPr>
                <w:sz w:val="20"/>
                <w:szCs w:val="20"/>
              </w:rPr>
              <w:t>nicotyrine,​</w:t>
            </w:r>
            <w:proofErr w:type="gramEnd"/>
            <w:r w:rsidRPr="005762E6">
              <w:rPr>
                <w:sz w:val="20"/>
                <w:szCs w:val="20"/>
              </w:rPr>
              <w:t xml:space="preserve"> but not menthol may influence nicotine and NNK metabolism in smokers. Copyright © 2012 Elsevier Ireland Ltd. All rights reserved.</w:t>
            </w:r>
          </w:p>
        </w:tc>
      </w:tr>
      <w:tr w:rsidR="00B44564" w:rsidRPr="005762E6" w14:paraId="24B177CD"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0DF7BC0" w14:textId="77777777" w:rsidR="00B44564" w:rsidRPr="005762E6" w:rsidRDefault="00B44564" w:rsidP="00EA69AA">
            <w:pPr>
              <w:spacing w:after="120" w:line="240" w:lineRule="auto"/>
              <w:contextualSpacing/>
              <w:rPr>
                <w:sz w:val="20"/>
                <w:szCs w:val="20"/>
              </w:rPr>
            </w:pPr>
            <w:r w:rsidRPr="005762E6">
              <w:rPr>
                <w:sz w:val="20"/>
                <w:szCs w:val="20"/>
              </w:rPr>
              <w:t>564</w:t>
            </w:r>
          </w:p>
        </w:tc>
        <w:tc>
          <w:tcPr>
            <w:tcW w:w="0" w:type="auto"/>
            <w:tcBorders>
              <w:top w:val="single" w:sz="6" w:space="0" w:color="auto"/>
              <w:left w:val="single" w:sz="6" w:space="0" w:color="auto"/>
              <w:bottom w:val="single" w:sz="6" w:space="0" w:color="auto"/>
              <w:right w:val="single" w:sz="6" w:space="0" w:color="auto"/>
            </w:tcBorders>
          </w:tcPr>
          <w:p w14:paraId="189B1EB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1F5FB2C" w14:textId="61F6E1E2" w:rsidR="00B44564" w:rsidRPr="005762E6" w:rsidRDefault="00B44564" w:rsidP="00EA69AA">
            <w:pPr>
              <w:spacing w:after="120" w:line="240" w:lineRule="auto"/>
              <w:contextualSpacing/>
              <w:rPr>
                <w:sz w:val="20"/>
                <w:szCs w:val="20"/>
              </w:rPr>
            </w:pPr>
            <w:r w:rsidRPr="005762E6">
              <w:rPr>
                <w:sz w:val="20"/>
                <w:szCs w:val="20"/>
              </w:rPr>
              <w:t xml:space="preserve">Marielle C </w:t>
            </w:r>
            <w:proofErr w:type="gramStart"/>
            <w:r w:rsidRPr="005762E6">
              <w:rPr>
                <w:sz w:val="20"/>
                <w:szCs w:val="20"/>
              </w:rPr>
              <w:t>Brinkman,​</w:t>
            </w:r>
            <w:proofErr w:type="gramEnd"/>
            <w:r w:rsidRPr="005762E6">
              <w:rPr>
                <w:sz w:val="20"/>
                <w:szCs w:val="20"/>
              </w:rPr>
              <w:t xml:space="preserve"> Jane C Chuang,​ Sydney M Gordon,​ Hyoshin Kim,​ Robyn R Kroeger,​ Gregory M Polzin,​ Patricia A Richter Exposure to and deposition of fine and ultrafine particles in smokers of menthol and nonmenthol cigarettes</w:t>
            </w:r>
            <w:r w:rsidR="007F2F01">
              <w:rPr>
                <w:sz w:val="20"/>
                <w:szCs w:val="20"/>
              </w:rPr>
              <w:t>.</w:t>
            </w:r>
            <w:r w:rsidRPr="005762E6">
              <w:rPr>
                <w:sz w:val="20"/>
                <w:szCs w:val="20"/>
              </w:rPr>
              <w:t xml:space="preserve"> Inhalation toxicology; 2012;24:255.</w:t>
            </w:r>
            <w:r w:rsidRPr="005762E6">
              <w:rPr>
                <w:sz w:val="20"/>
                <w:szCs w:val="20"/>
              </w:rPr>
              <w:br/>
            </w:r>
            <w:r w:rsidRPr="005762E6">
              <w:rPr>
                <w:sz w:val="20"/>
                <w:szCs w:val="20"/>
              </w:rPr>
              <w:br/>
            </w:r>
            <w:r w:rsidRPr="005762E6">
              <w:rPr>
                <w:b/>
                <w:bCs/>
                <w:sz w:val="20"/>
                <w:szCs w:val="20"/>
              </w:rPr>
              <w:t>Keywords:</w:t>
            </w:r>
            <w:r w:rsidRPr="005762E6">
              <w:rPr>
                <w:sz w:val="20"/>
                <w:szCs w:val="20"/>
              </w:rPr>
              <w:br/>
              <w:t>Adult,​Biomarkers/ur [Urine],​Cross-Over Studies,​Female,​Humans,​*Inhalation Exposure/an [Analysis],​Male,​*Menthol,​Nicotine/an [Analysis],​Nitrosamines/an [Analysis],​Nitrosamines/ur [Urine],​Particle Size,​*Particulate Matter/an [Analysis],​Polycyclic Aromatic Hydrocarbons/ur [Urine],​*Smoke/an [Analysis],​*Smoking,​Tobacco,​Young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Research on the deposition of mainstream smoke particulate in the respiratory tract of smokers is needed to understand how exposure may vary based on cigarette menthol content.,​ METHODS: We conducted a nine-participant crossover study in which smokers were randomly assigned to cigarettes differing primarily in menthol content. Participants smoked the test cigarettes ad libitum for one </w:t>
            </w:r>
            <w:proofErr w:type="gramStart"/>
            <w:r w:rsidRPr="005762E6">
              <w:rPr>
                <w:sz w:val="20"/>
                <w:szCs w:val="20"/>
              </w:rPr>
              <w:t>week,​</w:t>
            </w:r>
            <w:proofErr w:type="gramEnd"/>
            <w:r w:rsidRPr="005762E6">
              <w:rPr>
                <w:sz w:val="20"/>
                <w:szCs w:val="20"/>
              </w:rPr>
              <w:t xml:space="preserve"> provided spot urine samples,​ and then smoked four test cigarettes in a laboratory session; this was repeated for the other test cigarette in week two. Fine and ultrafine particulate matter in exhaled breath were </w:t>
            </w:r>
            <w:proofErr w:type="gramStart"/>
            <w:r w:rsidRPr="005762E6">
              <w:rPr>
                <w:sz w:val="20"/>
                <w:szCs w:val="20"/>
              </w:rPr>
              <w:t>characterized,​</w:t>
            </w:r>
            <w:proofErr w:type="gramEnd"/>
            <w:r w:rsidRPr="005762E6">
              <w:rPr>
                <w:sz w:val="20"/>
                <w:szCs w:val="20"/>
              </w:rPr>
              <w:t xml:space="preserve"> and smoking behavior was monitored. Participant-specific mainstream </w:t>
            </w:r>
            <w:proofErr w:type="gramStart"/>
            <w:r w:rsidRPr="005762E6">
              <w:rPr>
                <w:sz w:val="20"/>
                <w:szCs w:val="20"/>
              </w:rPr>
              <w:t>smoke,​</w:t>
            </w:r>
            <w:proofErr w:type="gramEnd"/>
            <w:r w:rsidRPr="005762E6">
              <w:rPr>
                <w:sz w:val="20"/>
                <w:szCs w:val="20"/>
              </w:rPr>
              <w:t xml:space="preserve"> generated using each participant's topography data,​ was characterized. During home </w:t>
            </w:r>
            <w:proofErr w:type="gramStart"/>
            <w:r w:rsidRPr="005762E6">
              <w:rPr>
                <w:sz w:val="20"/>
                <w:szCs w:val="20"/>
              </w:rPr>
              <w:t>smoking,​</w:t>
            </w:r>
            <w:proofErr w:type="gramEnd"/>
            <w:r w:rsidRPr="005762E6">
              <w:rPr>
                <w:sz w:val="20"/>
                <w:szCs w:val="20"/>
              </w:rPr>
              <w:t xml:space="preserve"> participants collected </w:t>
            </w:r>
            <w:r w:rsidRPr="005762E6">
              <w:rPr>
                <w:sz w:val="20"/>
                <w:szCs w:val="20"/>
              </w:rPr>
              <w:lastRenderedPageBreak/>
              <w:t xml:space="preserve">their spent test cigarette butts for estimates of mouth-level exposures (MLE) to mainstream nicotine and 4-(methylnitrosamino)-1-(3-pyridyl)-1-butanone (NNK).,​ RESULTS: Participant-specific mainstream smoke NNK was higher (39%) and daily MLE to NNK was also higher (52%) when participants smoked the menthol cigarette. Nicotine was not significantly different. Participants retained more ultrafine particulate (43%) and fine particulate benzo(a)pyrene (43%) when smoking the menthol cigarette. There were no significant differences in the levels of urinary biomarkers for </w:t>
            </w:r>
            <w:proofErr w:type="gramStart"/>
            <w:r w:rsidRPr="005762E6">
              <w:rPr>
                <w:sz w:val="20"/>
                <w:szCs w:val="20"/>
              </w:rPr>
              <w:t>nicotine,​</w:t>
            </w:r>
            <w:proofErr w:type="gramEnd"/>
            <w:r w:rsidRPr="005762E6">
              <w:rPr>
                <w:sz w:val="20"/>
                <w:szCs w:val="20"/>
              </w:rPr>
              <w:t xml:space="preserve"> NNK,​ or pyrene.,​ CONCLUSION: This study demonstrates the use of noninvasive real-time techniques to measure exposure differences between cigarettes differing primarily in menthol content. Differences between NNK </w:t>
            </w:r>
            <w:proofErr w:type="gramStart"/>
            <w:r w:rsidRPr="005762E6">
              <w:rPr>
                <w:sz w:val="20"/>
                <w:szCs w:val="20"/>
              </w:rPr>
              <w:t>exposure,​</w:t>
            </w:r>
            <w:proofErr w:type="gramEnd"/>
            <w:r w:rsidRPr="005762E6">
              <w:rPr>
                <w:sz w:val="20"/>
                <w:szCs w:val="20"/>
              </w:rPr>
              <w:t xml:space="preserve"> ultrafine particle and benzo(a)pyrene deposition,​ and smoking behavior were observed. Additional research using these techniques with cigarettes that differ only in menthol content is required to unequivocally attribute the exposure differences to presence or absence of menthol.</w:t>
            </w:r>
          </w:p>
        </w:tc>
      </w:tr>
      <w:tr w:rsidR="00B44564" w:rsidRPr="005762E6" w14:paraId="2BEF7580"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74DC721" w14:textId="77777777" w:rsidR="00B44564" w:rsidRPr="005762E6" w:rsidRDefault="00B44564" w:rsidP="00EA69AA">
            <w:pPr>
              <w:spacing w:after="120" w:line="240" w:lineRule="auto"/>
              <w:contextualSpacing/>
              <w:rPr>
                <w:sz w:val="20"/>
                <w:szCs w:val="20"/>
              </w:rPr>
            </w:pPr>
            <w:r w:rsidRPr="005762E6">
              <w:rPr>
                <w:sz w:val="20"/>
                <w:szCs w:val="20"/>
              </w:rPr>
              <w:lastRenderedPageBreak/>
              <w:t>565</w:t>
            </w:r>
          </w:p>
        </w:tc>
        <w:tc>
          <w:tcPr>
            <w:tcW w:w="0" w:type="auto"/>
            <w:tcBorders>
              <w:top w:val="single" w:sz="6" w:space="0" w:color="auto"/>
              <w:left w:val="single" w:sz="6" w:space="0" w:color="auto"/>
              <w:bottom w:val="single" w:sz="6" w:space="0" w:color="auto"/>
              <w:right w:val="single" w:sz="6" w:space="0" w:color="auto"/>
            </w:tcBorders>
          </w:tcPr>
          <w:p w14:paraId="0DDD2268"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77DB0AB" w14:textId="57447E88" w:rsidR="00B44564" w:rsidRPr="005762E6" w:rsidRDefault="00B44564" w:rsidP="00EA69AA">
            <w:pPr>
              <w:spacing w:after="120" w:line="240" w:lineRule="auto"/>
              <w:contextualSpacing/>
              <w:rPr>
                <w:sz w:val="20"/>
                <w:szCs w:val="20"/>
              </w:rPr>
            </w:pPr>
            <w:r w:rsidRPr="005762E6">
              <w:rPr>
                <w:sz w:val="20"/>
                <w:szCs w:val="20"/>
              </w:rPr>
              <w:t xml:space="preserve">Richard J </w:t>
            </w:r>
            <w:proofErr w:type="gramStart"/>
            <w:r w:rsidRPr="005762E6">
              <w:rPr>
                <w:sz w:val="20"/>
                <w:szCs w:val="20"/>
              </w:rPr>
              <w:t>O'Connor,​</w:t>
            </w:r>
            <w:proofErr w:type="gramEnd"/>
            <w:r w:rsidRPr="005762E6">
              <w:rPr>
                <w:sz w:val="20"/>
                <w:szCs w:val="20"/>
              </w:rPr>
              <w:t xml:space="preserve"> Maansi Bansal-Travers,​ Lawrence P Carter,​ K Michael Cummings What would menthol smokers do if menthol in cigarettes were banned? Behavioral intentions and simulated demand</w:t>
            </w:r>
            <w:r w:rsidR="007F2F01">
              <w:rPr>
                <w:sz w:val="20"/>
                <w:szCs w:val="20"/>
              </w:rPr>
              <w:t>.</w:t>
            </w:r>
            <w:r w:rsidRPr="005762E6">
              <w:rPr>
                <w:sz w:val="20"/>
                <w:szCs w:val="20"/>
              </w:rPr>
              <w:t xml:space="preserve"> Addiction (Abingdon,​ England); 2012;107:1330.</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Adolescent,​Adult,​Aged,​Commerce,​Economics,​ Behavioral,​Female,​Humans,​*Intention,​Male,​*Menthol,​Middle Aged,​Multivariate Analysis,​Smoking/ec [Economics],​*Smoking/lj [Legislation &amp; Jurisprudence],​Smoking/px [Psychology],​Smoking Cessation/px [Psychology],​United States,​Young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AIMS: The US Food and Drug Administration must consider whether to ban the use of menthol in cigarettes. This study examines how current smokers might respond to such a ban on menthol cigarettes</w:t>
            </w:r>
            <w:proofErr w:type="gramStart"/>
            <w:r w:rsidRPr="005762E6">
              <w:rPr>
                <w:sz w:val="20"/>
                <w:szCs w:val="20"/>
              </w:rPr>
              <w:t>.,​</w:t>
            </w:r>
            <w:proofErr w:type="gramEnd"/>
            <w:r w:rsidRPr="005762E6">
              <w:rPr>
                <w:sz w:val="20"/>
                <w:szCs w:val="20"/>
              </w:rPr>
              <w:t xml:space="preserve"> DESIGN: Convenience sample of adolescent and adult smokers recruited from an online survey panel.,​ SETTING: United States,​ 2010.,​ PARTICIPANTS: A total of 471 adolescent and adult current cigarette smokers.,​ MEASUREMENTS: Respondents were asked a series of questions about how they might react if menthol cigarettes were banned. In </w:t>
            </w:r>
            <w:proofErr w:type="gramStart"/>
            <w:r w:rsidRPr="005762E6">
              <w:rPr>
                <w:sz w:val="20"/>
                <w:szCs w:val="20"/>
              </w:rPr>
              <w:t>addition,​</w:t>
            </w:r>
            <w:proofErr w:type="gramEnd"/>
            <w:r w:rsidRPr="005762E6">
              <w:rPr>
                <w:sz w:val="20"/>
                <w:szCs w:val="20"/>
              </w:rPr>
              <w:t xml:space="preserve"> participants completed a simulation purchase task to estimate the demand for menthol and non-menthol cigarettes across a range of prices.,​ FINDINGS: Overall,​ 36.1% of respondents said they always (18.9%) or usually (17.2%) smoked menthol cigarettes. When asked how they might respond to a ban on menthol </w:t>
            </w:r>
            <w:proofErr w:type="gramStart"/>
            <w:r w:rsidRPr="005762E6">
              <w:rPr>
                <w:sz w:val="20"/>
                <w:szCs w:val="20"/>
              </w:rPr>
              <w:t>cigarettes,​</w:t>
            </w:r>
            <w:proofErr w:type="gramEnd"/>
            <w:r w:rsidRPr="005762E6">
              <w:rPr>
                <w:sz w:val="20"/>
                <w:szCs w:val="20"/>
              </w:rPr>
              <w:t xml:space="preserve"> 35% of current menthol smokers said they would stop smoking,​ and 25% said they would 'find a way to buy a menthol brand'. Those who reported they might quit tended to have greater current intentions to quit [odds ratio (OR) = 4.47</w:t>
            </w:r>
            <w:proofErr w:type="gramStart"/>
            <w:r w:rsidRPr="005762E6">
              <w:rPr>
                <w:sz w:val="20"/>
                <w:szCs w:val="20"/>
              </w:rPr>
              <w:t>],​</w:t>
            </w:r>
            <w:proofErr w:type="gramEnd"/>
            <w:r w:rsidRPr="005762E6">
              <w:rPr>
                <w:sz w:val="20"/>
                <w:szCs w:val="20"/>
              </w:rPr>
              <w:t xml:space="preserve"> while those who reported that they might seek illicit menthol cigarettes were far less likely to report current intentions to quit (OR = 0.06). Estimates for demand elasticity for preferred cigarette type were similar for menthol (alpha = 0.0051) and non-menthol (alpha = 0.0049) smokers. Demand elasticity and peak consumption were related to usual cigarette type and cigarettes smoked per </w:t>
            </w:r>
            <w:proofErr w:type="gramStart"/>
            <w:r w:rsidRPr="005762E6">
              <w:rPr>
                <w:sz w:val="20"/>
                <w:szCs w:val="20"/>
              </w:rPr>
              <w:t>day,​</w:t>
            </w:r>
            <w:proofErr w:type="gramEnd"/>
            <w:r w:rsidRPr="005762E6">
              <w:rPr>
                <w:sz w:val="20"/>
                <w:szCs w:val="20"/>
              </w:rPr>
              <w:t xml:space="preserve"> but did not appear to differ by race,​ gender or age.,​ CONCLUSIONS: Preliminary evidence suggests that a significant minority of smokers of menthol cigarettes in the United States would try to stop smoking altogether if such cigarettes were banned. Copyright © 2012 The </w:t>
            </w:r>
            <w:proofErr w:type="gramStart"/>
            <w:r w:rsidRPr="005762E6">
              <w:rPr>
                <w:sz w:val="20"/>
                <w:szCs w:val="20"/>
              </w:rPr>
              <w:t>Authors,​</w:t>
            </w:r>
            <w:proofErr w:type="gramEnd"/>
            <w:r w:rsidRPr="005762E6">
              <w:rPr>
                <w:sz w:val="20"/>
                <w:szCs w:val="20"/>
              </w:rPr>
              <w:t xml:space="preserve"> Addiction © 2012 Society for the Study of Addiction.</w:t>
            </w:r>
          </w:p>
        </w:tc>
      </w:tr>
      <w:tr w:rsidR="00B44564" w:rsidRPr="005762E6" w14:paraId="1C39A990"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C7B8033" w14:textId="77777777" w:rsidR="00B44564" w:rsidRPr="005762E6" w:rsidRDefault="00B44564" w:rsidP="00EA69AA">
            <w:pPr>
              <w:spacing w:after="120" w:line="240" w:lineRule="auto"/>
              <w:contextualSpacing/>
              <w:rPr>
                <w:sz w:val="20"/>
                <w:szCs w:val="20"/>
              </w:rPr>
            </w:pPr>
            <w:r w:rsidRPr="005762E6">
              <w:rPr>
                <w:sz w:val="20"/>
                <w:szCs w:val="20"/>
              </w:rPr>
              <w:t>569</w:t>
            </w:r>
          </w:p>
        </w:tc>
        <w:tc>
          <w:tcPr>
            <w:tcW w:w="0" w:type="auto"/>
            <w:tcBorders>
              <w:top w:val="single" w:sz="6" w:space="0" w:color="auto"/>
              <w:left w:val="single" w:sz="6" w:space="0" w:color="auto"/>
              <w:bottom w:val="single" w:sz="6" w:space="0" w:color="auto"/>
              <w:right w:val="single" w:sz="6" w:space="0" w:color="auto"/>
            </w:tcBorders>
          </w:tcPr>
          <w:p w14:paraId="48F1F00E"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4932687" w14:textId="79B702AA" w:rsidR="00B44564" w:rsidRPr="005762E6" w:rsidRDefault="00B44564" w:rsidP="00EA69AA">
            <w:pPr>
              <w:spacing w:after="120" w:line="240" w:lineRule="auto"/>
              <w:contextualSpacing/>
              <w:rPr>
                <w:sz w:val="20"/>
                <w:szCs w:val="20"/>
              </w:rPr>
            </w:pPr>
            <w:r w:rsidRPr="005762E6">
              <w:rPr>
                <w:sz w:val="20"/>
                <w:szCs w:val="20"/>
              </w:rPr>
              <w:t>Brian Rostron Lung cancer mortality risk for U.S. menthol cigarette smokers</w:t>
            </w:r>
            <w:r w:rsidR="007F2F01">
              <w:rPr>
                <w:sz w:val="20"/>
                <w:szCs w:val="20"/>
              </w:rPr>
              <w:t>.</w:t>
            </w:r>
            <w:r w:rsidRPr="005762E6">
              <w:rPr>
                <w:sz w:val="20"/>
                <w:szCs w:val="20"/>
              </w:rPr>
              <w:t xml:space="preserve"> Nicotine &amp; tobacco research : official journal of the Society for Research on Nicotine and Tobacco; 2012;14:1140.</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Adolescent,​Adult,​African Continental Ancestry Group/sn [Statistics &amp; Numerical Data],​Age Factors,​Aged,​Aged,​ 80 and over,​Cohort Studies,​Data Collection,​Demography,​European Continental Ancestry Group/sn [Statistics &amp; Numerical Data],​Female,​Follow-Up Studies,​Hispanic Americans/sn [Statistics &amp; Numerical Data],​Humans,​Lung Neoplasms/et [Etiology],​*Lung Neoplasms/mo [Mortality],​Male,​*Menthol,​Middle Aged,​Proportional Hazards Models,​Risk,​*Smoking/ae [Adverse Effects],​Socioeconomic Factors,​Survival Analysis,​*Tobacco Products/ae [Adverse Effects],​United States/ep [Epidemiology],​Young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The U.S. Food and Drug Administration is currently assessing the public health impact of menthol cigarettes. Results from a recent U.S. cohort </w:t>
            </w:r>
            <w:proofErr w:type="gramStart"/>
            <w:r w:rsidRPr="005762E6">
              <w:rPr>
                <w:sz w:val="20"/>
                <w:szCs w:val="20"/>
              </w:rPr>
              <w:t>study,​</w:t>
            </w:r>
            <w:proofErr w:type="gramEnd"/>
            <w:r w:rsidRPr="005762E6">
              <w:rPr>
                <w:sz w:val="20"/>
                <w:szCs w:val="20"/>
              </w:rPr>
              <w:t xml:space="preserve"> composed largely of Blacks and limited to 12 Southern states,​ found that menthol cigarette smokers had lower risks of lung cancer incidence and </w:t>
            </w:r>
            <w:r w:rsidRPr="005762E6">
              <w:rPr>
                <w:sz w:val="20"/>
                <w:szCs w:val="20"/>
              </w:rPr>
              <w:lastRenderedPageBreak/>
              <w:t xml:space="preserve">mortality than nonmenthol smokers.,​ METHODS: We conducted a survival analysis of current smokers from the 1987 National Health Interview Survey Cancer Control Supplement (n = 4,​832),​ followed for mortality through linkage with the National Death Index. We estimated mortality hazard ratios (HRs) for menthol smokers compared with nonmenthol </w:t>
            </w:r>
            <w:proofErr w:type="gramStart"/>
            <w:r w:rsidRPr="005762E6">
              <w:rPr>
                <w:sz w:val="20"/>
                <w:szCs w:val="20"/>
              </w:rPr>
              <w:t>smokers,​</w:t>
            </w:r>
            <w:proofErr w:type="gramEnd"/>
            <w:r w:rsidRPr="005762E6">
              <w:rPr>
                <w:sz w:val="20"/>
                <w:szCs w:val="20"/>
              </w:rPr>
              <w:t xml:space="preserve"> adjusting for a full set of demographic and smoking characteristics.,​ RESULTS: The overall HR for lung cancer mortality for menthol smokers was 0.69 (95% CI = 0.45-1.06). The HR for lung cancer mortality for menthol smokers at ages 50 and over was 0.59 (95% CI = 0.37-0.95). All-cause mortality net of lung cancer mortality did not differ for menthol and nonmenthol smokers</w:t>
            </w:r>
            <w:proofErr w:type="gramStart"/>
            <w:r w:rsidRPr="005762E6">
              <w:rPr>
                <w:sz w:val="20"/>
                <w:szCs w:val="20"/>
              </w:rPr>
              <w:t>.,​</w:t>
            </w:r>
            <w:proofErr w:type="gramEnd"/>
            <w:r w:rsidRPr="005762E6">
              <w:rPr>
                <w:sz w:val="20"/>
                <w:szCs w:val="20"/>
              </w:rPr>
              <w:t xml:space="preserve"> CONCLUSION: We found evidence of lower lung cancer mortality risk among menthol smokers compared with nonmenthol smokers at ages 50 and over in the U.S. population. It is not </w:t>
            </w:r>
            <w:proofErr w:type="gramStart"/>
            <w:r w:rsidRPr="005762E6">
              <w:rPr>
                <w:sz w:val="20"/>
                <w:szCs w:val="20"/>
              </w:rPr>
              <w:t>known,​</w:t>
            </w:r>
            <w:proofErr w:type="gramEnd"/>
            <w:r w:rsidRPr="005762E6">
              <w:rPr>
                <w:sz w:val="20"/>
                <w:szCs w:val="20"/>
              </w:rPr>
              <w:t xml:space="preserve"> however,​ if these differences are due to the impact of menthol on cigarette smoking or long-term differences in cigarette design between menthol and nonmenthol cigarettes.</w:t>
            </w:r>
          </w:p>
        </w:tc>
      </w:tr>
      <w:tr w:rsidR="00B44564" w:rsidRPr="005762E6" w14:paraId="247BE1ED"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B2ACCB5" w14:textId="77777777" w:rsidR="00B44564" w:rsidRPr="005762E6" w:rsidRDefault="00B44564" w:rsidP="00EA69AA">
            <w:pPr>
              <w:spacing w:after="120" w:line="240" w:lineRule="auto"/>
              <w:contextualSpacing/>
              <w:rPr>
                <w:sz w:val="20"/>
                <w:szCs w:val="20"/>
              </w:rPr>
            </w:pPr>
            <w:r w:rsidRPr="005762E6">
              <w:rPr>
                <w:sz w:val="20"/>
                <w:szCs w:val="20"/>
              </w:rPr>
              <w:lastRenderedPageBreak/>
              <w:t>570</w:t>
            </w:r>
          </w:p>
        </w:tc>
        <w:tc>
          <w:tcPr>
            <w:tcW w:w="0" w:type="auto"/>
            <w:tcBorders>
              <w:top w:val="single" w:sz="6" w:space="0" w:color="auto"/>
              <w:left w:val="single" w:sz="6" w:space="0" w:color="auto"/>
              <w:bottom w:val="single" w:sz="6" w:space="0" w:color="auto"/>
              <w:right w:val="single" w:sz="6" w:space="0" w:color="auto"/>
            </w:tcBorders>
          </w:tcPr>
          <w:p w14:paraId="63FC1BF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9C98EE6" w14:textId="7CEE3D19" w:rsidR="00B44564" w:rsidRPr="005762E6" w:rsidRDefault="00B44564" w:rsidP="00EA69AA">
            <w:pPr>
              <w:spacing w:after="120" w:line="240" w:lineRule="auto"/>
              <w:contextualSpacing/>
              <w:rPr>
                <w:sz w:val="20"/>
                <w:szCs w:val="20"/>
              </w:rPr>
            </w:pPr>
            <w:r w:rsidRPr="005762E6">
              <w:rPr>
                <w:sz w:val="20"/>
                <w:szCs w:val="20"/>
              </w:rPr>
              <w:t xml:space="preserve">Kolawole S </w:t>
            </w:r>
            <w:proofErr w:type="gramStart"/>
            <w:r w:rsidRPr="005762E6">
              <w:rPr>
                <w:sz w:val="20"/>
                <w:szCs w:val="20"/>
              </w:rPr>
              <w:t>Okuyemi,​</w:t>
            </w:r>
            <w:proofErr w:type="gramEnd"/>
            <w:r w:rsidRPr="005762E6">
              <w:rPr>
                <w:sz w:val="20"/>
                <w:szCs w:val="20"/>
              </w:rPr>
              <w:t xml:space="preserve"> Babalola Faseru,​ Gregory A Reed,​ Lisa Sanderson Cox,​ Carrie A Bronars,​ Isaac Opole,​ Guy-Lucien Whembolua,​ Matthew S Mayo,​ Jasjit S Ahluwalia,​ Neal L Benowitz Effects of menthol on the pharmacokinetics of bupropion among Black smokers</w:t>
            </w:r>
            <w:r w:rsidR="007F2F01">
              <w:rPr>
                <w:sz w:val="20"/>
                <w:szCs w:val="20"/>
              </w:rPr>
              <w:t>.</w:t>
            </w:r>
            <w:r w:rsidRPr="005762E6">
              <w:rPr>
                <w:sz w:val="20"/>
                <w:szCs w:val="20"/>
              </w:rPr>
              <w:t xml:space="preserve"> Nicotine &amp; tobacco research : official journal of the Society for Research on Nicotine and Tobacco; 2012;14:688.</w:t>
            </w:r>
            <w:r w:rsidRPr="005762E6">
              <w:rPr>
                <w:sz w:val="20"/>
                <w:szCs w:val="20"/>
              </w:rPr>
              <w:br/>
            </w:r>
            <w:r w:rsidRPr="005762E6">
              <w:rPr>
                <w:sz w:val="20"/>
                <w:szCs w:val="20"/>
              </w:rPr>
              <w:br/>
            </w:r>
            <w:r w:rsidRPr="005762E6">
              <w:rPr>
                <w:b/>
                <w:bCs/>
                <w:sz w:val="20"/>
                <w:szCs w:val="20"/>
              </w:rPr>
              <w:t>Keywords:</w:t>
            </w:r>
            <w:r w:rsidRPr="005762E6">
              <w:rPr>
                <w:sz w:val="20"/>
                <w:szCs w:val="20"/>
              </w:rPr>
              <w:br/>
              <w:t>Adolescent,​*African Continental Ancestry Group,​Area Under Curve,​Body Mass Index,​Bupropion/aa [Analogs &amp; Derivatives],​Bupropion/bl [Blood],​*Bupropion/pk [Pharmacokinetics],​Cotinine/an [Analysis],​Female,​Humans,​Male,​Menthol/ad [Administration &amp; Dosage],​*Menthol/pd [Pharmacology],​*Smoking/eh [Ethnology],​*Smoking Cessation/eh [Ethnology],​Smoking Cessation/mt [Methods],​Smoking Prevention,​Time Factors,​Tobacco Use Cessation Products/ut [Utilization],​Young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Despite the widespread use of mentholated cigarettes,​ lower cessation rates,​ and disproportionately high smoking-related morbidity among Blacks,​ the possible role of menthol in smokers' response to pharmacotherapy has not been well-studied. This study examined the effects of menthol on the pharmacokinetic (PK) profiles of bupropion and its principal </w:t>
            </w:r>
            <w:proofErr w:type="gramStart"/>
            <w:r w:rsidRPr="005762E6">
              <w:rPr>
                <w:sz w:val="20"/>
                <w:szCs w:val="20"/>
              </w:rPr>
              <w:t>metabolites,​</w:t>
            </w:r>
            <w:proofErr w:type="gramEnd"/>
            <w:r w:rsidRPr="005762E6">
              <w:rPr>
                <w:sz w:val="20"/>
                <w:szCs w:val="20"/>
              </w:rPr>
              <w:t xml:space="preserve"> hydroxybupropion,​ threohydrobupropion,​ and erythrohydrobupropion among Black smokers.,​ METHODS: After a 7-day placebo run-in period,​ participants received 150 mg bid sustained-release bupropion for 20-25 days. Blood samples were drawn for PK analysis on 2 </w:t>
            </w:r>
            <w:proofErr w:type="gramStart"/>
            <w:r w:rsidRPr="005762E6">
              <w:rPr>
                <w:sz w:val="20"/>
                <w:szCs w:val="20"/>
              </w:rPr>
              <w:t>occasions,​</w:t>
            </w:r>
            <w:proofErr w:type="gramEnd"/>
            <w:r w:rsidRPr="005762E6">
              <w:rPr>
                <w:sz w:val="20"/>
                <w:szCs w:val="20"/>
              </w:rPr>
              <w:t xml:space="preserve"> 10-15 days after the commencement of bupropion while participants were still smoking (smoking phase) and at days 20-25 when they were asked not to smoke (nonsmoking phase).,​ RESULTS: 18 smokers of nonmenthol cigarettes and 23 smokers of menthol cigarettes were enrolled in this study. No differences were found by menthol smoking status in the Cmax and area under the plasma concentration versus time curve (AUC) of bupropion and its metabolites in the smoking or nonsmoking phases. </w:t>
            </w:r>
            <w:proofErr w:type="gramStart"/>
            <w:r w:rsidRPr="005762E6">
              <w:rPr>
                <w:sz w:val="20"/>
                <w:szCs w:val="20"/>
              </w:rPr>
              <w:t>However,​</w:t>
            </w:r>
            <w:proofErr w:type="gramEnd"/>
            <w:r w:rsidRPr="005762E6">
              <w:rPr>
                <w:sz w:val="20"/>
                <w:szCs w:val="20"/>
              </w:rPr>
              <w:t xml:space="preserve"> among menthol smokers,​ the AUC ratios of metabolite/bupropion were lower in the nonsmoking phase compared with the smoking phase (hydro/bup = 31.49 +/- 18.84 vs. 22.95 +/- 13.27,​ p = .04; erythro/bup = 1.99 +/- 1.02 vs. 1.76 +/- 0.75,​ p = .016; threo/bup = 11.77 +/- 8.90 vs. 10.44 +/- 5.63,​ p = .034). No significant differences were found in the metabolite/bup ratios between smoking and nonsmoking conditions among nonmenthol smokers</w:t>
            </w:r>
            <w:proofErr w:type="gramStart"/>
            <w:r w:rsidRPr="005762E6">
              <w:rPr>
                <w:sz w:val="20"/>
                <w:szCs w:val="20"/>
              </w:rPr>
              <w:t>.,​</w:t>
            </w:r>
            <w:proofErr w:type="gramEnd"/>
            <w:r w:rsidRPr="005762E6">
              <w:rPr>
                <w:sz w:val="20"/>
                <w:szCs w:val="20"/>
              </w:rPr>
              <w:t xml:space="preserve"> CONCLUSIONS: We did not find a significant effect of menthol compared with nonmenthol cigarette smoking on the PKs of bupropion and metabolites at steady state. More research is needed to advance the understanding of mechanisms underlying disparities in smoking cessation outcomes related to smoking of menthol cigarettes.</w:t>
            </w:r>
          </w:p>
        </w:tc>
      </w:tr>
      <w:tr w:rsidR="00B44564" w:rsidRPr="005762E6" w14:paraId="76D87137"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F9708CE" w14:textId="77777777" w:rsidR="00B44564" w:rsidRPr="005762E6" w:rsidRDefault="00B44564" w:rsidP="00EA69AA">
            <w:pPr>
              <w:spacing w:after="120" w:line="240" w:lineRule="auto"/>
              <w:contextualSpacing/>
              <w:rPr>
                <w:sz w:val="20"/>
                <w:szCs w:val="20"/>
              </w:rPr>
            </w:pPr>
            <w:r w:rsidRPr="005762E6">
              <w:rPr>
                <w:sz w:val="20"/>
                <w:szCs w:val="20"/>
              </w:rPr>
              <w:t>572</w:t>
            </w:r>
          </w:p>
        </w:tc>
        <w:tc>
          <w:tcPr>
            <w:tcW w:w="0" w:type="auto"/>
            <w:tcBorders>
              <w:top w:val="single" w:sz="6" w:space="0" w:color="auto"/>
              <w:left w:val="single" w:sz="6" w:space="0" w:color="auto"/>
              <w:bottom w:val="single" w:sz="6" w:space="0" w:color="auto"/>
              <w:right w:val="single" w:sz="6" w:space="0" w:color="auto"/>
            </w:tcBorders>
          </w:tcPr>
          <w:p w14:paraId="20399A29"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CDBC9C5" w14:textId="5AAAE656" w:rsidR="00B44564" w:rsidRPr="005762E6" w:rsidRDefault="00B44564" w:rsidP="00EA69AA">
            <w:pPr>
              <w:spacing w:after="120" w:line="240" w:lineRule="auto"/>
              <w:contextualSpacing/>
              <w:rPr>
                <w:sz w:val="20"/>
                <w:szCs w:val="20"/>
              </w:rPr>
            </w:pPr>
            <w:r w:rsidRPr="005762E6">
              <w:rPr>
                <w:sz w:val="20"/>
                <w:szCs w:val="20"/>
              </w:rPr>
              <w:t xml:space="preserve">Lisa Sanderson </w:t>
            </w:r>
            <w:proofErr w:type="gramStart"/>
            <w:r w:rsidRPr="005762E6">
              <w:rPr>
                <w:sz w:val="20"/>
                <w:szCs w:val="20"/>
              </w:rPr>
              <w:t>Cox,​</w:t>
            </w:r>
            <w:proofErr w:type="gramEnd"/>
            <w:r w:rsidRPr="005762E6">
              <w:rPr>
                <w:sz w:val="20"/>
                <w:szCs w:val="20"/>
              </w:rPr>
              <w:t xml:space="preserve"> Nicole L Nollen,​ Matthew S Mayo,​ Won S Choi,​ Babalola Faseru,​ Neal L Benowitz,​ Rachel F Tyndale,​ Kolawole S Okuyemi,​ Jasjit S Ahluwalia Bupropion for smoking cessation in African American light smokers: a randomized controlled trial</w:t>
            </w:r>
            <w:r w:rsidR="007F2F01">
              <w:rPr>
                <w:sz w:val="20"/>
                <w:szCs w:val="20"/>
              </w:rPr>
              <w:t>.</w:t>
            </w:r>
            <w:r w:rsidRPr="005762E6">
              <w:rPr>
                <w:sz w:val="20"/>
                <w:szCs w:val="20"/>
              </w:rPr>
              <w:t xml:space="preserve"> Journal of the National Cancer Institute; 2012;104:290.</w:t>
            </w:r>
            <w:r w:rsidRPr="005762E6">
              <w:rPr>
                <w:sz w:val="20"/>
                <w:szCs w:val="20"/>
              </w:rPr>
              <w:br/>
            </w:r>
            <w:r w:rsidRPr="005762E6">
              <w:rPr>
                <w:sz w:val="20"/>
                <w:szCs w:val="20"/>
              </w:rPr>
              <w:br/>
            </w:r>
            <w:r w:rsidRPr="005762E6">
              <w:rPr>
                <w:b/>
                <w:bCs/>
                <w:sz w:val="20"/>
                <w:szCs w:val="20"/>
              </w:rPr>
              <w:t>Keywords:</w:t>
            </w:r>
            <w:r w:rsidRPr="005762E6">
              <w:rPr>
                <w:sz w:val="20"/>
                <w:szCs w:val="20"/>
              </w:rPr>
              <w:br/>
              <w:t xml:space="preserve">Adult,​*African Americans/sn [Statistics &amp; Numerical Data],​Aged,​Biomarkers/bl [Blood],​Bupropion/ad [Administration &amp; Dosage],​*Bupropion/tu [Therapeutic Use],​Cotinine/me [Metabolism],​Depression/ci [Chemically Induced],​Dopamine Uptake Inhibitors/ad [Administration &amp; Dosage],​*Dopamine Uptake Inhibitors/tu [Therapeutic Use],​Double-Blind Method,​Drug Administration Schedule,​Female,​Humans,​Logistic Models,​Male,​Middle Aged,​Odds Ratio,​Saliva/me [Metabolism],​*Smoking/dt [Drug Therapy],​Smoking/ep </w:t>
            </w:r>
            <w:r w:rsidRPr="005762E6">
              <w:rPr>
                <w:sz w:val="20"/>
                <w:szCs w:val="20"/>
              </w:rPr>
              <w:lastRenderedPageBreak/>
              <w:t>[Epidemiology],​*Smoking Cessation/mt [Methods],​Treatment Outcome,​United States/ep [Epidemiology]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BACKGROUND: Previous research demonstrated the efficacy of sustained release bupropion (bupropion SR) for smoking cessation in whites as well as moderate to heavy (&gt;=10 cigarettes per day [CPD]) African American smokers. We evaluated whether bupropion SR was effective for smoking cessation among African American light smokers (&lt;=10 CPD)</w:t>
            </w:r>
            <w:proofErr w:type="gramStart"/>
            <w:r w:rsidRPr="005762E6">
              <w:rPr>
                <w:sz w:val="20"/>
                <w:szCs w:val="20"/>
              </w:rPr>
              <w:t>.,​</w:t>
            </w:r>
            <w:proofErr w:type="gramEnd"/>
            <w:r w:rsidRPr="005762E6">
              <w:rPr>
                <w:sz w:val="20"/>
                <w:szCs w:val="20"/>
              </w:rPr>
              <w:t xml:space="preserve"> METHODS: A randomized,​ double-blind placebo-controlled trial was conducted from December 27,​ 2007,​ to May 13,​ 2010. All participants were African American light smokers (&lt;=10 CPD</w:t>
            </w:r>
            <w:proofErr w:type="gramStart"/>
            <w:r w:rsidRPr="005762E6">
              <w:rPr>
                <w:sz w:val="20"/>
                <w:szCs w:val="20"/>
              </w:rPr>
              <w:t>),​</w:t>
            </w:r>
            <w:proofErr w:type="gramEnd"/>
            <w:r w:rsidRPr="005762E6">
              <w:rPr>
                <w:sz w:val="20"/>
                <w:szCs w:val="20"/>
              </w:rPr>
              <w:t xml:space="preserve"> aged 18 years or older. Participants were randomly assigned to receive 300 mg bupropion SR (150 mg once daily for 3 days and then 150 mg twice daily) (n = 270 participants) or placebo (n = 270 participants) for 7 </w:t>
            </w:r>
            <w:proofErr w:type="gramStart"/>
            <w:r w:rsidRPr="005762E6">
              <w:rPr>
                <w:sz w:val="20"/>
                <w:szCs w:val="20"/>
              </w:rPr>
              <w:t>weeks,​</w:t>
            </w:r>
            <w:proofErr w:type="gramEnd"/>
            <w:r w:rsidRPr="005762E6">
              <w:rPr>
                <w:sz w:val="20"/>
                <w:szCs w:val="20"/>
              </w:rPr>
              <w:t xml:space="preserve"> and up to six sessions of health education counseling. Serum cotinine was measured at baseline (week 0). The primary outcome was salivary cotinine-verified 7-day point prevalence smoking abstinence at week 26; a cut point of 15 ng/mL differentiated smokers from nonsmokers. Salivary cotinine-verified smoking abstinence at end of medication treatment at week 7 was also examined. Odds ratios (OR) for smoking abstinence and 95% confidence intervals (CIs) were calculated using logistic regression models. All statistical tests were two-sided</w:t>
            </w:r>
            <w:proofErr w:type="gramStart"/>
            <w:r w:rsidRPr="005762E6">
              <w:rPr>
                <w:sz w:val="20"/>
                <w:szCs w:val="20"/>
              </w:rPr>
              <w:t>.,​</w:t>
            </w:r>
            <w:proofErr w:type="gramEnd"/>
            <w:r w:rsidRPr="005762E6">
              <w:rPr>
                <w:sz w:val="20"/>
                <w:szCs w:val="20"/>
              </w:rPr>
              <w:t xml:space="preserve"> RESULTS: Participants at baseline visit (week 0) smoked an average of 8.0 CPD and had a mean serum cotinine level of 275.8 ng/mL (SD = 155.8 ng/mL); most used menthol cigarettes (83.7%) and smoked within 30 minutes of waking (72.2%). After imputing those lost to follow-up as </w:t>
            </w:r>
            <w:proofErr w:type="gramStart"/>
            <w:r w:rsidRPr="005762E6">
              <w:rPr>
                <w:sz w:val="20"/>
                <w:szCs w:val="20"/>
              </w:rPr>
              <w:t>smokers,​</w:t>
            </w:r>
            <w:proofErr w:type="gramEnd"/>
            <w:r w:rsidRPr="005762E6">
              <w:rPr>
                <w:sz w:val="20"/>
                <w:szCs w:val="20"/>
              </w:rPr>
              <w:t xml:space="preserve"> no statistically significant difference in long-term smoking abstinence rates at week 26 was observed between bupropion SR and placebo groups (13.3% vs 10.0%,​ OR = 1.39,​ 95% CI = 0.82 to 2.35,​ P = .23). Cotinine-verified smoking abstinence rate at end of medication week 7 was higher in the bupropion SR vs placebo group (23.7% vs 9.6</w:t>
            </w:r>
            <w:proofErr w:type="gramStart"/>
            <w:r w:rsidRPr="005762E6">
              <w:rPr>
                <w:sz w:val="20"/>
                <w:szCs w:val="20"/>
              </w:rPr>
              <w:t>%,​</w:t>
            </w:r>
            <w:proofErr w:type="gramEnd"/>
            <w:r w:rsidRPr="005762E6">
              <w:rPr>
                <w:sz w:val="20"/>
                <w:szCs w:val="20"/>
              </w:rPr>
              <w:t xml:space="preserve"> OR = 2.92,​ 95% CI = 1.78 to 4.77,​ P &lt; .001).,​ CONCLUSIONS: Bupropion SR was effective in promoting smoking cessation during the medication phase of treatment but showed no effect on long-term smoking cessation among African American light smokers. More research is needed to identify strategies for sustaining abstinence among African American light smokers.</w:t>
            </w:r>
          </w:p>
        </w:tc>
      </w:tr>
      <w:tr w:rsidR="00B44564" w:rsidRPr="005762E6" w14:paraId="141A6599"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87C4556" w14:textId="77777777" w:rsidR="00B44564" w:rsidRPr="005762E6" w:rsidRDefault="00B44564" w:rsidP="00EA69AA">
            <w:pPr>
              <w:spacing w:after="120" w:line="240" w:lineRule="auto"/>
              <w:contextualSpacing/>
              <w:rPr>
                <w:sz w:val="20"/>
                <w:szCs w:val="20"/>
              </w:rPr>
            </w:pPr>
            <w:r w:rsidRPr="005762E6">
              <w:rPr>
                <w:sz w:val="20"/>
                <w:szCs w:val="20"/>
              </w:rPr>
              <w:lastRenderedPageBreak/>
              <w:t>574</w:t>
            </w:r>
          </w:p>
        </w:tc>
        <w:tc>
          <w:tcPr>
            <w:tcW w:w="0" w:type="auto"/>
            <w:tcBorders>
              <w:top w:val="single" w:sz="6" w:space="0" w:color="auto"/>
              <w:left w:val="single" w:sz="6" w:space="0" w:color="auto"/>
              <w:bottom w:val="single" w:sz="6" w:space="0" w:color="auto"/>
              <w:right w:val="single" w:sz="6" w:space="0" w:color="auto"/>
            </w:tcBorders>
          </w:tcPr>
          <w:p w14:paraId="027CE5EA"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C8CE42E" w14:textId="69534DA0" w:rsidR="00B44564" w:rsidRPr="005762E6" w:rsidRDefault="00B44564" w:rsidP="00EA69AA">
            <w:pPr>
              <w:spacing w:after="120" w:line="240" w:lineRule="auto"/>
              <w:contextualSpacing/>
              <w:rPr>
                <w:sz w:val="20"/>
                <w:szCs w:val="20"/>
              </w:rPr>
            </w:pPr>
            <w:r w:rsidRPr="005762E6">
              <w:rPr>
                <w:sz w:val="20"/>
                <w:szCs w:val="20"/>
              </w:rPr>
              <w:t>Joseph R DiFranza Research opportunities concerning youth and the Family Smoking Prevention and Tobacco Control Act</w:t>
            </w:r>
            <w:r w:rsidR="007F2F01">
              <w:rPr>
                <w:sz w:val="20"/>
                <w:szCs w:val="20"/>
              </w:rPr>
              <w:t>.</w:t>
            </w:r>
            <w:r w:rsidRPr="005762E6">
              <w:rPr>
                <w:sz w:val="20"/>
                <w:szCs w:val="20"/>
              </w:rPr>
              <w:t xml:space="preserve"> Nicotine &amp; tobacco research : official journal of the Society for Research on Nicotine and Tobacco; 2012;14:54.</w:t>
            </w:r>
            <w:r w:rsidRPr="005762E6">
              <w:rPr>
                <w:sz w:val="20"/>
                <w:szCs w:val="20"/>
              </w:rPr>
              <w:br/>
            </w:r>
            <w:r w:rsidRPr="005762E6">
              <w:rPr>
                <w:sz w:val="20"/>
                <w:szCs w:val="20"/>
              </w:rPr>
              <w:br/>
            </w:r>
            <w:r w:rsidRPr="005762E6">
              <w:rPr>
                <w:b/>
                <w:bCs/>
                <w:sz w:val="20"/>
                <w:szCs w:val="20"/>
              </w:rPr>
              <w:t>Keywords:</w:t>
            </w:r>
            <w:r w:rsidRPr="005762E6">
              <w:rPr>
                <w:sz w:val="20"/>
                <w:szCs w:val="20"/>
              </w:rPr>
              <w:br/>
              <w:t>Adolescent,​Child,​Commerce/lj [Legislation &amp; Jurisprudence],​Drug and Narcotic Control/lj [Legislation &amp; Jurisprudence],​Government Regulation/hi [History],​*Government Regulation,​History,​ 20th Century,​History,​ 21st Century,​Humans,​Indians,​ North American/lj [Legislation &amp; Jurisprudence],​Menthol/ec [Economics],​Minors,​Research,​Smoking/ec [Economics],​*Smoking/lj [Legislation &amp; Jurisprudence],​Smoking Prevention,​*Tobacco,​Tobacco Industry/ed [Education],​Tobacco Industry/lj [Legislation &amp; Jurisprudence],​Tobacco,​ Smokeless/ec [Economics],​United States,​United States Food and Drug Administration</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3408CACF"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3B8617C" w14:textId="77777777" w:rsidR="00B44564" w:rsidRPr="005762E6" w:rsidRDefault="00B44564" w:rsidP="00EA69AA">
            <w:pPr>
              <w:spacing w:after="120" w:line="240" w:lineRule="auto"/>
              <w:contextualSpacing/>
              <w:rPr>
                <w:sz w:val="20"/>
                <w:szCs w:val="20"/>
              </w:rPr>
            </w:pPr>
            <w:r w:rsidRPr="005762E6">
              <w:rPr>
                <w:sz w:val="20"/>
                <w:szCs w:val="20"/>
              </w:rPr>
              <w:t>578</w:t>
            </w:r>
          </w:p>
        </w:tc>
        <w:tc>
          <w:tcPr>
            <w:tcW w:w="0" w:type="auto"/>
            <w:tcBorders>
              <w:top w:val="single" w:sz="6" w:space="0" w:color="auto"/>
              <w:left w:val="single" w:sz="6" w:space="0" w:color="auto"/>
              <w:bottom w:val="single" w:sz="6" w:space="0" w:color="auto"/>
              <w:right w:val="single" w:sz="6" w:space="0" w:color="auto"/>
            </w:tcBorders>
          </w:tcPr>
          <w:p w14:paraId="6380A48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933D1E9" w14:textId="3BD5F1E7" w:rsidR="00B44564" w:rsidRPr="005762E6" w:rsidRDefault="00B44564" w:rsidP="00EA69AA">
            <w:pPr>
              <w:spacing w:after="120" w:line="240" w:lineRule="auto"/>
              <w:contextualSpacing/>
              <w:rPr>
                <w:sz w:val="20"/>
                <w:szCs w:val="20"/>
              </w:rPr>
            </w:pPr>
            <w:r w:rsidRPr="005762E6">
              <w:rPr>
                <w:sz w:val="20"/>
                <w:szCs w:val="20"/>
              </w:rPr>
              <w:t xml:space="preserve">Jennifer W </w:t>
            </w:r>
            <w:proofErr w:type="gramStart"/>
            <w:r w:rsidRPr="005762E6">
              <w:rPr>
                <w:sz w:val="20"/>
                <w:szCs w:val="20"/>
              </w:rPr>
              <w:t>Kahende,​</w:t>
            </w:r>
            <w:proofErr w:type="gramEnd"/>
            <w:r w:rsidRPr="005762E6">
              <w:rPr>
                <w:sz w:val="20"/>
                <w:szCs w:val="20"/>
              </w:rPr>
              <w:t xml:space="preserve"> Ann M Malarcher,​ Anna Teplinskaya,​ Kat J Asman Quit attempt correlates among smokers by race/ethnicity</w:t>
            </w:r>
            <w:r w:rsidR="007F2F01">
              <w:rPr>
                <w:sz w:val="20"/>
                <w:szCs w:val="20"/>
              </w:rPr>
              <w:t>.</w:t>
            </w:r>
            <w:r w:rsidRPr="005762E6">
              <w:rPr>
                <w:sz w:val="20"/>
                <w:szCs w:val="20"/>
              </w:rPr>
              <w:t xml:space="preserve"> International journal of environmental research and public health; 2011;8:3871.</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Adolescent,​Adult,​Aged,​Female,​Health Behavior/eh [Ethnology],​Humans,​Logistic Models,​Male,​Middle Aged,​Retrospective Studies,​Smoking/ep [Epidemiology],​*Smoking/eh [Ethnology],​*Smoking Cessation/eh [Ethnology],​Surveys and Questionnaires,​United States/ep [Epidemiology],​Young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Cigarette smoking is the leading preventable cause of premature deaths in the U.S.,​ accounting for approximately 443,​000 deaths annually. Although smoking prevalence in recent decades has declined substantially among all racial/ethnic </w:t>
            </w:r>
            <w:proofErr w:type="gramStart"/>
            <w:r w:rsidRPr="005762E6">
              <w:rPr>
                <w:sz w:val="20"/>
                <w:szCs w:val="20"/>
              </w:rPr>
              <w:t>groups,​</w:t>
            </w:r>
            <w:proofErr w:type="gramEnd"/>
            <w:r w:rsidRPr="005762E6">
              <w:rPr>
                <w:sz w:val="20"/>
                <w:szCs w:val="20"/>
              </w:rPr>
              <w:t xml:space="preserve"> disparities in smoking-related behaviors among racial/ethnic groups continue to exist. Two of the goals of Healthy People 2020 are to reduce smoking prevalence among adults to 12% or less and to increase smoking cessation attempts by adult smokers from 41% to 80%. Our study assesses whether correlates of quit attempts vary by race/ethnicity among adult (&gt;= 18 years) smokers in the U.S. Understanding racial/ethnic differences in how both internal and external </w:t>
            </w:r>
            <w:r w:rsidRPr="005762E6">
              <w:rPr>
                <w:sz w:val="20"/>
                <w:szCs w:val="20"/>
              </w:rPr>
              <w:lastRenderedPageBreak/>
              <w:t xml:space="preserve">factors affect quit attempts is important for targeting smoking-cessation interventions to decrease tobacco-use disparities.,​ METHODS: We used 2003 Tobacco Use Supplement to the Current Population Survey (CPS) data from 16,​213 adults to examine whether the relationship between demographic characteristics,​ smoking behaviors,​ smoking policies and having made a quit attempt in the past year varied by race/ethnicity.,​ RESULTS: Hispanics and persons of multiple races were more likely to have made a quit attempt than whites. </w:t>
            </w:r>
            <w:proofErr w:type="gramStart"/>
            <w:r w:rsidRPr="005762E6">
              <w:rPr>
                <w:sz w:val="20"/>
                <w:szCs w:val="20"/>
              </w:rPr>
              <w:t>Overall,​</w:t>
            </w:r>
            <w:proofErr w:type="gramEnd"/>
            <w:r w:rsidRPr="005762E6">
              <w:rPr>
                <w:sz w:val="20"/>
                <w:szCs w:val="20"/>
              </w:rPr>
              <w:t xml:space="preserve"> younger individuals and those with &gt;high school education,​ who smoked fewer cigarettes per day and had smoked for fewer years were more likely to have made a quit attempt. Having a smoke-free </w:t>
            </w:r>
            <w:proofErr w:type="gramStart"/>
            <w:r w:rsidRPr="005762E6">
              <w:rPr>
                <w:sz w:val="20"/>
                <w:szCs w:val="20"/>
              </w:rPr>
              <w:t>home,​</w:t>
            </w:r>
            <w:proofErr w:type="gramEnd"/>
            <w:r w:rsidRPr="005762E6">
              <w:rPr>
                <w:sz w:val="20"/>
                <w:szCs w:val="20"/>
              </w:rPr>
              <w:t xml:space="preserve"> receiving a doctor's advice to quit,​ smoking menthol cigarettes and having a greater time to when you smoked your first cigarette of the day were also associated with having made a quit attempt. The relationship between these four variables and quit attempts varied by race/ethnicity; most notably receiving a doctor's advice was not related to quit attempts among Asian American/Pacific Islanders and menthol use among whites was associated with a lower prevalence of quit attempts while black menthol users were more likely to have made a quit attempt than white non-menthol users</w:t>
            </w:r>
            <w:proofErr w:type="gramStart"/>
            <w:r w:rsidRPr="005762E6">
              <w:rPr>
                <w:sz w:val="20"/>
                <w:szCs w:val="20"/>
              </w:rPr>
              <w:t>.,​</w:t>
            </w:r>
            <w:proofErr w:type="gramEnd"/>
            <w:r w:rsidRPr="005762E6">
              <w:rPr>
                <w:sz w:val="20"/>
                <w:szCs w:val="20"/>
              </w:rPr>
              <w:t xml:space="preserve"> CONCLUSIONS: Most correlates of quit attempts were similar across all racial/ethnic groups. Therefore population-based comprehensive tobacco control programs that increase quit attempts and successful cessation among all racial/ethnic groups should be continued and expanded. Additional strategies may be needed to encourage quit attempts among less </w:t>
            </w:r>
            <w:proofErr w:type="gramStart"/>
            <w:r w:rsidRPr="005762E6">
              <w:rPr>
                <w:sz w:val="20"/>
                <w:szCs w:val="20"/>
              </w:rPr>
              <w:t>educated,​</w:t>
            </w:r>
            <w:proofErr w:type="gramEnd"/>
            <w:r w:rsidRPr="005762E6">
              <w:rPr>
                <w:sz w:val="20"/>
                <w:szCs w:val="20"/>
              </w:rPr>
              <w:t xml:space="preserve"> older,​ and more addicted smokers.</w:t>
            </w:r>
          </w:p>
        </w:tc>
      </w:tr>
      <w:tr w:rsidR="00B44564" w:rsidRPr="005762E6" w14:paraId="68B273A7"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0594802" w14:textId="77777777" w:rsidR="00B44564" w:rsidRPr="005762E6" w:rsidRDefault="00B44564" w:rsidP="00EA69AA">
            <w:pPr>
              <w:spacing w:after="120" w:line="240" w:lineRule="auto"/>
              <w:contextualSpacing/>
              <w:rPr>
                <w:sz w:val="20"/>
                <w:szCs w:val="20"/>
              </w:rPr>
            </w:pPr>
            <w:r w:rsidRPr="005762E6">
              <w:rPr>
                <w:sz w:val="20"/>
                <w:szCs w:val="20"/>
              </w:rPr>
              <w:lastRenderedPageBreak/>
              <w:t>579</w:t>
            </w:r>
          </w:p>
        </w:tc>
        <w:tc>
          <w:tcPr>
            <w:tcW w:w="0" w:type="auto"/>
            <w:tcBorders>
              <w:top w:val="single" w:sz="6" w:space="0" w:color="auto"/>
              <w:left w:val="single" w:sz="6" w:space="0" w:color="auto"/>
              <w:bottom w:val="single" w:sz="6" w:space="0" w:color="auto"/>
              <w:right w:val="single" w:sz="6" w:space="0" w:color="auto"/>
            </w:tcBorders>
          </w:tcPr>
          <w:p w14:paraId="0C2C4248"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8F7778F" w14:textId="19AE11A6" w:rsidR="00B44564" w:rsidRPr="005762E6" w:rsidRDefault="00B44564" w:rsidP="00EA69AA">
            <w:pPr>
              <w:spacing w:after="120" w:line="240" w:lineRule="auto"/>
              <w:contextualSpacing/>
              <w:rPr>
                <w:sz w:val="20"/>
                <w:szCs w:val="20"/>
              </w:rPr>
            </w:pPr>
            <w:r w:rsidRPr="005762E6">
              <w:rPr>
                <w:sz w:val="20"/>
                <w:szCs w:val="20"/>
              </w:rPr>
              <w:t xml:space="preserve">Cristine D </w:t>
            </w:r>
            <w:proofErr w:type="gramStart"/>
            <w:r w:rsidRPr="005762E6">
              <w:rPr>
                <w:sz w:val="20"/>
                <w:szCs w:val="20"/>
              </w:rPr>
              <w:t>Delnevo,​</w:t>
            </w:r>
            <w:proofErr w:type="gramEnd"/>
            <w:r w:rsidRPr="005762E6">
              <w:rPr>
                <w:sz w:val="20"/>
                <w:szCs w:val="20"/>
              </w:rPr>
              <w:t xml:space="preserve"> Daniel A Gundersen,​ Mary Hrywna,​ Sandra E Echeverria,​ Michael B Steinberg Smoking-cessation prevalence among U.S. smokers of menthol versus non-menthol cigarettes</w:t>
            </w:r>
            <w:r w:rsidR="007F2F01">
              <w:rPr>
                <w:sz w:val="20"/>
                <w:szCs w:val="20"/>
              </w:rPr>
              <w:t>.</w:t>
            </w:r>
            <w:r w:rsidRPr="005762E6">
              <w:rPr>
                <w:sz w:val="20"/>
                <w:szCs w:val="20"/>
              </w:rPr>
              <w:t xml:space="preserve"> American journal of preventive medicine; 2011;41:357.</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Adolescent,​Adult,​Age Distribution,​Aged,​Cross-Sectional Studies,​*Ethnic Groups/sn [Statistics &amp; Numerical Data],​*Flavoring Agents/ad [Administration &amp; Dosage],​Humans,​Logistic Models,​Male,​*Menthol/ad [Administration &amp; Dosage],​Middle Aged,​Retrospective Studies,​Self-Report,​Sex Distribution,​*Smoking/ep [Epidemiology],​Smoking/px [Psychology],​Smoking Cessation/eh [Ethnology],​*Smoking Cessation/sn [Statistics &amp; Numerical Data],​Socioeconomic Factors,​Tobacco/ae [Adverse Effects],​*Tobacco/cl [Classification],​Young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BACKGROUND: The Food and Drug Administration currently is assessing the public health impact of menthol cigarettes. Whether menthol cigarettes pose increased barriers to quitting is a critical issue because previous declines in smoking prevalence have stalled</w:t>
            </w:r>
            <w:proofErr w:type="gramStart"/>
            <w:r w:rsidRPr="005762E6">
              <w:rPr>
                <w:sz w:val="20"/>
                <w:szCs w:val="20"/>
              </w:rPr>
              <w:t>.,​</w:t>
            </w:r>
            <w:proofErr w:type="gramEnd"/>
            <w:r w:rsidRPr="005762E6">
              <w:rPr>
                <w:sz w:val="20"/>
                <w:szCs w:val="20"/>
              </w:rPr>
              <w:t xml:space="preserve"> PURPOSE: To explore whether menthol cigarette smokers are less likely to quit than non-menthol smokers at the population level and whether this relationship differs by race/ethnicity.,​ METHODS: Cross-sectional analyses of the 2003 and 2006/2007 Tobacco Use Supplement to the Current Population Survey were conducted in 2010. Multiple logistic regressions were used to calculate the adjusted odds of cessation for menthol smoking relative to non-menthol smoking. Five different sample restrictions were used to assess the robustness of the findings</w:t>
            </w:r>
            <w:proofErr w:type="gramStart"/>
            <w:r w:rsidRPr="005762E6">
              <w:rPr>
                <w:sz w:val="20"/>
                <w:szCs w:val="20"/>
              </w:rPr>
              <w:t>.,​</w:t>
            </w:r>
            <w:proofErr w:type="gramEnd"/>
            <w:r w:rsidRPr="005762E6">
              <w:rPr>
                <w:sz w:val="20"/>
                <w:szCs w:val="20"/>
              </w:rPr>
              <w:t xml:space="preserve"> RESULTS: In the broadest sample restriction,​ menthol smokers were less likely to have quit smoking (AOR=0.91,​ 95% CI=0.87,​ 0.96). This relationship holds among whites (AOR=0.</w:t>
            </w:r>
            <w:proofErr w:type="gramStart"/>
            <w:r w:rsidRPr="005762E6">
              <w:rPr>
                <w:sz w:val="20"/>
                <w:szCs w:val="20"/>
              </w:rPr>
              <w:t>93,​</w:t>
            </w:r>
            <w:proofErr w:type="gramEnd"/>
            <w:r w:rsidRPr="005762E6">
              <w:rPr>
                <w:sz w:val="20"/>
                <w:szCs w:val="20"/>
              </w:rPr>
              <w:t xml:space="preserve"> 95% CI=0.88,​ 0.98) and blacks (AOR=0.81,​ 95% CI=0.67,​ 0.98). The magnitude of the relationship among Hispanics was similar to that among </w:t>
            </w:r>
            <w:proofErr w:type="gramStart"/>
            <w:r w:rsidRPr="005762E6">
              <w:rPr>
                <w:sz w:val="20"/>
                <w:szCs w:val="20"/>
              </w:rPr>
              <w:t>whites,​</w:t>
            </w:r>
            <w:proofErr w:type="gramEnd"/>
            <w:r w:rsidRPr="005762E6">
              <w:rPr>
                <w:sz w:val="20"/>
                <w:szCs w:val="20"/>
              </w:rPr>
              <w:t xml:space="preserve"> but differed by Hispanic origin. Among those of Mexican </w:t>
            </w:r>
            <w:proofErr w:type="gramStart"/>
            <w:r w:rsidRPr="005762E6">
              <w:rPr>
                <w:sz w:val="20"/>
                <w:szCs w:val="20"/>
              </w:rPr>
              <w:t>origin,​</w:t>
            </w:r>
            <w:proofErr w:type="gramEnd"/>
            <w:r w:rsidRPr="005762E6">
              <w:rPr>
                <w:sz w:val="20"/>
                <w:szCs w:val="20"/>
              </w:rPr>
              <w:t xml:space="preserve"> the AOR for menthol smokers was protective but not significant (AOR=1.29,​ 95% CI=0.99,​ 1.61),​ whereas among those of Puerto Rican origin,​ menthol smokers were less likely to have quit (AOR=0.57,​ 95% CI=0.37,​ 0.87). These findings were robust and significant in four of five sample restrictions</w:t>
            </w:r>
            <w:proofErr w:type="gramStart"/>
            <w:r w:rsidRPr="005762E6">
              <w:rPr>
                <w:sz w:val="20"/>
                <w:szCs w:val="20"/>
              </w:rPr>
              <w:t>.,​</w:t>
            </w:r>
            <w:proofErr w:type="gramEnd"/>
            <w:r w:rsidRPr="005762E6">
              <w:rPr>
                <w:sz w:val="20"/>
                <w:szCs w:val="20"/>
              </w:rPr>
              <w:t xml:space="preserve"> CONCLUSIONS: Smoking menthol cigarettes is associated with decreased cessation at the population level,​ and this association is more pronounced among black and Puerto Rican smokers. These findings support the recent calls to ban menthol flavoring in cigarettes. Copyright © 2011 American Journal of Preventive Medicine. Published by Elsevier Inc. All rights reserved.</w:t>
            </w:r>
          </w:p>
        </w:tc>
      </w:tr>
      <w:tr w:rsidR="00B44564" w:rsidRPr="005762E6" w14:paraId="60066B13"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10BAB2E" w14:textId="77777777" w:rsidR="00B44564" w:rsidRPr="005762E6" w:rsidRDefault="00B44564" w:rsidP="00EA69AA">
            <w:pPr>
              <w:spacing w:after="120" w:line="240" w:lineRule="auto"/>
              <w:contextualSpacing/>
              <w:rPr>
                <w:sz w:val="20"/>
                <w:szCs w:val="20"/>
              </w:rPr>
            </w:pPr>
            <w:r w:rsidRPr="005762E6">
              <w:rPr>
                <w:sz w:val="20"/>
                <w:szCs w:val="20"/>
              </w:rPr>
              <w:t>582</w:t>
            </w:r>
          </w:p>
        </w:tc>
        <w:tc>
          <w:tcPr>
            <w:tcW w:w="0" w:type="auto"/>
            <w:tcBorders>
              <w:top w:val="single" w:sz="6" w:space="0" w:color="auto"/>
              <w:left w:val="single" w:sz="6" w:space="0" w:color="auto"/>
              <w:bottom w:val="single" w:sz="6" w:space="0" w:color="auto"/>
              <w:right w:val="single" w:sz="6" w:space="0" w:color="auto"/>
            </w:tcBorders>
          </w:tcPr>
          <w:p w14:paraId="57B2D18F"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21E5097" w14:textId="45E7C1E8" w:rsidR="00B44564" w:rsidRPr="005762E6" w:rsidRDefault="00B44564" w:rsidP="00EA69AA">
            <w:pPr>
              <w:spacing w:after="120" w:line="240" w:lineRule="auto"/>
              <w:contextualSpacing/>
              <w:rPr>
                <w:sz w:val="20"/>
                <w:szCs w:val="20"/>
              </w:rPr>
            </w:pPr>
            <w:r w:rsidRPr="005762E6">
              <w:rPr>
                <w:sz w:val="20"/>
                <w:szCs w:val="20"/>
              </w:rPr>
              <w:t xml:space="preserve">Babalola </w:t>
            </w:r>
            <w:proofErr w:type="gramStart"/>
            <w:r w:rsidRPr="005762E6">
              <w:rPr>
                <w:sz w:val="20"/>
                <w:szCs w:val="20"/>
              </w:rPr>
              <w:t>Faseru,​</w:t>
            </w:r>
            <w:proofErr w:type="gramEnd"/>
            <w:r w:rsidRPr="005762E6">
              <w:rPr>
                <w:sz w:val="20"/>
                <w:szCs w:val="20"/>
              </w:rPr>
              <w:t xml:space="preserve"> Won S Choi,​ Ron Krebill,​ Matthew S Mayo,​ Nicole L Nollen,​ Kolawole S Okuyemi,​ Jasjit S Ahluwalia,​ Lisa Sanderson Cox Factors associated with smoking menthol cigarettes among treatment-seeking African American light smokers</w:t>
            </w:r>
            <w:r w:rsidR="007F2F01">
              <w:rPr>
                <w:sz w:val="20"/>
                <w:szCs w:val="20"/>
              </w:rPr>
              <w:t>.</w:t>
            </w:r>
            <w:r w:rsidRPr="005762E6">
              <w:rPr>
                <w:sz w:val="20"/>
                <w:szCs w:val="20"/>
              </w:rPr>
              <w:t xml:space="preserve"> Addictive behaviors; 2011;36:1321.</w:t>
            </w:r>
            <w:r w:rsidRPr="005762E6">
              <w:rPr>
                <w:sz w:val="20"/>
                <w:szCs w:val="20"/>
              </w:rPr>
              <w:br/>
            </w:r>
            <w:r w:rsidRPr="005762E6">
              <w:rPr>
                <w:sz w:val="20"/>
                <w:szCs w:val="20"/>
              </w:rPr>
              <w:br/>
            </w:r>
            <w:r w:rsidRPr="005762E6">
              <w:rPr>
                <w:b/>
                <w:bCs/>
                <w:sz w:val="20"/>
                <w:szCs w:val="20"/>
              </w:rPr>
              <w:lastRenderedPageBreak/>
              <w:t>Keywords:</w:t>
            </w:r>
            <w:r w:rsidRPr="005762E6">
              <w:rPr>
                <w:sz w:val="20"/>
                <w:szCs w:val="20"/>
              </w:rPr>
              <w:br/>
              <w:t>*African Americans/px [Psychology],​Age Factors,​Carbon Monoxide/an [Analysis],​Depressive Disorder/eh [Ethnology],​Female,​Humans,​Kansas/ep [Epidemiology],​Male,​*Menthol,​Middle Aged,​Risk Factors,​Sex Factors,​*Smoking/eh [Ethnology],​Socioeconomic Factors,​Substance Withdrawal Syndrome/eh [Ethnology],​*Tobacco</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Smoking menthol cigarettes is more prevalent among African Americans (AA) compared to Whites. Menthol has been found to be inversely related to smoking cessation among </w:t>
            </w:r>
            <w:proofErr w:type="gramStart"/>
            <w:r w:rsidRPr="005762E6">
              <w:rPr>
                <w:sz w:val="20"/>
                <w:szCs w:val="20"/>
              </w:rPr>
              <w:t>AA,​</w:t>
            </w:r>
            <w:proofErr w:type="gramEnd"/>
            <w:r w:rsidRPr="005762E6">
              <w:rPr>
                <w:sz w:val="20"/>
                <w:szCs w:val="20"/>
              </w:rPr>
              <w:t xml:space="preserve"> yet little is known about the factors associated with menthol smoking among AA light smokers. This study examines baseline </w:t>
            </w:r>
            <w:proofErr w:type="gramStart"/>
            <w:r w:rsidRPr="005762E6">
              <w:rPr>
                <w:sz w:val="20"/>
                <w:szCs w:val="20"/>
              </w:rPr>
              <w:t>demographic,​</w:t>
            </w:r>
            <w:proofErr w:type="gramEnd"/>
            <w:r w:rsidRPr="005762E6">
              <w:rPr>
                <w:sz w:val="20"/>
                <w:szCs w:val="20"/>
              </w:rPr>
              <w:t xml:space="preserve"> psychological,​ and smoking factors associated with smoking menthol cigarettes among AA light smokers (&lt;=10 cigarettes per day).,​ METHODS: Participants (n=540) were enrolled in a double blind,​ placebo-controlled randomized trial of bupropion in combination with health education counseling for smoking cessation. Bivariate differences between menthol and non-menthol smokers were explored and baseline factors associated with smoking menthol cigarettes were identified</w:t>
            </w:r>
            <w:proofErr w:type="gramStart"/>
            <w:r w:rsidRPr="005762E6">
              <w:rPr>
                <w:sz w:val="20"/>
                <w:szCs w:val="20"/>
              </w:rPr>
              <w:t>.,​</w:t>
            </w:r>
            <w:proofErr w:type="gramEnd"/>
            <w:r w:rsidRPr="005762E6">
              <w:rPr>
                <w:sz w:val="20"/>
                <w:szCs w:val="20"/>
              </w:rPr>
              <w:t xml:space="preserve"> RESULTS: Participants averaged 46.5 years in age,​ predominantly female (66.1%),​ and smoked an average of 8.0 cpd (SD=2.5). The majority (83.7%) smoked menthol cigarettes. In bivariate </w:t>
            </w:r>
            <w:proofErr w:type="gramStart"/>
            <w:r w:rsidRPr="005762E6">
              <w:rPr>
                <w:sz w:val="20"/>
                <w:szCs w:val="20"/>
              </w:rPr>
              <w:t>analysis,​</w:t>
            </w:r>
            <w:proofErr w:type="gramEnd"/>
            <w:r w:rsidRPr="005762E6">
              <w:rPr>
                <w:sz w:val="20"/>
                <w:szCs w:val="20"/>
              </w:rPr>
              <w:t xml:space="preserve"> menthol cigarette smokers were younger (mean age: 45 vs. 52 years p&lt;0.0001),​ were more likely to be female (68% vs. 52% p=0.003) and had smoked for shorter duration (28 vs. 34 years p&lt;0.0001) compared to non-menthol smokers. While depression and withdrawal scores were slightly higher and exhaled carbon monoxide values were lower among menthol </w:t>
            </w:r>
            <w:proofErr w:type="gramStart"/>
            <w:r w:rsidRPr="005762E6">
              <w:rPr>
                <w:sz w:val="20"/>
                <w:szCs w:val="20"/>
              </w:rPr>
              <w:t>smokers,​</w:t>
            </w:r>
            <w:proofErr w:type="gramEnd"/>
            <w:r w:rsidRPr="005762E6">
              <w:rPr>
                <w:sz w:val="20"/>
                <w:szCs w:val="20"/>
              </w:rPr>
              <w:t xml:space="preserve"> the differences were not statistically significant.,​ CONCLUSIONS: Among AA light smokers,​ younger individuals and females were more likely to smoke menthol cigarettes and may be more susceptible to the health effects of smoking. Appropriately targeted health education campaigns are needed to prevent smoking uptake in this high-risk population. Copyright © 2011 Elsevier Ltd. All rights reserved.</w:t>
            </w:r>
          </w:p>
        </w:tc>
      </w:tr>
      <w:tr w:rsidR="00B44564" w:rsidRPr="005762E6" w14:paraId="580CDE7A"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14696E9" w14:textId="77777777" w:rsidR="00B44564" w:rsidRPr="005762E6" w:rsidRDefault="00B44564" w:rsidP="00EA69AA">
            <w:pPr>
              <w:spacing w:after="120" w:line="240" w:lineRule="auto"/>
              <w:contextualSpacing/>
              <w:rPr>
                <w:sz w:val="20"/>
                <w:szCs w:val="20"/>
              </w:rPr>
            </w:pPr>
            <w:r w:rsidRPr="005762E6">
              <w:rPr>
                <w:sz w:val="20"/>
                <w:szCs w:val="20"/>
              </w:rPr>
              <w:lastRenderedPageBreak/>
              <w:t>584</w:t>
            </w:r>
          </w:p>
        </w:tc>
        <w:tc>
          <w:tcPr>
            <w:tcW w:w="0" w:type="auto"/>
            <w:tcBorders>
              <w:top w:val="single" w:sz="6" w:space="0" w:color="auto"/>
              <w:left w:val="single" w:sz="6" w:space="0" w:color="auto"/>
              <w:bottom w:val="single" w:sz="6" w:space="0" w:color="auto"/>
              <w:right w:val="single" w:sz="6" w:space="0" w:color="auto"/>
            </w:tcBorders>
          </w:tcPr>
          <w:p w14:paraId="3C1865C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F0543F6" w14:textId="6706A863" w:rsidR="00B44564" w:rsidRPr="005762E6" w:rsidRDefault="00B44564" w:rsidP="00EA69AA">
            <w:pPr>
              <w:spacing w:after="120" w:line="240" w:lineRule="auto"/>
              <w:contextualSpacing/>
              <w:rPr>
                <w:sz w:val="20"/>
                <w:szCs w:val="20"/>
              </w:rPr>
            </w:pPr>
            <w:r w:rsidRPr="005762E6">
              <w:rPr>
                <w:sz w:val="20"/>
                <w:szCs w:val="20"/>
              </w:rPr>
              <w:t xml:space="preserve">Pamela I </w:t>
            </w:r>
            <w:proofErr w:type="gramStart"/>
            <w:r w:rsidRPr="005762E6">
              <w:rPr>
                <w:sz w:val="20"/>
                <w:szCs w:val="20"/>
              </w:rPr>
              <w:t>Clark,​</w:t>
            </w:r>
            <w:proofErr w:type="gramEnd"/>
            <w:r w:rsidRPr="005762E6">
              <w:rPr>
                <w:sz w:val="20"/>
                <w:szCs w:val="20"/>
              </w:rPr>
              <w:t xml:space="preserve"> Phillip Gardiner Menthol should not be given a free pass based on studies of biomarkers of toxicity</w:t>
            </w:r>
            <w:r w:rsidR="007F2F01">
              <w:rPr>
                <w:sz w:val="20"/>
                <w:szCs w:val="20"/>
              </w:rPr>
              <w:t>.</w:t>
            </w:r>
            <w:r w:rsidRPr="005762E6">
              <w:rPr>
                <w:sz w:val="20"/>
                <w:szCs w:val="20"/>
              </w:rPr>
              <w:t xml:space="preserve"> Cancer </w:t>
            </w:r>
            <w:proofErr w:type="gramStart"/>
            <w:r w:rsidRPr="005762E6">
              <w:rPr>
                <w:sz w:val="20"/>
                <w:szCs w:val="20"/>
              </w:rPr>
              <w:t>epidemiology,​</w:t>
            </w:r>
            <w:proofErr w:type="gramEnd"/>
            <w:r w:rsidRPr="005762E6">
              <w:rPr>
                <w:sz w:val="20"/>
                <w:szCs w:val="20"/>
              </w:rPr>
              <w:t xml:space="preserve"> biomarkers &amp; prevention : a publication of the American Association for Cancer Research,​ cosponsored by the American Society of Preventive Oncology; 2011;20:1269.</w:t>
            </w:r>
            <w:r w:rsidRPr="005762E6">
              <w:rPr>
                <w:sz w:val="20"/>
                <w:szCs w:val="20"/>
              </w:rPr>
              <w:br/>
            </w:r>
            <w:r w:rsidRPr="005762E6">
              <w:rPr>
                <w:sz w:val="20"/>
                <w:szCs w:val="20"/>
              </w:rPr>
              <w:br/>
            </w:r>
            <w:r w:rsidRPr="005762E6">
              <w:rPr>
                <w:b/>
                <w:bCs/>
                <w:sz w:val="20"/>
                <w:szCs w:val="20"/>
              </w:rPr>
              <w:t>Keywords:</w:t>
            </w:r>
            <w:r w:rsidRPr="005762E6">
              <w:rPr>
                <w:sz w:val="20"/>
                <w:szCs w:val="20"/>
              </w:rPr>
              <w:br/>
              <w:t>*Cotinine/bl [Blood],​Female,​Humans,​Male,​*Menthol,​*Smoking/bl [Blood]</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Exposure and toxicity studies comparing menthol and nonmenthol cigarettes have resulted in mixed results. On the basis of those </w:t>
            </w:r>
            <w:proofErr w:type="gramStart"/>
            <w:r w:rsidRPr="005762E6">
              <w:rPr>
                <w:sz w:val="20"/>
                <w:szCs w:val="20"/>
              </w:rPr>
              <w:t>results,​</w:t>
            </w:r>
            <w:proofErr w:type="gramEnd"/>
            <w:r w:rsidRPr="005762E6">
              <w:rPr>
                <w:sz w:val="20"/>
                <w:szCs w:val="20"/>
              </w:rPr>
              <w:t xml:space="preserve"> cigarette manufacturers have concluded that there is no increased harm from the addition of menthol to cigarettes. We propose that such a narrow definition of harm is not appropriate in dealing with the issue of </w:t>
            </w:r>
            <w:proofErr w:type="gramStart"/>
            <w:r w:rsidRPr="005762E6">
              <w:rPr>
                <w:sz w:val="20"/>
                <w:szCs w:val="20"/>
              </w:rPr>
              <w:t>menthol,​</w:t>
            </w:r>
            <w:proofErr w:type="gramEnd"/>
            <w:r w:rsidRPr="005762E6">
              <w:rPr>
                <w:sz w:val="20"/>
                <w:szCs w:val="20"/>
              </w:rPr>
              <w:t xml:space="preserve"> and its broader negative public health impact. Copyright ©2011 AACR</w:t>
            </w:r>
          </w:p>
        </w:tc>
      </w:tr>
      <w:tr w:rsidR="00B44564" w:rsidRPr="005762E6" w14:paraId="1E9C6062"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0BFCB4F" w14:textId="77777777" w:rsidR="00B44564" w:rsidRPr="005762E6" w:rsidRDefault="00B44564" w:rsidP="00EA69AA">
            <w:pPr>
              <w:spacing w:after="120" w:line="240" w:lineRule="auto"/>
              <w:contextualSpacing/>
              <w:rPr>
                <w:sz w:val="20"/>
                <w:szCs w:val="20"/>
              </w:rPr>
            </w:pPr>
            <w:r w:rsidRPr="005762E6">
              <w:rPr>
                <w:sz w:val="20"/>
                <w:szCs w:val="20"/>
              </w:rPr>
              <w:t>586</w:t>
            </w:r>
          </w:p>
        </w:tc>
        <w:tc>
          <w:tcPr>
            <w:tcW w:w="0" w:type="auto"/>
            <w:tcBorders>
              <w:top w:val="single" w:sz="6" w:space="0" w:color="auto"/>
              <w:left w:val="single" w:sz="6" w:space="0" w:color="auto"/>
              <w:bottom w:val="single" w:sz="6" w:space="0" w:color="auto"/>
              <w:right w:val="single" w:sz="6" w:space="0" w:color="auto"/>
            </w:tcBorders>
          </w:tcPr>
          <w:p w14:paraId="58E75922"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E53597A" w14:textId="0576C645" w:rsidR="00B44564" w:rsidRPr="005762E6" w:rsidRDefault="00B44564" w:rsidP="00EA69AA">
            <w:pPr>
              <w:spacing w:after="120" w:line="240" w:lineRule="auto"/>
              <w:contextualSpacing/>
              <w:rPr>
                <w:sz w:val="20"/>
                <w:szCs w:val="20"/>
              </w:rPr>
            </w:pPr>
            <w:r w:rsidRPr="005762E6">
              <w:rPr>
                <w:sz w:val="20"/>
                <w:szCs w:val="20"/>
              </w:rPr>
              <w:t xml:space="preserve">George R </w:t>
            </w:r>
            <w:proofErr w:type="gramStart"/>
            <w:r w:rsidRPr="005762E6">
              <w:rPr>
                <w:sz w:val="20"/>
                <w:szCs w:val="20"/>
              </w:rPr>
              <w:t>Uhl,​</w:t>
            </w:r>
            <w:proofErr w:type="gramEnd"/>
            <w:r w:rsidRPr="005762E6">
              <w:rPr>
                <w:sz w:val="20"/>
                <w:szCs w:val="20"/>
              </w:rPr>
              <w:t xml:space="preserve"> Donna Walther,​ Frederique M Behm,​ Jed E Rose Menthol preference among smokers: association with TRPA1 variants</w:t>
            </w:r>
            <w:r w:rsidR="007F2F01">
              <w:rPr>
                <w:sz w:val="20"/>
                <w:szCs w:val="20"/>
              </w:rPr>
              <w:t>.</w:t>
            </w:r>
            <w:r w:rsidRPr="005762E6">
              <w:rPr>
                <w:sz w:val="20"/>
                <w:szCs w:val="20"/>
              </w:rPr>
              <w:t xml:space="preserve"> Nicotine &amp; tobacco research : official journal of the Society for Research on Nicotine and Tobacco; 2011;13:1311.</w:t>
            </w:r>
            <w:r w:rsidRPr="005762E6">
              <w:rPr>
                <w:sz w:val="20"/>
                <w:szCs w:val="20"/>
              </w:rPr>
              <w:br/>
            </w:r>
            <w:r w:rsidRPr="005762E6">
              <w:rPr>
                <w:sz w:val="20"/>
                <w:szCs w:val="20"/>
              </w:rPr>
              <w:br/>
            </w:r>
            <w:r w:rsidRPr="005762E6">
              <w:rPr>
                <w:b/>
                <w:bCs/>
                <w:sz w:val="20"/>
                <w:szCs w:val="20"/>
              </w:rPr>
              <w:t>Keywords:</w:t>
            </w:r>
            <w:r w:rsidRPr="005762E6">
              <w:rPr>
                <w:sz w:val="20"/>
                <w:szCs w:val="20"/>
              </w:rPr>
              <w:br/>
              <w:t>Adult,​*Calcium Channels/ge [Genetics],​*European Continental Ancestry Group/sn [Statistics &amp; Numerical Data],​Female,​Gene Frequency,​Genotype,​HapMap Project,​Haplotypes,​Humans,​Male,​Maryland/ep [Epidemiology],​Menthol,​*Nerve Tissue Proteins/ge [Genetics],​North Carolina/ep [Epidemiology],​Polymorphism,​ Single Nucleotide/ge [Genetics],​Self-Report,​Smoking/ep [Epidemiology],​*Smoking/ge [Genetics],​*Smoking Cessation/sn [Statistics &amp; Numerical Data],​TRPA1 Cation Channel,​Tobacco Use Disorder/ep [Epidemiology],​*Tobacco Use Disorder/ge [Genetics],​*Transient Receptor Potential Channels/ge [Genetics]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Preference for smoking menthol cigarettes differs from individual to individual and population to population in ways that may provide higher levels of nicotine intake and contribute to smoking's morbidity and mortality. Menthol acts at sites that include the transient receptor potential (TRP) A1 channel that is expressed by nociceptors in the lung and </w:t>
            </w:r>
            <w:proofErr w:type="gramStart"/>
            <w:r w:rsidRPr="005762E6">
              <w:rPr>
                <w:sz w:val="20"/>
                <w:szCs w:val="20"/>
              </w:rPr>
              <w:t>airways,​</w:t>
            </w:r>
            <w:proofErr w:type="gramEnd"/>
            <w:r w:rsidRPr="005762E6">
              <w:rPr>
                <w:sz w:val="20"/>
                <w:szCs w:val="20"/>
              </w:rPr>
              <w:t xml:space="preserve"> suggesting that individual and population differences in TRPA1 sequences might contribute to observed differences in menthol preference among </w:t>
            </w:r>
            <w:r w:rsidRPr="005762E6">
              <w:rPr>
                <w:sz w:val="20"/>
                <w:szCs w:val="20"/>
              </w:rPr>
              <w:lastRenderedPageBreak/>
              <w:t>smokers.,​ METHODS: We have thus sought association between menthol preference and common variants in the TRPA1 gene in heavier and lighter European-American smokers. Smokers were recruited for studies of smoking cessation in North Carolina and of substance abuse genetics in Maryland</w:t>
            </w:r>
            <w:proofErr w:type="gramStart"/>
            <w:r w:rsidRPr="005762E6">
              <w:rPr>
                <w:sz w:val="20"/>
                <w:szCs w:val="20"/>
              </w:rPr>
              <w:t>.,​</w:t>
            </w:r>
            <w:proofErr w:type="gramEnd"/>
            <w:r w:rsidRPr="005762E6">
              <w:rPr>
                <w:sz w:val="20"/>
                <w:szCs w:val="20"/>
              </w:rPr>
              <w:t xml:space="preserve"> RESULTS: A common TRPA1 haplotype is defined by 1 missense and 10 intronic single nucleotide polymorphisms that display significant (.006 &lt; p &lt; .05; chi(2)) association with preference for mentholated cigarettes in heavy smokers (odds ratio ca. 1.3). There are smaller trends in the same direction in lighter smokers</w:t>
            </w:r>
            <w:proofErr w:type="gramStart"/>
            <w:r w:rsidRPr="005762E6">
              <w:rPr>
                <w:sz w:val="20"/>
                <w:szCs w:val="20"/>
              </w:rPr>
              <w:t>.,​</w:t>
            </w:r>
            <w:proofErr w:type="gramEnd"/>
            <w:r w:rsidRPr="005762E6">
              <w:rPr>
                <w:sz w:val="20"/>
                <w:szCs w:val="20"/>
              </w:rPr>
              <w:t xml:space="preserve"> CONCLUSIONS: This TRPA1 haplotype provides a novel biological basis for individual differences in menthol preference and possibly for actions of other agents that act at TRPA1.</w:t>
            </w:r>
          </w:p>
        </w:tc>
      </w:tr>
      <w:tr w:rsidR="00B44564" w:rsidRPr="005762E6" w14:paraId="04A635DF"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02A58E1" w14:textId="77777777" w:rsidR="00B44564" w:rsidRPr="005762E6" w:rsidRDefault="00B44564" w:rsidP="00EA69AA">
            <w:pPr>
              <w:spacing w:after="120" w:line="240" w:lineRule="auto"/>
              <w:contextualSpacing/>
              <w:rPr>
                <w:sz w:val="20"/>
                <w:szCs w:val="20"/>
              </w:rPr>
            </w:pPr>
            <w:r w:rsidRPr="005762E6">
              <w:rPr>
                <w:sz w:val="20"/>
                <w:szCs w:val="20"/>
              </w:rPr>
              <w:lastRenderedPageBreak/>
              <w:t>587</w:t>
            </w:r>
          </w:p>
        </w:tc>
        <w:tc>
          <w:tcPr>
            <w:tcW w:w="0" w:type="auto"/>
            <w:tcBorders>
              <w:top w:val="single" w:sz="6" w:space="0" w:color="auto"/>
              <w:left w:val="single" w:sz="6" w:space="0" w:color="auto"/>
              <w:bottom w:val="single" w:sz="6" w:space="0" w:color="auto"/>
              <w:right w:val="single" w:sz="6" w:space="0" w:color="auto"/>
            </w:tcBorders>
          </w:tcPr>
          <w:p w14:paraId="23A0A24E"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47F59D5" w14:textId="38A0F28C" w:rsidR="00B44564" w:rsidRPr="005762E6" w:rsidRDefault="00B44564" w:rsidP="00EA69AA">
            <w:pPr>
              <w:spacing w:after="120" w:line="240" w:lineRule="auto"/>
              <w:contextualSpacing/>
              <w:rPr>
                <w:sz w:val="20"/>
                <w:szCs w:val="20"/>
              </w:rPr>
            </w:pPr>
            <w:r w:rsidRPr="005762E6">
              <w:rPr>
                <w:sz w:val="20"/>
                <w:szCs w:val="20"/>
              </w:rPr>
              <w:t xml:space="preserve">Paul M </w:t>
            </w:r>
            <w:proofErr w:type="gramStart"/>
            <w:r w:rsidRPr="005762E6">
              <w:rPr>
                <w:sz w:val="20"/>
                <w:szCs w:val="20"/>
              </w:rPr>
              <w:t>Wise,​</w:t>
            </w:r>
            <w:proofErr w:type="gramEnd"/>
            <w:r w:rsidRPr="005762E6">
              <w:rPr>
                <w:sz w:val="20"/>
                <w:szCs w:val="20"/>
              </w:rPr>
              <w:t xml:space="preserve"> George Preti,​ Jason Eades,​ Charles J Wysocki The effect of menthol vapor on nasal sensitivity to chemical irritation</w:t>
            </w:r>
            <w:r w:rsidR="007F2F01">
              <w:rPr>
                <w:sz w:val="20"/>
                <w:szCs w:val="20"/>
              </w:rPr>
              <w:t>.</w:t>
            </w:r>
            <w:r w:rsidRPr="005762E6">
              <w:rPr>
                <w:sz w:val="20"/>
                <w:szCs w:val="20"/>
              </w:rPr>
              <w:t xml:space="preserve"> Nicotine &amp; tobacco research : official journal of the Society for Research on Nicotine and Tobacco; 2011;13:989.</w:t>
            </w:r>
            <w:r w:rsidRPr="005762E6">
              <w:rPr>
                <w:sz w:val="20"/>
                <w:szCs w:val="20"/>
              </w:rPr>
              <w:br/>
            </w:r>
            <w:r w:rsidRPr="005762E6">
              <w:rPr>
                <w:sz w:val="20"/>
                <w:szCs w:val="20"/>
              </w:rPr>
              <w:br/>
            </w:r>
            <w:r w:rsidRPr="005762E6">
              <w:rPr>
                <w:b/>
                <w:bCs/>
                <w:sz w:val="20"/>
                <w:szCs w:val="20"/>
              </w:rPr>
              <w:t>Keywords:</w:t>
            </w:r>
            <w:r w:rsidRPr="005762E6">
              <w:rPr>
                <w:sz w:val="20"/>
                <w:szCs w:val="20"/>
              </w:rPr>
              <w:br/>
              <w:t>Acetic Acid/ad [Administration &amp; Dosage],​Acetic Acid/pd [Pharmacology],​Administration,​ Inhalation,​Adult,​Female,​Humans,​*Irritants/pd [Pharmacology],​Isothiocyanates/pd [Pharmacology],​Male,​Menthol/ad [Administration &amp; Dosage],​*Menthol/pd [Pharmacology],​Middle Aged,​*Nasal Mucosa/de [Drug Effects],​Nasal Mucosa/ph [Physiology],​*Sensation/de [Drug Effects],​Sensation/ph [Physiology],​Sensory Thresholds/ph [Physiology],​Smoking/px [Psychology],​Stimulation,​ Chemical,​Tobacco Smoke Pollution,​Young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Among other effects,​ menthol added to cigarettes may modulate sensory response to cigarette smoke either by masking "harshness" or contributing to a desirable "impact." </w:t>
            </w:r>
            <w:proofErr w:type="gramStart"/>
            <w:r w:rsidRPr="005762E6">
              <w:rPr>
                <w:sz w:val="20"/>
                <w:szCs w:val="20"/>
              </w:rPr>
              <w:t>However,​</w:t>
            </w:r>
            <w:proofErr w:type="gramEnd"/>
            <w:r w:rsidRPr="005762E6">
              <w:rPr>
                <w:sz w:val="20"/>
                <w:szCs w:val="20"/>
              </w:rPr>
              <w:t xml:space="preserve"> harshness and impact have been imprecisely defined and assessed using subjective measures. </w:t>
            </w:r>
            <w:proofErr w:type="gramStart"/>
            <w:r w:rsidRPr="005762E6">
              <w:rPr>
                <w:sz w:val="20"/>
                <w:szCs w:val="20"/>
              </w:rPr>
              <w:t>Thus,​</w:t>
            </w:r>
            <w:proofErr w:type="gramEnd"/>
            <w:r w:rsidRPr="005762E6">
              <w:rPr>
                <w:sz w:val="20"/>
                <w:szCs w:val="20"/>
              </w:rPr>
              <w:t xml:space="preserve"> the current experiments used an objective measure of sensitivity to chemical irritation in the nose to test the hypothesis that menthol vapor modulates sensitivity to chemical irritation in the airways.,​ METHODS: Nasal irritation thresholds were measured for 2 model compounds (acetic acid and allyl isothiocyanate) using nasal lateralization. In this </w:t>
            </w:r>
            <w:proofErr w:type="gramStart"/>
            <w:r w:rsidRPr="005762E6">
              <w:rPr>
                <w:sz w:val="20"/>
                <w:szCs w:val="20"/>
              </w:rPr>
              <w:t>technique,​</w:t>
            </w:r>
            <w:proofErr w:type="gramEnd"/>
            <w:r w:rsidRPr="005762E6">
              <w:rPr>
                <w:sz w:val="20"/>
                <w:szCs w:val="20"/>
              </w:rPr>
              <w:t xml:space="preserve"> participants simultaneously sniff clean air in one nostril and chemical vapor in the other and attempt to identify the stimulated nostril. People cannot lateralize based on smell alone but can do so when chemicals are strong enough to feel. In one </w:t>
            </w:r>
            <w:proofErr w:type="gramStart"/>
            <w:r w:rsidRPr="005762E6">
              <w:rPr>
                <w:sz w:val="20"/>
                <w:szCs w:val="20"/>
              </w:rPr>
              <w:t>condition,​</w:t>
            </w:r>
            <w:proofErr w:type="gramEnd"/>
            <w:r w:rsidRPr="005762E6">
              <w:rPr>
                <w:sz w:val="20"/>
                <w:szCs w:val="20"/>
              </w:rPr>
              <w:t xml:space="preserve"> participants were pretreated by sniffing menthol vapor. In a control condition,​ participants were pretreated by sniffing an odorless blank (within-subjects design).,​ RESULTS: Pretreatment with menthol vapor decreased sensitivity to nasal irritation from acetic acid (participants required higher concentrations to lateralize) but increased sensitivity to allyl isothiocyanate (lower concentrations were required).,​ CONCLUSIONS: The current experiments provide objective evidence that menthol vapor can modulate sensitivity to chemical irritation in the upper airways in humans. Cigarette smoke is a complex mixture of chemicals and </w:t>
            </w:r>
            <w:proofErr w:type="gramStart"/>
            <w:r w:rsidRPr="005762E6">
              <w:rPr>
                <w:sz w:val="20"/>
                <w:szCs w:val="20"/>
              </w:rPr>
              <w:t>particulates,​</w:t>
            </w:r>
            <w:proofErr w:type="gramEnd"/>
            <w:r w:rsidRPr="005762E6">
              <w:rPr>
                <w:sz w:val="20"/>
                <w:szCs w:val="20"/>
              </w:rPr>
              <w:t xml:space="preserve"> and further work will be needed to determine exactly how menthol modulates smoking sensation. A better understanding could lead to treatments tailored to help menthol smokers quit by replacing the sensation of mentholated cigarettes.</w:t>
            </w:r>
          </w:p>
        </w:tc>
      </w:tr>
      <w:tr w:rsidR="00B44564" w:rsidRPr="005762E6" w14:paraId="71586D51"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76D584B" w14:textId="77777777" w:rsidR="00B44564" w:rsidRPr="005762E6" w:rsidRDefault="00B44564" w:rsidP="00EA69AA">
            <w:pPr>
              <w:spacing w:after="120" w:line="240" w:lineRule="auto"/>
              <w:contextualSpacing/>
              <w:rPr>
                <w:sz w:val="20"/>
                <w:szCs w:val="20"/>
              </w:rPr>
            </w:pPr>
            <w:r w:rsidRPr="005762E6">
              <w:rPr>
                <w:sz w:val="20"/>
                <w:szCs w:val="20"/>
              </w:rPr>
              <w:t>588</w:t>
            </w:r>
          </w:p>
        </w:tc>
        <w:tc>
          <w:tcPr>
            <w:tcW w:w="0" w:type="auto"/>
            <w:tcBorders>
              <w:top w:val="single" w:sz="6" w:space="0" w:color="auto"/>
              <w:left w:val="single" w:sz="6" w:space="0" w:color="auto"/>
              <w:bottom w:val="single" w:sz="6" w:space="0" w:color="auto"/>
              <w:right w:val="single" w:sz="6" w:space="0" w:color="auto"/>
            </w:tcBorders>
          </w:tcPr>
          <w:p w14:paraId="38E11C80"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F0F19AA" w14:textId="1185C884" w:rsidR="00B44564" w:rsidRPr="005762E6" w:rsidRDefault="00B44564" w:rsidP="00EA69AA">
            <w:pPr>
              <w:spacing w:after="120" w:line="240" w:lineRule="auto"/>
              <w:contextualSpacing/>
              <w:rPr>
                <w:sz w:val="20"/>
                <w:szCs w:val="20"/>
              </w:rPr>
            </w:pPr>
            <w:r w:rsidRPr="005762E6">
              <w:rPr>
                <w:sz w:val="20"/>
                <w:szCs w:val="20"/>
              </w:rPr>
              <w:t xml:space="preserve">Lorraine R </w:t>
            </w:r>
            <w:proofErr w:type="gramStart"/>
            <w:r w:rsidRPr="005762E6">
              <w:rPr>
                <w:sz w:val="20"/>
                <w:szCs w:val="20"/>
              </w:rPr>
              <w:t>Reitzel,​</w:t>
            </w:r>
            <w:proofErr w:type="gramEnd"/>
            <w:r w:rsidRPr="005762E6">
              <w:rPr>
                <w:sz w:val="20"/>
                <w:szCs w:val="20"/>
              </w:rPr>
              <w:t xml:space="preserve"> Nga Nguyen,​ Yumei Cao,​ Jennifer Irvin Vidrine,​ Patricia Daza,​ Patricia Dolan Mullen,​ Mary M Velasquez,​ Yisheng Li,​ Paul M Cinciripini,​ Ludmila Cofta-Woerpel,​ David W Wetter Race/ethnicity moderates the effect of prepartum menthol cigarette use on postpartum smoking abstinence</w:t>
            </w:r>
            <w:r w:rsidR="007F2F01">
              <w:rPr>
                <w:sz w:val="20"/>
                <w:szCs w:val="20"/>
              </w:rPr>
              <w:t>.</w:t>
            </w:r>
            <w:r w:rsidRPr="005762E6">
              <w:rPr>
                <w:sz w:val="20"/>
                <w:szCs w:val="20"/>
              </w:rPr>
              <w:t xml:space="preserve"> Nicotine &amp; tobacco research : official journal of the Society for Research on Nicotine and Tobacco; 2011;13:1305.</w:t>
            </w:r>
            <w:r w:rsidRPr="005762E6">
              <w:rPr>
                <w:sz w:val="20"/>
                <w:szCs w:val="20"/>
              </w:rPr>
              <w:br/>
            </w:r>
            <w:r w:rsidRPr="005762E6">
              <w:rPr>
                <w:sz w:val="20"/>
                <w:szCs w:val="20"/>
              </w:rPr>
              <w:br/>
            </w:r>
            <w:r w:rsidRPr="005762E6">
              <w:rPr>
                <w:b/>
                <w:bCs/>
                <w:sz w:val="20"/>
                <w:szCs w:val="20"/>
              </w:rPr>
              <w:t>Keywords:</w:t>
            </w:r>
            <w:r w:rsidRPr="005762E6">
              <w:rPr>
                <w:sz w:val="20"/>
                <w:szCs w:val="20"/>
              </w:rPr>
              <w:br/>
              <w:t>Adult,​African Americans/sn [Statistics &amp; Numerical Data],​European Continental Ancestry Group/sn [Statistics &amp; Numerical Data],​Female,​Hispanic Americans/sn [Statistics &amp; Numerical Data],​Humans,​Logistic Models,​Longitudinal Studies,​Menthol,​Odds Ratio,​Postpartum Period,​Pregnancy,​*Pregnancy Complications/eh [Ethnology],​Smoking/ep [Epidemiology],​*Smoking/eh [Ethnology],​*Smoking Cessation/eh [Ethnology],​Smoking Cessation/sn [Statistics &amp; Numerical Data],​Smoking Prevention,​Tobacco Use Disorder/ep [Epidemiology],​*Tobacco Use Disorder/eh [Ethnology],​Tobacco Use Disorder/pc [Prevention &amp; Control],​United States/ep [Epidemiology],​Young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Little is known about the influence of prepartum menthol cigarette use on postpartum smoking abstinence or how race/ethnicity might moderate this relationship. The current study </w:t>
            </w:r>
            <w:r w:rsidRPr="005762E6">
              <w:rPr>
                <w:sz w:val="20"/>
                <w:szCs w:val="20"/>
              </w:rPr>
              <w:lastRenderedPageBreak/>
              <w:t xml:space="preserve">addressed that gap by testing these relationships among racially/ethnically diverse women who quit smoking during pregnancy (N = 244; 33% African </w:t>
            </w:r>
            <w:proofErr w:type="gramStart"/>
            <w:r w:rsidRPr="005762E6">
              <w:rPr>
                <w:sz w:val="20"/>
                <w:szCs w:val="20"/>
              </w:rPr>
              <w:t>American,​</w:t>
            </w:r>
            <w:proofErr w:type="gramEnd"/>
            <w:r w:rsidRPr="005762E6">
              <w:rPr>
                <w:sz w:val="20"/>
                <w:szCs w:val="20"/>
              </w:rPr>
              <w:t xml:space="preserve"> 31% Latina,​ 36% White).,​ METHODS: Continuation ratio logit models were used to examine the effects of prepartum menthol cigarette use on biochemically confirmed,​ continuous abstinence through 26 weeks postpartum using an intent-to-treat approach. Analyses controlled for </w:t>
            </w:r>
            <w:proofErr w:type="gramStart"/>
            <w:r w:rsidRPr="005762E6">
              <w:rPr>
                <w:sz w:val="20"/>
                <w:szCs w:val="20"/>
              </w:rPr>
              <w:t>age,​</w:t>
            </w:r>
            <w:proofErr w:type="gramEnd"/>
            <w:r w:rsidRPr="005762E6">
              <w:rPr>
                <w:sz w:val="20"/>
                <w:szCs w:val="20"/>
              </w:rPr>
              <w:t xml:space="preserve"> race/ethnicity,​ partner status,​ income,​ education,​ treatment,​ number of prequit cigarettes smoked per day,​ time to the first cigarette of the day,​ and time (Week 8 or 26 data collection timepoint). An additional model tested the moderating effects of race/ethnicity by including an interaction term</w:t>
            </w:r>
            <w:proofErr w:type="gramStart"/>
            <w:r w:rsidRPr="005762E6">
              <w:rPr>
                <w:sz w:val="20"/>
                <w:szCs w:val="20"/>
              </w:rPr>
              <w:t>.,​</w:t>
            </w:r>
            <w:proofErr w:type="gramEnd"/>
            <w:r w:rsidRPr="005762E6">
              <w:rPr>
                <w:sz w:val="20"/>
                <w:szCs w:val="20"/>
              </w:rPr>
              <w:t xml:space="preserve"> RESULTS: Prepartum menthol cigarette use was not significantly associated with postpartum smoking abstinence in the overall sample. </w:t>
            </w:r>
            <w:proofErr w:type="gramStart"/>
            <w:r w:rsidRPr="005762E6">
              <w:rPr>
                <w:sz w:val="20"/>
                <w:szCs w:val="20"/>
              </w:rPr>
              <w:t>However,​</w:t>
            </w:r>
            <w:proofErr w:type="gramEnd"/>
            <w:r w:rsidRPr="005762E6">
              <w:rPr>
                <w:sz w:val="20"/>
                <w:szCs w:val="20"/>
              </w:rPr>
              <w:t xml:space="preserve"> the interaction between menthol use and race/ethnicity was significant (p = .02). Among White </w:t>
            </w:r>
            <w:proofErr w:type="gramStart"/>
            <w:r w:rsidRPr="005762E6">
              <w:rPr>
                <w:sz w:val="20"/>
                <w:szCs w:val="20"/>
              </w:rPr>
              <w:t>women,​</w:t>
            </w:r>
            <w:proofErr w:type="gramEnd"/>
            <w:r w:rsidRPr="005762E6">
              <w:rPr>
                <w:sz w:val="20"/>
                <w:szCs w:val="20"/>
              </w:rPr>
              <w:t xml:space="preserve"> menthol use was associated with significantly lower odds of maintaining postpartum smoking abstinence (p = .03; odds ratio = .19 [.04-.89]),​ and the effect approached significance among African American women (p = .08).,​ CONCLUSIONS: This study provides the first evidence that prepartum menthol cigarette use may increase the risk of postpartum smoking relapse among White,​ and possibly African American,​ women who quit smoking during or immediately before pregnancy. Results suggest that White and African American prepartum menthol users may require different or more intensive cessation services to aid in the maintenance of postpartum smoking abstinence. Replication with larger </w:t>
            </w:r>
            <w:proofErr w:type="gramStart"/>
            <w:r w:rsidRPr="005762E6">
              <w:rPr>
                <w:sz w:val="20"/>
                <w:szCs w:val="20"/>
              </w:rPr>
              <w:t>samples,​</w:t>
            </w:r>
            <w:proofErr w:type="gramEnd"/>
            <w:r w:rsidRPr="005762E6">
              <w:rPr>
                <w:sz w:val="20"/>
                <w:szCs w:val="20"/>
              </w:rPr>
              <w:t xml:space="preserve"> and a focus on understanding the mechanisms that underlie these relationships,​ are warranted.</w:t>
            </w:r>
          </w:p>
        </w:tc>
      </w:tr>
      <w:tr w:rsidR="00B44564" w:rsidRPr="005762E6" w14:paraId="0312ACC0"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8669F1B" w14:textId="77777777" w:rsidR="00B44564" w:rsidRPr="005762E6" w:rsidRDefault="00B44564" w:rsidP="00EA69AA">
            <w:pPr>
              <w:spacing w:after="120" w:line="240" w:lineRule="auto"/>
              <w:contextualSpacing/>
              <w:rPr>
                <w:sz w:val="20"/>
                <w:szCs w:val="20"/>
              </w:rPr>
            </w:pPr>
            <w:r w:rsidRPr="005762E6">
              <w:rPr>
                <w:sz w:val="20"/>
                <w:szCs w:val="20"/>
              </w:rPr>
              <w:lastRenderedPageBreak/>
              <w:t>590</w:t>
            </w:r>
          </w:p>
        </w:tc>
        <w:tc>
          <w:tcPr>
            <w:tcW w:w="0" w:type="auto"/>
            <w:tcBorders>
              <w:top w:val="single" w:sz="6" w:space="0" w:color="auto"/>
              <w:left w:val="single" w:sz="6" w:space="0" w:color="auto"/>
              <w:bottom w:val="single" w:sz="6" w:space="0" w:color="auto"/>
              <w:right w:val="single" w:sz="6" w:space="0" w:color="auto"/>
            </w:tcBorders>
          </w:tcPr>
          <w:p w14:paraId="43F2B13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0846B3C" w14:textId="546A39C2" w:rsidR="00B44564" w:rsidRPr="005762E6" w:rsidRDefault="00B44564" w:rsidP="00EA69AA">
            <w:pPr>
              <w:spacing w:after="120" w:line="240" w:lineRule="auto"/>
              <w:contextualSpacing/>
              <w:rPr>
                <w:sz w:val="20"/>
                <w:szCs w:val="20"/>
              </w:rPr>
            </w:pPr>
            <w:r w:rsidRPr="005762E6">
              <w:rPr>
                <w:sz w:val="20"/>
                <w:szCs w:val="20"/>
              </w:rPr>
              <w:t xml:space="preserve">David T </w:t>
            </w:r>
            <w:proofErr w:type="gramStart"/>
            <w:r w:rsidRPr="005762E6">
              <w:rPr>
                <w:sz w:val="20"/>
                <w:szCs w:val="20"/>
              </w:rPr>
              <w:t>Levy,​</w:t>
            </w:r>
            <w:proofErr w:type="gramEnd"/>
            <w:r w:rsidRPr="005762E6">
              <w:rPr>
                <w:sz w:val="20"/>
                <w:szCs w:val="20"/>
              </w:rPr>
              <w:t xml:space="preserve"> Jennifer L Pearson,​ Andrea C Villanti,​ Kenneth Blackman,​ Donna M Vallone,​ Raymond S Niaura,​ David B Abrams Modeling the future effects of a menthol ban on smoking prevalence and smoking-attributable deaths in the United States</w:t>
            </w:r>
            <w:r w:rsidR="007F2F01">
              <w:rPr>
                <w:sz w:val="20"/>
                <w:szCs w:val="20"/>
              </w:rPr>
              <w:t>.</w:t>
            </w:r>
            <w:r w:rsidRPr="005762E6">
              <w:rPr>
                <w:sz w:val="20"/>
                <w:szCs w:val="20"/>
              </w:rPr>
              <w:t xml:space="preserve"> American journal of public health; 2011;101:1236.</w:t>
            </w:r>
            <w:r w:rsidRPr="005762E6">
              <w:rPr>
                <w:sz w:val="20"/>
                <w:szCs w:val="20"/>
              </w:rPr>
              <w:br/>
            </w:r>
            <w:r w:rsidRPr="005762E6">
              <w:rPr>
                <w:sz w:val="20"/>
                <w:szCs w:val="20"/>
              </w:rPr>
              <w:br/>
            </w:r>
            <w:r w:rsidRPr="005762E6">
              <w:rPr>
                <w:b/>
                <w:bCs/>
                <w:sz w:val="20"/>
                <w:szCs w:val="20"/>
              </w:rPr>
              <w:t>Keywords:</w:t>
            </w:r>
            <w:r w:rsidRPr="005762E6">
              <w:rPr>
                <w:sz w:val="20"/>
                <w:szCs w:val="20"/>
              </w:rPr>
              <w:br/>
              <w:t>African Continental Ancestry Group/sn [Statistics &amp; Numerical Data],​Humans,​*Menthol,​Models,​ Statistical,​Prevalence,​Smoking/ep [Epidemiology],​*Smoking/lj [Legislation &amp; Jurisprudence],​Smoking/mo [Mortality],​Smoking Cessation/sn [Statistics &amp; Numerical Data],​United States/ep [Epidemiology]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We used a validated smoking simulation model and data from the 2003 Tobacco Use Supplement to the Current Population Survey to project the impact that a US menthol ban would have on smoking prevalence and smoking-attributable deaths. In a scenario in which 30% of menthol smokers quit and 30% of those who would have initiated as menthol smokers do not </w:t>
            </w:r>
            <w:proofErr w:type="gramStart"/>
            <w:r w:rsidRPr="005762E6">
              <w:rPr>
                <w:sz w:val="20"/>
                <w:szCs w:val="20"/>
              </w:rPr>
              <w:t>initiate,​</w:t>
            </w:r>
            <w:proofErr w:type="gramEnd"/>
            <w:r w:rsidRPr="005762E6">
              <w:rPr>
                <w:sz w:val="20"/>
                <w:szCs w:val="20"/>
              </w:rPr>
              <w:t xml:space="preserve"> by 2050 the relative reduction in smoking prevalence would be 9.7% overall and 24.8% for Blacks; deaths averted would be 633,​252 overall and 237,​317 for Blacks.</w:t>
            </w:r>
          </w:p>
        </w:tc>
      </w:tr>
      <w:tr w:rsidR="00B44564" w:rsidRPr="005762E6" w14:paraId="307A6A5D"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E79EDF4" w14:textId="77777777" w:rsidR="00B44564" w:rsidRPr="005762E6" w:rsidRDefault="00B44564" w:rsidP="00EA69AA">
            <w:pPr>
              <w:spacing w:after="120" w:line="240" w:lineRule="auto"/>
              <w:contextualSpacing/>
              <w:rPr>
                <w:sz w:val="20"/>
                <w:szCs w:val="20"/>
              </w:rPr>
            </w:pPr>
            <w:r w:rsidRPr="005762E6">
              <w:rPr>
                <w:sz w:val="20"/>
                <w:szCs w:val="20"/>
              </w:rPr>
              <w:t>591</w:t>
            </w:r>
          </w:p>
        </w:tc>
        <w:tc>
          <w:tcPr>
            <w:tcW w:w="0" w:type="auto"/>
            <w:tcBorders>
              <w:top w:val="single" w:sz="6" w:space="0" w:color="auto"/>
              <w:left w:val="single" w:sz="6" w:space="0" w:color="auto"/>
              <w:bottom w:val="single" w:sz="6" w:space="0" w:color="auto"/>
              <w:right w:val="single" w:sz="6" w:space="0" w:color="auto"/>
            </w:tcBorders>
          </w:tcPr>
          <w:p w14:paraId="26AAB04A"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D39E105" w14:textId="0A369E19" w:rsidR="00B44564" w:rsidRPr="005762E6" w:rsidRDefault="00B44564" w:rsidP="00EA69AA">
            <w:pPr>
              <w:spacing w:after="120" w:line="240" w:lineRule="auto"/>
              <w:contextualSpacing/>
              <w:rPr>
                <w:sz w:val="20"/>
                <w:szCs w:val="20"/>
              </w:rPr>
            </w:pPr>
            <w:r w:rsidRPr="005762E6">
              <w:rPr>
                <w:sz w:val="20"/>
                <w:szCs w:val="20"/>
              </w:rPr>
              <w:t xml:space="preserve">David T </w:t>
            </w:r>
            <w:proofErr w:type="gramStart"/>
            <w:r w:rsidRPr="005762E6">
              <w:rPr>
                <w:sz w:val="20"/>
                <w:szCs w:val="20"/>
              </w:rPr>
              <w:t>Levy,​</w:t>
            </w:r>
            <w:proofErr w:type="gramEnd"/>
            <w:r w:rsidRPr="005762E6">
              <w:rPr>
                <w:sz w:val="20"/>
                <w:szCs w:val="20"/>
              </w:rPr>
              <w:t xml:space="preserve"> Kenneth Blackman,​ John Tauras,​ Frank J Chaloupka,​ Andrea C Villanti,​ Raymond S Niaura,​ Donna M Vallone,​ David B Abrams Quit attempts and quit rates among menthol and nonmenthol smokers in the United States</w:t>
            </w:r>
            <w:r w:rsidR="007F2F01">
              <w:rPr>
                <w:sz w:val="20"/>
                <w:szCs w:val="20"/>
              </w:rPr>
              <w:t>.</w:t>
            </w:r>
            <w:r w:rsidRPr="005762E6">
              <w:rPr>
                <w:sz w:val="20"/>
                <w:szCs w:val="20"/>
              </w:rPr>
              <w:t xml:space="preserve"> American journal of public health; 2011;101:1241.</w:t>
            </w:r>
            <w:r w:rsidRPr="005762E6">
              <w:rPr>
                <w:sz w:val="20"/>
                <w:szCs w:val="20"/>
              </w:rPr>
              <w:br/>
            </w:r>
            <w:r w:rsidRPr="005762E6">
              <w:rPr>
                <w:sz w:val="20"/>
                <w:szCs w:val="20"/>
              </w:rPr>
              <w:br/>
            </w:r>
            <w:r w:rsidRPr="005762E6">
              <w:rPr>
                <w:b/>
                <w:bCs/>
                <w:sz w:val="20"/>
                <w:szCs w:val="20"/>
              </w:rPr>
              <w:t>Keywords:</w:t>
            </w:r>
            <w:r w:rsidRPr="005762E6">
              <w:rPr>
                <w:sz w:val="20"/>
                <w:szCs w:val="20"/>
              </w:rPr>
              <w:br/>
              <w:t>Health Surveys,​Humans,​Logistic Models,​Menthol,​Smoking/ep [Epidemiology],​Smoking/lj [Legislation &amp; Jurisprudence],​*Smoking Cessation/sn [Statistics &amp; Numerical Data],​Socioeconomic Factors,​United States/ep [Epidemiology]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OBJECTIVES: We compared quit attempts and quit rates among menthol and nonmenthol cigarette smokers in the United States.,​ METHODS: We used data from the 2003 and 2006-2007 waves of the large,​ nationally representative Tobacco Use Supplement to the Current Population Survey with control for state-level tobacco control spending,​ prices,​ and smoke-free air laws. We estimated mean </w:t>
            </w:r>
            <w:proofErr w:type="gramStart"/>
            <w:r w:rsidRPr="005762E6">
              <w:rPr>
                <w:sz w:val="20"/>
                <w:szCs w:val="20"/>
              </w:rPr>
              <w:t>prevalence,​</w:t>
            </w:r>
            <w:proofErr w:type="gramEnd"/>
            <w:r w:rsidRPr="005762E6">
              <w:rPr>
                <w:sz w:val="20"/>
                <w:szCs w:val="20"/>
              </w:rPr>
              <w:t xml:space="preserve"> quit rates,​ and multivariate logistic regression equations by using self-respondent weights for menthol and nonmenthol smokers.,​ RESULTS: In 2003 and 2007,​ 70% of smokers smoked nonmenthol cigarettes,​ 26% smoked menthol cigarettes,​ and 4% had no preference. Quit attempts were 4.3% higher in 2003 and 8.8% higher in 2007 among menthol than nonmenthol smokers. The likelihood of quitting was 3.5% lower for quitting in the past year and 6% lower for quitting in the past 5 years in menthol compared with nonmenthol smokers. Quit success in the past 5 years was further eroded among menthol-smoking Blacks and young adults</w:t>
            </w:r>
            <w:proofErr w:type="gramStart"/>
            <w:r w:rsidRPr="005762E6">
              <w:rPr>
                <w:sz w:val="20"/>
                <w:szCs w:val="20"/>
              </w:rPr>
              <w:t>.,​</w:t>
            </w:r>
            <w:proofErr w:type="gramEnd"/>
            <w:r w:rsidRPr="005762E6">
              <w:rPr>
                <w:sz w:val="20"/>
                <w:szCs w:val="20"/>
              </w:rPr>
              <w:t xml:space="preserve"> </w:t>
            </w:r>
            <w:r w:rsidRPr="005762E6">
              <w:rPr>
                <w:sz w:val="20"/>
                <w:szCs w:val="20"/>
              </w:rPr>
              <w:lastRenderedPageBreak/>
              <w:t>CONCLUSIONS: Menthol smokers are more likely to make quit attempts,​ but are less successful at staying quit. The creation of menthol preference through marketing may reduce quit success.</w:t>
            </w:r>
          </w:p>
        </w:tc>
      </w:tr>
      <w:tr w:rsidR="00B44564" w:rsidRPr="005762E6" w14:paraId="2BE88862"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34F3AD7" w14:textId="77777777" w:rsidR="00B44564" w:rsidRPr="005762E6" w:rsidRDefault="00B44564" w:rsidP="00EA69AA">
            <w:pPr>
              <w:spacing w:after="120" w:line="240" w:lineRule="auto"/>
              <w:contextualSpacing/>
              <w:rPr>
                <w:sz w:val="20"/>
                <w:szCs w:val="20"/>
              </w:rPr>
            </w:pPr>
            <w:r w:rsidRPr="005762E6">
              <w:rPr>
                <w:sz w:val="20"/>
                <w:szCs w:val="20"/>
              </w:rPr>
              <w:lastRenderedPageBreak/>
              <w:t>592</w:t>
            </w:r>
          </w:p>
        </w:tc>
        <w:tc>
          <w:tcPr>
            <w:tcW w:w="0" w:type="auto"/>
            <w:tcBorders>
              <w:top w:val="single" w:sz="6" w:space="0" w:color="auto"/>
              <w:left w:val="single" w:sz="6" w:space="0" w:color="auto"/>
              <w:bottom w:val="single" w:sz="6" w:space="0" w:color="auto"/>
              <w:right w:val="single" w:sz="6" w:space="0" w:color="auto"/>
            </w:tcBorders>
          </w:tcPr>
          <w:p w14:paraId="719127C3"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8AF65FD" w14:textId="6C5BD7A8" w:rsidR="00B44564" w:rsidRPr="005762E6" w:rsidRDefault="00B44564" w:rsidP="00EA69AA">
            <w:pPr>
              <w:spacing w:after="120" w:line="240" w:lineRule="auto"/>
              <w:contextualSpacing/>
              <w:rPr>
                <w:sz w:val="20"/>
                <w:szCs w:val="20"/>
              </w:rPr>
            </w:pPr>
            <w:r w:rsidRPr="005762E6">
              <w:rPr>
                <w:sz w:val="20"/>
                <w:szCs w:val="20"/>
              </w:rPr>
              <w:t xml:space="preserve">Neal L </w:t>
            </w:r>
            <w:proofErr w:type="gramStart"/>
            <w:r w:rsidRPr="005762E6">
              <w:rPr>
                <w:sz w:val="20"/>
                <w:szCs w:val="20"/>
              </w:rPr>
              <w:t>Benowitz,​</w:t>
            </w:r>
            <w:proofErr w:type="gramEnd"/>
            <w:r w:rsidRPr="005762E6">
              <w:rPr>
                <w:sz w:val="20"/>
                <w:szCs w:val="20"/>
              </w:rPr>
              <w:t xml:space="preserve"> Katherine M Dains,​ Delia Dempsey,​ Margaret Wilson,​ Peyton Jacob Racial differences in the relationship between number of cigarettes smoked and nicotine and carcinogen exposure</w:t>
            </w:r>
            <w:r w:rsidR="007F2F01">
              <w:rPr>
                <w:sz w:val="20"/>
                <w:szCs w:val="20"/>
              </w:rPr>
              <w:t>.</w:t>
            </w:r>
            <w:r w:rsidRPr="005762E6">
              <w:rPr>
                <w:sz w:val="20"/>
                <w:szCs w:val="20"/>
              </w:rPr>
              <w:t xml:space="preserve"> Nicotine &amp; tobacco research : official journal of the Society for Research on Nicotine and Tobacco; 2011;13:772.</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Adolescent,​Adult,​African Americans/px [Psychology],​Aged,​Carcinogens/an [Analysis],​Cotinine/bl [Blood],​European Continental Ancestry Group/px [Psychology],​Female,​Humans,​Male,​Middle Aged,​*Nicotine/bl [Blood],​Nicotine/ur [Urine],​Nitrosamines/ur [Urine],​Polycyclic Aromatic Hydrocarbons/ur [Urine],​Pyridines/ur [Urine],​San Francisco,​Smoking/bl [Blood],​*Smoking/eh [Ethnology],​Smoking/px [Psychology],​Smoking/ur [Urine],​Tobacco Use Disorder/bl [Blood],​*Tobacco Use Disorder/eh [Ethnology],​Tobacco Use Disorder/px [Psychology],​Tobacco Use Disorder/ur [Urine],​Young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INTRODUCTION: Black smokers are reported to have higher lung cancer rates and greater tobacco dependence at lower levels of cigarette consumption compared to non-Hispanic White smokers. We studied the relationship between cigarettes per day (CPD) and biomarkers of nicotine and carcinogen exposure in Black and White smokers.,​ METHODS: In 128 Black and White smokers,​ we measured plasma nicotine and its main proximate metabolite cotinine,​ urine nicotine equivalents,​ 4-(methylnitrosamino)-1-(3)pyridyl-1-butanol (NNAL),​ and polycyclic aromatic hydrocarbon (PAH) metabolites.,​ RESULTS: The dose-response between CPD and nicotine equivalents,​ and NNAL and PAH was flat for Black but positive for White smokers (Race x CPD interaction,​ all ps &lt; .05). Regression estimates for the Race x CPD interactions were 0.042 (95% CI 0.013-0.070</w:t>
            </w:r>
            <w:proofErr w:type="gramStart"/>
            <w:r w:rsidRPr="005762E6">
              <w:rPr>
                <w:sz w:val="20"/>
                <w:szCs w:val="20"/>
              </w:rPr>
              <w:t>),​</w:t>
            </w:r>
            <w:proofErr w:type="gramEnd"/>
            <w:r w:rsidRPr="005762E6">
              <w:rPr>
                <w:sz w:val="20"/>
                <w:szCs w:val="20"/>
              </w:rPr>
              <w:t xml:space="preserve"> 0.054 (0.023-0.086),​ and 0.028 (0.004-0.052) for urine nicotine equivalents,​ NNAL,​ and PAHs,​ respectively. In contrast there was a strong correlation between nicotine equivalents and NNAL and PAH independent of race. Nicotine and carcinogen exposure per individual cigarette was inversely related to CPD. This inverse correlation was stronger in Black compared to White smokers and stronger in menthol compared to regular cigarette smokers (not mutually adjusted)</w:t>
            </w:r>
            <w:proofErr w:type="gramStart"/>
            <w:r w:rsidRPr="005762E6">
              <w:rPr>
                <w:sz w:val="20"/>
                <w:szCs w:val="20"/>
              </w:rPr>
              <w:t>.,​</w:t>
            </w:r>
            <w:proofErr w:type="gramEnd"/>
            <w:r w:rsidRPr="005762E6">
              <w:rPr>
                <w:sz w:val="20"/>
                <w:szCs w:val="20"/>
              </w:rPr>
              <w:t xml:space="preserve"> CONCLUSIONS: Our data indicate that Blacks on average smoke cigarettes differently than White smokers such that CPD predicts smoke intake more poorly in Black than in White smokers.</w:t>
            </w:r>
          </w:p>
        </w:tc>
      </w:tr>
      <w:tr w:rsidR="00B44564" w:rsidRPr="005762E6" w14:paraId="40B14A20"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2C4D98B" w14:textId="77777777" w:rsidR="00B44564" w:rsidRPr="005762E6" w:rsidRDefault="00B44564" w:rsidP="00EA69AA">
            <w:pPr>
              <w:spacing w:after="120" w:line="240" w:lineRule="auto"/>
              <w:contextualSpacing/>
              <w:rPr>
                <w:sz w:val="20"/>
                <w:szCs w:val="20"/>
              </w:rPr>
            </w:pPr>
            <w:r w:rsidRPr="005762E6">
              <w:rPr>
                <w:sz w:val="20"/>
                <w:szCs w:val="20"/>
              </w:rPr>
              <w:t>593</w:t>
            </w:r>
          </w:p>
        </w:tc>
        <w:tc>
          <w:tcPr>
            <w:tcW w:w="0" w:type="auto"/>
            <w:tcBorders>
              <w:top w:val="single" w:sz="6" w:space="0" w:color="auto"/>
              <w:left w:val="single" w:sz="6" w:space="0" w:color="auto"/>
              <w:bottom w:val="single" w:sz="6" w:space="0" w:color="auto"/>
              <w:right w:val="single" w:sz="6" w:space="0" w:color="auto"/>
            </w:tcBorders>
          </w:tcPr>
          <w:p w14:paraId="24DA56FB"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7479879" w14:textId="1A6D392D" w:rsidR="00B44564" w:rsidRPr="005762E6" w:rsidRDefault="00B44564" w:rsidP="00EA69AA">
            <w:pPr>
              <w:spacing w:after="120" w:line="240" w:lineRule="auto"/>
              <w:contextualSpacing/>
              <w:rPr>
                <w:sz w:val="20"/>
                <w:szCs w:val="20"/>
              </w:rPr>
            </w:pPr>
            <w:r w:rsidRPr="005762E6">
              <w:rPr>
                <w:sz w:val="20"/>
                <w:szCs w:val="20"/>
              </w:rPr>
              <w:t xml:space="preserve">Youn Ok </w:t>
            </w:r>
            <w:proofErr w:type="gramStart"/>
            <w:r w:rsidRPr="005762E6">
              <w:rPr>
                <w:sz w:val="20"/>
                <w:szCs w:val="20"/>
              </w:rPr>
              <w:t>Lee,​</w:t>
            </w:r>
            <w:proofErr w:type="gramEnd"/>
            <w:r w:rsidRPr="005762E6">
              <w:rPr>
                <w:sz w:val="20"/>
                <w:szCs w:val="20"/>
              </w:rPr>
              <w:t xml:space="preserve"> Stanton A Glantz Menthol: putting the pieces together</w:t>
            </w:r>
            <w:r w:rsidR="007F2F01">
              <w:rPr>
                <w:sz w:val="20"/>
                <w:szCs w:val="20"/>
              </w:rPr>
              <w:t>.</w:t>
            </w:r>
            <w:r w:rsidRPr="005762E6">
              <w:rPr>
                <w:sz w:val="20"/>
                <w:szCs w:val="20"/>
              </w:rPr>
              <w:t xml:space="preserve"> Tobacco control; 2011;20 Suppl 2:ii1.</w:t>
            </w:r>
            <w:r w:rsidRPr="005762E6">
              <w:rPr>
                <w:sz w:val="20"/>
                <w:szCs w:val="20"/>
              </w:rPr>
              <w:br/>
            </w:r>
            <w:r w:rsidRPr="005762E6">
              <w:rPr>
                <w:sz w:val="20"/>
                <w:szCs w:val="20"/>
              </w:rPr>
              <w:br/>
            </w:r>
            <w:r w:rsidRPr="005762E6">
              <w:rPr>
                <w:b/>
                <w:bCs/>
                <w:sz w:val="20"/>
                <w:szCs w:val="20"/>
              </w:rPr>
              <w:t>Keywords:</w:t>
            </w:r>
            <w:r w:rsidRPr="005762E6">
              <w:rPr>
                <w:sz w:val="20"/>
                <w:szCs w:val="20"/>
              </w:rPr>
              <w:br/>
              <w:t>Documentation,​Health Knowledge,​ Attitudes,​ Practice,​Humans,​*Marketing,​*Menthol,​*Public Health,​Public Opinion,​*Smoking,​*Tobacco Industry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OBJECTIVE: To integrate information on cigarette companies' understanding and use of menthol as summarised in published research based on previously internal tobacco industry documents with results from large population-based surveys of tobacco use and other independent sources.,​ DATA SOURCES: Papers published in this supplement of Tobacco Control,​ together with papers identified using PubMed searches.,​ RESULTS: Tobacco companies shaped consumer perceptions of menthol cigarettes. Menthol is not just a flavouring agent. Cigarette companies use menthol's ability to mask irritation and provide sensory effects to make menthol cigarettes appeal to youth and health-concerned </w:t>
            </w:r>
            <w:proofErr w:type="gramStart"/>
            <w:r w:rsidRPr="005762E6">
              <w:rPr>
                <w:sz w:val="20"/>
                <w:szCs w:val="20"/>
              </w:rPr>
              <w:t>smokers,​</w:t>
            </w:r>
            <w:proofErr w:type="gramEnd"/>
            <w:r w:rsidRPr="005762E6">
              <w:rPr>
                <w:sz w:val="20"/>
                <w:szCs w:val="20"/>
              </w:rPr>
              <w:t xml:space="preserve"> in part because menthol makes low-tar cigarettes more palatable. Consistent with targeted </w:t>
            </w:r>
            <w:proofErr w:type="gramStart"/>
            <w:r w:rsidRPr="005762E6">
              <w:rPr>
                <w:sz w:val="20"/>
                <w:szCs w:val="20"/>
              </w:rPr>
              <w:t>marketing,​</w:t>
            </w:r>
            <w:proofErr w:type="gramEnd"/>
            <w:r w:rsidRPr="005762E6">
              <w:rPr>
                <w:sz w:val="20"/>
                <w:szCs w:val="20"/>
              </w:rPr>
              <w:t xml:space="preserve"> youths,​ women and African Americans disproportionately smoke menthols. There appear to be complex interactions with addictive effects of nicotine. The ubiquitous addition of menthol by tobacco companies to over 90% of all tobacco </w:t>
            </w:r>
            <w:proofErr w:type="gramStart"/>
            <w:r w:rsidRPr="005762E6">
              <w:rPr>
                <w:sz w:val="20"/>
                <w:szCs w:val="20"/>
              </w:rPr>
              <w:t>products,​</w:t>
            </w:r>
            <w:proofErr w:type="gramEnd"/>
            <w:r w:rsidRPr="005762E6">
              <w:rPr>
                <w:sz w:val="20"/>
                <w:szCs w:val="20"/>
              </w:rPr>
              <w:t xml:space="preserve"> whether labelled 'menthol' or not,​ demonstrates that menthol is not simply a flavour or brand. Menthol imparts sensory characteristics to cigarettes and has a complex interaction with nicotine that affects smoking behaviour whether it is perceived or </w:t>
            </w:r>
            <w:proofErr w:type="gramStart"/>
            <w:r w:rsidRPr="005762E6">
              <w:rPr>
                <w:sz w:val="20"/>
                <w:szCs w:val="20"/>
              </w:rPr>
              <w:t>not,​</w:t>
            </w:r>
            <w:proofErr w:type="gramEnd"/>
            <w:r w:rsidRPr="005762E6">
              <w:rPr>
                <w:sz w:val="20"/>
                <w:szCs w:val="20"/>
              </w:rPr>
              <w:t xml:space="preserve"> or whether cigarettes containing menthol are marketed as 'menthol' or not. Adding menthol increases fine particles in cigarette </w:t>
            </w:r>
            <w:proofErr w:type="gramStart"/>
            <w:r w:rsidRPr="005762E6">
              <w:rPr>
                <w:sz w:val="20"/>
                <w:szCs w:val="20"/>
              </w:rPr>
              <w:t>smoke,​</w:t>
            </w:r>
            <w:proofErr w:type="gramEnd"/>
            <w:r w:rsidRPr="005762E6">
              <w:rPr>
                <w:sz w:val="20"/>
                <w:szCs w:val="20"/>
              </w:rPr>
              <w:t xml:space="preserve"> which have immediate adverse effects on the risk of heart attack.,​ CONCLUSION: Information from industry documents,​ confirmed by independent scientific literature,​ consistently demonstrates that menthol increases population harm from smoking by </w:t>
            </w:r>
            <w:r w:rsidRPr="005762E6">
              <w:rPr>
                <w:sz w:val="20"/>
                <w:szCs w:val="20"/>
              </w:rPr>
              <w:lastRenderedPageBreak/>
              <w:t xml:space="preserve">increasing initiation and reducing cessation in some groups. Menthol facilitates and increases </w:t>
            </w:r>
            <w:proofErr w:type="gramStart"/>
            <w:r w:rsidRPr="005762E6">
              <w:rPr>
                <w:sz w:val="20"/>
                <w:szCs w:val="20"/>
              </w:rPr>
              <w:t>smoking,​</w:t>
            </w:r>
            <w:proofErr w:type="gramEnd"/>
            <w:r w:rsidRPr="005762E6">
              <w:rPr>
                <w:sz w:val="20"/>
                <w:szCs w:val="20"/>
              </w:rPr>
              <w:t xml:space="preserve"> which causes disease and death.</w:t>
            </w:r>
          </w:p>
        </w:tc>
      </w:tr>
      <w:tr w:rsidR="00B44564" w:rsidRPr="005762E6" w14:paraId="73944026"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C75843D" w14:textId="77777777" w:rsidR="00B44564" w:rsidRPr="005762E6" w:rsidRDefault="00B44564" w:rsidP="00EA69AA">
            <w:pPr>
              <w:spacing w:after="120" w:line="240" w:lineRule="auto"/>
              <w:contextualSpacing/>
              <w:rPr>
                <w:sz w:val="20"/>
                <w:szCs w:val="20"/>
              </w:rPr>
            </w:pPr>
            <w:r w:rsidRPr="005762E6">
              <w:rPr>
                <w:sz w:val="20"/>
                <w:szCs w:val="20"/>
              </w:rPr>
              <w:lastRenderedPageBreak/>
              <w:t>594</w:t>
            </w:r>
          </w:p>
        </w:tc>
        <w:tc>
          <w:tcPr>
            <w:tcW w:w="0" w:type="auto"/>
            <w:tcBorders>
              <w:top w:val="single" w:sz="6" w:space="0" w:color="auto"/>
              <w:left w:val="single" w:sz="6" w:space="0" w:color="auto"/>
              <w:bottom w:val="single" w:sz="6" w:space="0" w:color="auto"/>
              <w:right w:val="single" w:sz="6" w:space="0" w:color="auto"/>
            </w:tcBorders>
          </w:tcPr>
          <w:p w14:paraId="735F177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213FB16" w14:textId="6B37319C" w:rsidR="00B44564" w:rsidRPr="005762E6" w:rsidRDefault="00B44564" w:rsidP="00EA69AA">
            <w:pPr>
              <w:spacing w:after="120" w:line="240" w:lineRule="auto"/>
              <w:contextualSpacing/>
              <w:rPr>
                <w:sz w:val="20"/>
                <w:szCs w:val="20"/>
              </w:rPr>
            </w:pPr>
            <w:r w:rsidRPr="005762E6">
              <w:rPr>
                <w:sz w:val="20"/>
                <w:szCs w:val="20"/>
              </w:rPr>
              <w:t>Peter N Lee Systematic review of the epidemiological evidence comparing lung cancer risk in smokers of mentholated and unmentholated cigarettes</w:t>
            </w:r>
            <w:r w:rsidR="007F2F01">
              <w:rPr>
                <w:sz w:val="20"/>
                <w:szCs w:val="20"/>
              </w:rPr>
              <w:t>.</w:t>
            </w:r>
            <w:r w:rsidRPr="005762E6">
              <w:rPr>
                <w:sz w:val="20"/>
                <w:szCs w:val="20"/>
              </w:rPr>
              <w:t xml:space="preserve"> BMC pulmonary medicine; </w:t>
            </w:r>
            <w:proofErr w:type="gramStart"/>
            <w:r w:rsidRPr="005762E6">
              <w:rPr>
                <w:sz w:val="20"/>
                <w:szCs w:val="20"/>
              </w:rPr>
              <w:t>2011;11:18</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Adolescent,​Adult,​African Continental Ancestry Group,​Aged,​Child,​European Continental Ancestry Group,​Female,​Humans,​*Lung Neoplasms/ep [Epidemiology],​Lung Neoplasms/eh [Ethnology],​Male,​*Menthol,​Middle Aged,​Prevalence,​Risk Factors,​*Smoking/ae [Adverse Effects],​United States/ep [Epidemiology],​Young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US mentholated cigarette sales have increased considerably over 50 years. Preference for mentholated cigarettes is markedly higher in Black people. While menthol itself is not genotoxic or </w:t>
            </w:r>
            <w:proofErr w:type="gramStart"/>
            <w:r w:rsidRPr="005762E6">
              <w:rPr>
                <w:sz w:val="20"/>
                <w:szCs w:val="20"/>
              </w:rPr>
              <w:t>carcinogenic,​</w:t>
            </w:r>
            <w:proofErr w:type="gramEnd"/>
            <w:r w:rsidRPr="005762E6">
              <w:rPr>
                <w:sz w:val="20"/>
                <w:szCs w:val="20"/>
              </w:rPr>
              <w:t xml:space="preserve"> its acute respiratory effects might affect inhalation of cigarette smoke. This possibility seems consistent with the higher lung cancer risk in Black </w:t>
            </w:r>
            <w:proofErr w:type="gramStart"/>
            <w:r w:rsidRPr="005762E6">
              <w:rPr>
                <w:sz w:val="20"/>
                <w:szCs w:val="20"/>
              </w:rPr>
              <w:t>men,​</w:t>
            </w:r>
            <w:proofErr w:type="gramEnd"/>
            <w:r w:rsidRPr="005762E6">
              <w:rPr>
                <w:sz w:val="20"/>
                <w:szCs w:val="20"/>
              </w:rPr>
              <w:t xml:space="preserve"> despite Black people smoking less and starting smoking later than White people. Despite experimental data suggesting similar carcinogenicity of mentholated and non-mentholated cigarettes,​ the lack of convincing evidence that mentholation increases puffing,​ inhalation or smoke uptake,​ and the similarity of lung cancer rates in Black and White females,​ a review of cigarette mentholation and lung cancer is timely given current regulatory interest in the topic.,​ METHODS: Epidemiological studies comparing lung cancer risk in mentholated and non-mentholated cigarette smokers were identified from MedLine and other sources. Study details were extracted and strengths and weaknesses assessed. Relative risk estimates were </w:t>
            </w:r>
            <w:proofErr w:type="gramStart"/>
            <w:r w:rsidRPr="005762E6">
              <w:rPr>
                <w:sz w:val="20"/>
                <w:szCs w:val="20"/>
              </w:rPr>
              <w:t>extracted,​</w:t>
            </w:r>
            <w:proofErr w:type="gramEnd"/>
            <w:r w:rsidRPr="005762E6">
              <w:rPr>
                <w:sz w:val="20"/>
                <w:szCs w:val="20"/>
              </w:rPr>
              <w:t xml:space="preserve"> or derived,​ for ever mentholated use and for long-term use,​ overall and by gender,​ race,​ and current/ever smoking,​ and meta-analyses conducted.,​ RESULTS: Eight generally good quality studies were identified,​ with valid cases and controls,​ and appropriate adjustment for age,​ gender,​ race and smoking. The studies afforded good power to detect possible effects. </w:t>
            </w:r>
            <w:proofErr w:type="gramStart"/>
            <w:r w:rsidRPr="005762E6">
              <w:rPr>
                <w:sz w:val="20"/>
                <w:szCs w:val="20"/>
              </w:rPr>
              <w:t>However,​</w:t>
            </w:r>
            <w:proofErr w:type="gramEnd"/>
            <w:r w:rsidRPr="005762E6">
              <w:rPr>
                <w:sz w:val="20"/>
                <w:szCs w:val="20"/>
              </w:rPr>
              <w:t xml:space="preserve"> only one study presented results by histological type,​ none adjusted for occupation or diet,​ and some provided no results by length of mentholated cigarette use. The data do not suggest any effect of mentholation on lung cancer risk. Adjusted relative risk estimates for ever use vary from 0.81 to </w:t>
            </w:r>
            <w:proofErr w:type="gramStart"/>
            <w:r w:rsidRPr="005762E6">
              <w:rPr>
                <w:sz w:val="20"/>
                <w:szCs w:val="20"/>
              </w:rPr>
              <w:t>1.12,​</w:t>
            </w:r>
            <w:proofErr w:type="gramEnd"/>
            <w:r w:rsidRPr="005762E6">
              <w:rPr>
                <w:sz w:val="20"/>
                <w:szCs w:val="20"/>
              </w:rPr>
              <w:t xml:space="preserve"> giving a combined estimate of 0.93 (95% confidence interval 0.84-1.02,​ n = 8),​ with no increase in males (1.01,​ 0.84-1.22,​ n = 5),​ females (0.80,​ 0.67-0.95,​ n = 5),​ White people (0.87,​ 0.75-1.03,​ n = 4) or Black people (0.90,​ 0.73-1.10,​ n = 4). Estimates for current and ever smokers are similar. The combined estimate for long-term use (</w:t>
            </w:r>
            <w:proofErr w:type="gramStart"/>
            <w:r w:rsidRPr="005762E6">
              <w:rPr>
                <w:sz w:val="20"/>
                <w:szCs w:val="20"/>
              </w:rPr>
              <w:t>0.95,​</w:t>
            </w:r>
            <w:proofErr w:type="gramEnd"/>
            <w:r w:rsidRPr="005762E6">
              <w:rPr>
                <w:sz w:val="20"/>
                <w:szCs w:val="20"/>
              </w:rPr>
              <w:t xml:space="preserve"> 0.80-1.13,​ n = 4) again suggests no effect of mentholation.,​ CONCLUSION: Higher lung cancer rates in Black males cannot be due to their greater preference for mentholated cigarettes. While some study weaknesses </w:t>
            </w:r>
            <w:proofErr w:type="gramStart"/>
            <w:r w:rsidRPr="005762E6">
              <w:rPr>
                <w:sz w:val="20"/>
                <w:szCs w:val="20"/>
              </w:rPr>
              <w:t>exist,​</w:t>
            </w:r>
            <w:proofErr w:type="gramEnd"/>
            <w:r w:rsidRPr="005762E6">
              <w:rPr>
                <w:sz w:val="20"/>
                <w:szCs w:val="20"/>
              </w:rPr>
              <w:t xml:space="preserve"> the epidemiological evidence is consistent with mentholation having no effect on the lung carcinogenicity of cigarettes.</w:t>
            </w:r>
          </w:p>
        </w:tc>
      </w:tr>
      <w:tr w:rsidR="00B44564" w:rsidRPr="005762E6" w14:paraId="5ED3E588"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96DE4BF" w14:textId="77777777" w:rsidR="00B44564" w:rsidRPr="005762E6" w:rsidRDefault="00B44564" w:rsidP="00EA69AA">
            <w:pPr>
              <w:spacing w:after="120" w:line="240" w:lineRule="auto"/>
              <w:contextualSpacing/>
              <w:rPr>
                <w:sz w:val="20"/>
                <w:szCs w:val="20"/>
              </w:rPr>
            </w:pPr>
            <w:r w:rsidRPr="005762E6">
              <w:rPr>
                <w:sz w:val="20"/>
                <w:szCs w:val="20"/>
              </w:rPr>
              <w:t>595</w:t>
            </w:r>
          </w:p>
        </w:tc>
        <w:tc>
          <w:tcPr>
            <w:tcW w:w="0" w:type="auto"/>
            <w:tcBorders>
              <w:top w:val="single" w:sz="6" w:space="0" w:color="auto"/>
              <w:left w:val="single" w:sz="6" w:space="0" w:color="auto"/>
              <w:bottom w:val="single" w:sz="6" w:space="0" w:color="auto"/>
              <w:right w:val="single" w:sz="6" w:space="0" w:color="auto"/>
            </w:tcBorders>
          </w:tcPr>
          <w:p w14:paraId="27ED3F7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3A7938A" w14:textId="3F772BB4" w:rsidR="00B44564" w:rsidRPr="005762E6" w:rsidRDefault="00B44564" w:rsidP="00EA69AA">
            <w:pPr>
              <w:spacing w:after="120" w:line="240" w:lineRule="auto"/>
              <w:contextualSpacing/>
              <w:rPr>
                <w:sz w:val="20"/>
                <w:szCs w:val="20"/>
              </w:rPr>
            </w:pPr>
            <w:r w:rsidRPr="005762E6">
              <w:rPr>
                <w:sz w:val="20"/>
                <w:szCs w:val="20"/>
              </w:rPr>
              <w:t>Merrill Goozner FDA finding may curb mentholated cigarette availability</w:t>
            </w:r>
            <w:r w:rsidR="007F2F01">
              <w:rPr>
                <w:sz w:val="20"/>
                <w:szCs w:val="20"/>
              </w:rPr>
              <w:t>.</w:t>
            </w:r>
            <w:r w:rsidRPr="005762E6">
              <w:rPr>
                <w:sz w:val="20"/>
                <w:szCs w:val="20"/>
              </w:rPr>
              <w:t xml:space="preserve"> Journal of the National Cancer Institute; 2011;103:620.</w:t>
            </w:r>
            <w:r w:rsidRPr="005762E6">
              <w:rPr>
                <w:sz w:val="20"/>
                <w:szCs w:val="20"/>
              </w:rPr>
              <w:br/>
            </w:r>
            <w:r w:rsidRPr="005762E6">
              <w:rPr>
                <w:sz w:val="20"/>
                <w:szCs w:val="20"/>
              </w:rPr>
              <w:br/>
            </w:r>
            <w:r w:rsidRPr="005762E6">
              <w:rPr>
                <w:b/>
                <w:bCs/>
                <w:sz w:val="20"/>
                <w:szCs w:val="20"/>
              </w:rPr>
              <w:t>Keywords:</w:t>
            </w:r>
            <w:r w:rsidRPr="005762E6">
              <w:rPr>
                <w:sz w:val="20"/>
                <w:szCs w:val="20"/>
              </w:rPr>
              <w:br/>
              <w:t>Adolescent,​Adolescent Behavior,​Advertising as Topic,​African Americans/sn [Statistics &amp; Numerical Data],​Conflict of Interest,​Evidence-Based Medicine/st [Standards],​*Evidence-Based Medicine,​Humans,​Legislation,​ Drug/st [Standards],​Legislation,​ Drug/td [Trends],​*Menthol,​Models,​ Statistical,​*Smoking,​*Smoking Cessation,​Tobacco Industry/lj [Legislation &amp; Jurisprudence],​*Tobacco Industry,​United States,​United States Food and Drug Administration</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40F6AD7E"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219686E" w14:textId="77777777" w:rsidR="00B44564" w:rsidRPr="005762E6" w:rsidRDefault="00B44564" w:rsidP="00EA69AA">
            <w:pPr>
              <w:spacing w:after="120" w:line="240" w:lineRule="auto"/>
              <w:contextualSpacing/>
              <w:rPr>
                <w:sz w:val="20"/>
                <w:szCs w:val="20"/>
              </w:rPr>
            </w:pPr>
            <w:r w:rsidRPr="005762E6">
              <w:rPr>
                <w:sz w:val="20"/>
                <w:szCs w:val="20"/>
              </w:rPr>
              <w:t>597</w:t>
            </w:r>
          </w:p>
        </w:tc>
        <w:tc>
          <w:tcPr>
            <w:tcW w:w="0" w:type="auto"/>
            <w:tcBorders>
              <w:top w:val="single" w:sz="6" w:space="0" w:color="auto"/>
              <w:left w:val="single" w:sz="6" w:space="0" w:color="auto"/>
              <w:bottom w:val="single" w:sz="6" w:space="0" w:color="auto"/>
              <w:right w:val="single" w:sz="6" w:space="0" w:color="auto"/>
            </w:tcBorders>
          </w:tcPr>
          <w:p w14:paraId="23C7E528"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6AEF4EB" w14:textId="59D45FF2" w:rsidR="00B44564" w:rsidRPr="005762E6" w:rsidRDefault="00B44564" w:rsidP="00EA69AA">
            <w:pPr>
              <w:spacing w:after="120" w:line="240" w:lineRule="auto"/>
              <w:contextualSpacing/>
              <w:rPr>
                <w:sz w:val="20"/>
                <w:szCs w:val="20"/>
              </w:rPr>
            </w:pPr>
            <w:r w:rsidRPr="005762E6">
              <w:rPr>
                <w:sz w:val="20"/>
                <w:szCs w:val="20"/>
              </w:rPr>
              <w:t xml:space="preserve">Cai </w:t>
            </w:r>
            <w:proofErr w:type="gramStart"/>
            <w:r w:rsidRPr="005762E6">
              <w:rPr>
                <w:sz w:val="20"/>
                <w:szCs w:val="20"/>
              </w:rPr>
              <w:t>Chen,​</w:t>
            </w:r>
            <w:proofErr w:type="gramEnd"/>
            <w:r w:rsidRPr="005762E6">
              <w:rPr>
                <w:sz w:val="20"/>
                <w:szCs w:val="20"/>
              </w:rPr>
              <w:t xml:space="preserve"> Wentai Luo,​ Lorne M Isabelle,​ Keith D Gareau,​ James F Pankow The stereoisomers of menthol in selected tobacco products. A brief report</w:t>
            </w:r>
            <w:r w:rsidR="007F2F01">
              <w:rPr>
                <w:sz w:val="20"/>
                <w:szCs w:val="20"/>
              </w:rPr>
              <w:t>.</w:t>
            </w:r>
            <w:r w:rsidRPr="005762E6">
              <w:rPr>
                <w:sz w:val="20"/>
                <w:szCs w:val="20"/>
              </w:rPr>
              <w:t xml:space="preserve"> Nicotine &amp; tobacco research : official journal of the Society for Research on Nicotine and Tobacco; 2011;13:741.</w:t>
            </w:r>
            <w:r w:rsidRPr="005762E6">
              <w:rPr>
                <w:sz w:val="20"/>
                <w:szCs w:val="20"/>
              </w:rPr>
              <w:br/>
            </w:r>
            <w:r w:rsidRPr="005762E6">
              <w:rPr>
                <w:sz w:val="20"/>
                <w:szCs w:val="20"/>
              </w:rPr>
              <w:br/>
            </w:r>
            <w:r w:rsidRPr="005762E6">
              <w:rPr>
                <w:b/>
                <w:bCs/>
                <w:sz w:val="20"/>
                <w:szCs w:val="20"/>
              </w:rPr>
              <w:t>Keywords:</w:t>
            </w:r>
            <w:r w:rsidRPr="005762E6">
              <w:rPr>
                <w:sz w:val="20"/>
                <w:szCs w:val="20"/>
              </w:rPr>
              <w:br/>
              <w:t>*Flavoring Agents/an [Analysis],​Flavoring Agents/ch [Chemistry],​Gas Chromatography-Mass Spectrometry,​*Menthol/an [Analysis],​Menthol/ch [Chemistry],​*Smoke/an [Analysis],​Smoking,​Stereoisomerism,​</w:t>
            </w:r>
            <w:r w:rsidRPr="005762E6">
              <w:rPr>
                <w:sz w:val="20"/>
                <w:szCs w:val="20"/>
              </w:rPr>
              <w:lastRenderedPageBreak/>
              <w:t>*Tobacco/ch [Chemistry],​Tobacco,​ Smokeless/ch [Chemistry],​United States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Menthol has long been an important flavorant in tobacco products,​ and both its historical and present uses are topics of increasing debate. Menthol can exist in eight different stereoisomeric forms (as four enantiomeric pairs) that possess different sensory properties. As regards use in tobacco </w:t>
            </w:r>
            <w:proofErr w:type="gramStart"/>
            <w:r w:rsidRPr="005762E6">
              <w:rPr>
                <w:sz w:val="20"/>
                <w:szCs w:val="20"/>
              </w:rPr>
              <w:t>products,​</w:t>
            </w:r>
            <w:proofErr w:type="gramEnd"/>
            <w:r w:rsidRPr="005762E6">
              <w:rPr>
                <w:sz w:val="20"/>
                <w:szCs w:val="20"/>
              </w:rPr>
              <w:t xml:space="preserve"> the open scientific literature and available industry documents focus on the D-menthol and l-menthol enantiomeric pair,​ and in particular on l-menthol,​ but are ambiguous about the actual importance of D-menthol in tobacco products. This study provides the first openly available measurements regarding the stereoisomeric forms of menthol as found in selected United States sub-brands of smokeless tobacco (SLT),​ cigarettes,​ and cigarette smoke.,​ METHODS: Gas chromatography/mass spectrometry (GC/MS) was applied using a "chiral" GC column to separate and determine the forms of menthol present in headspace air above various samples of United States sub-brands of SLT,​ cigarette filler material,​ and cigarette smoke particulate matter. Additional GC x GC/Time-of-flight mass spectrometry measurements were also made</w:t>
            </w:r>
            <w:proofErr w:type="gramStart"/>
            <w:r w:rsidRPr="005762E6">
              <w:rPr>
                <w:sz w:val="20"/>
                <w:szCs w:val="20"/>
              </w:rPr>
              <w:t>.,​</w:t>
            </w:r>
            <w:proofErr w:type="gramEnd"/>
            <w:r w:rsidRPr="005762E6">
              <w:rPr>
                <w:sz w:val="20"/>
                <w:szCs w:val="20"/>
              </w:rPr>
              <w:t xml:space="preserve"> RESULTS: The dominant form of menthol by far in any of the samples was l-menthol.,​ CONCLUSIONS: For the selected cigarettes and SLT products tested from the U.S. market,​ the only form of menthol found was l-menthol. Other forms may be present in products that were not tested. No evidence was found of thermal racemization upon smoking of l-menthol to a d+l mixture.</w:t>
            </w:r>
          </w:p>
        </w:tc>
      </w:tr>
      <w:tr w:rsidR="00B44564" w:rsidRPr="005762E6" w14:paraId="13B052C8"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26A979C" w14:textId="77777777" w:rsidR="00B44564" w:rsidRPr="005762E6" w:rsidRDefault="00B44564" w:rsidP="00EA69AA">
            <w:pPr>
              <w:spacing w:after="120" w:line="240" w:lineRule="auto"/>
              <w:contextualSpacing/>
              <w:rPr>
                <w:sz w:val="20"/>
                <w:szCs w:val="20"/>
              </w:rPr>
            </w:pPr>
            <w:r w:rsidRPr="005762E6">
              <w:rPr>
                <w:sz w:val="20"/>
                <w:szCs w:val="20"/>
              </w:rPr>
              <w:lastRenderedPageBreak/>
              <w:t>598</w:t>
            </w:r>
          </w:p>
        </w:tc>
        <w:tc>
          <w:tcPr>
            <w:tcW w:w="0" w:type="auto"/>
            <w:tcBorders>
              <w:top w:val="single" w:sz="6" w:space="0" w:color="auto"/>
              <w:left w:val="single" w:sz="6" w:space="0" w:color="auto"/>
              <w:bottom w:val="single" w:sz="6" w:space="0" w:color="auto"/>
              <w:right w:val="single" w:sz="6" w:space="0" w:color="auto"/>
            </w:tcBorders>
          </w:tcPr>
          <w:p w14:paraId="5E471788"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85EB0C5" w14:textId="4371B2A9" w:rsidR="00B44564" w:rsidRPr="005762E6" w:rsidRDefault="00B44564" w:rsidP="00EA69AA">
            <w:pPr>
              <w:spacing w:after="120" w:line="240" w:lineRule="auto"/>
              <w:contextualSpacing/>
              <w:rPr>
                <w:sz w:val="20"/>
                <w:szCs w:val="20"/>
              </w:rPr>
            </w:pPr>
            <w:r w:rsidRPr="005762E6">
              <w:rPr>
                <w:sz w:val="20"/>
                <w:szCs w:val="20"/>
              </w:rPr>
              <w:t xml:space="preserve">William J </w:t>
            </w:r>
            <w:proofErr w:type="gramStart"/>
            <w:r w:rsidRPr="005762E6">
              <w:rPr>
                <w:sz w:val="20"/>
                <w:szCs w:val="20"/>
              </w:rPr>
              <w:t>Blot,​</w:t>
            </w:r>
            <w:proofErr w:type="gramEnd"/>
            <w:r w:rsidRPr="005762E6">
              <w:rPr>
                <w:sz w:val="20"/>
                <w:szCs w:val="20"/>
              </w:rPr>
              <w:t xml:space="preserve"> Sarah S Cohen,​ Melinda Aldrich,​ Joseph K McLaughlin,​ Margaret K Hargreaves,​ Lisa B Signorello Lung cancer risk among smokers of menthol cigarettes</w:t>
            </w:r>
            <w:r w:rsidR="007F2F01">
              <w:rPr>
                <w:sz w:val="20"/>
                <w:szCs w:val="20"/>
              </w:rPr>
              <w:t>.</w:t>
            </w:r>
            <w:r w:rsidRPr="005762E6">
              <w:rPr>
                <w:sz w:val="20"/>
                <w:szCs w:val="20"/>
              </w:rPr>
              <w:t xml:space="preserve"> Journal of the National Cancer Institute; 2011;103:810.</w:t>
            </w:r>
            <w:r w:rsidRPr="005762E6">
              <w:rPr>
                <w:sz w:val="20"/>
                <w:szCs w:val="20"/>
              </w:rPr>
              <w:br/>
            </w:r>
            <w:r w:rsidRPr="005762E6">
              <w:rPr>
                <w:sz w:val="20"/>
                <w:szCs w:val="20"/>
              </w:rPr>
              <w:br/>
            </w:r>
            <w:r w:rsidRPr="005762E6">
              <w:rPr>
                <w:b/>
                <w:bCs/>
                <w:sz w:val="20"/>
                <w:szCs w:val="20"/>
              </w:rPr>
              <w:t>Keywords:</w:t>
            </w:r>
            <w:r w:rsidRPr="005762E6">
              <w:rPr>
                <w:sz w:val="20"/>
                <w:szCs w:val="20"/>
              </w:rPr>
              <w:br/>
              <w:t>Adult,​*African Americans/sn [Statistics &amp; Numerical Data],​Aged,​Case-Control Studies,​European Continental Ancestry Group/sn [Statistics &amp; Numerical Data],​Female,​Humans,​Incidence,​*Lung Neoplasms/ep [Epidemiology],​Lung Neoplasms/eh [Ethnology],​*Lung Neoplasms/et [Etiology],​Lung Neoplasms/mo [Mortality],​Lung Neoplasms/pc [Prevention &amp; Control],​Male,​Menthol,​Middle Aged,​Multivariate Analysis,​Odds Ratio,​Proportional Hazards Models,​Prospective Studies,​Risk Assessment,​Risk Factors,​*Smoking/ae [Adverse Effects],​*Smoking/ep [Epidemiology],​Smoking Cessation/eh [Ethnology],​*Smoking Cessation,​Southeastern United States/ep [Epidemiology]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Menthol cigarettes,​ preferred by African American smokers,​ have been conjectured to be harder to quit and to contribute to the excess lung cancer burden among black men in the Unites States. </w:t>
            </w:r>
            <w:proofErr w:type="gramStart"/>
            <w:r w:rsidRPr="005762E6">
              <w:rPr>
                <w:sz w:val="20"/>
                <w:szCs w:val="20"/>
              </w:rPr>
              <w:t>However,​</w:t>
            </w:r>
            <w:proofErr w:type="gramEnd"/>
            <w:r w:rsidRPr="005762E6">
              <w:rPr>
                <w:sz w:val="20"/>
                <w:szCs w:val="20"/>
              </w:rPr>
              <w:t xml:space="preserve"> data showing an association between smoking menthol cigarettes and increased lung cancer risk compared with smoking nonmenthol cigarettes are limited. The Food and Drug Administration is currently considering whether to ban the sale of menthol cigarettes in the United States</w:t>
            </w:r>
            <w:proofErr w:type="gramStart"/>
            <w:r w:rsidRPr="005762E6">
              <w:rPr>
                <w:sz w:val="20"/>
                <w:szCs w:val="20"/>
              </w:rPr>
              <w:t>.,​</w:t>
            </w:r>
            <w:proofErr w:type="gramEnd"/>
            <w:r w:rsidRPr="005762E6">
              <w:rPr>
                <w:sz w:val="20"/>
                <w:szCs w:val="20"/>
              </w:rPr>
              <w:t xml:space="preserve"> METHODS: We conducted a prospective study among 85,​806 racially diverse adults enrolled in the Southern Community Cohort Study during March 2002 to September 2009 according to cigarette smoking status,​ with smokers classified by preference for menthol vs nonmenthol cigarettes. Among </w:t>
            </w:r>
            <w:proofErr w:type="gramStart"/>
            <w:r w:rsidRPr="005762E6">
              <w:rPr>
                <w:sz w:val="20"/>
                <w:szCs w:val="20"/>
              </w:rPr>
              <w:t>12,​</w:t>
            </w:r>
            <w:proofErr w:type="gramEnd"/>
            <w:r w:rsidRPr="005762E6">
              <w:rPr>
                <w:sz w:val="20"/>
                <w:szCs w:val="20"/>
              </w:rPr>
              <w:t>373 smokers who responded to a follow-up questionnaire,​ we compared rates of quitting between menthol and nonmenthol smokers. In a nested case-control analysis of 440 incident lung cancer case patients and 2213 matched control subjects,​ using logistic regression modeling we computed odds ratios (ORs) and accompanying 95% confidence intervals (CIs) of lung cancer incidence,​ and applied Cox proportional hazards modeling to estimate hazard ratios (HRs) of lung cancer mortality,​ according to menthol preference.,​ RESULTS: Among both blacks and whites,​ menthol smokers reported smoking fewer cigarettes per day; an average of 1.6 (95% CI = 1.3 to 2.0) fewer for blacks and 1.8 (95% CI = 1.3 to 2.3) fewer for whites,​ compared with nonmenthol smokers. During an average of 4.3 years of follow-</w:t>
            </w:r>
            <w:proofErr w:type="gramStart"/>
            <w:r w:rsidRPr="005762E6">
              <w:rPr>
                <w:sz w:val="20"/>
                <w:szCs w:val="20"/>
              </w:rPr>
              <w:t>up,​</w:t>
            </w:r>
            <w:proofErr w:type="gramEnd"/>
            <w:r w:rsidRPr="005762E6">
              <w:rPr>
                <w:sz w:val="20"/>
                <w:szCs w:val="20"/>
              </w:rPr>
              <w:t xml:space="preserve"> 21% of participants smoking at baseline had quit,​ with menthol and nonmenthol smokers having equal odds of quitting (OR = 1.02,​ 95% CI = 0.89 to 1.16). A lower lung cancer incidence was noted in menthol vs nonmenthol smokers (for smokers of &lt;</w:t>
            </w:r>
            <w:proofErr w:type="gramStart"/>
            <w:r w:rsidRPr="005762E6">
              <w:rPr>
                <w:sz w:val="20"/>
                <w:szCs w:val="20"/>
              </w:rPr>
              <w:t>10,​</w:t>
            </w:r>
            <w:proofErr w:type="gramEnd"/>
            <w:r w:rsidRPr="005762E6">
              <w:rPr>
                <w:sz w:val="20"/>
                <w:szCs w:val="20"/>
              </w:rPr>
              <w:t xml:space="preserve"> 10-19,​ and &gt;= 20 cigarettes per day,​ compared with never smokers,​ OR = 5.0 vs 10.3,​ 8.7 vs 12.9,​ and 12.2 vs 21.1,​ respectively). These trends were mirrored for lung cancer mortality. In multivariable analyses adjusted for pack-years of </w:t>
            </w:r>
            <w:proofErr w:type="gramStart"/>
            <w:r w:rsidRPr="005762E6">
              <w:rPr>
                <w:sz w:val="20"/>
                <w:szCs w:val="20"/>
              </w:rPr>
              <w:t>smoking,​</w:t>
            </w:r>
            <w:proofErr w:type="gramEnd"/>
            <w:r w:rsidRPr="005762E6">
              <w:rPr>
                <w:sz w:val="20"/>
                <w:szCs w:val="20"/>
              </w:rPr>
              <w:t xml:space="preserve"> menthol cigarettes were associated with a lower lung cancer incidence (OR = 0.65,​ 95% CI = 0.47 to 0.90) and mortality (hazard ratio of mortality = 0.69,​ 95% CI = 0.49 to 0.95) than nonmenthol cigarettes.,​ CONCLUSIONS: </w:t>
            </w:r>
            <w:r w:rsidRPr="005762E6">
              <w:rPr>
                <w:sz w:val="20"/>
                <w:szCs w:val="20"/>
              </w:rPr>
              <w:lastRenderedPageBreak/>
              <w:t>The findings suggest that menthol cigarettes are no more,​ and perhaps less,​ harmful than nonmenthol cigarettes.</w:t>
            </w:r>
          </w:p>
        </w:tc>
      </w:tr>
      <w:tr w:rsidR="00B44564" w:rsidRPr="005762E6" w14:paraId="2E8395F4"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E6474A2" w14:textId="77777777" w:rsidR="00B44564" w:rsidRPr="005762E6" w:rsidRDefault="00B44564" w:rsidP="00EA69AA">
            <w:pPr>
              <w:spacing w:after="120" w:line="240" w:lineRule="auto"/>
              <w:contextualSpacing/>
              <w:rPr>
                <w:sz w:val="20"/>
                <w:szCs w:val="20"/>
              </w:rPr>
            </w:pPr>
            <w:r w:rsidRPr="005762E6">
              <w:rPr>
                <w:sz w:val="20"/>
                <w:szCs w:val="20"/>
              </w:rPr>
              <w:lastRenderedPageBreak/>
              <w:t>599</w:t>
            </w:r>
          </w:p>
        </w:tc>
        <w:tc>
          <w:tcPr>
            <w:tcW w:w="0" w:type="auto"/>
            <w:tcBorders>
              <w:top w:val="single" w:sz="6" w:space="0" w:color="auto"/>
              <w:left w:val="single" w:sz="6" w:space="0" w:color="auto"/>
              <w:bottom w:val="single" w:sz="6" w:space="0" w:color="auto"/>
              <w:right w:val="single" w:sz="6" w:space="0" w:color="auto"/>
            </w:tcBorders>
          </w:tcPr>
          <w:p w14:paraId="1EDB4A9D"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DCA21E7" w14:textId="7BDFDEDF" w:rsidR="00B44564" w:rsidRPr="005762E6" w:rsidRDefault="00B44564" w:rsidP="00EA69AA">
            <w:pPr>
              <w:spacing w:after="120" w:line="240" w:lineRule="auto"/>
              <w:contextualSpacing/>
              <w:rPr>
                <w:sz w:val="20"/>
                <w:szCs w:val="20"/>
              </w:rPr>
            </w:pPr>
            <w:r w:rsidRPr="005762E6">
              <w:rPr>
                <w:sz w:val="20"/>
                <w:szCs w:val="20"/>
              </w:rPr>
              <w:t xml:space="preserve">Ralph S </w:t>
            </w:r>
            <w:proofErr w:type="gramStart"/>
            <w:r w:rsidRPr="005762E6">
              <w:rPr>
                <w:sz w:val="20"/>
                <w:szCs w:val="20"/>
              </w:rPr>
              <w:t>Caraballo,​</w:t>
            </w:r>
            <w:proofErr w:type="gramEnd"/>
            <w:r w:rsidRPr="005762E6">
              <w:rPr>
                <w:sz w:val="20"/>
                <w:szCs w:val="20"/>
              </w:rPr>
              <w:t xml:space="preserve"> David B Holiday,​ Steven D Stellman,​ Paul D Mowery,​ Gary A Giovino,​ Joshua E Muscat,​ Michael P Eriksen,​ John T Bernert,​ Patricia A Richter,​ Lynn T Kozlowski Comparison of serum cotinine concentration within and across smokers of menthol and nonmenthol cigarette brands among non-Hispanic black and non-Hispanic white U.S. adult smokers,​ 2001-2006</w:t>
            </w:r>
            <w:r w:rsidR="007F2F01">
              <w:rPr>
                <w:sz w:val="20"/>
                <w:szCs w:val="20"/>
              </w:rPr>
              <w:t>.</w:t>
            </w:r>
            <w:r w:rsidRPr="005762E6">
              <w:rPr>
                <w:sz w:val="20"/>
                <w:szCs w:val="20"/>
              </w:rPr>
              <w:t xml:space="preserve"> Cancer epidemiology,​ biomarkers &amp; prevention : a publication of the American Association for Cancer Research,​ cosponsored by the American Society of Preventive Oncology; 2011;20:1329.</w:t>
            </w:r>
            <w:r w:rsidRPr="005762E6">
              <w:rPr>
                <w:sz w:val="20"/>
                <w:szCs w:val="20"/>
              </w:rPr>
              <w:br/>
            </w:r>
            <w:r w:rsidRPr="005762E6">
              <w:rPr>
                <w:sz w:val="20"/>
                <w:szCs w:val="20"/>
              </w:rPr>
              <w:br/>
            </w:r>
            <w:r w:rsidRPr="005762E6">
              <w:rPr>
                <w:b/>
                <w:bCs/>
                <w:sz w:val="20"/>
                <w:szCs w:val="20"/>
              </w:rPr>
              <w:t>Keywords:</w:t>
            </w:r>
            <w:r w:rsidRPr="005762E6">
              <w:rPr>
                <w:sz w:val="20"/>
                <w:szCs w:val="20"/>
              </w:rPr>
              <w:br/>
              <w:t>Adult,​African Americans,​Aged,​*Cotinine/bl [Blood],​European Continental Ancestry Group/eh [Ethnology],​Female,​Humans,​Male,​*Menthol,​Middle Aged,​Nutrition Surveys,​*Smoking/bl [Blood],​United States,​Young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The Food and Drug Administration (FDA) is examining options for regulating menthol content in cigarettes. There are many pharmacologic properties of menthol that may facilitate exposure to tobacco smoke,​ and it has been suggested that the preference for menthol cigarettes in black smokers accounts for their higher cotinine levels.,​ OBJECTIVE: To assess cigarettes smoked per day-adjusted cotinine levels in relation to smoking a menthol or nonmenthol cigarette brand among non-Hispanic black and white U.S. adult smokers under natural smoking conditions.,​ METHOD: Serum cotinine concentrations were measured in 1,​943 smokers participating in the 2001 to 2006 National Health and Nutrition Examination Surveys (NHANES). The effect of smoking a menthol brand on cigarettes smoked per day-adjusted serum cotinine levels in these two populations was modeled by adjusting for </w:t>
            </w:r>
            <w:proofErr w:type="gramStart"/>
            <w:r w:rsidRPr="005762E6">
              <w:rPr>
                <w:sz w:val="20"/>
                <w:szCs w:val="20"/>
              </w:rPr>
              <w:t>sex,​</w:t>
            </w:r>
            <w:proofErr w:type="gramEnd"/>
            <w:r w:rsidRPr="005762E6">
              <w:rPr>
                <w:sz w:val="20"/>
                <w:szCs w:val="20"/>
              </w:rPr>
              <w:t xml:space="preserve"> age,​ number of smokers living in the home,​ body weight,​ time since last smoked,​ and FTC (Federal Trade Commission)-measured nicotine levels. The 8- or 12-digit Universal Product Code (UPC) on the cigarette label was used to determine the cigarette brand and whether it was menthol.,​ RESULTS: Smoking a menthol cigarette brand versus smoking a nonmenthol cigarette brand was not associated (P &gt;= 0.05) with mean serum cotinine concentration in either black or white smokers.,​ CONCLUSIONS: The higher levels of cotinine observed in black smokers compared with white smokers are not explained by their higher preference for menthol cigarette brands.,​ IMPACT: Further studies like ours are needed to improve our ability to understand health consequences of future changes in tobacco product design. Copyright ©2011 AACR</w:t>
            </w:r>
          </w:p>
        </w:tc>
      </w:tr>
      <w:tr w:rsidR="00B44564" w:rsidRPr="005762E6" w14:paraId="1F355F8C"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91C6EDC" w14:textId="77777777" w:rsidR="00B44564" w:rsidRPr="005762E6" w:rsidRDefault="00B44564" w:rsidP="00EA69AA">
            <w:pPr>
              <w:spacing w:after="120" w:line="240" w:lineRule="auto"/>
              <w:contextualSpacing/>
              <w:rPr>
                <w:sz w:val="20"/>
                <w:szCs w:val="20"/>
              </w:rPr>
            </w:pPr>
            <w:r w:rsidRPr="005762E6">
              <w:rPr>
                <w:sz w:val="20"/>
                <w:szCs w:val="20"/>
              </w:rPr>
              <w:t>600</w:t>
            </w:r>
          </w:p>
        </w:tc>
        <w:tc>
          <w:tcPr>
            <w:tcW w:w="0" w:type="auto"/>
            <w:tcBorders>
              <w:top w:val="single" w:sz="6" w:space="0" w:color="auto"/>
              <w:left w:val="single" w:sz="6" w:space="0" w:color="auto"/>
              <w:bottom w:val="single" w:sz="6" w:space="0" w:color="auto"/>
              <w:right w:val="single" w:sz="6" w:space="0" w:color="auto"/>
            </w:tcBorders>
          </w:tcPr>
          <w:p w14:paraId="22D5B0C3"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AEADD36" w14:textId="56761D47" w:rsidR="00B44564" w:rsidRPr="005762E6" w:rsidRDefault="00B44564" w:rsidP="00EA69AA">
            <w:pPr>
              <w:spacing w:after="120" w:line="240" w:lineRule="auto"/>
              <w:contextualSpacing/>
              <w:rPr>
                <w:sz w:val="20"/>
                <w:szCs w:val="20"/>
              </w:rPr>
            </w:pPr>
            <w:r w:rsidRPr="005762E6">
              <w:rPr>
                <w:sz w:val="20"/>
                <w:szCs w:val="20"/>
              </w:rPr>
              <w:t>Clare Dyer Tobacco firms move to stop FDA banning menthol cigarettes</w:t>
            </w:r>
            <w:r w:rsidR="007F2F01">
              <w:rPr>
                <w:sz w:val="20"/>
                <w:szCs w:val="20"/>
              </w:rPr>
              <w:t>.</w:t>
            </w:r>
            <w:r w:rsidRPr="005762E6">
              <w:rPr>
                <w:sz w:val="20"/>
                <w:szCs w:val="20"/>
              </w:rPr>
              <w:t xml:space="preserve"> BMJ (Clinical research ed.); 2011;</w:t>
            </w:r>
            <w:proofErr w:type="gramStart"/>
            <w:r w:rsidRPr="005762E6">
              <w:rPr>
                <w:sz w:val="20"/>
                <w:szCs w:val="20"/>
              </w:rPr>
              <w:t>342:d</w:t>
            </w:r>
            <w:proofErr w:type="gramEnd"/>
            <w:r w:rsidRPr="005762E6">
              <w:rPr>
                <w:sz w:val="20"/>
                <w:szCs w:val="20"/>
              </w:rPr>
              <w:t>1368.</w:t>
            </w:r>
            <w:r w:rsidRPr="005762E6">
              <w:rPr>
                <w:sz w:val="20"/>
                <w:szCs w:val="20"/>
              </w:rPr>
              <w:br/>
            </w:r>
            <w:r w:rsidRPr="005762E6">
              <w:rPr>
                <w:sz w:val="20"/>
                <w:szCs w:val="20"/>
              </w:rPr>
              <w:br/>
            </w:r>
            <w:r w:rsidRPr="005762E6">
              <w:rPr>
                <w:b/>
                <w:bCs/>
                <w:sz w:val="20"/>
                <w:szCs w:val="20"/>
              </w:rPr>
              <w:t>Keywords:</w:t>
            </w:r>
            <w:r w:rsidRPr="005762E6">
              <w:rPr>
                <w:sz w:val="20"/>
                <w:szCs w:val="20"/>
              </w:rPr>
              <w:br/>
              <w:t>*Menthol,​*Smoking/lj [Legislation &amp; Jurisprudence],​*Tobacco Industry/lj [Legislation &amp; Jurisprudence],​United States,​United States Food and Drug Administration</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5E072B46"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D9F4C4F" w14:textId="77777777" w:rsidR="00B44564" w:rsidRPr="005762E6" w:rsidRDefault="00B44564" w:rsidP="00EA69AA">
            <w:pPr>
              <w:spacing w:after="120" w:line="240" w:lineRule="auto"/>
              <w:contextualSpacing/>
              <w:rPr>
                <w:sz w:val="20"/>
                <w:szCs w:val="20"/>
              </w:rPr>
            </w:pPr>
            <w:r w:rsidRPr="005762E6">
              <w:rPr>
                <w:sz w:val="20"/>
                <w:szCs w:val="20"/>
              </w:rPr>
              <w:t>602</w:t>
            </w:r>
          </w:p>
        </w:tc>
        <w:tc>
          <w:tcPr>
            <w:tcW w:w="0" w:type="auto"/>
            <w:tcBorders>
              <w:top w:val="single" w:sz="6" w:space="0" w:color="auto"/>
              <w:left w:val="single" w:sz="6" w:space="0" w:color="auto"/>
              <w:bottom w:val="single" w:sz="6" w:space="0" w:color="auto"/>
              <w:right w:val="single" w:sz="6" w:space="0" w:color="auto"/>
            </w:tcBorders>
          </w:tcPr>
          <w:p w14:paraId="433F535B"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F6DB009" w14:textId="0C4E07D6" w:rsidR="00B44564" w:rsidRPr="005762E6" w:rsidRDefault="00B44564" w:rsidP="00EA69AA">
            <w:pPr>
              <w:spacing w:after="120" w:line="240" w:lineRule="auto"/>
              <w:contextualSpacing/>
              <w:rPr>
                <w:sz w:val="20"/>
                <w:szCs w:val="20"/>
              </w:rPr>
            </w:pPr>
            <w:r w:rsidRPr="005762E6">
              <w:rPr>
                <w:sz w:val="20"/>
                <w:szCs w:val="20"/>
              </w:rPr>
              <w:t>Mansoo Yu Tobacco use among American Indian or Alaska Native middle- and high-school students in the United States</w:t>
            </w:r>
            <w:r w:rsidR="007F2F01">
              <w:rPr>
                <w:sz w:val="20"/>
                <w:szCs w:val="20"/>
              </w:rPr>
              <w:t>.</w:t>
            </w:r>
            <w:r w:rsidRPr="005762E6">
              <w:rPr>
                <w:sz w:val="20"/>
                <w:szCs w:val="20"/>
              </w:rPr>
              <w:t xml:space="preserve"> Nicotine &amp; tobacco research : official journal of the Society for Research on Nicotine and Tobacco; 2011;13:173.</w:t>
            </w:r>
            <w:r w:rsidRPr="005762E6">
              <w:rPr>
                <w:sz w:val="20"/>
                <w:szCs w:val="20"/>
              </w:rPr>
              <w:br/>
            </w:r>
            <w:r w:rsidRPr="005762E6">
              <w:rPr>
                <w:sz w:val="20"/>
                <w:szCs w:val="20"/>
              </w:rPr>
              <w:br/>
            </w:r>
            <w:r w:rsidRPr="005762E6">
              <w:rPr>
                <w:b/>
                <w:bCs/>
                <w:sz w:val="20"/>
                <w:szCs w:val="20"/>
              </w:rPr>
              <w:t>Keywords:</w:t>
            </w:r>
            <w:r w:rsidRPr="005762E6">
              <w:rPr>
                <w:sz w:val="20"/>
                <w:szCs w:val="20"/>
              </w:rPr>
              <w:br/>
              <w:t>Adolescent,​Alaska/ep [Epidemiology],​Female,​Humans,​Indians,​ North American/sn [Statistics &amp; Numerical Data],​Male,​Multivariate Analysis,​*Smoking/ep [Epidemiology],​*Students/sn [Statistics &amp; Numerical Data],​United States/ep [Epidemiology]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An estimated 0.5 million American Indian or Alaska Native (AI/AN) adolescents under the age of 18 years smoked cigarettes during their entire lifetime. Using a national sample of AI/AN middle- and high-school students,​ this study examines prevalence rates and relative impacts of individual,​ familial,​ and social predictors of different types of tobacco use.,​ METHODS: A national sample of 305 </w:t>
            </w:r>
            <w:r w:rsidRPr="005762E6">
              <w:rPr>
                <w:sz w:val="20"/>
                <w:szCs w:val="20"/>
              </w:rPr>
              <w:lastRenderedPageBreak/>
              <w:t xml:space="preserve">(weighted N = 142,​989) AI/AN middle- and high-school students in Grades 6 through 12 were selected from the 2006 National Youth Tobacco Survey.,​ RESULTS: During their entire life,​ most of the respondents used cigarettes (54%),​ followed by cigars (24%),​ smokeless tobacco (16%),​ pipes (13%),​ and menthol cigarettes (12%). One in 3 (32%) used 2 or more forms of tobacco. High-school students reported significantly higher for all types of tobacco use than middle-school </w:t>
            </w:r>
            <w:proofErr w:type="gramStart"/>
            <w:r w:rsidRPr="005762E6">
              <w:rPr>
                <w:sz w:val="20"/>
                <w:szCs w:val="20"/>
              </w:rPr>
              <w:t>students,​</w:t>
            </w:r>
            <w:proofErr w:type="gramEnd"/>
            <w:r w:rsidRPr="005762E6">
              <w:rPr>
                <w:sz w:val="20"/>
                <w:szCs w:val="20"/>
              </w:rPr>
              <w:t xml:space="preserve"> while the rates did not differ by gender. Multivariate analyses showed that </w:t>
            </w:r>
            <w:proofErr w:type="gramStart"/>
            <w:r w:rsidRPr="005762E6">
              <w:rPr>
                <w:sz w:val="20"/>
                <w:szCs w:val="20"/>
              </w:rPr>
              <w:t>age,​</w:t>
            </w:r>
            <w:proofErr w:type="gramEnd"/>
            <w:r w:rsidRPr="005762E6">
              <w:rPr>
                <w:sz w:val="20"/>
                <w:szCs w:val="20"/>
              </w:rPr>
              <w:t xml:space="preserve"> family members' smoking,​ and refusal to smoke predicted tobacco users with one product. Family members' smoking and refusal to smoke remained significant in predicting more than 2 forms of tobacco use (polytobacco users</w:t>
            </w:r>
            <w:proofErr w:type="gramStart"/>
            <w:r w:rsidRPr="005762E6">
              <w:rPr>
                <w:sz w:val="20"/>
                <w:szCs w:val="20"/>
              </w:rPr>
              <w:t>),​</w:t>
            </w:r>
            <w:proofErr w:type="gramEnd"/>
            <w:r w:rsidRPr="005762E6">
              <w:rPr>
                <w:sz w:val="20"/>
                <w:szCs w:val="20"/>
              </w:rPr>
              <w:t xml:space="preserve"> while age was no longer significant. School truancy and receptivity to tobacco marketing uniquely predicted polytobacco users</w:t>
            </w:r>
            <w:proofErr w:type="gramStart"/>
            <w:r w:rsidRPr="005762E6">
              <w:rPr>
                <w:sz w:val="20"/>
                <w:szCs w:val="20"/>
              </w:rPr>
              <w:t>.,​</w:t>
            </w:r>
            <w:proofErr w:type="gramEnd"/>
            <w:r w:rsidRPr="005762E6">
              <w:rPr>
                <w:sz w:val="20"/>
                <w:szCs w:val="20"/>
              </w:rPr>
              <w:t xml:space="preserve"> CONCLUSIONS: Findings underscore that tobacco control programs for AI/AN students need to address the multiple predictors of different types of tobacco use. Implications of the findings are discussed.</w:t>
            </w:r>
          </w:p>
        </w:tc>
      </w:tr>
      <w:tr w:rsidR="00B44564" w:rsidRPr="005762E6" w14:paraId="2743EFC8"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4140CBF" w14:textId="77777777" w:rsidR="00B44564" w:rsidRPr="005762E6" w:rsidRDefault="00B44564" w:rsidP="00EA69AA">
            <w:pPr>
              <w:spacing w:after="120" w:line="240" w:lineRule="auto"/>
              <w:contextualSpacing/>
              <w:rPr>
                <w:sz w:val="20"/>
                <w:szCs w:val="20"/>
              </w:rPr>
            </w:pPr>
            <w:r w:rsidRPr="005762E6">
              <w:rPr>
                <w:sz w:val="20"/>
                <w:szCs w:val="20"/>
              </w:rPr>
              <w:lastRenderedPageBreak/>
              <w:t>604</w:t>
            </w:r>
          </w:p>
        </w:tc>
        <w:tc>
          <w:tcPr>
            <w:tcW w:w="0" w:type="auto"/>
            <w:tcBorders>
              <w:top w:val="single" w:sz="6" w:space="0" w:color="auto"/>
              <w:left w:val="single" w:sz="6" w:space="0" w:color="auto"/>
              <w:bottom w:val="single" w:sz="6" w:space="0" w:color="auto"/>
              <w:right w:val="single" w:sz="6" w:space="0" w:color="auto"/>
            </w:tcBorders>
          </w:tcPr>
          <w:p w14:paraId="2039DFF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750F13F" w14:textId="288F4475" w:rsidR="00B44564" w:rsidRPr="005762E6" w:rsidRDefault="00B44564" w:rsidP="00EA69AA">
            <w:pPr>
              <w:spacing w:after="120" w:line="240" w:lineRule="auto"/>
              <w:contextualSpacing/>
              <w:rPr>
                <w:sz w:val="20"/>
                <w:szCs w:val="20"/>
              </w:rPr>
            </w:pPr>
            <w:r w:rsidRPr="005762E6">
              <w:rPr>
                <w:sz w:val="20"/>
                <w:szCs w:val="20"/>
              </w:rPr>
              <w:t xml:space="preserve">Michael B </w:t>
            </w:r>
            <w:proofErr w:type="gramStart"/>
            <w:r w:rsidRPr="005762E6">
              <w:rPr>
                <w:sz w:val="20"/>
                <w:szCs w:val="20"/>
              </w:rPr>
              <w:t>Steinberg,​</w:t>
            </w:r>
            <w:proofErr w:type="gramEnd"/>
            <w:r w:rsidRPr="005762E6">
              <w:rPr>
                <w:sz w:val="20"/>
                <w:szCs w:val="20"/>
              </w:rPr>
              <w:t xml:space="preserve"> Michelle T Bover,​ Donna L Richardson,​ Amy C Schmelzer,​ Jill M Williams,​ Jonathan Foulds Abstinence and psychological distress in co-morbid smokers using various pharmacotherapies</w:t>
            </w:r>
            <w:r w:rsidR="007F2F01">
              <w:rPr>
                <w:sz w:val="20"/>
                <w:szCs w:val="20"/>
              </w:rPr>
              <w:t>.</w:t>
            </w:r>
            <w:r w:rsidRPr="005762E6">
              <w:rPr>
                <w:sz w:val="20"/>
                <w:szCs w:val="20"/>
              </w:rPr>
              <w:t xml:space="preserve"> Drug and alcohol dependence; 2011;114:77.</w:t>
            </w:r>
            <w:r w:rsidRPr="005762E6">
              <w:rPr>
                <w:sz w:val="20"/>
                <w:szCs w:val="20"/>
              </w:rPr>
              <w:br/>
            </w:r>
            <w:r w:rsidRPr="005762E6">
              <w:rPr>
                <w:sz w:val="20"/>
                <w:szCs w:val="20"/>
              </w:rPr>
              <w:br/>
            </w:r>
            <w:r w:rsidRPr="005762E6">
              <w:rPr>
                <w:b/>
                <w:bCs/>
                <w:sz w:val="20"/>
                <w:szCs w:val="20"/>
              </w:rPr>
              <w:t>Keywords:</w:t>
            </w:r>
            <w:r w:rsidRPr="005762E6">
              <w:rPr>
                <w:sz w:val="20"/>
                <w:szCs w:val="20"/>
              </w:rPr>
              <w:br/>
              <w:t>Adult,​Aged,​Benzazepines/ad [Administration &amp; Dosage],​Bupropion/ad [Administration &amp; Dosage],​Cohort Studies,​Comorbidity,​Drug Therapy,​ Combination,​Female,​Humans,​Male,​Middle Aged,​Nicotine/ad [Administration &amp; Dosage],​Quinoxalines/ad [Administration &amp; Dosage],​Retrospective Studies,​*Smoking/dt [Drug Therapy],​*Smoking/ep [Epidemiology],​Smoking/px [Psychology],​*Smoking Cessation/mt [Methods],​Smoking Cessation/px [Psychology],​*Stress,​ Psychological/dt [Drug Therapy],​*Stress,​ Psychological/ep [Epidemiology],​Stress,​ Psychological/px [Psychology],​Treatment Outcome,​Varenicline,​Young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Existing trials of varenicline have typically excluded smokers with concurrent medical and psychiatric illnesses and no data exist comparing effectiveness of varenicline with combination pharmacotherapy. This study evaluated abstinence and psychiatric outcomes of various tobacco dependence </w:t>
            </w:r>
            <w:proofErr w:type="gramStart"/>
            <w:r w:rsidRPr="005762E6">
              <w:rPr>
                <w:sz w:val="20"/>
                <w:szCs w:val="20"/>
              </w:rPr>
              <w:t>medications,​</w:t>
            </w:r>
            <w:proofErr w:type="gramEnd"/>
            <w:r w:rsidRPr="005762E6">
              <w:rPr>
                <w:sz w:val="20"/>
                <w:szCs w:val="20"/>
              </w:rPr>
              <w:t xml:space="preserve"> including varenicline.,​ METHODS: Retrospective cohort of 723 smokers,​ most with significant medical and psychiatric comorbidity,​ was evaluated at the UMDNJ-Tobacco Dependence Clinic from 2006 to 2008. </w:t>
            </w:r>
            <w:proofErr w:type="gramStart"/>
            <w:r w:rsidRPr="005762E6">
              <w:rPr>
                <w:sz w:val="20"/>
                <w:szCs w:val="20"/>
              </w:rPr>
              <w:t>Demographics,​</w:t>
            </w:r>
            <w:proofErr w:type="gramEnd"/>
            <w:r w:rsidRPr="005762E6">
              <w:rPr>
                <w:sz w:val="20"/>
                <w:szCs w:val="20"/>
              </w:rPr>
              <w:t xml:space="preserve"> measures of tobacco dependence and co-morbidities,​ and a validated instrument measuring psychological distress (Kessler-6) were obtained. Primary outcome was 7-day point abstinence at 6 months after target quit date</w:t>
            </w:r>
            <w:proofErr w:type="gramStart"/>
            <w:r w:rsidRPr="005762E6">
              <w:rPr>
                <w:sz w:val="20"/>
                <w:szCs w:val="20"/>
              </w:rPr>
              <w:t>.,​</w:t>
            </w:r>
            <w:proofErr w:type="gramEnd"/>
            <w:r w:rsidRPr="005762E6">
              <w:rPr>
                <w:sz w:val="20"/>
                <w:szCs w:val="20"/>
              </w:rPr>
              <w:t xml:space="preserve"> RESULTS: Cessation medications used included combination pharmacotherapy (39%),​ single nicotine replacement therapy (NRT) or bupropion (29%),​ and varenicline (23%),​ with 9% using no medications. </w:t>
            </w:r>
            <w:proofErr w:type="gramStart"/>
            <w:r w:rsidRPr="005762E6">
              <w:rPr>
                <w:sz w:val="20"/>
                <w:szCs w:val="20"/>
              </w:rPr>
              <w:t>Overall,​</w:t>
            </w:r>
            <w:proofErr w:type="gramEnd"/>
            <w:r w:rsidRPr="005762E6">
              <w:rPr>
                <w:sz w:val="20"/>
                <w:szCs w:val="20"/>
              </w:rPr>
              <w:t xml:space="preserve"> 23% of patients were abstinent at 6 months. In an adjusted regression </w:t>
            </w:r>
            <w:proofErr w:type="gramStart"/>
            <w:r w:rsidRPr="005762E6">
              <w:rPr>
                <w:sz w:val="20"/>
                <w:szCs w:val="20"/>
              </w:rPr>
              <w:t>model,​</w:t>
            </w:r>
            <w:proofErr w:type="gramEnd"/>
            <w:r w:rsidRPr="005762E6">
              <w:rPr>
                <w:sz w:val="20"/>
                <w:szCs w:val="20"/>
              </w:rPr>
              <w:t xml:space="preserve"> smokers using varenicline or combination medications were more likely abstinent at 6 months than those using no medications (adjusted odds ratio=2.99; 95% confidence interval=1.20-7.47 and 2.80; 1.15-6.82,​ respectively),​ but not statistically higher than those using single medications (AOR=1.70). </w:t>
            </w:r>
            <w:proofErr w:type="gramStart"/>
            <w:r w:rsidRPr="005762E6">
              <w:rPr>
                <w:sz w:val="20"/>
                <w:szCs w:val="20"/>
              </w:rPr>
              <w:t>Age,​</w:t>
            </w:r>
            <w:proofErr w:type="gramEnd"/>
            <w:r w:rsidRPr="005762E6">
              <w:rPr>
                <w:sz w:val="20"/>
                <w:szCs w:val="20"/>
              </w:rPr>
              <w:t xml:space="preserve"> gender,​ education,​ marital status,​ cigarettes per day,​ time to first cigarette,​ night smoking,​ and menthol smoking were not significantly related to abstinence. Varenicline or combination medications did not significantly increase serious psychological distress over the treatment period compared to other medication options</w:t>
            </w:r>
            <w:proofErr w:type="gramStart"/>
            <w:r w:rsidRPr="005762E6">
              <w:rPr>
                <w:sz w:val="20"/>
                <w:szCs w:val="20"/>
              </w:rPr>
              <w:t>.,​</w:t>
            </w:r>
            <w:proofErr w:type="gramEnd"/>
            <w:r w:rsidRPr="005762E6">
              <w:rPr>
                <w:sz w:val="20"/>
                <w:szCs w:val="20"/>
              </w:rPr>
              <w:t xml:space="preserve"> CONCLUSIONS: Both varenicline and combination pharmacotherapy were effective and did not increase psychological distress for up to 6 months in smokers with co-morbidities treated at a specialty clinic. Copyright © 2010 Elsevier Ireland Ltd. All rights reserved.</w:t>
            </w:r>
          </w:p>
        </w:tc>
      </w:tr>
      <w:tr w:rsidR="00B44564" w:rsidRPr="005762E6" w14:paraId="0E7710BE"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45282BA" w14:textId="77777777" w:rsidR="00B44564" w:rsidRPr="005762E6" w:rsidRDefault="00B44564" w:rsidP="00EA69AA">
            <w:pPr>
              <w:spacing w:after="120" w:line="240" w:lineRule="auto"/>
              <w:contextualSpacing/>
              <w:rPr>
                <w:sz w:val="20"/>
                <w:szCs w:val="20"/>
              </w:rPr>
            </w:pPr>
            <w:r w:rsidRPr="005762E6">
              <w:rPr>
                <w:sz w:val="20"/>
                <w:szCs w:val="20"/>
              </w:rPr>
              <w:t>605</w:t>
            </w:r>
          </w:p>
        </w:tc>
        <w:tc>
          <w:tcPr>
            <w:tcW w:w="0" w:type="auto"/>
            <w:tcBorders>
              <w:top w:val="single" w:sz="6" w:space="0" w:color="auto"/>
              <w:left w:val="single" w:sz="6" w:space="0" w:color="auto"/>
              <w:bottom w:val="single" w:sz="6" w:space="0" w:color="auto"/>
              <w:right w:val="single" w:sz="6" w:space="0" w:color="auto"/>
            </w:tcBorders>
          </w:tcPr>
          <w:p w14:paraId="1C6E06D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4085379" w14:textId="1B41FA53" w:rsidR="00B44564" w:rsidRPr="005762E6" w:rsidRDefault="00B44564" w:rsidP="00EA69AA">
            <w:pPr>
              <w:spacing w:after="120" w:line="240" w:lineRule="auto"/>
              <w:contextualSpacing/>
              <w:rPr>
                <w:sz w:val="20"/>
                <w:szCs w:val="20"/>
              </w:rPr>
            </w:pPr>
            <w:r w:rsidRPr="005762E6">
              <w:rPr>
                <w:sz w:val="20"/>
                <w:szCs w:val="20"/>
              </w:rPr>
              <w:t xml:space="preserve">Monica Webb </w:t>
            </w:r>
            <w:proofErr w:type="gramStart"/>
            <w:r w:rsidRPr="005762E6">
              <w:rPr>
                <w:sz w:val="20"/>
                <w:szCs w:val="20"/>
              </w:rPr>
              <w:t>Hooper,​</w:t>
            </w:r>
            <w:proofErr w:type="gramEnd"/>
            <w:r w:rsidRPr="005762E6">
              <w:rPr>
                <w:sz w:val="20"/>
                <w:szCs w:val="20"/>
              </w:rPr>
              <w:t xml:space="preserve"> Wei Zhao,​ Margaret M Byrne,​ Evelyn Davila,​ Alberto Caban-Martinez,​ Noella A Dietz,​ Dorothy F Parker,​ Youjie Huang,​ Antoine Messiah,​ David J Lee Menthol cigarette smoking and health,​ Florida 2007 BRFSS</w:t>
            </w:r>
            <w:r w:rsidR="007F2F01">
              <w:rPr>
                <w:sz w:val="20"/>
                <w:szCs w:val="20"/>
              </w:rPr>
              <w:t>.</w:t>
            </w:r>
            <w:r w:rsidRPr="005762E6">
              <w:rPr>
                <w:sz w:val="20"/>
                <w:szCs w:val="20"/>
              </w:rPr>
              <w:t xml:space="preserve"> American journal of health behavior; 2011;35:3.</w:t>
            </w:r>
            <w:r w:rsidRPr="005762E6">
              <w:rPr>
                <w:sz w:val="20"/>
                <w:szCs w:val="20"/>
              </w:rPr>
              <w:br/>
            </w:r>
            <w:r w:rsidRPr="005762E6">
              <w:rPr>
                <w:sz w:val="20"/>
                <w:szCs w:val="20"/>
              </w:rPr>
              <w:br/>
            </w:r>
            <w:r w:rsidRPr="005762E6">
              <w:rPr>
                <w:b/>
                <w:bCs/>
                <w:sz w:val="20"/>
                <w:szCs w:val="20"/>
              </w:rPr>
              <w:t>Keywords:</w:t>
            </w:r>
            <w:r w:rsidRPr="005762E6">
              <w:rPr>
                <w:sz w:val="20"/>
                <w:szCs w:val="20"/>
              </w:rPr>
              <w:br/>
              <w:t>Behavioral Risk Factor Surveillance System,​Consumer Behavior/sn [Statistics &amp; Numerical Data],​Ethnic Groups,​Female,​Florida,​*Health Status,​Humans,​Male,​*Mental Health/sn [Statistics &amp; Numerical Data],​*Menthol/ad [Administration &amp; Dosage],​Middle Aged,​Self-Report,​*Smoking/ae [Adverse Effects],​Smoking/ep [Epidemiology],​Smoking Cessation/sn [Statistics &amp; Numerical Data],​*Tobacco Use Disorder/ep [Epidemiology]</w:t>
            </w:r>
            <w:r w:rsidRPr="005762E6">
              <w:rPr>
                <w:sz w:val="20"/>
                <w:szCs w:val="20"/>
              </w:rPr>
              <w:br/>
            </w:r>
            <w:r w:rsidRPr="005762E6">
              <w:rPr>
                <w:sz w:val="20"/>
                <w:szCs w:val="20"/>
              </w:rPr>
              <w:br/>
            </w:r>
            <w:r w:rsidRPr="005762E6">
              <w:rPr>
                <w:b/>
                <w:bCs/>
                <w:sz w:val="20"/>
                <w:szCs w:val="20"/>
              </w:rPr>
              <w:lastRenderedPageBreak/>
              <w:t xml:space="preserve">Abstract: </w:t>
            </w:r>
            <w:r w:rsidRPr="005762E6">
              <w:rPr>
                <w:sz w:val="20"/>
                <w:szCs w:val="20"/>
              </w:rPr>
              <w:t>OBJECTIVE: To examine associations between menthol cigarette smoking and nicotine dependence,​ quit attempts,​ and physical and mental health.,​ METHODS: Data were drawn from the 2007 Florida Behavioral Risk Factor Surveillance System (BRFSS) and a follow-up survey among current smokers (N = 3396). Univariate and multivariate logistic regression analyses were conducted</w:t>
            </w:r>
            <w:proofErr w:type="gramStart"/>
            <w:r w:rsidRPr="005762E6">
              <w:rPr>
                <w:sz w:val="20"/>
                <w:szCs w:val="20"/>
              </w:rPr>
              <w:t>.,​</w:t>
            </w:r>
            <w:proofErr w:type="gramEnd"/>
            <w:r w:rsidRPr="005762E6">
              <w:rPr>
                <w:sz w:val="20"/>
                <w:szCs w:val="20"/>
              </w:rPr>
              <w:t xml:space="preserve"> RESULTS: In multivariate analyses,​ menthol cigarette smoking was associated with women,​ African American and Hispanic race/ethnicity,​ and greater mental distress.,​ CONCLUSIONS: Women,​ racial/ethnic minorities,​ and individuals reporting a greater frequency of mental distress are more likely to smoke menthol versus nonmenthol cigarettes. Implications for public health policy and cessation interventions are discussed.</w:t>
            </w:r>
          </w:p>
        </w:tc>
      </w:tr>
      <w:tr w:rsidR="00B44564" w:rsidRPr="005762E6" w14:paraId="00AD0B52"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8C9FCF4" w14:textId="77777777" w:rsidR="00B44564" w:rsidRPr="005762E6" w:rsidRDefault="00B44564" w:rsidP="00EA69AA">
            <w:pPr>
              <w:spacing w:after="120" w:line="240" w:lineRule="auto"/>
              <w:contextualSpacing/>
              <w:rPr>
                <w:sz w:val="20"/>
                <w:szCs w:val="20"/>
              </w:rPr>
            </w:pPr>
            <w:r w:rsidRPr="005762E6">
              <w:rPr>
                <w:sz w:val="20"/>
                <w:szCs w:val="20"/>
              </w:rPr>
              <w:lastRenderedPageBreak/>
              <w:t>608</w:t>
            </w:r>
          </w:p>
        </w:tc>
        <w:tc>
          <w:tcPr>
            <w:tcW w:w="0" w:type="auto"/>
            <w:tcBorders>
              <w:top w:val="single" w:sz="6" w:space="0" w:color="auto"/>
              <w:left w:val="single" w:sz="6" w:space="0" w:color="auto"/>
              <w:bottom w:val="single" w:sz="6" w:space="0" w:color="auto"/>
              <w:right w:val="single" w:sz="6" w:space="0" w:color="auto"/>
            </w:tcBorders>
          </w:tcPr>
          <w:p w14:paraId="47F9CB65"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4FCC8B8" w14:textId="4D2CF002" w:rsidR="00B44564" w:rsidRPr="005762E6" w:rsidRDefault="00B44564" w:rsidP="00EA69AA">
            <w:pPr>
              <w:spacing w:after="120" w:line="240" w:lineRule="auto"/>
              <w:contextualSpacing/>
              <w:rPr>
                <w:sz w:val="20"/>
                <w:szCs w:val="20"/>
              </w:rPr>
            </w:pPr>
            <w:r w:rsidRPr="005762E6">
              <w:rPr>
                <w:sz w:val="20"/>
                <w:szCs w:val="20"/>
              </w:rPr>
              <w:t xml:space="preserve">Cheryl G </w:t>
            </w:r>
            <w:proofErr w:type="gramStart"/>
            <w:r w:rsidRPr="005762E6">
              <w:rPr>
                <w:sz w:val="20"/>
                <w:szCs w:val="20"/>
              </w:rPr>
              <w:t>Healton,​</w:t>
            </w:r>
            <w:proofErr w:type="gramEnd"/>
            <w:r w:rsidRPr="005762E6">
              <w:rPr>
                <w:sz w:val="20"/>
                <w:szCs w:val="20"/>
              </w:rPr>
              <w:t xml:space="preserve"> Amber Thornton Bullock,​ William S Robinson,​ Stacy E Beck,​ Julia Cartwright,​ Sharon Y Eubanks Why we should make menthol cigarettes history</w:t>
            </w:r>
            <w:r w:rsidR="007F2F01">
              <w:rPr>
                <w:sz w:val="20"/>
                <w:szCs w:val="20"/>
              </w:rPr>
              <w:t>.</w:t>
            </w:r>
            <w:r w:rsidRPr="005762E6">
              <w:rPr>
                <w:sz w:val="20"/>
                <w:szCs w:val="20"/>
              </w:rPr>
              <w:t xml:space="preserve"> Nicotine &amp; tobacco </w:t>
            </w:r>
            <w:proofErr w:type="gramStart"/>
            <w:r w:rsidRPr="005762E6">
              <w:rPr>
                <w:sz w:val="20"/>
                <w:szCs w:val="20"/>
              </w:rPr>
              <w:t>research :</w:t>
            </w:r>
            <w:proofErr w:type="gramEnd"/>
            <w:r w:rsidRPr="005762E6">
              <w:rPr>
                <w:sz w:val="20"/>
                <w:szCs w:val="20"/>
              </w:rPr>
              <w:t xml:space="preserve"> official journal of the Society for Research on Nicotine and Tobacco; 2010;12 Suppl 2:S94.</w:t>
            </w:r>
            <w:r w:rsidRPr="005762E6">
              <w:rPr>
                <w:sz w:val="20"/>
                <w:szCs w:val="20"/>
              </w:rPr>
              <w:br/>
            </w:r>
            <w:r w:rsidRPr="005762E6">
              <w:rPr>
                <w:sz w:val="20"/>
                <w:szCs w:val="20"/>
              </w:rPr>
              <w:br/>
            </w:r>
            <w:r w:rsidRPr="005762E6">
              <w:rPr>
                <w:b/>
                <w:bCs/>
                <w:sz w:val="20"/>
                <w:szCs w:val="20"/>
              </w:rPr>
              <w:t>Keywords:</w:t>
            </w:r>
            <w:r w:rsidRPr="005762E6">
              <w:rPr>
                <w:sz w:val="20"/>
                <w:szCs w:val="20"/>
              </w:rPr>
              <w:br/>
              <w:t>*Flavoring Agents,​Humans,​*Menthol,​*Public Health/st [Standards],​*Smoking/ae [Adverse Effects],​Tobacco Industry</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6B84AD97"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997FF6A" w14:textId="77777777" w:rsidR="00B44564" w:rsidRPr="005762E6" w:rsidRDefault="00B44564" w:rsidP="00EA69AA">
            <w:pPr>
              <w:spacing w:after="120" w:line="240" w:lineRule="auto"/>
              <w:contextualSpacing/>
              <w:rPr>
                <w:sz w:val="20"/>
                <w:szCs w:val="20"/>
              </w:rPr>
            </w:pPr>
            <w:r w:rsidRPr="005762E6">
              <w:rPr>
                <w:sz w:val="20"/>
                <w:szCs w:val="20"/>
              </w:rPr>
              <w:t>609</w:t>
            </w:r>
          </w:p>
        </w:tc>
        <w:tc>
          <w:tcPr>
            <w:tcW w:w="0" w:type="auto"/>
            <w:tcBorders>
              <w:top w:val="single" w:sz="6" w:space="0" w:color="auto"/>
              <w:left w:val="single" w:sz="6" w:space="0" w:color="auto"/>
              <w:bottom w:val="single" w:sz="6" w:space="0" w:color="auto"/>
              <w:right w:val="single" w:sz="6" w:space="0" w:color="auto"/>
            </w:tcBorders>
          </w:tcPr>
          <w:p w14:paraId="272E48F2"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5B13D2D" w14:textId="50005CDC" w:rsidR="00B44564" w:rsidRPr="005762E6" w:rsidRDefault="00B44564" w:rsidP="00EA69AA">
            <w:pPr>
              <w:spacing w:after="120" w:line="240" w:lineRule="auto"/>
              <w:contextualSpacing/>
              <w:rPr>
                <w:sz w:val="20"/>
                <w:szCs w:val="20"/>
              </w:rPr>
            </w:pPr>
            <w:r w:rsidRPr="005762E6">
              <w:rPr>
                <w:sz w:val="20"/>
                <w:szCs w:val="20"/>
              </w:rPr>
              <w:t xml:space="preserve">Phillip </w:t>
            </w:r>
            <w:proofErr w:type="gramStart"/>
            <w:r w:rsidRPr="005762E6">
              <w:rPr>
                <w:sz w:val="20"/>
                <w:szCs w:val="20"/>
              </w:rPr>
              <w:t>Gardiner,​</w:t>
            </w:r>
            <w:proofErr w:type="gramEnd"/>
            <w:r w:rsidRPr="005762E6">
              <w:rPr>
                <w:sz w:val="20"/>
                <w:szCs w:val="20"/>
              </w:rPr>
              <w:t xml:space="preserve"> Pamela I Clark Menthol cigarettes: moving toward a broader definition of harm</w:t>
            </w:r>
            <w:r w:rsidR="007F2F01">
              <w:rPr>
                <w:sz w:val="20"/>
                <w:szCs w:val="20"/>
              </w:rPr>
              <w:t>.</w:t>
            </w:r>
            <w:r w:rsidRPr="005762E6">
              <w:rPr>
                <w:sz w:val="20"/>
                <w:szCs w:val="20"/>
              </w:rPr>
              <w:t xml:space="preserve"> Nicotine &amp; tobacco research : official journal of the Society for Research on Nicotine and Tobacco; 2010;12 Suppl 2:S85.</w:t>
            </w:r>
            <w:r w:rsidRPr="005762E6">
              <w:rPr>
                <w:sz w:val="20"/>
                <w:szCs w:val="20"/>
              </w:rPr>
              <w:br/>
            </w:r>
            <w:r w:rsidRPr="005762E6">
              <w:rPr>
                <w:sz w:val="20"/>
                <w:szCs w:val="20"/>
              </w:rPr>
              <w:br/>
            </w:r>
            <w:r w:rsidRPr="005762E6">
              <w:rPr>
                <w:b/>
                <w:bCs/>
                <w:sz w:val="20"/>
                <w:szCs w:val="20"/>
              </w:rPr>
              <w:t>Keywords:</w:t>
            </w:r>
            <w:r w:rsidRPr="005762E6">
              <w:rPr>
                <w:sz w:val="20"/>
                <w:szCs w:val="20"/>
              </w:rPr>
              <w:br/>
              <w:t>*Flavoring Agents,​Humans,​*Menthol,​Public Health/lj [Legislation &amp; Jurisprudence],​Public Health/st [Standards],​*Public Health,​*Smoking/ae [Adverse Effects],​Tobacco Industry/es [Ethics],​*Tobacco Industry/lj [Legislation &amp; Jurisprudence],​United States,​United States Food and Drug Administration</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RATIONALE: The current practice of the tobacco industry of primarily focusing on the extent that menthol cigarettes contribute or do not contribute to excess morbidity and mortality in various diseases does not,​ in and of itself,​ fully illuminate the harm caused by these products. In </w:t>
            </w:r>
            <w:proofErr w:type="gramStart"/>
            <w:r w:rsidRPr="005762E6">
              <w:rPr>
                <w:sz w:val="20"/>
                <w:szCs w:val="20"/>
              </w:rPr>
              <w:t>fact,​</w:t>
            </w:r>
            <w:proofErr w:type="gramEnd"/>
            <w:r w:rsidRPr="005762E6">
              <w:rPr>
                <w:sz w:val="20"/>
                <w:szCs w:val="20"/>
              </w:rPr>
              <w:t xml:space="preserve"> this practice actually masks and obscures the public health harm associated with menthol cigarettes. Given this,​ this commentary develops and presents a broader definition of harm in which to view menthol cigarettes and as the necessary and underlying rationale of why this candy-flavored ingredient should be removed from all tobacco products.,​ METHODS: This paper relies on the scientific presentations of the 2nd Conference on Menthol Cigarettes,​ and the peer-reviewed literature on menthol cigarettes.,​ OUTCOMES: A broader definition of harm from menthol cigarettes must be analyzed from a broad public health perspective and take into account youth uptake and initiation,​ menthol's ability to augment addiction through unique sensory properties,​ spurious health messages associated with these products,​ menthol's role in cessation inhibition and relapse promotion,​ and the blatant predatory marketing of these products to the most vulnerable sectors of society.,​ CONCLUSIONS: The Food and Drug Administration (FDA) should apply the same logic that outlawed other candy flavorings and apply it to menthol cigarettes; in the end,​ all candy flavorings,​ including menthol,​ only serve to make the poisons inherent in tobacco smoke go down easier. </w:t>
            </w:r>
            <w:proofErr w:type="gramStart"/>
            <w:r w:rsidRPr="005762E6">
              <w:rPr>
                <w:sz w:val="20"/>
                <w:szCs w:val="20"/>
              </w:rPr>
              <w:t>Additionally,​</w:t>
            </w:r>
            <w:proofErr w:type="gramEnd"/>
            <w:r w:rsidRPr="005762E6">
              <w:rPr>
                <w:sz w:val="20"/>
                <w:szCs w:val="20"/>
              </w:rPr>
              <w:t xml:space="preserve"> the mobilization of communities most affected by the menthol cigarettes,​ the FDA,​ and candy flavorings and the tobacco industry's machinations will be discussed.</w:t>
            </w:r>
          </w:p>
        </w:tc>
      </w:tr>
      <w:tr w:rsidR="00B44564" w:rsidRPr="005762E6" w14:paraId="650B0392"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C0471E4" w14:textId="77777777" w:rsidR="00B44564" w:rsidRPr="005762E6" w:rsidRDefault="00B44564" w:rsidP="00EA69AA">
            <w:pPr>
              <w:spacing w:after="120" w:line="240" w:lineRule="auto"/>
              <w:contextualSpacing/>
              <w:rPr>
                <w:sz w:val="20"/>
                <w:szCs w:val="20"/>
              </w:rPr>
            </w:pPr>
            <w:r w:rsidRPr="005762E6">
              <w:rPr>
                <w:sz w:val="20"/>
                <w:szCs w:val="20"/>
              </w:rPr>
              <w:t>611</w:t>
            </w:r>
          </w:p>
        </w:tc>
        <w:tc>
          <w:tcPr>
            <w:tcW w:w="0" w:type="auto"/>
            <w:tcBorders>
              <w:top w:val="single" w:sz="6" w:space="0" w:color="auto"/>
              <w:left w:val="single" w:sz="6" w:space="0" w:color="auto"/>
              <w:bottom w:val="single" w:sz="6" w:space="0" w:color="auto"/>
              <w:right w:val="single" w:sz="6" w:space="0" w:color="auto"/>
            </w:tcBorders>
          </w:tcPr>
          <w:p w14:paraId="3192115E"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BB11F4F" w14:textId="38F73F7C" w:rsidR="00B44564" w:rsidRPr="005762E6" w:rsidRDefault="00B44564" w:rsidP="00EA69AA">
            <w:pPr>
              <w:spacing w:after="120" w:line="240" w:lineRule="auto"/>
              <w:contextualSpacing/>
              <w:rPr>
                <w:sz w:val="20"/>
                <w:szCs w:val="20"/>
              </w:rPr>
            </w:pPr>
            <w:r w:rsidRPr="005762E6">
              <w:rPr>
                <w:sz w:val="20"/>
                <w:szCs w:val="20"/>
              </w:rPr>
              <w:t xml:space="preserve">James C </w:t>
            </w:r>
            <w:proofErr w:type="gramStart"/>
            <w:r w:rsidRPr="005762E6">
              <w:rPr>
                <w:sz w:val="20"/>
                <w:szCs w:val="20"/>
              </w:rPr>
              <w:t>Hersey,​</w:t>
            </w:r>
            <w:proofErr w:type="gramEnd"/>
            <w:r w:rsidRPr="005762E6">
              <w:rPr>
                <w:sz w:val="20"/>
                <w:szCs w:val="20"/>
              </w:rPr>
              <w:t xml:space="preserve"> James M Nonnemaker,​ Ghada Homsi Menthol cigarettes contribute to the appeal and addiction potential of smoking for youth</w:t>
            </w:r>
            <w:r w:rsidR="007F2F01">
              <w:rPr>
                <w:sz w:val="20"/>
                <w:szCs w:val="20"/>
              </w:rPr>
              <w:t>.</w:t>
            </w:r>
            <w:r w:rsidRPr="005762E6">
              <w:rPr>
                <w:sz w:val="20"/>
                <w:szCs w:val="20"/>
              </w:rPr>
              <w:t xml:space="preserve"> Nicotine &amp; tobacco research : official journal of the Society for Research on Nicotine and Tobacco; 2010;12 Suppl 2:S136.</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Adolescent,​Adult,​*Behavior,​ Addictive/ci [Chemically Induced],​Child,​Female,​Humans,​Logistic Models,​Male,​*Menthol,​*Smoking/ae [Adverse Effects],​*Tobacco Use Disorder/et [Etiology],​Young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Menthol cigarettes are a common choice of cigarettes among young smokers that contribute to the addictive potential of cigarette smoking.,​ METHODS: We reviewed prior research and </w:t>
            </w:r>
            <w:r w:rsidRPr="005762E6">
              <w:rPr>
                <w:sz w:val="20"/>
                <w:szCs w:val="20"/>
              </w:rPr>
              <w:lastRenderedPageBreak/>
              <w:t xml:space="preserve">analyzed the 2006 National Youth Tobacco Survey (NYTS),​ using logistic regression to assess the relationship between menthol cigarette use and needing a cigarette within 1 hr after smoking.,​ RESULTS: In the 2006 NYTS,​ 51.7% (95% CI: 45.8-57.5) of middle school smokers and 43.1% (95% C.I.: 37.0,​ 49.1) of high school smokers reported that they usually smoked a menthol brand of cigarettes,​ using a menthol smoking status definition based on consistency between smokers' report of the brand and the menthol status of the cigarettes they usually smoked. A logistic regression model of </w:t>
            </w:r>
            <w:proofErr w:type="gramStart"/>
            <w:r w:rsidRPr="005762E6">
              <w:rPr>
                <w:sz w:val="20"/>
                <w:szCs w:val="20"/>
              </w:rPr>
              <w:t>dependence,​</w:t>
            </w:r>
            <w:proofErr w:type="gramEnd"/>
            <w:r w:rsidRPr="005762E6">
              <w:rPr>
                <w:sz w:val="20"/>
                <w:szCs w:val="20"/>
              </w:rPr>
              <w:t xml:space="preserve"> controlling for background (i.e.,​ school level,​ gender,​ and race/ethnicity) and smoking level (i.e.,​ years,​ frequency,​ and level of smoking) found that smoking menthol cigarettes was significantly associated with reduced time to needing a cigarette among smokers with a regular brand (odds ratio [OR]: 1.86,​ p = .003) and among established smokers (OR: 2.06,​ p = .001). This is consistent with other studies that found that youth who smoked menthol cigarettes were significantly more likely than those who smoked nonmenthol cigarettes to report signs of nicotine dependency</w:t>
            </w:r>
            <w:proofErr w:type="gramStart"/>
            <w:r w:rsidRPr="005762E6">
              <w:rPr>
                <w:sz w:val="20"/>
                <w:szCs w:val="20"/>
              </w:rPr>
              <w:t>.,​</w:t>
            </w:r>
            <w:proofErr w:type="gramEnd"/>
            <w:r w:rsidRPr="005762E6">
              <w:rPr>
                <w:sz w:val="20"/>
                <w:szCs w:val="20"/>
              </w:rPr>
              <w:t xml:space="preserve"> CONCLUSIONS: Menthol cigarettes contribute to the appeal of youth smoking and to the addictive potential of smoking cigarettes among youth. It is important to control the use of menthol cigarettes and to implement cessation strategies that are effective with youth smokers.</w:t>
            </w:r>
          </w:p>
        </w:tc>
      </w:tr>
      <w:tr w:rsidR="00B44564" w:rsidRPr="005762E6" w14:paraId="36F89133"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294EB20" w14:textId="77777777" w:rsidR="00B44564" w:rsidRPr="005762E6" w:rsidRDefault="00B44564" w:rsidP="00EA69AA">
            <w:pPr>
              <w:spacing w:after="120" w:line="240" w:lineRule="auto"/>
              <w:contextualSpacing/>
              <w:rPr>
                <w:sz w:val="20"/>
                <w:szCs w:val="20"/>
              </w:rPr>
            </w:pPr>
            <w:r w:rsidRPr="005762E6">
              <w:rPr>
                <w:sz w:val="20"/>
                <w:szCs w:val="20"/>
              </w:rPr>
              <w:lastRenderedPageBreak/>
              <w:t>612</w:t>
            </w:r>
          </w:p>
        </w:tc>
        <w:tc>
          <w:tcPr>
            <w:tcW w:w="0" w:type="auto"/>
            <w:tcBorders>
              <w:top w:val="single" w:sz="6" w:space="0" w:color="auto"/>
              <w:left w:val="single" w:sz="6" w:space="0" w:color="auto"/>
              <w:bottom w:val="single" w:sz="6" w:space="0" w:color="auto"/>
              <w:right w:val="single" w:sz="6" w:space="0" w:color="auto"/>
            </w:tcBorders>
          </w:tcPr>
          <w:p w14:paraId="560D2AD4"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230D8C3" w14:textId="004B508B" w:rsidR="00B44564" w:rsidRPr="005762E6" w:rsidRDefault="00B44564" w:rsidP="00EA69AA">
            <w:pPr>
              <w:spacing w:after="120" w:line="240" w:lineRule="auto"/>
              <w:contextualSpacing/>
              <w:rPr>
                <w:sz w:val="20"/>
                <w:szCs w:val="20"/>
              </w:rPr>
            </w:pPr>
            <w:r w:rsidRPr="005762E6">
              <w:rPr>
                <w:sz w:val="20"/>
                <w:szCs w:val="20"/>
              </w:rPr>
              <w:t xml:space="preserve">Shane P </w:t>
            </w:r>
            <w:proofErr w:type="gramStart"/>
            <w:r w:rsidRPr="005762E6">
              <w:rPr>
                <w:sz w:val="20"/>
                <w:szCs w:val="20"/>
              </w:rPr>
              <w:t>Davis,​</w:t>
            </w:r>
            <w:proofErr w:type="gramEnd"/>
            <w:r w:rsidRPr="005762E6">
              <w:rPr>
                <w:sz w:val="20"/>
                <w:szCs w:val="20"/>
              </w:rPr>
              <w:t xml:space="preserve"> Annette K McClave-Regan,​ Valerie J Rock,​ Judy Kruger,​ Bridgette E Garrett Perceptions of menthol cigarette use among U.S. adults and adult smokers: findings from the 2009 HealthStyles survey</w:t>
            </w:r>
            <w:r w:rsidR="007F2F01">
              <w:rPr>
                <w:sz w:val="20"/>
                <w:szCs w:val="20"/>
              </w:rPr>
              <w:t>.</w:t>
            </w:r>
            <w:r w:rsidRPr="005762E6">
              <w:rPr>
                <w:sz w:val="20"/>
                <w:szCs w:val="20"/>
              </w:rPr>
              <w:t xml:space="preserve"> Nicotine &amp; tobacco </w:t>
            </w:r>
            <w:proofErr w:type="gramStart"/>
            <w:r w:rsidRPr="005762E6">
              <w:rPr>
                <w:sz w:val="20"/>
                <w:szCs w:val="20"/>
              </w:rPr>
              <w:t>research :</w:t>
            </w:r>
            <w:proofErr w:type="gramEnd"/>
            <w:r w:rsidRPr="005762E6">
              <w:rPr>
                <w:sz w:val="20"/>
                <w:szCs w:val="20"/>
              </w:rPr>
              <w:t xml:space="preserve"> official journal of the Society for Research on Nicotine and Tobacco; 2010;12 Suppl 2:S125.</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Adolescent,​Adult,​Aged,​*Data Collection,​Female,​Humans,​Male,​*Menthol,​Middle Aged,​*Perception,​Public Health,​*Smoking/px [Psychology],​United States,​Young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INTRODUCTION: Perceptions of menthol cigarette use may have implications for smoking initiation and cessation. This study explores harm and health perceptions of menthol cigarette use among a national sample of U.S. adults and current smokers</w:t>
            </w:r>
            <w:proofErr w:type="gramStart"/>
            <w:r w:rsidRPr="005762E6">
              <w:rPr>
                <w:sz w:val="20"/>
                <w:szCs w:val="20"/>
              </w:rPr>
              <w:t>.,​</w:t>
            </w:r>
            <w:proofErr w:type="gramEnd"/>
            <w:r w:rsidRPr="005762E6">
              <w:rPr>
                <w:sz w:val="20"/>
                <w:szCs w:val="20"/>
              </w:rPr>
              <w:t xml:space="preserve"> METHODS: We examined data from the 2009 HealthStyles survey (n = 4,​556),​ an annual mail survey of adults &gt;=18 years of age that collects information on attitudes and behaviors,​ including smoking. Frequencies and weighted percentages were calculated by </w:t>
            </w:r>
            <w:proofErr w:type="gramStart"/>
            <w:r w:rsidRPr="005762E6">
              <w:rPr>
                <w:sz w:val="20"/>
                <w:szCs w:val="20"/>
              </w:rPr>
              <w:t>sex,​</w:t>
            </w:r>
            <w:proofErr w:type="gramEnd"/>
            <w:r w:rsidRPr="005762E6">
              <w:rPr>
                <w:sz w:val="20"/>
                <w:szCs w:val="20"/>
              </w:rPr>
              <w:t xml:space="preserve"> race/ethnicity,​ age,​ education level,​ household income,​ and smoking status. Unadjusted odds ratios (OR) were used to compare perceptions of menthol cigarette use between demographic groups</w:t>
            </w:r>
            <w:proofErr w:type="gramStart"/>
            <w:r w:rsidRPr="005762E6">
              <w:rPr>
                <w:sz w:val="20"/>
                <w:szCs w:val="20"/>
              </w:rPr>
              <w:t>.,​</w:t>
            </w:r>
            <w:proofErr w:type="gramEnd"/>
            <w:r w:rsidRPr="005762E6">
              <w:rPr>
                <w:sz w:val="20"/>
                <w:szCs w:val="20"/>
              </w:rPr>
              <w:t xml:space="preserve"> RESULTS: Close to half of adults (45.8%) believed that menthol cigarettes are just as harmful as nonmenthol cigarettes,​ and 40.9% of adults did not know whether menthol cigarettes are more or less harmful than nonmenthol cigarettes. Few adults (0.6%</w:t>
            </w:r>
            <w:proofErr w:type="gramStart"/>
            <w:r w:rsidRPr="005762E6">
              <w:rPr>
                <w:sz w:val="20"/>
                <w:szCs w:val="20"/>
              </w:rPr>
              <w:t>),​</w:t>
            </w:r>
            <w:proofErr w:type="gramEnd"/>
            <w:r w:rsidRPr="005762E6">
              <w:rPr>
                <w:sz w:val="20"/>
                <w:szCs w:val="20"/>
              </w:rPr>
              <w:t xml:space="preserve"> including smokers,​ perceived menthol cigarettes to be less harmful than nonmenthol cigarettes. Blacks (OR = </w:t>
            </w:r>
            <w:proofErr w:type="gramStart"/>
            <w:r w:rsidRPr="005762E6">
              <w:rPr>
                <w:sz w:val="20"/>
                <w:szCs w:val="20"/>
              </w:rPr>
              <w:t>3.22,​</w:t>
            </w:r>
            <w:proofErr w:type="gramEnd"/>
            <w:r w:rsidRPr="005762E6">
              <w:rPr>
                <w:sz w:val="20"/>
                <w:szCs w:val="20"/>
              </w:rPr>
              <w:t xml:space="preserve"> 95% CI = 1.80-5.76) were more likely to believe that menthol cigarettes have health benefits when compared with Whites. Almost half of current smokers believed menthol cigarettes are equally addictive as nonmenthol cigarettes and 74.9% believed menthol and nonmenthol cigarettes are equally hard to quit</w:t>
            </w:r>
            <w:proofErr w:type="gramStart"/>
            <w:r w:rsidRPr="005762E6">
              <w:rPr>
                <w:sz w:val="20"/>
                <w:szCs w:val="20"/>
              </w:rPr>
              <w:t>.,​</w:t>
            </w:r>
            <w:proofErr w:type="gramEnd"/>
            <w:r w:rsidRPr="005762E6">
              <w:rPr>
                <w:sz w:val="20"/>
                <w:szCs w:val="20"/>
              </w:rPr>
              <w:t xml:space="preserve"> CONCLUSIONS: Findings suggest directions for targeted public health messages for menthol cigarette use. Future research is needed among a nationally representative sample to capture more subtle differences in perceptions among menthol and nonmenthol smokers.</w:t>
            </w:r>
          </w:p>
        </w:tc>
      </w:tr>
      <w:tr w:rsidR="00B44564" w:rsidRPr="005762E6" w14:paraId="3E72B9DB"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8E71BA1" w14:textId="77777777" w:rsidR="00B44564" w:rsidRPr="005762E6" w:rsidRDefault="00B44564" w:rsidP="00EA69AA">
            <w:pPr>
              <w:spacing w:after="120" w:line="240" w:lineRule="auto"/>
              <w:contextualSpacing/>
              <w:rPr>
                <w:sz w:val="20"/>
                <w:szCs w:val="20"/>
              </w:rPr>
            </w:pPr>
            <w:r w:rsidRPr="005762E6">
              <w:rPr>
                <w:sz w:val="20"/>
                <w:szCs w:val="20"/>
              </w:rPr>
              <w:t>613</w:t>
            </w:r>
          </w:p>
        </w:tc>
        <w:tc>
          <w:tcPr>
            <w:tcW w:w="0" w:type="auto"/>
            <w:tcBorders>
              <w:top w:val="single" w:sz="6" w:space="0" w:color="auto"/>
              <w:left w:val="single" w:sz="6" w:space="0" w:color="auto"/>
              <w:bottom w:val="single" w:sz="6" w:space="0" w:color="auto"/>
              <w:right w:val="single" w:sz="6" w:space="0" w:color="auto"/>
            </w:tcBorders>
          </w:tcPr>
          <w:p w14:paraId="551BE1FA"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9B922A4" w14:textId="645D8576" w:rsidR="00B44564" w:rsidRPr="005762E6" w:rsidRDefault="00B44564" w:rsidP="00EA69AA">
            <w:pPr>
              <w:spacing w:after="120" w:line="240" w:lineRule="auto"/>
              <w:contextualSpacing/>
              <w:rPr>
                <w:sz w:val="20"/>
                <w:szCs w:val="20"/>
              </w:rPr>
            </w:pPr>
            <w:r w:rsidRPr="005762E6">
              <w:rPr>
                <w:sz w:val="20"/>
                <w:szCs w:val="20"/>
              </w:rPr>
              <w:t xml:space="preserve">Valerie J </w:t>
            </w:r>
            <w:proofErr w:type="gramStart"/>
            <w:r w:rsidRPr="005762E6">
              <w:rPr>
                <w:sz w:val="20"/>
                <w:szCs w:val="20"/>
              </w:rPr>
              <w:t>Rock,​</w:t>
            </w:r>
            <w:proofErr w:type="gramEnd"/>
            <w:r w:rsidRPr="005762E6">
              <w:rPr>
                <w:sz w:val="20"/>
                <w:szCs w:val="20"/>
              </w:rPr>
              <w:t xml:space="preserve"> Shane P Davis,​ Stacy L Thorne,​ Kat J Asman,​ Ralph S Caraballo Menthol cigarette use among racial and ethnic groups in the United States,​ 2004-2008</w:t>
            </w:r>
            <w:r w:rsidR="007F2F01">
              <w:rPr>
                <w:sz w:val="20"/>
                <w:szCs w:val="20"/>
              </w:rPr>
              <w:t>.</w:t>
            </w:r>
            <w:r w:rsidRPr="005762E6">
              <w:rPr>
                <w:sz w:val="20"/>
                <w:szCs w:val="20"/>
              </w:rPr>
              <w:t xml:space="preserve"> Nicotine &amp; tobacco research : official journal of the Society for Research on Nicotine and Tobacco; 2010;12 Suppl 2:S117.</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Adolescent,​Adult,​Child,​Female,​*Flavoring Agents,​Humans,​Male,​*Menthol,​*Public Health/sn [Statistics &amp; Numerical Data],​*Smoking/ep [Epidemiology],​*Smoking/eh [Ethnology],​United States/ep [Epidemiology],​Young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INTRODUCTION: Understanding the patterns of menthol cigarette use can be useful in developing and justifying policies designed to prevent and reduce cigarette use and exposure to tobacco smoke. This report provides an update and summary of the demographic distribution and trends of menthol cigarette use in the United States</w:t>
            </w:r>
            <w:proofErr w:type="gramStart"/>
            <w:r w:rsidRPr="005762E6">
              <w:rPr>
                <w:sz w:val="20"/>
                <w:szCs w:val="20"/>
              </w:rPr>
              <w:t>.,​</w:t>
            </w:r>
            <w:proofErr w:type="gramEnd"/>
            <w:r w:rsidRPr="005762E6">
              <w:rPr>
                <w:sz w:val="20"/>
                <w:szCs w:val="20"/>
              </w:rPr>
              <w:t xml:space="preserve"> METHODS: Data from the 2004-2008 National Survey on Drug Use and Health were </w:t>
            </w:r>
            <w:r w:rsidRPr="005762E6">
              <w:rPr>
                <w:sz w:val="20"/>
                <w:szCs w:val="20"/>
              </w:rPr>
              <w:lastRenderedPageBreak/>
              <w:t>analyzed to estimate menthol cigarette use among current smokers by race/ethnicity,​ sex,​ and age (12 years and older). A t-test was used to compare estimates for menthol and nonmenthol use by demographic group. Trend analyses were conducted to examine differences in menthol cigarette use by race/ethnicity and age from 2004 to 2008</w:t>
            </w:r>
            <w:proofErr w:type="gramStart"/>
            <w:r w:rsidRPr="005762E6">
              <w:rPr>
                <w:sz w:val="20"/>
                <w:szCs w:val="20"/>
              </w:rPr>
              <w:t>.,​</w:t>
            </w:r>
            <w:proofErr w:type="gramEnd"/>
            <w:r w:rsidRPr="005762E6">
              <w:rPr>
                <w:sz w:val="20"/>
                <w:szCs w:val="20"/>
              </w:rPr>
              <w:t xml:space="preserve"> RESULTS: Over half of menthol cigarette smokers were female (52.2%),​ and approximately 29.4% of all menthol smokers were Black,​ which was almost 10 times the percentage of nonmenthol smokers who were Black (3.0%,​ p &lt; .01). Prevalence of past month menthol cigarette use was highest among current smokers aged 12-17 years (44.7%) and decreased as age group increased. From 2004 to </w:t>
            </w:r>
            <w:proofErr w:type="gramStart"/>
            <w:r w:rsidRPr="005762E6">
              <w:rPr>
                <w:sz w:val="20"/>
                <w:szCs w:val="20"/>
              </w:rPr>
              <w:t>2008,​</w:t>
            </w:r>
            <w:proofErr w:type="gramEnd"/>
            <w:r w:rsidRPr="005762E6">
              <w:rPr>
                <w:sz w:val="20"/>
                <w:szCs w:val="20"/>
              </w:rPr>
              <w:t xml:space="preserve"> menthol cigarette use increased significantly among White smokers aged 12-17 years (from 40.3% in 2004 to 46.0% in 2008,​ p &lt; .01). Menthol cigarette use among young adult smokers aged 18-25 years increased for Hispanics (from 33.9% in 2004 to 42.4% in </w:t>
            </w:r>
            <w:proofErr w:type="gramStart"/>
            <w:r w:rsidRPr="005762E6">
              <w:rPr>
                <w:sz w:val="20"/>
                <w:szCs w:val="20"/>
              </w:rPr>
              <w:t>2008,​</w:t>
            </w:r>
            <w:proofErr w:type="gramEnd"/>
            <w:r w:rsidRPr="005762E6">
              <w:rPr>
                <w:sz w:val="20"/>
                <w:szCs w:val="20"/>
              </w:rPr>
              <w:t xml:space="preserve"> p &lt; .01) and Whites (from 26.7% to 32.5%,​ p &lt; .01).,​ CONCLUSIONS: Demographic disparities in menthol cigarette use persist in the United States. Continued monitoring and improvement of existing surveillance systems to identify patterns and trends in menthol cigarette use are needed.</w:t>
            </w:r>
          </w:p>
        </w:tc>
      </w:tr>
      <w:tr w:rsidR="00B44564" w:rsidRPr="005762E6" w14:paraId="456CE444"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250DCF3" w14:textId="77777777" w:rsidR="00B44564" w:rsidRPr="005762E6" w:rsidRDefault="00B44564" w:rsidP="00EA69AA">
            <w:pPr>
              <w:spacing w:after="120" w:line="240" w:lineRule="auto"/>
              <w:contextualSpacing/>
              <w:rPr>
                <w:sz w:val="20"/>
                <w:szCs w:val="20"/>
              </w:rPr>
            </w:pPr>
            <w:r w:rsidRPr="005762E6">
              <w:rPr>
                <w:sz w:val="20"/>
                <w:szCs w:val="20"/>
              </w:rPr>
              <w:lastRenderedPageBreak/>
              <w:t>614</w:t>
            </w:r>
          </w:p>
        </w:tc>
        <w:tc>
          <w:tcPr>
            <w:tcW w:w="0" w:type="auto"/>
            <w:tcBorders>
              <w:top w:val="single" w:sz="6" w:space="0" w:color="auto"/>
              <w:left w:val="single" w:sz="6" w:space="0" w:color="auto"/>
              <w:bottom w:val="single" w:sz="6" w:space="0" w:color="auto"/>
              <w:right w:val="single" w:sz="6" w:space="0" w:color="auto"/>
            </w:tcBorders>
          </w:tcPr>
          <w:p w14:paraId="033940AE"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67303FD" w14:textId="72D5FD12" w:rsidR="00B44564" w:rsidRPr="005762E6" w:rsidRDefault="00B44564" w:rsidP="00EA69AA">
            <w:pPr>
              <w:spacing w:after="120" w:line="240" w:lineRule="auto"/>
              <w:contextualSpacing/>
              <w:rPr>
                <w:sz w:val="20"/>
                <w:szCs w:val="20"/>
              </w:rPr>
            </w:pPr>
            <w:r w:rsidRPr="005762E6">
              <w:rPr>
                <w:sz w:val="20"/>
                <w:szCs w:val="20"/>
              </w:rPr>
              <w:t xml:space="preserve">Karen </w:t>
            </w:r>
            <w:proofErr w:type="gramStart"/>
            <w:r w:rsidRPr="005762E6">
              <w:rPr>
                <w:sz w:val="20"/>
                <w:szCs w:val="20"/>
              </w:rPr>
              <w:t>Ahijevych,​</w:t>
            </w:r>
            <w:proofErr w:type="gramEnd"/>
            <w:r w:rsidRPr="005762E6">
              <w:rPr>
                <w:sz w:val="20"/>
                <w:szCs w:val="20"/>
              </w:rPr>
              <w:t xml:space="preserve"> Bridgette E Garrett The role of menthol in cigarettes as a reinforcer of smoking behavior</w:t>
            </w:r>
            <w:r w:rsidR="007F2F01">
              <w:rPr>
                <w:sz w:val="20"/>
                <w:szCs w:val="20"/>
              </w:rPr>
              <w:t>.</w:t>
            </w:r>
            <w:r w:rsidRPr="005762E6">
              <w:rPr>
                <w:sz w:val="20"/>
                <w:szCs w:val="20"/>
              </w:rPr>
              <w:t xml:space="preserve"> Nicotine &amp; tobacco </w:t>
            </w:r>
            <w:proofErr w:type="gramStart"/>
            <w:r w:rsidRPr="005762E6">
              <w:rPr>
                <w:sz w:val="20"/>
                <w:szCs w:val="20"/>
              </w:rPr>
              <w:t>research :</w:t>
            </w:r>
            <w:proofErr w:type="gramEnd"/>
            <w:r w:rsidRPr="005762E6">
              <w:rPr>
                <w:sz w:val="20"/>
                <w:szCs w:val="20"/>
              </w:rPr>
              <w:t xml:space="preserve"> official journal of the Society for Research on Nicotine and Tobacco; 2010;12 Suppl 2:S110.</w:t>
            </w:r>
            <w:r w:rsidRPr="005762E6">
              <w:rPr>
                <w:sz w:val="20"/>
                <w:szCs w:val="20"/>
              </w:rPr>
              <w:br/>
            </w:r>
            <w:r w:rsidRPr="005762E6">
              <w:rPr>
                <w:sz w:val="20"/>
                <w:szCs w:val="20"/>
              </w:rPr>
              <w:br/>
            </w:r>
            <w:r w:rsidRPr="005762E6">
              <w:rPr>
                <w:b/>
                <w:bCs/>
                <w:sz w:val="20"/>
                <w:szCs w:val="20"/>
              </w:rPr>
              <w:t>Keywords:</w:t>
            </w:r>
            <w:r w:rsidRPr="005762E6">
              <w:rPr>
                <w:sz w:val="20"/>
                <w:szCs w:val="20"/>
              </w:rPr>
              <w:br/>
              <w:t>*Behavior,​ Addictive/ci [Chemically Induced],​Humans,​*Menthol,​*Smoking/ae [Adverse Effects],​Smoking Cessation/sn [Statistics &amp; Numerical Data]</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The World Health Organization has identified several additives such as menthol in the manufacturing of cigarettes to specifically reduce smoke harshness. These additives may have important implications for reinforcing smoking behavior and motivation to quit smoking. The purpose of this paper is to synthesize research related to the role of menthol's sensory characteristics in strengthening the reinforcing effects of nicotine in cigarettes and the impact on nicotine addiction and smoking behavior.,​ METHODS: Research reports from 2002 to 2010 on the addictive potential of menthol cigarettes were reviewed that included qualitative focus groups,​ self-reports and biomarkers of nicotine dependence,​ human laboratory,​ and epidemiological studies.,​ RESULTS: Positive sensory effects of menthol cigarette use were identified via reports of early smoking experiences and as a potential starter product for smoking uptake in youth. Menthol cigarettes may serve as a conditioned stimulus that reinforces the rewarding effects of smoking. Nicotine dependence measured by shorter time-to-first cigarette upon waking was increased with menthol cigarette use in most of the studies reviewed. Smoking quit rates provide additional indicators of nicotine </w:t>
            </w:r>
            <w:proofErr w:type="gramStart"/>
            <w:r w:rsidRPr="005762E6">
              <w:rPr>
                <w:sz w:val="20"/>
                <w:szCs w:val="20"/>
              </w:rPr>
              <w:t>dependence,​</w:t>
            </w:r>
            <w:proofErr w:type="gramEnd"/>
            <w:r w:rsidRPr="005762E6">
              <w:rPr>
                <w:sz w:val="20"/>
                <w:szCs w:val="20"/>
              </w:rPr>
              <w:t xml:space="preserve"> and the majority of the studies reviewed provided evidence of lower quit rates or higher relapse rates among menthol cigarette smokers.,​ CONCLUSIONS: The effects of menthol cigarette use in increasing the reinforcing effects of nicotine on smoking behavior were evidenced in both qualitative and quantitative empirical studies. These findings have implications for enhanced prevention and cessation efforts in menthol smokers.</w:t>
            </w:r>
          </w:p>
        </w:tc>
      </w:tr>
      <w:tr w:rsidR="00B44564" w:rsidRPr="005762E6" w14:paraId="10880B6F"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D7DEFFF" w14:textId="77777777" w:rsidR="00B44564" w:rsidRPr="005762E6" w:rsidRDefault="00B44564" w:rsidP="00EA69AA">
            <w:pPr>
              <w:spacing w:after="120" w:line="240" w:lineRule="auto"/>
              <w:contextualSpacing/>
              <w:rPr>
                <w:sz w:val="20"/>
                <w:szCs w:val="20"/>
              </w:rPr>
            </w:pPr>
            <w:r w:rsidRPr="005762E6">
              <w:rPr>
                <w:sz w:val="20"/>
                <w:szCs w:val="20"/>
              </w:rPr>
              <w:t>615</w:t>
            </w:r>
          </w:p>
        </w:tc>
        <w:tc>
          <w:tcPr>
            <w:tcW w:w="0" w:type="auto"/>
            <w:tcBorders>
              <w:top w:val="single" w:sz="6" w:space="0" w:color="auto"/>
              <w:left w:val="single" w:sz="6" w:space="0" w:color="auto"/>
              <w:bottom w:val="single" w:sz="6" w:space="0" w:color="auto"/>
              <w:right w:val="single" w:sz="6" w:space="0" w:color="auto"/>
            </w:tcBorders>
          </w:tcPr>
          <w:p w14:paraId="636D0E08"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9C0479C" w14:textId="165A97C6" w:rsidR="00B44564" w:rsidRPr="005762E6" w:rsidRDefault="00B44564" w:rsidP="00EA69AA">
            <w:pPr>
              <w:spacing w:after="120" w:line="240" w:lineRule="auto"/>
              <w:contextualSpacing/>
              <w:rPr>
                <w:sz w:val="20"/>
                <w:szCs w:val="20"/>
              </w:rPr>
            </w:pPr>
            <w:r w:rsidRPr="005762E6">
              <w:rPr>
                <w:sz w:val="20"/>
                <w:szCs w:val="20"/>
              </w:rPr>
              <w:t xml:space="preserve">Jonathan </w:t>
            </w:r>
            <w:proofErr w:type="gramStart"/>
            <w:r w:rsidRPr="005762E6">
              <w:rPr>
                <w:sz w:val="20"/>
                <w:szCs w:val="20"/>
              </w:rPr>
              <w:t>Foulds,​</w:t>
            </w:r>
            <w:proofErr w:type="gramEnd"/>
            <w:r w:rsidRPr="005762E6">
              <w:rPr>
                <w:sz w:val="20"/>
                <w:szCs w:val="20"/>
              </w:rPr>
              <w:t xml:space="preserve"> Monica Webb Hooper,​ Mark J Pletcher,​ Kolawole S Okuyemi Do smokers of menthol cigarettes find it harder to quit smoking?</w:t>
            </w:r>
            <w:r w:rsidR="007F2F01">
              <w:rPr>
                <w:sz w:val="20"/>
                <w:szCs w:val="20"/>
              </w:rPr>
              <w:t>.</w:t>
            </w:r>
            <w:r w:rsidRPr="005762E6">
              <w:rPr>
                <w:sz w:val="20"/>
                <w:szCs w:val="20"/>
              </w:rPr>
              <w:t xml:space="preserve"> Nicotine &amp; tobacco </w:t>
            </w:r>
            <w:proofErr w:type="gramStart"/>
            <w:r w:rsidRPr="005762E6">
              <w:rPr>
                <w:sz w:val="20"/>
                <w:szCs w:val="20"/>
              </w:rPr>
              <w:t>research :</w:t>
            </w:r>
            <w:proofErr w:type="gramEnd"/>
            <w:r w:rsidRPr="005762E6">
              <w:rPr>
                <w:sz w:val="20"/>
                <w:szCs w:val="20"/>
              </w:rPr>
              <w:t xml:space="preserve"> official journal of the Society for Research on Nicotine and Tobacco; 2010;12 Suppl 2:S102.</w:t>
            </w:r>
            <w:r w:rsidRPr="005762E6">
              <w:rPr>
                <w:sz w:val="20"/>
                <w:szCs w:val="20"/>
              </w:rPr>
              <w:br/>
            </w:r>
            <w:r w:rsidRPr="005762E6">
              <w:rPr>
                <w:sz w:val="20"/>
                <w:szCs w:val="20"/>
              </w:rPr>
              <w:br/>
            </w:r>
            <w:r w:rsidRPr="005762E6">
              <w:rPr>
                <w:b/>
                <w:bCs/>
                <w:sz w:val="20"/>
                <w:szCs w:val="20"/>
              </w:rPr>
              <w:t>Keywords:</w:t>
            </w:r>
            <w:r w:rsidRPr="005762E6">
              <w:rPr>
                <w:sz w:val="20"/>
                <w:szCs w:val="20"/>
              </w:rPr>
              <w:br/>
              <w:t>Humans,​*Menthol,​*Smoking/ep [Epidemiology],​*Smoking Cessation/sn [Statistics &amp; Numerical Data]</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Menthol cigarette smokers may find it harder to quit smoking than smokers of nonmenthol cigarettes.,​ METHODS: We conducted a systematic review of published studies examining the association between menthol cigarette smoking and cessation. Electronic databases and reference lists were searched to identify studies published through May </w:t>
            </w:r>
            <w:proofErr w:type="gramStart"/>
            <w:r w:rsidRPr="005762E6">
              <w:rPr>
                <w:sz w:val="20"/>
                <w:szCs w:val="20"/>
              </w:rPr>
              <w:t>2010,​</w:t>
            </w:r>
            <w:proofErr w:type="gramEnd"/>
            <w:r w:rsidRPr="005762E6">
              <w:rPr>
                <w:sz w:val="20"/>
                <w:szCs w:val="20"/>
              </w:rPr>
              <w:t xml:space="preserve"> and results were tabulated.,​ RESULTS: Ten studies were located that reported cessation outcomes for menthol and nonmenthol smokers. Half of the studies found evidence that menthol smoking is associated with lower odds of </w:t>
            </w:r>
            <w:proofErr w:type="gramStart"/>
            <w:r w:rsidRPr="005762E6">
              <w:rPr>
                <w:sz w:val="20"/>
                <w:szCs w:val="20"/>
              </w:rPr>
              <w:t>cessation,​</w:t>
            </w:r>
            <w:proofErr w:type="gramEnd"/>
            <w:r w:rsidRPr="005762E6">
              <w:rPr>
                <w:sz w:val="20"/>
                <w:szCs w:val="20"/>
              </w:rPr>
              <w:t xml:space="preserve"> while the other half found no such effects. The pattern of results in these studies suggest that the association between smoking menthol cigarettes and difficulty quitting is stronger in (a) racial/ethnic minority </w:t>
            </w:r>
            <w:proofErr w:type="gramStart"/>
            <w:r w:rsidRPr="005762E6">
              <w:rPr>
                <w:sz w:val="20"/>
                <w:szCs w:val="20"/>
              </w:rPr>
              <w:t>populations,​</w:t>
            </w:r>
            <w:proofErr w:type="gramEnd"/>
            <w:r w:rsidRPr="005762E6">
              <w:rPr>
                <w:sz w:val="20"/>
                <w:szCs w:val="20"/>
              </w:rPr>
              <w:t xml:space="preserve"> (b) younger smokers,​ and </w:t>
            </w:r>
            <w:r w:rsidRPr="005762E6">
              <w:rPr>
                <w:sz w:val="20"/>
                <w:szCs w:val="20"/>
              </w:rPr>
              <w:lastRenderedPageBreak/>
              <w:t>(c) studies carried out after 1999. This pattern is consistent with an effect that relies on menthol to facilitate increased nicotine intake from fewer cigarettes where economic pressure restricts the number of cigarettes smokers can afford to purchase</w:t>
            </w:r>
            <w:proofErr w:type="gramStart"/>
            <w:r w:rsidRPr="005762E6">
              <w:rPr>
                <w:sz w:val="20"/>
                <w:szCs w:val="20"/>
              </w:rPr>
              <w:t>.,​</w:t>
            </w:r>
            <w:proofErr w:type="gramEnd"/>
            <w:r w:rsidRPr="005762E6">
              <w:rPr>
                <w:sz w:val="20"/>
                <w:szCs w:val="20"/>
              </w:rPr>
              <w:t xml:space="preserve"> CONCLUSIONS: There is growing evidence that certain subgroups of smokers find it harder to quit menthol versus nonmenthol cigarettes. There is a need for additional </w:t>
            </w:r>
            <w:proofErr w:type="gramStart"/>
            <w:r w:rsidRPr="005762E6">
              <w:rPr>
                <w:sz w:val="20"/>
                <w:szCs w:val="20"/>
              </w:rPr>
              <w:t>research,​</w:t>
            </w:r>
            <w:proofErr w:type="gramEnd"/>
            <w:r w:rsidRPr="005762E6">
              <w:rPr>
                <w:sz w:val="20"/>
                <w:szCs w:val="20"/>
              </w:rPr>
              <w:t xml:space="preserve"> and particularly for studies including adequately powered and diverse samples of menthol and nonmenthol smokers,​ with reliable measurement of cigarette brands,​ socioeconomic status,​ and biomarkers of nicotine intake.</w:t>
            </w:r>
          </w:p>
        </w:tc>
      </w:tr>
      <w:tr w:rsidR="00B44564" w:rsidRPr="005762E6" w14:paraId="1F1AF9E0"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E2B5A0B" w14:textId="77777777" w:rsidR="00B44564" w:rsidRPr="005762E6" w:rsidRDefault="00B44564" w:rsidP="00EA69AA">
            <w:pPr>
              <w:spacing w:after="120" w:line="240" w:lineRule="auto"/>
              <w:contextualSpacing/>
              <w:rPr>
                <w:sz w:val="20"/>
                <w:szCs w:val="20"/>
              </w:rPr>
            </w:pPr>
            <w:r w:rsidRPr="005762E6">
              <w:rPr>
                <w:sz w:val="20"/>
                <w:szCs w:val="20"/>
              </w:rPr>
              <w:lastRenderedPageBreak/>
              <w:t>617</w:t>
            </w:r>
          </w:p>
        </w:tc>
        <w:tc>
          <w:tcPr>
            <w:tcW w:w="0" w:type="auto"/>
            <w:tcBorders>
              <w:top w:val="single" w:sz="6" w:space="0" w:color="auto"/>
              <w:left w:val="single" w:sz="6" w:space="0" w:color="auto"/>
              <w:bottom w:val="single" w:sz="6" w:space="0" w:color="auto"/>
              <w:right w:val="single" w:sz="6" w:space="0" w:color="auto"/>
            </w:tcBorders>
          </w:tcPr>
          <w:p w14:paraId="702A4517"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0A96F2E" w14:textId="2C7D40B3" w:rsidR="00B44564" w:rsidRPr="005762E6" w:rsidRDefault="00B44564" w:rsidP="00EA69AA">
            <w:pPr>
              <w:spacing w:after="120" w:line="240" w:lineRule="auto"/>
              <w:contextualSpacing/>
              <w:rPr>
                <w:sz w:val="20"/>
                <w:szCs w:val="20"/>
              </w:rPr>
            </w:pPr>
            <w:r w:rsidRPr="005762E6">
              <w:rPr>
                <w:sz w:val="20"/>
                <w:szCs w:val="20"/>
              </w:rPr>
              <w:t xml:space="preserve">Marta S </w:t>
            </w:r>
            <w:proofErr w:type="gramStart"/>
            <w:r w:rsidRPr="005762E6">
              <w:rPr>
                <w:sz w:val="20"/>
                <w:szCs w:val="20"/>
              </w:rPr>
              <w:t>Mendiondo,​</w:t>
            </w:r>
            <w:proofErr w:type="gramEnd"/>
            <w:r w:rsidRPr="005762E6">
              <w:rPr>
                <w:sz w:val="20"/>
                <w:szCs w:val="20"/>
              </w:rPr>
              <w:t xml:space="preserve"> Linda A Alexander,​ Tim Crawford Health profile differences for menthol and non-menthol smokers: findings from the National Health Interview Survey</w:t>
            </w:r>
            <w:r w:rsidR="007F2F01">
              <w:rPr>
                <w:sz w:val="20"/>
                <w:szCs w:val="20"/>
              </w:rPr>
              <w:t>.</w:t>
            </w:r>
            <w:r w:rsidRPr="005762E6">
              <w:rPr>
                <w:sz w:val="20"/>
                <w:szCs w:val="20"/>
              </w:rPr>
              <w:t xml:space="preserve"> Addiction (Abingdon,​ England); 2010;105 Suppl 1:124.</w:t>
            </w:r>
            <w:r w:rsidRPr="005762E6">
              <w:rPr>
                <w:sz w:val="20"/>
                <w:szCs w:val="20"/>
              </w:rPr>
              <w:br/>
            </w:r>
            <w:r w:rsidRPr="005762E6">
              <w:rPr>
                <w:sz w:val="20"/>
                <w:szCs w:val="20"/>
              </w:rPr>
              <w:br/>
            </w:r>
            <w:r w:rsidRPr="005762E6">
              <w:rPr>
                <w:b/>
                <w:bCs/>
                <w:sz w:val="20"/>
                <w:szCs w:val="20"/>
              </w:rPr>
              <w:t>Keywords:</w:t>
            </w:r>
            <w:r w:rsidRPr="005762E6">
              <w:rPr>
                <w:sz w:val="20"/>
                <w:szCs w:val="20"/>
              </w:rPr>
              <w:br/>
              <w:t>Adult,​Asthma/ep [Epidemiology],​Body Mass Index,​Female,​*Health Status Indicators,​*Health Surveys,​Humans,​Logistic Models,​Male,​Mental Health/sn [Statistics &amp; Numerical Data],​*Menthol,​Middle Aged,​Patient Acceptance of Health Care/sn [Statistics &amp; Numerical Data],​Smoking/ae [Adverse Effects],​*Smoking/ep [Epidemiology],​Smoking Cessation/sn [Statistics &amp; Numerical Data],​United States/ep [Epidemiology]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AIMS: Although the adverse effects of smoking are well known,​ limited information exists about the overall health profiles of menthol smokers when compared to their non-menthol smoking counterparts. Using a well-known nationally representative </w:t>
            </w:r>
            <w:proofErr w:type="gramStart"/>
            <w:r w:rsidRPr="005762E6">
              <w:rPr>
                <w:sz w:val="20"/>
                <w:szCs w:val="20"/>
              </w:rPr>
              <w:t>survey,​</w:t>
            </w:r>
            <w:proofErr w:type="gramEnd"/>
            <w:r w:rsidRPr="005762E6">
              <w:rPr>
                <w:sz w:val="20"/>
                <w:szCs w:val="20"/>
              </w:rPr>
              <w:t xml:space="preserve"> this study examines differences between self-reported health characteristics for menthol and non-menthol smokers.,​ DESIGN: Cross-sectional data from the 2005 National Health Interview Survey and its cancer control supplement were used to analyze responses for current and former smokers (n = 12,​004) independently. All analyses were conducted using SAS version 9.2 and SAS callable SUDAAN version 9.0.3. Multiple logistic regression analysis was used to model menthol smoking</w:t>
            </w:r>
            <w:proofErr w:type="gramStart"/>
            <w:r w:rsidRPr="005762E6">
              <w:rPr>
                <w:sz w:val="20"/>
                <w:szCs w:val="20"/>
              </w:rPr>
              <w:t>.,​</w:t>
            </w:r>
            <w:proofErr w:type="gramEnd"/>
            <w:r w:rsidRPr="005762E6">
              <w:rPr>
                <w:sz w:val="20"/>
                <w:szCs w:val="20"/>
              </w:rPr>
              <w:t xml:space="preserve"> FINDINGS: After controlling for sex,​ age and race,​ we found that in current smokers the mean number of cigarettes smoked per day is significantly lower for menthol smokers when compared to non-menthol smokers [odds ratio (OR): 0.99; 95% confidence interval (CI): 0.98,​ 1.00]. </w:t>
            </w:r>
            <w:proofErr w:type="gramStart"/>
            <w:r w:rsidRPr="005762E6">
              <w:rPr>
                <w:sz w:val="20"/>
                <w:szCs w:val="20"/>
              </w:rPr>
              <w:t>Also,​</w:t>
            </w:r>
            <w:proofErr w:type="gramEnd"/>
            <w:r w:rsidRPr="005762E6">
              <w:rPr>
                <w:sz w:val="20"/>
                <w:szCs w:val="20"/>
              </w:rPr>
              <w:t xml:space="preserve"> we found that former menthol smokers had higher body mass indices (BMIs) (OR: 1.01; 95% CI: 1.00,​ 1.02) and were more likely to have visited the emergency room due to asthma (OR: 2.30,​ 95% CI: 1.04,​ 5.09).,​ CONCLUSIONS: Overall,​ current menthol and non-menthol smokers have similar health profiles. </w:t>
            </w:r>
            <w:proofErr w:type="gramStart"/>
            <w:r w:rsidRPr="005762E6">
              <w:rPr>
                <w:sz w:val="20"/>
                <w:szCs w:val="20"/>
              </w:rPr>
              <w:t>However,​</w:t>
            </w:r>
            <w:proofErr w:type="gramEnd"/>
            <w:r w:rsidRPr="005762E6">
              <w:rPr>
                <w:sz w:val="20"/>
                <w:szCs w:val="20"/>
              </w:rPr>
              <w:t xml:space="preserve"> menthol smokers reported smoking fewer cigarettes per day than their non-menthol counterparts. While these findings are supportive of other published </w:t>
            </w:r>
            <w:proofErr w:type="gramStart"/>
            <w:r w:rsidRPr="005762E6">
              <w:rPr>
                <w:sz w:val="20"/>
                <w:szCs w:val="20"/>
              </w:rPr>
              <w:t>data,​</w:t>
            </w:r>
            <w:proofErr w:type="gramEnd"/>
            <w:r w:rsidRPr="005762E6">
              <w:rPr>
                <w:sz w:val="20"/>
                <w:szCs w:val="20"/>
              </w:rPr>
              <w:t xml:space="preserve"> future studies may need to tease out the health-related significance of smoking fewer menthol cigarettes per day but having similar health outcomes to those who smoke more non-menthol cigarettes per day. </w:t>
            </w:r>
            <w:proofErr w:type="gramStart"/>
            <w:r w:rsidRPr="005762E6">
              <w:rPr>
                <w:sz w:val="20"/>
                <w:szCs w:val="20"/>
              </w:rPr>
              <w:t>Additionally,​</w:t>
            </w:r>
            <w:proofErr w:type="gramEnd"/>
            <w:r w:rsidRPr="005762E6">
              <w:rPr>
                <w:sz w:val="20"/>
                <w:szCs w:val="20"/>
              </w:rPr>
              <w:t xml:space="preserve"> our findings suggest that there may be some differences between the former menthol and non-menthol smoker. Copyright © 2010 The </w:t>
            </w:r>
            <w:proofErr w:type="gramStart"/>
            <w:r w:rsidRPr="005762E6">
              <w:rPr>
                <w:sz w:val="20"/>
                <w:szCs w:val="20"/>
              </w:rPr>
              <w:t>Authors,​</w:t>
            </w:r>
            <w:proofErr w:type="gramEnd"/>
            <w:r w:rsidRPr="005762E6">
              <w:rPr>
                <w:sz w:val="20"/>
                <w:szCs w:val="20"/>
              </w:rPr>
              <w:t xml:space="preserve"> Addiction © 2010 Society for the Study of Addiction.</w:t>
            </w:r>
          </w:p>
        </w:tc>
      </w:tr>
      <w:tr w:rsidR="00B44564" w:rsidRPr="005762E6" w14:paraId="6B138535"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8F0C8C2" w14:textId="77777777" w:rsidR="00B44564" w:rsidRPr="005762E6" w:rsidRDefault="00B44564" w:rsidP="00EA69AA">
            <w:pPr>
              <w:spacing w:after="120" w:line="240" w:lineRule="auto"/>
              <w:contextualSpacing/>
              <w:rPr>
                <w:sz w:val="20"/>
                <w:szCs w:val="20"/>
              </w:rPr>
            </w:pPr>
            <w:r w:rsidRPr="005762E6">
              <w:rPr>
                <w:sz w:val="20"/>
                <w:szCs w:val="20"/>
              </w:rPr>
              <w:t>619</w:t>
            </w:r>
          </w:p>
        </w:tc>
        <w:tc>
          <w:tcPr>
            <w:tcW w:w="0" w:type="auto"/>
            <w:tcBorders>
              <w:top w:val="single" w:sz="6" w:space="0" w:color="auto"/>
              <w:left w:val="single" w:sz="6" w:space="0" w:color="auto"/>
              <w:bottom w:val="single" w:sz="6" w:space="0" w:color="auto"/>
              <w:right w:val="single" w:sz="6" w:space="0" w:color="auto"/>
            </w:tcBorders>
          </w:tcPr>
          <w:p w14:paraId="7852B82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86EBB48" w14:textId="5C27EE97" w:rsidR="00B44564" w:rsidRPr="005762E6" w:rsidRDefault="00B44564" w:rsidP="00EA69AA">
            <w:pPr>
              <w:spacing w:after="120" w:line="240" w:lineRule="auto"/>
              <w:contextualSpacing/>
              <w:rPr>
                <w:sz w:val="20"/>
                <w:szCs w:val="20"/>
              </w:rPr>
            </w:pPr>
            <w:r w:rsidRPr="005762E6">
              <w:rPr>
                <w:sz w:val="20"/>
                <w:szCs w:val="20"/>
              </w:rPr>
              <w:t xml:space="preserve">Anita </w:t>
            </w:r>
            <w:proofErr w:type="gramStart"/>
            <w:r w:rsidRPr="005762E6">
              <w:rPr>
                <w:sz w:val="20"/>
                <w:szCs w:val="20"/>
              </w:rPr>
              <w:t>Fernander,​</w:t>
            </w:r>
            <w:proofErr w:type="gramEnd"/>
            <w:r w:rsidRPr="005762E6">
              <w:rPr>
                <w:sz w:val="20"/>
                <w:szCs w:val="20"/>
              </w:rPr>
              <w:t xml:space="preserve"> Mary Kay Rayens,​ Ellen Hahn,​ Mei Zhang,​ Sarah M Adkins Menthol smoking,​ smoke-free policies and cessation services</w:t>
            </w:r>
            <w:r w:rsidR="007F2F01">
              <w:rPr>
                <w:sz w:val="20"/>
                <w:szCs w:val="20"/>
              </w:rPr>
              <w:t>.</w:t>
            </w:r>
            <w:r w:rsidRPr="005762E6">
              <w:rPr>
                <w:sz w:val="20"/>
                <w:szCs w:val="20"/>
              </w:rPr>
              <w:t xml:space="preserve"> Addiction (Abingdon,​ England); 2010;105 Suppl 1:105.</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Adolescent,​Adult,​Aged,​Demography,​Epidemiologic Methods,​Female,​Health Knowledge,​ Attitudes,​ Practice,​Humans,​Male,​*Menthol,​Middle Aged,​*Occupational Health Services/sd [Supply &amp; Distribution],​*Organizational Policy,​Smoking/ep [Epidemiology],​Smoking/lj [Legislation &amp; Jurisprudence],​*Smoking,​*Smoking Cessation/sn [Statistics &amp; Numerical Data],​Smoking Prevention,​Tobacco Smoke Pollution/ae [Adverse Effects],​Tobacco Smoke Pollution/pc [Prevention &amp; Control],​Workplace/lj [Legislation &amp; Jurisprudence],​Young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AIMS: This study examined whether menthol cigarette smoking is related to exposure to smoke-free home and work-place policies,​ availability of cessation services at work and knowledge of cessation resources among current smokers.,​ DESIGN: Secondary analysis was conducted using logistic regression of cross-sectional data.,​ SETTING: The 2003 and 2006/07 Tobacco Use Supplement (TUS) to the Current Population Survey,​ administered by the National Cancer Institute,​ the Centers for Disease Control and </w:t>
            </w:r>
            <w:r w:rsidRPr="005762E6">
              <w:rPr>
                <w:sz w:val="20"/>
                <w:szCs w:val="20"/>
              </w:rPr>
              <w:lastRenderedPageBreak/>
              <w:t xml:space="preserve">Prevention (CDC) and the Census Bureau,​ formed the basis for this investigation.,​ PARTICIPANTS: A total of 66,​145 current smokers who participated in the TUS CPS administrations in 2003 and 2006/07.,​ MEASUREMENTS: Demographic characteristics (gender,​ race/ethnicity,​ age,​ education,​ income),​ smoking frequency,​ menthol cigarette use,​ status of smoking bans in the work-place and at home,​ availability of cessation services at work and knowledge of quitting resources were assessed.,​ FINDINGS: Among all current smokers with an indoor job,​ with no smoke-free restrictions at either work or home as the reference,​ those who smoked menthol cigarettes were about one-third as likely to have a smoke-free policy at both work and home [odds ratio (OR) = 0.32; 95% confidence interval (CI): 0.27-0.38]. In the comparison of those with an indoor smoke-free policy at work only versus those with no </w:t>
            </w:r>
            <w:proofErr w:type="gramStart"/>
            <w:r w:rsidRPr="005762E6">
              <w:rPr>
                <w:sz w:val="20"/>
                <w:szCs w:val="20"/>
              </w:rPr>
              <w:t>restrictions,​</w:t>
            </w:r>
            <w:proofErr w:type="gramEnd"/>
            <w:r w:rsidRPr="005762E6">
              <w:rPr>
                <w:sz w:val="20"/>
                <w:szCs w:val="20"/>
              </w:rPr>
              <w:t xml:space="preserve"> menthol status was a risk factor for not having a work-place restriction (OR = 0.79; 95% CI: 0.67-0.93); similarly,​ within this sample,​ menthol use was a risk factor for not having a home restriction (OR = 0.38; 95% CI: 0.31-0.46). Among all current </w:t>
            </w:r>
            <w:proofErr w:type="gramStart"/>
            <w:r w:rsidRPr="005762E6">
              <w:rPr>
                <w:sz w:val="20"/>
                <w:szCs w:val="20"/>
              </w:rPr>
              <w:t>smokers,​</w:t>
            </w:r>
            <w:proofErr w:type="gramEnd"/>
            <w:r w:rsidRPr="005762E6">
              <w:rPr>
                <w:sz w:val="20"/>
                <w:szCs w:val="20"/>
              </w:rPr>
              <w:t xml:space="preserve"> the use of menthol cigarettes was a risk factor for not having a smoking restriction at home (OR = 0.93; 95% CI: 0.88-0.98). Menthol smoking was not related to availability of cessation services offered at work or knowledge of cessation services</w:t>
            </w:r>
            <w:proofErr w:type="gramStart"/>
            <w:r w:rsidRPr="005762E6">
              <w:rPr>
                <w:sz w:val="20"/>
                <w:szCs w:val="20"/>
              </w:rPr>
              <w:t>.,​</w:t>
            </w:r>
            <w:proofErr w:type="gramEnd"/>
            <w:r w:rsidRPr="005762E6">
              <w:rPr>
                <w:sz w:val="20"/>
                <w:szCs w:val="20"/>
              </w:rPr>
              <w:t xml:space="preserve"> CONCLUSIONS: This study suggests that menthol smoking is associated with lack of policy protection from second-hand smoke exposure. Policymakers and tobacco control professionals should monitor tobacco control efforts to ensure that policies and interventions reach all menthol smokers. Copyright © 2010 The </w:t>
            </w:r>
            <w:proofErr w:type="gramStart"/>
            <w:r w:rsidRPr="005762E6">
              <w:rPr>
                <w:sz w:val="20"/>
                <w:szCs w:val="20"/>
              </w:rPr>
              <w:t>Authors,​</w:t>
            </w:r>
            <w:proofErr w:type="gramEnd"/>
            <w:r w:rsidRPr="005762E6">
              <w:rPr>
                <w:sz w:val="20"/>
                <w:szCs w:val="20"/>
              </w:rPr>
              <w:t xml:space="preserve"> Addiction © 2010 Society for the Study of Addiction.</w:t>
            </w:r>
          </w:p>
        </w:tc>
      </w:tr>
      <w:tr w:rsidR="00B44564" w:rsidRPr="005762E6" w14:paraId="4BC5F1C4"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6EA2A1A" w14:textId="77777777" w:rsidR="00B44564" w:rsidRPr="005762E6" w:rsidRDefault="00B44564" w:rsidP="00EA69AA">
            <w:pPr>
              <w:spacing w:after="120" w:line="240" w:lineRule="auto"/>
              <w:contextualSpacing/>
              <w:rPr>
                <w:sz w:val="20"/>
                <w:szCs w:val="20"/>
              </w:rPr>
            </w:pPr>
            <w:r w:rsidRPr="005762E6">
              <w:rPr>
                <w:sz w:val="20"/>
                <w:szCs w:val="20"/>
              </w:rPr>
              <w:lastRenderedPageBreak/>
              <w:t>620</w:t>
            </w:r>
          </w:p>
        </w:tc>
        <w:tc>
          <w:tcPr>
            <w:tcW w:w="0" w:type="auto"/>
            <w:tcBorders>
              <w:top w:val="single" w:sz="6" w:space="0" w:color="auto"/>
              <w:left w:val="single" w:sz="6" w:space="0" w:color="auto"/>
              <w:bottom w:val="single" w:sz="6" w:space="0" w:color="auto"/>
              <w:right w:val="single" w:sz="6" w:space="0" w:color="auto"/>
            </w:tcBorders>
          </w:tcPr>
          <w:p w14:paraId="405E1E5B"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5BF6D03" w14:textId="02F8EF5A" w:rsidR="00B44564" w:rsidRPr="005762E6" w:rsidRDefault="00B44564" w:rsidP="00EA69AA">
            <w:pPr>
              <w:spacing w:after="120" w:line="240" w:lineRule="auto"/>
              <w:contextualSpacing/>
              <w:rPr>
                <w:sz w:val="20"/>
                <w:szCs w:val="20"/>
              </w:rPr>
            </w:pPr>
            <w:r w:rsidRPr="005762E6">
              <w:rPr>
                <w:sz w:val="20"/>
                <w:szCs w:val="20"/>
              </w:rPr>
              <w:t xml:space="preserve">Dennis R </w:t>
            </w:r>
            <w:proofErr w:type="gramStart"/>
            <w:r w:rsidRPr="005762E6">
              <w:rPr>
                <w:sz w:val="20"/>
                <w:szCs w:val="20"/>
              </w:rPr>
              <w:t>Trinidad,​</w:t>
            </w:r>
            <w:proofErr w:type="gramEnd"/>
            <w:r w:rsidRPr="005762E6">
              <w:rPr>
                <w:sz w:val="20"/>
                <w:szCs w:val="20"/>
              </w:rPr>
              <w:t xml:space="preserve"> Eliseo J Perez-Stable,​ Karen Messer,​ Martha M White,​ John P Pierce Menthol cigarettes and smoking cessation among racial/ethnic groups in the United States</w:t>
            </w:r>
            <w:r w:rsidR="007F2F01">
              <w:rPr>
                <w:sz w:val="20"/>
                <w:szCs w:val="20"/>
              </w:rPr>
              <w:t>.</w:t>
            </w:r>
            <w:r w:rsidRPr="005762E6">
              <w:rPr>
                <w:sz w:val="20"/>
                <w:szCs w:val="20"/>
              </w:rPr>
              <w:t xml:space="preserve"> Addiction (Abingdon,​ England); 2010;105 Suppl 1:84.</w:t>
            </w:r>
            <w:r w:rsidRPr="005762E6">
              <w:rPr>
                <w:sz w:val="20"/>
                <w:szCs w:val="20"/>
              </w:rPr>
              <w:br/>
            </w:r>
            <w:r w:rsidRPr="005762E6">
              <w:rPr>
                <w:sz w:val="20"/>
                <w:szCs w:val="20"/>
              </w:rPr>
              <w:br/>
            </w:r>
            <w:r w:rsidRPr="005762E6">
              <w:rPr>
                <w:b/>
                <w:bCs/>
                <w:sz w:val="20"/>
                <w:szCs w:val="20"/>
              </w:rPr>
              <w:t>Keywords:</w:t>
            </w:r>
            <w:r w:rsidRPr="005762E6">
              <w:rPr>
                <w:sz w:val="20"/>
                <w:szCs w:val="20"/>
              </w:rPr>
              <w:br/>
              <w:t>Adult,​Aged,​Demography,​*Ethnic Groups/sn [Statistics &amp; Numerical Data],​European Continental Ancestry Group/sn [Statistics &amp; Numerical Data],​Female,​Humans,​Logistic Models,​Male,​*Menthol,​Middle Aged,​*Population Surveillance,​*Smoking/eh [Ethnology],​Smoking/th [Therapy],​*Smoking Cessation/eh [Ethnology],​Smoking Cessation/px [Psychology],​United States/ep [Epidemiology],​Young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AIM: To examine the association between smoking mentholated cigarettes and smoking cessation,​ separately for different racial/ethnic groups.,​ DESIGN: Secondary data analysis of the 2003 and 2006-07 Tobacco Use Supplements to the Current Population Survey.,​ SETTING: United States.,​ PARTICIPANTS: African American,​ Asian American/Pacific Islander,​ Hispanic/Latino,​ Native American,​ non-Hispanic white adults.,​ MEASUREMENTS: Examined relations between the use of mentholated cigarettes and measures of smoking cessation.,​ FINDINGS: Among African Americans (ORadj = 1.62,​ 95% CI: 1.35-1.95) and Hispanics/Latinos (ORadj = 1.21,​ 95% CI: 1.00-1.47),​ those who currently smoked mentholated cigarettes were more likely be seriously considering quitting in the next six months than were non-menthol smokers,​ after adjusting for sociodemographic factors. African Americans (ORadj = </w:t>
            </w:r>
            <w:proofErr w:type="gramStart"/>
            <w:r w:rsidRPr="005762E6">
              <w:rPr>
                <w:sz w:val="20"/>
                <w:szCs w:val="20"/>
              </w:rPr>
              <w:t>1.87,​</w:t>
            </w:r>
            <w:proofErr w:type="gramEnd"/>
            <w:r w:rsidRPr="005762E6">
              <w:rPr>
                <w:sz w:val="20"/>
                <w:szCs w:val="20"/>
              </w:rPr>
              <w:t xml:space="preserve"> 95% CI: 1.60-2.19) and Hispanics/Latinos (ORadj = 1.34,​ 95% CI: 1.11-1.62) who smoked mentholated cigarettes were also significantly more likely to have a positive estimation of successfully quitting in the next six months compared to non-menthol smokers. These associations were not found among Asian Americans/Pacific </w:t>
            </w:r>
            <w:proofErr w:type="gramStart"/>
            <w:r w:rsidRPr="005762E6">
              <w:rPr>
                <w:sz w:val="20"/>
                <w:szCs w:val="20"/>
              </w:rPr>
              <w:t>Islanders,​</w:t>
            </w:r>
            <w:proofErr w:type="gramEnd"/>
            <w:r w:rsidRPr="005762E6">
              <w:rPr>
                <w:sz w:val="20"/>
                <w:szCs w:val="20"/>
              </w:rPr>
              <w:t xml:space="preserve"> Native Americans/Alaska Natives and Non-Hispanic Whites. Among former smokers,​ across racial/ethnic groups,​ those who smoked mentholated cigarettes (vs. non-menthols) were significantly less likely to have successfully quit for at least six months: African Americans (ORadj = 0.23,​ 95% CI: 0.17-0.31),​ Asian Americans/Pacific Islanders (ORadj = 0.22,​ 95% CI: 0.11-0.45),​ Hispanics/Latinos (ORadj = 0.48,​ 95% CI: 0.34-0.69) and Non-Hispanic Whites (ORadj = 0.28,​ 95% CI: 0.25-0.33).,​ CONCLUSION: Across race/ethnic groups,​ those who used to regularly smoke mentholated cigarettes were less likely to have experienced long-term quitting success. Cessation programs should consider the type of cigarette typically smoked by </w:t>
            </w:r>
            <w:proofErr w:type="gramStart"/>
            <w:r w:rsidRPr="005762E6">
              <w:rPr>
                <w:sz w:val="20"/>
                <w:szCs w:val="20"/>
              </w:rPr>
              <w:t>participants,​</w:t>
            </w:r>
            <w:proofErr w:type="gramEnd"/>
            <w:r w:rsidRPr="005762E6">
              <w:rPr>
                <w:sz w:val="20"/>
                <w:szCs w:val="20"/>
              </w:rPr>
              <w:t xml:space="preserve"> particularly menthols. Copyright © 2010 The </w:t>
            </w:r>
            <w:proofErr w:type="gramStart"/>
            <w:r w:rsidRPr="005762E6">
              <w:rPr>
                <w:sz w:val="20"/>
                <w:szCs w:val="20"/>
              </w:rPr>
              <w:t>Authors,​</w:t>
            </w:r>
            <w:proofErr w:type="gramEnd"/>
            <w:r w:rsidRPr="005762E6">
              <w:rPr>
                <w:sz w:val="20"/>
                <w:szCs w:val="20"/>
              </w:rPr>
              <w:t xml:space="preserve"> Addiction © 2010 Society for the Study of Addiction.</w:t>
            </w:r>
          </w:p>
        </w:tc>
      </w:tr>
      <w:tr w:rsidR="00B44564" w:rsidRPr="005762E6" w14:paraId="3BB90482"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3D8D8C7" w14:textId="77777777" w:rsidR="00B44564" w:rsidRPr="005762E6" w:rsidRDefault="00B44564" w:rsidP="00EA69AA">
            <w:pPr>
              <w:spacing w:after="120" w:line="240" w:lineRule="auto"/>
              <w:contextualSpacing/>
              <w:rPr>
                <w:sz w:val="20"/>
                <w:szCs w:val="20"/>
              </w:rPr>
            </w:pPr>
            <w:r w:rsidRPr="005762E6">
              <w:rPr>
                <w:sz w:val="20"/>
                <w:szCs w:val="20"/>
              </w:rPr>
              <w:t>621</w:t>
            </w:r>
          </w:p>
        </w:tc>
        <w:tc>
          <w:tcPr>
            <w:tcW w:w="0" w:type="auto"/>
            <w:tcBorders>
              <w:top w:val="single" w:sz="6" w:space="0" w:color="auto"/>
              <w:left w:val="single" w:sz="6" w:space="0" w:color="auto"/>
              <w:bottom w:val="single" w:sz="6" w:space="0" w:color="auto"/>
              <w:right w:val="single" w:sz="6" w:space="0" w:color="auto"/>
            </w:tcBorders>
          </w:tcPr>
          <w:p w14:paraId="3101055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F36932E" w14:textId="2302F0AA" w:rsidR="00B44564" w:rsidRPr="005762E6" w:rsidRDefault="00B44564" w:rsidP="00EA69AA">
            <w:pPr>
              <w:spacing w:after="120" w:line="240" w:lineRule="auto"/>
              <w:contextualSpacing/>
              <w:rPr>
                <w:sz w:val="20"/>
                <w:szCs w:val="20"/>
              </w:rPr>
            </w:pPr>
            <w:r w:rsidRPr="005762E6">
              <w:rPr>
                <w:sz w:val="20"/>
                <w:szCs w:val="20"/>
              </w:rPr>
              <w:t xml:space="preserve">Linda A </w:t>
            </w:r>
            <w:proofErr w:type="gramStart"/>
            <w:r w:rsidRPr="005762E6">
              <w:rPr>
                <w:sz w:val="20"/>
                <w:szCs w:val="20"/>
              </w:rPr>
              <w:t>Alexander,​</w:t>
            </w:r>
            <w:proofErr w:type="gramEnd"/>
            <w:r w:rsidRPr="005762E6">
              <w:rPr>
                <w:sz w:val="20"/>
                <w:szCs w:val="20"/>
              </w:rPr>
              <w:t xml:space="preserve"> Tim Crawford,​ Marta S Mendiondo Occupational status,​ work-site cessation programs and policies and menthol smoking on quitting behaviors of US smokers</w:t>
            </w:r>
            <w:r w:rsidR="007F2F01">
              <w:rPr>
                <w:sz w:val="20"/>
                <w:szCs w:val="20"/>
              </w:rPr>
              <w:t>.</w:t>
            </w:r>
            <w:r w:rsidRPr="005762E6">
              <w:rPr>
                <w:sz w:val="20"/>
                <w:szCs w:val="20"/>
              </w:rPr>
              <w:t xml:space="preserve"> Addiction (Abingdon,​ England); 2010;105 Suppl 1:95.</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lastRenderedPageBreak/>
              <w:t>Adolescent,​Adult,​Employment/sn [Statistics &amp; Numerical Data],​Epidemiologic Methods,​Female,​*Healthcare Disparities/sn [Statistics &amp; Numerical Data],​Humans,​*Industry/sn [Statistics &amp; Numerical Data],​Male,​*Menthol,​*Occupational Health Services/sn [Statistics &amp; Numerical Data],​Organizational Policy,​*Smoking/ep [Epidemiology],​Smoking/th [Therapy],​*Smoking Cessation/sn [Statistics &amp; Numerical Data],​Socioeconomic Factors,​Tobacco Smoke Pollution/lj [Legislation &amp; Jurisprudence],​United States/ep [Epidemiology],​Workplace/lj [Legislation &amp; Jurisprudence],​Young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AIM: This exploratory study sought to examine the relationships among occupational status,​ menthol smoking preference and employer-sponsored smoking cessation programs and policies on quitting behaviors.,​ DESIGN: Data for this cross-sectional study were obtained from the 2006 Tobacco Use Supplement to the Current Population Survey (TUS CPS),​ a large national survey representative of the civilian population,​ containing approximately 240,​000 respondents. The total sample for the current study was </w:t>
            </w:r>
            <w:proofErr w:type="gramStart"/>
            <w:r w:rsidRPr="005762E6">
              <w:rPr>
                <w:sz w:val="20"/>
                <w:szCs w:val="20"/>
              </w:rPr>
              <w:t>30,​</w:t>
            </w:r>
            <w:proofErr w:type="gramEnd"/>
            <w:r w:rsidRPr="005762E6">
              <w:rPr>
                <w:sz w:val="20"/>
                <w:szCs w:val="20"/>
              </w:rPr>
              <w:t xml:space="preserve">176.,​ MEASUREMENTS: The TUS CPS regularly collects data on cigarette prevalence,​ quitting behaviors,​ smoking history and consumption patterns. We performed a logistic regression with 'life-time quitting smoking for 1 day or longer because they were trying to quit' as outcome variable. Independent variables included type of </w:t>
            </w:r>
            <w:proofErr w:type="gramStart"/>
            <w:r w:rsidRPr="005762E6">
              <w:rPr>
                <w:sz w:val="20"/>
                <w:szCs w:val="20"/>
              </w:rPr>
              <w:t>occupation,​</w:t>
            </w:r>
            <w:proofErr w:type="gramEnd"/>
            <w:r w:rsidRPr="005762E6">
              <w:rPr>
                <w:sz w:val="20"/>
                <w:szCs w:val="20"/>
              </w:rPr>
              <w:t xml:space="preserve"> employer-sponsored cessation programs and policies and menthol status.,​ FINDINGS: When controlling for occupational status and work-place policies,​ there were no differences for menthol versus non-menthol smokers on quitting behaviors [odds ratio (OR) = 0.98; 95% confidence interval (CI) = 0.83,​ 1.15]. Service workers were less likely to quit compared with white-collar workers (OR = 0.80; 95% CI = </w:t>
            </w:r>
            <w:proofErr w:type="gramStart"/>
            <w:r w:rsidRPr="005762E6">
              <w:rPr>
                <w:sz w:val="20"/>
                <w:szCs w:val="20"/>
              </w:rPr>
              <w:t>0.69,​</w:t>
            </w:r>
            <w:proofErr w:type="gramEnd"/>
            <w:r w:rsidRPr="005762E6">
              <w:rPr>
                <w:sz w:val="20"/>
                <w:szCs w:val="20"/>
              </w:rPr>
              <w:t xml:space="preserve"> 0.94),​ and those with no employer-sponsored cessation program were less likely to quit (OR = 0.70; 95% CI = 0.60,​ 0.83). White-collar </w:t>
            </w:r>
            <w:proofErr w:type="gramStart"/>
            <w:r w:rsidRPr="005762E6">
              <w:rPr>
                <w:sz w:val="20"/>
                <w:szCs w:val="20"/>
              </w:rPr>
              <w:t>workers,​</w:t>
            </w:r>
            <w:proofErr w:type="gramEnd"/>
            <w:r w:rsidRPr="005762E6">
              <w:rPr>
                <w:sz w:val="20"/>
                <w:szCs w:val="20"/>
              </w:rPr>
              <w:t xml:space="preserve"> compared with blue-collar and service workers,​ were more likely to have a smoking policy in the work area (93% versus 86% versus 88%,​ respectively).,​ CONCLUSIONS: When occupational status and work-place smoking policies are controlled for,​ smokers of menthol cigarettes in the United States appear to have similar self-reported life-time rates of attempts to stop smoking to non-menthol smokers. Copyright © 2010 The </w:t>
            </w:r>
            <w:proofErr w:type="gramStart"/>
            <w:r w:rsidRPr="005762E6">
              <w:rPr>
                <w:sz w:val="20"/>
                <w:szCs w:val="20"/>
              </w:rPr>
              <w:t>Authors,​</w:t>
            </w:r>
            <w:proofErr w:type="gramEnd"/>
            <w:r w:rsidRPr="005762E6">
              <w:rPr>
                <w:sz w:val="20"/>
                <w:szCs w:val="20"/>
              </w:rPr>
              <w:t xml:space="preserve"> Addiction © 2010 Society for the Study of Addiction.</w:t>
            </w:r>
          </w:p>
        </w:tc>
      </w:tr>
      <w:tr w:rsidR="00B44564" w:rsidRPr="005762E6" w14:paraId="25A4B016"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3EEBCED" w14:textId="77777777" w:rsidR="00B44564" w:rsidRPr="005762E6" w:rsidRDefault="00B44564" w:rsidP="00EA69AA">
            <w:pPr>
              <w:spacing w:after="120" w:line="240" w:lineRule="auto"/>
              <w:contextualSpacing/>
              <w:rPr>
                <w:sz w:val="20"/>
                <w:szCs w:val="20"/>
              </w:rPr>
            </w:pPr>
            <w:r w:rsidRPr="005762E6">
              <w:rPr>
                <w:sz w:val="20"/>
                <w:szCs w:val="20"/>
              </w:rPr>
              <w:lastRenderedPageBreak/>
              <w:t>622</w:t>
            </w:r>
          </w:p>
        </w:tc>
        <w:tc>
          <w:tcPr>
            <w:tcW w:w="0" w:type="auto"/>
            <w:tcBorders>
              <w:top w:val="single" w:sz="6" w:space="0" w:color="auto"/>
              <w:left w:val="single" w:sz="6" w:space="0" w:color="auto"/>
              <w:bottom w:val="single" w:sz="6" w:space="0" w:color="auto"/>
              <w:right w:val="single" w:sz="6" w:space="0" w:color="auto"/>
            </w:tcBorders>
          </w:tcPr>
          <w:p w14:paraId="38D2B7CD"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6E1F5F0" w14:textId="42D7809A" w:rsidR="00B44564" w:rsidRPr="005762E6" w:rsidRDefault="00B44564" w:rsidP="00EA69AA">
            <w:pPr>
              <w:spacing w:after="120" w:line="240" w:lineRule="auto"/>
              <w:contextualSpacing/>
              <w:rPr>
                <w:sz w:val="20"/>
                <w:szCs w:val="20"/>
              </w:rPr>
            </w:pPr>
            <w:r w:rsidRPr="005762E6">
              <w:rPr>
                <w:sz w:val="20"/>
                <w:szCs w:val="20"/>
              </w:rPr>
              <w:t xml:space="preserve">Mandy </w:t>
            </w:r>
            <w:proofErr w:type="gramStart"/>
            <w:r w:rsidRPr="005762E6">
              <w:rPr>
                <w:sz w:val="20"/>
                <w:szCs w:val="20"/>
              </w:rPr>
              <w:t>Stahre,​</w:t>
            </w:r>
            <w:proofErr w:type="gramEnd"/>
            <w:r w:rsidRPr="005762E6">
              <w:rPr>
                <w:sz w:val="20"/>
                <w:szCs w:val="20"/>
              </w:rPr>
              <w:t xml:space="preserve"> Kolawole S Okuyemi,​ Anne M Joseph,​ Steven S Fu Racial/ethnic differences in menthol cigarette smoking,​ population quit ratios and utilization of evidence-based tobacco cessation treatments</w:t>
            </w:r>
            <w:r w:rsidR="007F2F01">
              <w:rPr>
                <w:sz w:val="20"/>
                <w:szCs w:val="20"/>
              </w:rPr>
              <w:t>.</w:t>
            </w:r>
            <w:r w:rsidRPr="005762E6">
              <w:rPr>
                <w:sz w:val="20"/>
                <w:szCs w:val="20"/>
              </w:rPr>
              <w:t xml:space="preserve"> Addiction (Abingdon,​ England); 2010;105 Suppl 1:75.</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Adolescent,​Adult,​Aged,​Epidemiologic Methods,​*Ethnic Groups/sn [Statistics &amp; Numerical Data],​European Continental Ancestry Group/sn [Statistics &amp; Numerical Data],​Female,​Humans,​Male,​*Menthol,​Middle Aged,​*Patient Acceptance of Health Care/eh [Ethnology],​*Smoking/eh [Ethnology],​Smoking/th [Therapy],​Smoking Cessation/eh [Ethnology],​*Smoking Cessation/sn [Statistics &amp; Numerical Data],​Socioeconomic Factors,​United States/ep [Epidemiology],​Young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AIMS: This study examines the relationship between menthol cigarette smoking and the population quit ratio and whether menthol smokers differ in utilization of evidence-based smoking cessation aids among a nationally representative sample of US adult smokers.,​ DESIGN,​ SETTING AND PARTICIPANTS: Secondary data analysis of cross-sectional data from the 2005 National Health Interview Survey (NHIS) Cancer Control Supplement. The NHIS is a nationally representative survey of US households conducted annually</w:t>
            </w:r>
            <w:proofErr w:type="gramStart"/>
            <w:r w:rsidRPr="005762E6">
              <w:rPr>
                <w:sz w:val="20"/>
                <w:szCs w:val="20"/>
              </w:rPr>
              <w:t>.,​</w:t>
            </w:r>
            <w:proofErr w:type="gramEnd"/>
            <w:r w:rsidRPr="005762E6">
              <w:rPr>
                <w:sz w:val="20"/>
                <w:szCs w:val="20"/>
              </w:rPr>
              <w:t xml:space="preserve"> MEASUREMENTS: The main outcome variables of interest were (1) the population quit ratio and (2) use of smoking quit aids. All analyses were conducted using SAS version 9.2 with </w:t>
            </w:r>
            <w:proofErr w:type="gramStart"/>
            <w:r w:rsidRPr="005762E6">
              <w:rPr>
                <w:sz w:val="20"/>
                <w:szCs w:val="20"/>
              </w:rPr>
              <w:t>SUDAAN,​</w:t>
            </w:r>
            <w:proofErr w:type="gramEnd"/>
            <w:r w:rsidRPr="005762E6">
              <w:rPr>
                <w:sz w:val="20"/>
                <w:szCs w:val="20"/>
              </w:rPr>
              <w:t xml:space="preserve"> which corrects for the complex sampling design of the study. Univariate analyses were used to determine variables that differed significantly by menthol status and utilization of types of quit aids. Multiple logistic regression analysis modeled the relationship between menthol smoking </w:t>
            </w:r>
            <w:proofErr w:type="gramStart"/>
            <w:r w:rsidRPr="005762E6">
              <w:rPr>
                <w:sz w:val="20"/>
                <w:szCs w:val="20"/>
              </w:rPr>
              <w:t>status,​</w:t>
            </w:r>
            <w:proofErr w:type="gramEnd"/>
            <w:r w:rsidRPr="005762E6">
              <w:rPr>
                <w:sz w:val="20"/>
                <w:szCs w:val="20"/>
              </w:rPr>
              <w:t xml:space="preserve"> demographic characteristics and smoking-related characteristics on the population quit ratio and utilization of quit aids.,​ FINDINGS: We observed significant differences in the population quit ratio for menthol versus non-menthol among African American smokers (34% versus 49%,​ P &lt; 0.001),​ but not among whites (52% versus 50%). In multiple logistic regression </w:t>
            </w:r>
            <w:proofErr w:type="gramStart"/>
            <w:r w:rsidRPr="005762E6">
              <w:rPr>
                <w:sz w:val="20"/>
                <w:szCs w:val="20"/>
              </w:rPr>
              <w:t>analysis,​</w:t>
            </w:r>
            <w:proofErr w:type="gramEnd"/>
            <w:r w:rsidRPr="005762E6">
              <w:rPr>
                <w:sz w:val="20"/>
                <w:szCs w:val="20"/>
              </w:rPr>
              <w:t xml:space="preserve"> there was a significant interaction between race and menthol smoking status. African American menthol smokers were significantly less likely than white non-menthol smokers to have quit smoking (adjusted odds ratio: </w:t>
            </w:r>
            <w:proofErr w:type="gramStart"/>
            <w:r w:rsidRPr="005762E6">
              <w:rPr>
                <w:sz w:val="20"/>
                <w:szCs w:val="20"/>
              </w:rPr>
              <w:t>0.72,​</w:t>
            </w:r>
            <w:proofErr w:type="gramEnd"/>
            <w:r w:rsidRPr="005762E6">
              <w:rPr>
                <w:sz w:val="20"/>
                <w:szCs w:val="20"/>
              </w:rPr>
              <w:t xml:space="preserve"> 95% confidence interval: 0.53,​ 0.97) after controlling for age group,​ sex,​ marital status,​ region and </w:t>
            </w:r>
            <w:r w:rsidRPr="005762E6">
              <w:rPr>
                <w:sz w:val="20"/>
                <w:szCs w:val="20"/>
              </w:rPr>
              <w:lastRenderedPageBreak/>
              <w:t>average number of cigarettes smoked per day. Menthol smoking status was not associated with differences in utilization of quit aids</w:t>
            </w:r>
            <w:proofErr w:type="gramStart"/>
            <w:r w:rsidRPr="005762E6">
              <w:rPr>
                <w:sz w:val="20"/>
                <w:szCs w:val="20"/>
              </w:rPr>
              <w:t>.,​</w:t>
            </w:r>
            <w:proofErr w:type="gramEnd"/>
            <w:r w:rsidRPr="005762E6">
              <w:rPr>
                <w:sz w:val="20"/>
                <w:szCs w:val="20"/>
              </w:rPr>
              <w:t xml:space="preserve"> CONCLUSIONS: African Americans have the highest rates of menthol cigarette smoking of all racial and ethnic groups in the United States. Menthol cigarette smoking is associated negatively with successful smoking cessation among African Americans. Copyright Addiction © 2010 Society for the Study of </w:t>
            </w:r>
            <w:proofErr w:type="gramStart"/>
            <w:r w:rsidRPr="005762E6">
              <w:rPr>
                <w:sz w:val="20"/>
                <w:szCs w:val="20"/>
              </w:rPr>
              <w:t>Addiction,​</w:t>
            </w:r>
            <w:proofErr w:type="gramEnd"/>
            <w:r w:rsidRPr="005762E6">
              <w:rPr>
                <w:sz w:val="20"/>
                <w:szCs w:val="20"/>
              </w:rPr>
              <w:t xml:space="preserve"> No claim to original US government works.</w:t>
            </w:r>
          </w:p>
        </w:tc>
      </w:tr>
      <w:tr w:rsidR="00B44564" w:rsidRPr="005762E6" w14:paraId="5E277D42"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A0402CD" w14:textId="77777777" w:rsidR="00B44564" w:rsidRPr="005762E6" w:rsidRDefault="00B44564" w:rsidP="00EA69AA">
            <w:pPr>
              <w:spacing w:after="120" w:line="240" w:lineRule="auto"/>
              <w:contextualSpacing/>
              <w:rPr>
                <w:sz w:val="20"/>
                <w:szCs w:val="20"/>
              </w:rPr>
            </w:pPr>
            <w:r w:rsidRPr="005762E6">
              <w:rPr>
                <w:sz w:val="20"/>
                <w:szCs w:val="20"/>
              </w:rPr>
              <w:lastRenderedPageBreak/>
              <w:t>623</w:t>
            </w:r>
          </w:p>
        </w:tc>
        <w:tc>
          <w:tcPr>
            <w:tcW w:w="0" w:type="auto"/>
            <w:tcBorders>
              <w:top w:val="single" w:sz="6" w:space="0" w:color="auto"/>
              <w:left w:val="single" w:sz="6" w:space="0" w:color="auto"/>
              <w:bottom w:val="single" w:sz="6" w:space="0" w:color="auto"/>
              <w:right w:val="single" w:sz="6" w:space="0" w:color="auto"/>
            </w:tcBorders>
          </w:tcPr>
          <w:p w14:paraId="46EC3EE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035E1E2" w14:textId="606D726E" w:rsidR="00B44564" w:rsidRPr="005762E6" w:rsidRDefault="00B44564" w:rsidP="00EA69AA">
            <w:pPr>
              <w:spacing w:after="120" w:line="240" w:lineRule="auto"/>
              <w:contextualSpacing/>
              <w:rPr>
                <w:sz w:val="20"/>
                <w:szCs w:val="20"/>
              </w:rPr>
            </w:pPr>
            <w:r w:rsidRPr="005762E6">
              <w:rPr>
                <w:sz w:val="20"/>
                <w:szCs w:val="20"/>
              </w:rPr>
              <w:t xml:space="preserve">Pebbles </w:t>
            </w:r>
            <w:proofErr w:type="gramStart"/>
            <w:r w:rsidRPr="005762E6">
              <w:rPr>
                <w:sz w:val="20"/>
                <w:szCs w:val="20"/>
              </w:rPr>
              <w:t>Fagan,​</w:t>
            </w:r>
            <w:proofErr w:type="gramEnd"/>
            <w:r w:rsidRPr="005762E6">
              <w:rPr>
                <w:sz w:val="20"/>
                <w:szCs w:val="20"/>
              </w:rPr>
              <w:t xml:space="preserve"> Eric T Moolchan,​ Alton Jr Hart,​ Allison Rose,​ Deirdre Lawrence,​ Vickie L Shavers,​ James Todd Gibson Nicotine dependence and quitting behaviors among menthol and non-menthol smokers with similar consumptive patterns</w:t>
            </w:r>
            <w:r w:rsidR="007F2F01">
              <w:rPr>
                <w:sz w:val="20"/>
                <w:szCs w:val="20"/>
              </w:rPr>
              <w:t>.</w:t>
            </w:r>
            <w:r w:rsidRPr="005762E6">
              <w:rPr>
                <w:sz w:val="20"/>
                <w:szCs w:val="20"/>
              </w:rPr>
              <w:t xml:space="preserve"> Addiction (Abingdon,​ England); 2010;105 Suppl 1:55.</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Adolescent,​Adult,​Aged,​Attitude to Health,​Epidemiologic Methods,​Ethnic Groups/sn [Statistics &amp; Numerical Data],​Female,​Humans,​Male,​*Menthol,​Middle Aged,​*Smoking/ep [Epidemiology],​*Smoking Cessation/sn [Statistics &amp; Numerical Data],​Socioeconomic Factors,​Time Factors,​*Tobacco Use Disorder/ep [Epidemiology],​United States/ep [Epidemiology],​Young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AIMS: This study examines the associations between usual cigarette brand (i.e. menthol,​ non-menthol) and markers for nicotine dependence and quitting behaviors.,​ DESIGN: The 2003 and 2006/07 Tobacco Use Supplements to the Current Population Surveys were pooled to conduct secondary data analysis.,​ SETTING: National data were collected using in-person and telephone computer-assisted interviews by the United States Census Bureau among civilian,​ non-institutionalized people aged 15 years and older.,​ PARTICIPANTS: Data were analyzed among daily current smokers aged 18+ (n = 46,​273).,​ MEASUREMENTS: The associations between usual cigarette brand and time to first cigarette within 5 and 30 minutes after waking,​ quit attempts in the past 12 months and length of smoking abstinence in the past 12 months were examined. Bivariate and multivariate logistic regression models were stratified by smoking intensity: &lt;=</w:t>
            </w:r>
            <w:proofErr w:type="gramStart"/>
            <w:r w:rsidRPr="005762E6">
              <w:rPr>
                <w:sz w:val="20"/>
                <w:szCs w:val="20"/>
              </w:rPr>
              <w:t>5,​</w:t>
            </w:r>
            <w:proofErr w:type="gramEnd"/>
            <w:r w:rsidRPr="005762E6">
              <w:rPr>
                <w:sz w:val="20"/>
                <w:szCs w:val="20"/>
              </w:rPr>
              <w:t xml:space="preserve"> 6-10,​ 11-19 and 20+ cigarettes per day.,​ FINDINGS: Menthol smokers reported a mean of 13.05 compared with 15.01 cigarettes per day among non-menthol smokers (P &lt; 0.001). Multivariate results showed that among smokers consuming 6-10 cigarettes per </w:t>
            </w:r>
            <w:proofErr w:type="gramStart"/>
            <w:r w:rsidRPr="005762E6">
              <w:rPr>
                <w:sz w:val="20"/>
                <w:szCs w:val="20"/>
              </w:rPr>
              <w:t>day,​</w:t>
            </w:r>
            <w:proofErr w:type="gramEnd"/>
            <w:r w:rsidRPr="005762E6">
              <w:rPr>
                <w:sz w:val="20"/>
                <w:szCs w:val="20"/>
              </w:rPr>
              <w:t xml:space="preserve"> menthol smokers were significantly more likely than non-menthol smokers to consume their first cigarette within 5 minutes after waking (odds ratio = 1.22,​ 95% confidence interval = 1.05,​1.43). The multivariate models did not show significant associations between usual cigarette brand and quit attempts in past 12 months or duration of smoking abstinence &gt;2 weeks in the past 12 months</w:t>
            </w:r>
            <w:proofErr w:type="gramStart"/>
            <w:r w:rsidRPr="005762E6">
              <w:rPr>
                <w:sz w:val="20"/>
                <w:szCs w:val="20"/>
              </w:rPr>
              <w:t>.,​</w:t>
            </w:r>
            <w:proofErr w:type="gramEnd"/>
            <w:r w:rsidRPr="005762E6">
              <w:rPr>
                <w:sz w:val="20"/>
                <w:szCs w:val="20"/>
              </w:rPr>
              <w:t xml:space="preserve"> CONCLUSIONS: Findings from this national survey of daily smokers demonstrate that menthol smokers in the United States who report consuming 6-10 cigarettes per day show greater signs of nicotine dependence than comparable non-menthol smokers. Copyright © 2010 The </w:t>
            </w:r>
            <w:proofErr w:type="gramStart"/>
            <w:r w:rsidRPr="005762E6">
              <w:rPr>
                <w:sz w:val="20"/>
                <w:szCs w:val="20"/>
              </w:rPr>
              <w:t>Authors,​</w:t>
            </w:r>
            <w:proofErr w:type="gramEnd"/>
            <w:r w:rsidRPr="005762E6">
              <w:rPr>
                <w:sz w:val="20"/>
                <w:szCs w:val="20"/>
              </w:rPr>
              <w:t xml:space="preserve"> Addiction © 2010 Society for the Study of Addiction.</w:t>
            </w:r>
          </w:p>
        </w:tc>
      </w:tr>
      <w:tr w:rsidR="00B44564" w:rsidRPr="005762E6" w14:paraId="738DC0D0"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BFD2505" w14:textId="77777777" w:rsidR="00B44564" w:rsidRPr="005762E6" w:rsidRDefault="00B44564" w:rsidP="00EA69AA">
            <w:pPr>
              <w:spacing w:after="120" w:line="240" w:lineRule="auto"/>
              <w:contextualSpacing/>
              <w:rPr>
                <w:sz w:val="20"/>
                <w:szCs w:val="20"/>
              </w:rPr>
            </w:pPr>
            <w:r w:rsidRPr="005762E6">
              <w:rPr>
                <w:sz w:val="20"/>
                <w:szCs w:val="20"/>
              </w:rPr>
              <w:t>624</w:t>
            </w:r>
          </w:p>
        </w:tc>
        <w:tc>
          <w:tcPr>
            <w:tcW w:w="0" w:type="auto"/>
            <w:tcBorders>
              <w:top w:val="single" w:sz="6" w:space="0" w:color="auto"/>
              <w:left w:val="single" w:sz="6" w:space="0" w:color="auto"/>
              <w:bottom w:val="single" w:sz="6" w:space="0" w:color="auto"/>
              <w:right w:val="single" w:sz="6" w:space="0" w:color="auto"/>
            </w:tcBorders>
          </w:tcPr>
          <w:p w14:paraId="2981F4B4"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9956698" w14:textId="61CBC1AC" w:rsidR="00B44564" w:rsidRPr="005762E6" w:rsidRDefault="00B44564" w:rsidP="00EA69AA">
            <w:pPr>
              <w:spacing w:after="120" w:line="240" w:lineRule="auto"/>
              <w:contextualSpacing/>
              <w:rPr>
                <w:sz w:val="20"/>
                <w:szCs w:val="20"/>
              </w:rPr>
            </w:pPr>
            <w:r w:rsidRPr="005762E6">
              <w:rPr>
                <w:sz w:val="20"/>
                <w:szCs w:val="20"/>
              </w:rPr>
              <w:t xml:space="preserve">Karen </w:t>
            </w:r>
            <w:proofErr w:type="gramStart"/>
            <w:r w:rsidRPr="005762E6">
              <w:rPr>
                <w:sz w:val="20"/>
                <w:szCs w:val="20"/>
              </w:rPr>
              <w:t>Ahijevych,​</w:t>
            </w:r>
            <w:proofErr w:type="gramEnd"/>
            <w:r w:rsidRPr="005762E6">
              <w:rPr>
                <w:sz w:val="20"/>
                <w:szCs w:val="20"/>
              </w:rPr>
              <w:t xml:space="preserve"> Jodi Ford The relationships between menthol cigarette preference and state tobacco control policies on smoking behaviors of young adult smokers in the 2006-07 Tobacco Use Supplements to the Current Population Surveys (TUS CPS)</w:t>
            </w:r>
            <w:r w:rsidR="007F2F01">
              <w:rPr>
                <w:sz w:val="20"/>
                <w:szCs w:val="20"/>
              </w:rPr>
              <w:t>.</w:t>
            </w:r>
            <w:r w:rsidRPr="005762E6">
              <w:rPr>
                <w:sz w:val="20"/>
                <w:szCs w:val="20"/>
              </w:rPr>
              <w:t xml:space="preserve"> Addiction (Abingdon,​ England); 2010;105 Suppl 1:46.</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Adolescent,​Adult,​Aged,​Aged,​ 80 and over,​*Consumer Behavior/sn [Statistics &amp; Numerical Data],​Cross-Sectional Studies,​Female,​Humans,​Male,​*Menthol,​Middle Aged,​*Population Surveillance,​*Smoking/ep [Epidemiology],​Smoking Prevention,​Socioeconomic Factors,​Time Factors,​*Tobacco Industry/lj [Legislation &amp; Jurisprudence],​Tobacco Smoke Pollution/lj [Legislation &amp; Jurisprudence],​*Tobacco Use Disorder/ep [Epidemiology],​United States/ep [Epidemiology],​Young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AIM: To examine relationships between the preference for menthol cigarettes and young adult smoking behaviors,​ including the extent to which state tobacco control policies moderate these relationships.,​ DESIGN: Cross-sectional design using secondary data from the 2006-07 Tobacco Use Supplements to the Current Population Surveys (TUS CPS) surveys appended with 2006 state-policy data.,​ SETTING: United States nationally representative survey.,​ PARTICIPANTS: A total of 2241 young adult daily smokers and 688 young adult non-daily smokers.,​ MEASUREMENTS: The two dependent variables of smoking behaviors were smoking first cigarette within 30 minutes of waking (TTF) and number of cigarettes smoked </w:t>
            </w:r>
            <w:r w:rsidRPr="005762E6">
              <w:rPr>
                <w:sz w:val="20"/>
                <w:szCs w:val="20"/>
              </w:rPr>
              <w:lastRenderedPageBreak/>
              <w:t xml:space="preserve">per day (cpd). Primary independent variables included menthol brand preference and state tobacco control policies (youth access </w:t>
            </w:r>
            <w:proofErr w:type="gramStart"/>
            <w:r w:rsidRPr="005762E6">
              <w:rPr>
                <w:sz w:val="20"/>
                <w:szCs w:val="20"/>
              </w:rPr>
              <w:t>laws,​</w:t>
            </w:r>
            <w:proofErr w:type="gramEnd"/>
            <w:r w:rsidRPr="005762E6">
              <w:rPr>
                <w:sz w:val="20"/>
                <w:szCs w:val="20"/>
              </w:rPr>
              <w:t xml:space="preserve"> clean indoor air laws and cigarette excise taxes),​ adjusting for controls.,​ FINDINGS: Among daily smokers,​ there were no significant associations between menthol brand preference and TTF or cpd. </w:t>
            </w:r>
            <w:proofErr w:type="gramStart"/>
            <w:r w:rsidRPr="005762E6">
              <w:rPr>
                <w:sz w:val="20"/>
                <w:szCs w:val="20"/>
              </w:rPr>
              <w:t>However,​</w:t>
            </w:r>
            <w:proofErr w:type="gramEnd"/>
            <w:r w:rsidRPr="005762E6">
              <w:rPr>
                <w:sz w:val="20"/>
                <w:szCs w:val="20"/>
              </w:rPr>
              <w:t xml:space="preserve"> lower educational attainment,​ not being in the labor force and the lack of home smoking rules were associated positively with shorter TTF,​ being white and the lack of home smoking rules were associated positively with cpd. Among daily </w:t>
            </w:r>
            <w:proofErr w:type="gramStart"/>
            <w:r w:rsidRPr="005762E6">
              <w:rPr>
                <w:sz w:val="20"/>
                <w:szCs w:val="20"/>
              </w:rPr>
              <w:t>smokers,​</w:t>
            </w:r>
            <w:proofErr w:type="gramEnd"/>
            <w:r w:rsidRPr="005762E6">
              <w:rPr>
                <w:sz w:val="20"/>
                <w:szCs w:val="20"/>
              </w:rPr>
              <w:t xml:space="preserve"> state excise taxes were associated negatively with higher cpd. Among non-daily </w:t>
            </w:r>
            <w:proofErr w:type="gramStart"/>
            <w:r w:rsidRPr="005762E6">
              <w:rPr>
                <w:sz w:val="20"/>
                <w:szCs w:val="20"/>
              </w:rPr>
              <w:t>smokers,​</w:t>
            </w:r>
            <w:proofErr w:type="gramEnd"/>
            <w:r w:rsidRPr="005762E6">
              <w:rPr>
                <w:sz w:val="20"/>
                <w:szCs w:val="20"/>
              </w:rPr>
              <w:t xml:space="preserve"> menthol brand preference was associated positively with shorter TTF,​ but associations did not vary with state tobacco control policies. Menthol brand preference was not associated significantly with </w:t>
            </w:r>
            <w:proofErr w:type="gramStart"/>
            <w:r w:rsidRPr="005762E6">
              <w:rPr>
                <w:sz w:val="20"/>
                <w:szCs w:val="20"/>
              </w:rPr>
              <w:t>cpd,​</w:t>
            </w:r>
            <w:proofErr w:type="gramEnd"/>
            <w:r w:rsidRPr="005762E6">
              <w:rPr>
                <w:sz w:val="20"/>
                <w:szCs w:val="20"/>
              </w:rPr>
              <w:t xml:space="preserve"> but male gender,​ unmarried status and the lack of home smoking rules were associated positively with greater cpd among non-daily smokers.,​ CONCLUSIONS: Young adult non-daily smokers who preferred menthol cigarettes were significantly more dependent than those who preferred non-menthol cigarettes,​ as shown through the shorter TTF. Associations between menthol brand preference and smoking behaviors did not vary with state tobacco control policies. Copyright © 2010 The </w:t>
            </w:r>
            <w:proofErr w:type="gramStart"/>
            <w:r w:rsidRPr="005762E6">
              <w:rPr>
                <w:sz w:val="20"/>
                <w:szCs w:val="20"/>
              </w:rPr>
              <w:t>Authors,​</w:t>
            </w:r>
            <w:proofErr w:type="gramEnd"/>
            <w:r w:rsidRPr="005762E6">
              <w:rPr>
                <w:sz w:val="20"/>
                <w:szCs w:val="20"/>
              </w:rPr>
              <w:t xml:space="preserve"> Addiction © 2010 Society for the Study of Addiction.</w:t>
            </w:r>
          </w:p>
        </w:tc>
      </w:tr>
      <w:tr w:rsidR="00B44564" w:rsidRPr="005762E6" w14:paraId="5AFD0F49"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02AE579" w14:textId="77777777" w:rsidR="00B44564" w:rsidRPr="005762E6" w:rsidRDefault="00B44564" w:rsidP="00EA69AA">
            <w:pPr>
              <w:spacing w:after="120" w:line="240" w:lineRule="auto"/>
              <w:contextualSpacing/>
              <w:rPr>
                <w:sz w:val="20"/>
                <w:szCs w:val="20"/>
              </w:rPr>
            </w:pPr>
            <w:r w:rsidRPr="005762E6">
              <w:rPr>
                <w:sz w:val="20"/>
                <w:szCs w:val="20"/>
              </w:rPr>
              <w:lastRenderedPageBreak/>
              <w:t>625</w:t>
            </w:r>
          </w:p>
        </w:tc>
        <w:tc>
          <w:tcPr>
            <w:tcW w:w="0" w:type="auto"/>
            <w:tcBorders>
              <w:top w:val="single" w:sz="6" w:space="0" w:color="auto"/>
              <w:left w:val="single" w:sz="6" w:space="0" w:color="auto"/>
              <w:bottom w:val="single" w:sz="6" w:space="0" w:color="auto"/>
              <w:right w:val="single" w:sz="6" w:space="0" w:color="auto"/>
            </w:tcBorders>
          </w:tcPr>
          <w:p w14:paraId="28B21AD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3BB7ED2" w14:textId="60D1C9E9" w:rsidR="00B44564" w:rsidRPr="005762E6" w:rsidRDefault="00B44564" w:rsidP="00EA69AA">
            <w:pPr>
              <w:spacing w:after="120" w:line="240" w:lineRule="auto"/>
              <w:contextualSpacing/>
              <w:rPr>
                <w:sz w:val="20"/>
                <w:szCs w:val="20"/>
              </w:rPr>
            </w:pPr>
            <w:r w:rsidRPr="005762E6">
              <w:rPr>
                <w:sz w:val="20"/>
                <w:szCs w:val="20"/>
              </w:rPr>
              <w:t xml:space="preserve">Anita </w:t>
            </w:r>
            <w:proofErr w:type="gramStart"/>
            <w:r w:rsidRPr="005762E6">
              <w:rPr>
                <w:sz w:val="20"/>
                <w:szCs w:val="20"/>
              </w:rPr>
              <w:t>Fernander,​</w:t>
            </w:r>
            <w:proofErr w:type="gramEnd"/>
            <w:r w:rsidRPr="005762E6">
              <w:rPr>
                <w:sz w:val="20"/>
                <w:szCs w:val="20"/>
              </w:rPr>
              <w:t xml:space="preserve"> Mary Kay Rayens,​ Mei Zhang,​ Sarah Adkins Are age of smoking initiation and purchasing patterns associated with menthol smoking?</w:t>
            </w:r>
            <w:r w:rsidR="007F2F01">
              <w:rPr>
                <w:sz w:val="20"/>
                <w:szCs w:val="20"/>
              </w:rPr>
              <w:t>.</w:t>
            </w:r>
            <w:r w:rsidRPr="005762E6">
              <w:rPr>
                <w:sz w:val="20"/>
                <w:szCs w:val="20"/>
              </w:rPr>
              <w:t xml:space="preserve"> Addiction (Abingdon,​ England); 2010;105 Suppl 1:39.</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Adolescent,​Adult,​African Americans/sn [Statistics &amp; Numerical Data],​Age Factors,​Age of Onset,​Aged,​European Continental Ancestry Group/sn [Statistics &amp; Numerical Data],​Female,​Hispanic Americans/sn [Statistics &amp; Numerical Data],​Humans,​Logistic Models,​Male,​*Menthol,​Middle Aged,​*Population Surveillance,​*Product Packaging/sn [Statistics &amp; Numerical Data],​*Smoking/ep [Epidemiology],​Socioeconomic Factors,​United States/ep [Epidemiology],​Young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AIMS: The purpose of this study was to examine the relationship between age of cigarette smoking initiation and cigarette purchasing patterns on menthol smoking among current smokers.,​ DESIGN: Secondary analyses were conducted using logistic regression with balanced replicated weights.,​ SETTING: Data from the 2003 and 2006/07 Tobacco Use Supplement (TUS) to the Current Population Survey (CPS),​ collected by the National Cancer Institute,​ the Centers for Disease Control and Prevention and the Census Bureau,​ formed the basis for this investigation.,​ PARTICIPANTS: A total of 66,​145 current smokers who participated in the TUS CPS administration in 2003 and 2006/07 were examined.,​ MEASUREMENTS: Demographic characteristics (gender,​ race/ethnicity,​ age,​ education and income),​ smoking frequency,​ purchase type (pack,​ carton,​ or both),​ age of initiation and menthol cigarette use were assessed.,​ FINDINGS: One-quarter of the sample smoked menthol cigarettes; most purchased their cigarettes by the pack when rather than by the carton; average age of cigarette smoking initiation was 18 years; and females,​ ethnic/racial minorities and younger participants were more likely to smoke menthol cigarettes compared with males,​ whites or older respondents. Other demographic factors associated with menthol cigarette use among current smokers included a high school education (the prevalence of menthol use among this cohort was greater than either those with less education or those with more). The multivariate logistic model only marginally revealed that age of smoking initiation predicted menthol smoking: findings are suggestive that the longer the delay of initiation the more likely that an individual smoked menthol cigarettes [odds ratio (OR) = 1.01; 95% confidence interval (CI): 1.00-1.01]. In </w:t>
            </w:r>
            <w:proofErr w:type="gramStart"/>
            <w:r w:rsidRPr="005762E6">
              <w:rPr>
                <w:sz w:val="20"/>
                <w:szCs w:val="20"/>
              </w:rPr>
              <w:t>addition,​</w:t>
            </w:r>
            <w:proofErr w:type="gramEnd"/>
            <w:r w:rsidRPr="005762E6">
              <w:rPr>
                <w:sz w:val="20"/>
                <w:szCs w:val="20"/>
              </w:rPr>
              <w:t xml:space="preserve"> relative to those who purchased cigarettes by the pack,​ smokers who purchased cigarettes by the carton were less (OR = 0.86; 95% CI: 0.81-0.91) likely to be menthol smokers.,​ CONCLUSIONS: Menthol smokers in the United States are more likely to be female,​ younger,​ from ethnic minority groups,​ and to have a high school education. The findings that menthol smokers in the U.S. tend to start smoking later than smokers of other types of cigarettes are suggestive only and require further study. Copyright Addiction © 2010 Society for the Study of </w:t>
            </w:r>
            <w:proofErr w:type="gramStart"/>
            <w:r w:rsidRPr="005762E6">
              <w:rPr>
                <w:sz w:val="20"/>
                <w:szCs w:val="20"/>
              </w:rPr>
              <w:t>Addiction,​</w:t>
            </w:r>
            <w:proofErr w:type="gramEnd"/>
            <w:r w:rsidRPr="005762E6">
              <w:rPr>
                <w:sz w:val="20"/>
                <w:szCs w:val="20"/>
              </w:rPr>
              <w:t xml:space="preserve"> No claim to original US government works.</w:t>
            </w:r>
          </w:p>
        </w:tc>
      </w:tr>
      <w:tr w:rsidR="00B44564" w:rsidRPr="005762E6" w14:paraId="5C27033F"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9404AEC" w14:textId="77777777" w:rsidR="00B44564" w:rsidRPr="005762E6" w:rsidRDefault="00B44564" w:rsidP="00EA69AA">
            <w:pPr>
              <w:spacing w:after="120" w:line="240" w:lineRule="auto"/>
              <w:contextualSpacing/>
              <w:rPr>
                <w:sz w:val="20"/>
                <w:szCs w:val="20"/>
              </w:rPr>
            </w:pPr>
            <w:r w:rsidRPr="005762E6">
              <w:rPr>
                <w:sz w:val="20"/>
                <w:szCs w:val="20"/>
              </w:rPr>
              <w:t>626</w:t>
            </w:r>
          </w:p>
        </w:tc>
        <w:tc>
          <w:tcPr>
            <w:tcW w:w="0" w:type="auto"/>
            <w:tcBorders>
              <w:top w:val="single" w:sz="6" w:space="0" w:color="auto"/>
              <w:left w:val="single" w:sz="6" w:space="0" w:color="auto"/>
              <w:bottom w:val="single" w:sz="6" w:space="0" w:color="auto"/>
              <w:right w:val="single" w:sz="6" w:space="0" w:color="auto"/>
            </w:tcBorders>
          </w:tcPr>
          <w:p w14:paraId="72870CAF"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1FE8452" w14:textId="6B3BD518" w:rsidR="00B44564" w:rsidRPr="005762E6" w:rsidRDefault="00B44564" w:rsidP="00EA69AA">
            <w:pPr>
              <w:spacing w:after="120" w:line="240" w:lineRule="auto"/>
              <w:contextualSpacing/>
              <w:rPr>
                <w:sz w:val="20"/>
                <w:szCs w:val="20"/>
              </w:rPr>
            </w:pPr>
            <w:r w:rsidRPr="005762E6">
              <w:rPr>
                <w:sz w:val="20"/>
                <w:szCs w:val="20"/>
              </w:rPr>
              <w:t xml:space="preserve">Catherine </w:t>
            </w:r>
            <w:proofErr w:type="gramStart"/>
            <w:r w:rsidRPr="005762E6">
              <w:rPr>
                <w:sz w:val="20"/>
                <w:szCs w:val="20"/>
              </w:rPr>
              <w:t>Cubbin,​</w:t>
            </w:r>
            <w:proofErr w:type="gramEnd"/>
            <w:r w:rsidRPr="005762E6">
              <w:rPr>
                <w:sz w:val="20"/>
                <w:szCs w:val="20"/>
              </w:rPr>
              <w:t xml:space="preserve"> Mah-Jabeen Soobader,​ Felicia B LeClere The intersection of gender and race/ethnicity in smoking behaviors among menthol and non-menthol smokers in the United States</w:t>
            </w:r>
            <w:r w:rsidR="007F2F01">
              <w:rPr>
                <w:sz w:val="20"/>
                <w:szCs w:val="20"/>
              </w:rPr>
              <w:t>.</w:t>
            </w:r>
            <w:r w:rsidRPr="005762E6">
              <w:rPr>
                <w:sz w:val="20"/>
                <w:szCs w:val="20"/>
              </w:rPr>
              <w:t xml:space="preserve"> Addiction (Abingdon,​ England); 2010;105 Suppl 1:32.</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lastRenderedPageBreak/>
              <w:t>Adult,​African Americans/sn [Statistics &amp; Numerical Data],​Age of Onset,​Cross-Sectional Studies,​European Continental Ancestry Group/sn [Statistics &amp; Numerical Data],​Female,​Hispanic Americans/sn [Statistics &amp; Numerical Data],​Humans,​Male,​*Menthol,​Middle Aged,​*Population Surveillance,​Sex Factors,​*Smoking/ep [Epidemiology],​Smoking/eh [Ethnology],​Smoking Cessation/eh [Ethnology],​Smoking Cessation/sn [Statistics &amp; Numerical Data],​Socioeconomic Factors,​United States/ep [Epidemiology]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AIMS: To determine whether menthol is related to initiation,​ quantity or quitting,​ we examined differences in smoking behaviors among menthol and non-menthol smokers,​ stratified by gender and race/ethnicity,​ and adjusting for age,​ income and educational attainment.,​ DESIGN: Cross-sectional,​ using data from the 2005 National Health Interview Survey and Cancer Control Supplement.,​ SETTING: United States.,​ PARTICIPANTS: Black,​ Hispanic and white women and men aged 25-64 years.,​ MEASUREMENTS: For each group,​ we examined (i) proportion of menthol smokers (comparing current and former smokers); (ii) age of initiation,​ cigarettes smoked per day and quit attempt in the past year (comparing menthol and non-menthol current smokers); and (iii) time since quitting (comparing menthol and non-menthol former smokers). We calculated predicted values for each demographic </w:t>
            </w:r>
            <w:proofErr w:type="gramStart"/>
            <w:r w:rsidRPr="005762E6">
              <w:rPr>
                <w:sz w:val="20"/>
                <w:szCs w:val="20"/>
              </w:rPr>
              <w:t>group,​</w:t>
            </w:r>
            <w:proofErr w:type="gramEnd"/>
            <w:r w:rsidRPr="005762E6">
              <w:rPr>
                <w:sz w:val="20"/>
                <w:szCs w:val="20"/>
              </w:rPr>
              <w:t xml:space="preserve"> adjusting for age,​ income and educational attainment.,​ FINDINGS: After adjusting for age,​ income and education,​ black (compared with Hispanic and white) and female (compared with male) smokers were more likely to choose menthol cigarettes. There was only one statistically significant difference in age of </w:t>
            </w:r>
            <w:proofErr w:type="gramStart"/>
            <w:r w:rsidRPr="005762E6">
              <w:rPr>
                <w:sz w:val="20"/>
                <w:szCs w:val="20"/>
              </w:rPr>
              <w:t>initiation,​</w:t>
            </w:r>
            <w:proofErr w:type="gramEnd"/>
            <w:r w:rsidRPr="005762E6">
              <w:rPr>
                <w:sz w:val="20"/>
                <w:szCs w:val="20"/>
              </w:rPr>
              <w:t xml:space="preserve"> cigarettes smoked per day,​ quit attempts or time since quitting between menthol and non-menthol smokers: white women who smoked menthol cigarettes reported longer cessation compared with those who smoked non-menthol cigarettes.,​ CONCLUSIONS: The results do not support the hypothesis that menthol smokers initiate earlier,​ smoke more or have a harder time quitting compared with non-menthol smokers. A menthol additive and the marketing of </w:t>
            </w:r>
            <w:proofErr w:type="gramStart"/>
            <w:r w:rsidRPr="005762E6">
              <w:rPr>
                <w:sz w:val="20"/>
                <w:szCs w:val="20"/>
              </w:rPr>
              <w:t>it,​</w:t>
            </w:r>
            <w:proofErr w:type="gramEnd"/>
            <w:r w:rsidRPr="005762E6">
              <w:rPr>
                <w:sz w:val="20"/>
                <w:szCs w:val="20"/>
              </w:rPr>
              <w:t xml:space="preserve"> given the clear demographic preferences demonstrated here,​ however,​ may be responsible for enticing the groups least likely to smoke into this addictive behavior. Copyright © 2010 The </w:t>
            </w:r>
            <w:proofErr w:type="gramStart"/>
            <w:r w:rsidRPr="005762E6">
              <w:rPr>
                <w:sz w:val="20"/>
                <w:szCs w:val="20"/>
              </w:rPr>
              <w:t>Authors,​</w:t>
            </w:r>
            <w:proofErr w:type="gramEnd"/>
            <w:r w:rsidRPr="005762E6">
              <w:rPr>
                <w:sz w:val="20"/>
                <w:szCs w:val="20"/>
              </w:rPr>
              <w:t xml:space="preserve"> Addiction © 2010 Society for the Study of Addiction.</w:t>
            </w:r>
          </w:p>
        </w:tc>
      </w:tr>
      <w:tr w:rsidR="00B44564" w:rsidRPr="005762E6" w14:paraId="687B8BC5"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FB47056" w14:textId="77777777" w:rsidR="00B44564" w:rsidRPr="005762E6" w:rsidRDefault="00B44564" w:rsidP="00EA69AA">
            <w:pPr>
              <w:spacing w:after="120" w:line="240" w:lineRule="auto"/>
              <w:contextualSpacing/>
              <w:rPr>
                <w:sz w:val="20"/>
                <w:szCs w:val="20"/>
              </w:rPr>
            </w:pPr>
            <w:r w:rsidRPr="005762E6">
              <w:rPr>
                <w:sz w:val="20"/>
                <w:szCs w:val="20"/>
              </w:rPr>
              <w:lastRenderedPageBreak/>
              <w:t>627</w:t>
            </w:r>
          </w:p>
        </w:tc>
        <w:tc>
          <w:tcPr>
            <w:tcW w:w="0" w:type="auto"/>
            <w:tcBorders>
              <w:top w:val="single" w:sz="6" w:space="0" w:color="auto"/>
              <w:left w:val="single" w:sz="6" w:space="0" w:color="auto"/>
              <w:bottom w:val="single" w:sz="6" w:space="0" w:color="auto"/>
              <w:right w:val="single" w:sz="6" w:space="0" w:color="auto"/>
            </w:tcBorders>
          </w:tcPr>
          <w:p w14:paraId="2846750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2044298" w14:textId="716AF7AC" w:rsidR="00B44564" w:rsidRPr="005762E6" w:rsidRDefault="00B44564" w:rsidP="00EA69AA">
            <w:pPr>
              <w:spacing w:after="120" w:line="240" w:lineRule="auto"/>
              <w:contextualSpacing/>
              <w:rPr>
                <w:sz w:val="20"/>
                <w:szCs w:val="20"/>
              </w:rPr>
            </w:pPr>
            <w:r w:rsidRPr="005762E6">
              <w:rPr>
                <w:sz w:val="20"/>
                <w:szCs w:val="20"/>
              </w:rPr>
              <w:t xml:space="preserve">Deirdre </w:t>
            </w:r>
            <w:proofErr w:type="gramStart"/>
            <w:r w:rsidRPr="005762E6">
              <w:rPr>
                <w:sz w:val="20"/>
                <w:szCs w:val="20"/>
              </w:rPr>
              <w:t>Lawrence,​</w:t>
            </w:r>
            <w:proofErr w:type="gramEnd"/>
            <w:r w:rsidRPr="005762E6">
              <w:rPr>
                <w:sz w:val="20"/>
                <w:szCs w:val="20"/>
              </w:rPr>
              <w:t xml:space="preserve"> Allison Rose,​ Pebbles Fagan,​ Eric T Moolchan,​ James Todd Gibson,​ Cathy L Backinger National patterns and correlates of mentholated cigarette use in the United States</w:t>
            </w:r>
            <w:r w:rsidR="007F2F01">
              <w:rPr>
                <w:sz w:val="20"/>
                <w:szCs w:val="20"/>
              </w:rPr>
              <w:t>.</w:t>
            </w:r>
            <w:r w:rsidRPr="005762E6">
              <w:rPr>
                <w:sz w:val="20"/>
                <w:szCs w:val="20"/>
              </w:rPr>
              <w:t xml:space="preserve"> Addiction (Abingdon,​ England); 2010;105 Suppl 1:13.</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Adolescent,​Adult,​African Continental Ancestry Group/sn [Statistics &amp; Numerical Data],​Age Factors,​Aged,​Epidemiologic Methods,​*Ethnic Groups/sn [Statistics &amp; Numerical Data],​Female,​Humans,​Male,​*Menthol,​Middle Aged,​Sex Distribution,​*Smoking/ep [Epidemiology],​Socioeconomic Factors,​United States/ep [Epidemiology],​Young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AIM: To examine the patterns and correlates of mentholated cigarette smoking among adult smokers in the United States.,​ DESIGN: Cross-sectional data on adult current smokers (n = 63,​193) were pooled from the 2003 and 2006/07 Tobacco Use Supplements to the Current Population Survey.,​ MEASUREMENTS: The associations between socio-demographic and smoking variables were examined with gender- and race/ethnicity-stratified multivariate logistic regression models predicting current use of mentholated cigarettes.,​ FINDINGS: Multivariate logistic regression analyses demonstrated that black smokers were 10-11 times more likely to smoke mentholated cigarettes than white smokers men: odds ratio (OR): 11.59,​ 99% confidence interval (CI): 9.79-13.72; women: OR: 10.12,​ 99% CI: 8.45-12.11). With the exception of American Indian/Aleut/Eskimo </w:t>
            </w:r>
            <w:proofErr w:type="gramStart"/>
            <w:r w:rsidRPr="005762E6">
              <w:rPr>
                <w:sz w:val="20"/>
                <w:szCs w:val="20"/>
              </w:rPr>
              <w:t>smokers,​</w:t>
            </w:r>
            <w:proofErr w:type="gramEnd"/>
            <w:r w:rsidRPr="005762E6">
              <w:rPr>
                <w:sz w:val="20"/>
                <w:szCs w:val="20"/>
              </w:rPr>
              <w:t xml:space="preserve"> non-white smokers were significantly more likely to smoke mentholated cigarettes than were white smokers. Additional significant factors associated with mentholated cigarette smoking included being unmarried (never married: OR: </w:t>
            </w:r>
            <w:proofErr w:type="gramStart"/>
            <w:r w:rsidRPr="005762E6">
              <w:rPr>
                <w:sz w:val="20"/>
                <w:szCs w:val="20"/>
              </w:rPr>
              <w:t>1.21,​</w:t>
            </w:r>
            <w:proofErr w:type="gramEnd"/>
            <w:r w:rsidRPr="005762E6">
              <w:rPr>
                <w:sz w:val="20"/>
                <w:szCs w:val="20"/>
              </w:rPr>
              <w:t xml:space="preserve"> 99% CI: 1.09-1.34; divorced/separated: OR: 1.13,​ 99% CI: 1.03-1.23),​ being born in a US territory (OR: 2.01,​ 99% CI: 1.35-3.01),​ living in a non-metropolitan area (OR: 0.87,​ 99% CI: 0.80-0.96),​ being unemployed (OR: 1.24,​ 99% CI: 1.06-1.44) and lower levels of education. Race/ethnicity-stratified analyses showed that women were more likely than men to smoke mentholated cigarettes. Among black </w:t>
            </w:r>
            <w:proofErr w:type="gramStart"/>
            <w:r w:rsidRPr="005762E6">
              <w:rPr>
                <w:sz w:val="20"/>
                <w:szCs w:val="20"/>
              </w:rPr>
              <w:t>smokers,​</w:t>
            </w:r>
            <w:proofErr w:type="gramEnd"/>
            <w:r w:rsidRPr="005762E6">
              <w:rPr>
                <w:sz w:val="20"/>
                <w:szCs w:val="20"/>
              </w:rPr>
              <w:t xml:space="preserve"> young adults (aged 18-24 years) were four times more likely to smoke mentholated cigarettes compared with individuals aged 65+.,​ CONCLUSIONS: Race/ethnicity,​ gender and age are significant correlates of mentholated cigarette smoking among current </w:t>
            </w:r>
            <w:r w:rsidRPr="005762E6">
              <w:rPr>
                <w:sz w:val="20"/>
                <w:szCs w:val="20"/>
              </w:rPr>
              <w:lastRenderedPageBreak/>
              <w:t xml:space="preserve">smokers. Given the importance of menthol in the cigarette market and the potential untoward health effects of this </w:t>
            </w:r>
            <w:proofErr w:type="gramStart"/>
            <w:r w:rsidRPr="005762E6">
              <w:rPr>
                <w:sz w:val="20"/>
                <w:szCs w:val="20"/>
              </w:rPr>
              <w:t>additive,​</w:t>
            </w:r>
            <w:proofErr w:type="gramEnd"/>
            <w:r w:rsidRPr="005762E6">
              <w:rPr>
                <w:sz w:val="20"/>
                <w:szCs w:val="20"/>
              </w:rPr>
              <w:t xml:space="preserve"> continued surveillance of the prevalence and correlates of mentholated cigarette use among diverse socio-demographic groups is warranted to inform appropriate interventions. Copyright Addiction © 2010 Society for the Study of </w:t>
            </w:r>
            <w:proofErr w:type="gramStart"/>
            <w:r w:rsidRPr="005762E6">
              <w:rPr>
                <w:sz w:val="20"/>
                <w:szCs w:val="20"/>
              </w:rPr>
              <w:t>Addiction,​</w:t>
            </w:r>
            <w:proofErr w:type="gramEnd"/>
            <w:r w:rsidRPr="005762E6">
              <w:rPr>
                <w:sz w:val="20"/>
                <w:szCs w:val="20"/>
              </w:rPr>
              <w:t xml:space="preserve"> No claim to original US government works.</w:t>
            </w:r>
          </w:p>
        </w:tc>
      </w:tr>
      <w:tr w:rsidR="00B44564" w:rsidRPr="005762E6" w14:paraId="31D54FAC"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6ADFA80" w14:textId="77777777" w:rsidR="00B44564" w:rsidRPr="005762E6" w:rsidRDefault="00B44564" w:rsidP="00EA69AA">
            <w:pPr>
              <w:spacing w:after="120" w:line="240" w:lineRule="auto"/>
              <w:contextualSpacing/>
              <w:rPr>
                <w:sz w:val="20"/>
                <w:szCs w:val="20"/>
              </w:rPr>
            </w:pPr>
            <w:r w:rsidRPr="005762E6">
              <w:rPr>
                <w:sz w:val="20"/>
                <w:szCs w:val="20"/>
              </w:rPr>
              <w:lastRenderedPageBreak/>
              <w:t>628</w:t>
            </w:r>
          </w:p>
        </w:tc>
        <w:tc>
          <w:tcPr>
            <w:tcW w:w="0" w:type="auto"/>
            <w:tcBorders>
              <w:top w:val="single" w:sz="6" w:space="0" w:color="auto"/>
              <w:left w:val="single" w:sz="6" w:space="0" w:color="auto"/>
              <w:bottom w:val="single" w:sz="6" w:space="0" w:color="auto"/>
              <w:right w:val="single" w:sz="6" w:space="0" w:color="auto"/>
            </w:tcBorders>
          </w:tcPr>
          <w:p w14:paraId="3B6FFCF5"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2481187" w14:textId="2FAC685D" w:rsidR="00B44564" w:rsidRPr="005762E6" w:rsidRDefault="00B44564" w:rsidP="00EA69AA">
            <w:pPr>
              <w:spacing w:after="120" w:line="240" w:lineRule="auto"/>
              <w:contextualSpacing/>
              <w:rPr>
                <w:sz w:val="20"/>
                <w:szCs w:val="20"/>
              </w:rPr>
            </w:pPr>
            <w:r w:rsidRPr="005762E6">
              <w:rPr>
                <w:sz w:val="20"/>
                <w:szCs w:val="20"/>
              </w:rPr>
              <w:t xml:space="preserve">Neal L </w:t>
            </w:r>
            <w:proofErr w:type="gramStart"/>
            <w:r w:rsidRPr="005762E6">
              <w:rPr>
                <w:sz w:val="20"/>
                <w:szCs w:val="20"/>
              </w:rPr>
              <w:t>Benowitz,​</w:t>
            </w:r>
            <w:proofErr w:type="gramEnd"/>
            <w:r w:rsidRPr="005762E6">
              <w:rPr>
                <w:sz w:val="20"/>
                <w:szCs w:val="20"/>
              </w:rPr>
              <w:t xml:space="preserve"> Katherine M Dains,​ Delia Dempsey,​ Christopher Havel,​ Margaret Wilson,​ Peyton 3rd Jacob Urine menthol as a biomarker of mentholated cigarette smoking</w:t>
            </w:r>
            <w:r w:rsidR="007F2F01">
              <w:rPr>
                <w:sz w:val="20"/>
                <w:szCs w:val="20"/>
              </w:rPr>
              <w:t>.</w:t>
            </w:r>
            <w:r w:rsidRPr="005762E6">
              <w:rPr>
                <w:sz w:val="20"/>
                <w:szCs w:val="20"/>
              </w:rPr>
              <w:t xml:space="preserve"> Cancer epidemiology,​ biomarkers &amp; prevention : a publication of the American Association for Cancer Research,​ cosponsored by the American Society of Preventive Oncology; 2010;19:3013.</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Adolescent,​Adult,​Aged,​Biomarkers/ur [Urine],​Chromatography,​ High Pressure Liquid/mt [Methods],​Chromatography,​ Liquid,​Female,​*Glucuronates/ur [Urine],​Humans,​Male,​Mass Spectrometry,​*Menthol/aa [Analogs &amp; Derivatives],​Menthol/ur [Urine],​Middle Aged,​Nicotine/ur [Urine],​Nitrosamines/ur [Urine],​Polycyclic Aromatic Hydrocarbons/ur [Urine],​Pyridines/ur [Urine],​*Smoking/ur [Urine],​Young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OBJECTIVES: Menthol cigarettes are smoked by 27% of U.S. smokers,​ and there are concerns that menthol might enhance toxicity of cigarette smoking by increasing systemic absorption of smoke toxins. We measured urine menthol concentrations in relation to biomarkers of exposure to nicotine and tobacco carcinogens.,​ METHODS: Concentrations of menthol glucuronide (using a novel analytical method),​ nicotine plus metabolites (nicotine equivalents,​ NE),​ 4-(methylnitrosamino)-1-(3-pyridyl)-1-butanol (NNAL),​ and polycyclic aromatic hydrocarbon (PAH) metabolites were measured in the urine of 60 menthol and 67 regular cigarette smokers.,​ RESULTS: Urine menthol was measurable in 82% of menthol and 54% in regular cigarette smokers. Among menthol </w:t>
            </w:r>
            <w:proofErr w:type="gramStart"/>
            <w:r w:rsidRPr="005762E6">
              <w:rPr>
                <w:sz w:val="20"/>
                <w:szCs w:val="20"/>
              </w:rPr>
              <w:t>smokers,​</w:t>
            </w:r>
            <w:proofErr w:type="gramEnd"/>
            <w:r w:rsidRPr="005762E6">
              <w:rPr>
                <w:sz w:val="20"/>
                <w:szCs w:val="20"/>
              </w:rPr>
              <w:t xml:space="preserve"> urine menthol was highly correlated with NE,​ NNAL,​ and PAHs. In a multiple regression model NE but not menthol was significantly associated with NNAL and PAHs</w:t>
            </w:r>
            <w:proofErr w:type="gramStart"/>
            <w:r w:rsidRPr="005762E6">
              <w:rPr>
                <w:sz w:val="20"/>
                <w:szCs w:val="20"/>
              </w:rPr>
              <w:t>.,​</w:t>
            </w:r>
            <w:proofErr w:type="gramEnd"/>
            <w:r w:rsidRPr="005762E6">
              <w:rPr>
                <w:sz w:val="20"/>
                <w:szCs w:val="20"/>
              </w:rPr>
              <w:t xml:space="preserve"> CONCLUSIONS: Urine menthol concentration is a novel biomarker of exposure in menthol cigarette smokers,​ and is highly correlated with exposure to nicotine and carcinogens. Menthol is not independently associated with carcinogen exposure when nicotine intake is considered. Copyright ©2010 AACR.</w:t>
            </w:r>
          </w:p>
        </w:tc>
      </w:tr>
      <w:tr w:rsidR="00B44564" w:rsidRPr="005762E6" w14:paraId="3DCBD21A"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F5E34FA" w14:textId="77777777" w:rsidR="00B44564" w:rsidRPr="005762E6" w:rsidRDefault="00B44564" w:rsidP="00EA69AA">
            <w:pPr>
              <w:spacing w:after="120" w:line="240" w:lineRule="auto"/>
              <w:contextualSpacing/>
              <w:rPr>
                <w:sz w:val="20"/>
                <w:szCs w:val="20"/>
              </w:rPr>
            </w:pPr>
            <w:r w:rsidRPr="005762E6">
              <w:rPr>
                <w:sz w:val="20"/>
                <w:szCs w:val="20"/>
              </w:rPr>
              <w:t>630</w:t>
            </w:r>
          </w:p>
        </w:tc>
        <w:tc>
          <w:tcPr>
            <w:tcW w:w="0" w:type="auto"/>
            <w:tcBorders>
              <w:top w:val="single" w:sz="6" w:space="0" w:color="auto"/>
              <w:left w:val="single" w:sz="6" w:space="0" w:color="auto"/>
              <w:bottom w:val="single" w:sz="6" w:space="0" w:color="auto"/>
              <w:right w:val="single" w:sz="6" w:space="0" w:color="auto"/>
            </w:tcBorders>
          </w:tcPr>
          <w:p w14:paraId="3C233D34"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EEFBA53" w14:textId="042C7A66" w:rsidR="00B44564" w:rsidRPr="005762E6" w:rsidRDefault="00B44564" w:rsidP="00EA69AA">
            <w:pPr>
              <w:spacing w:after="120" w:line="240" w:lineRule="auto"/>
              <w:contextualSpacing/>
              <w:rPr>
                <w:sz w:val="20"/>
                <w:szCs w:val="20"/>
              </w:rPr>
            </w:pPr>
            <w:r w:rsidRPr="005762E6">
              <w:rPr>
                <w:sz w:val="20"/>
                <w:szCs w:val="20"/>
              </w:rPr>
              <w:t>Karyn Hede Drilling down to the causes of racial disparities in lung cancer</w:t>
            </w:r>
            <w:r w:rsidR="007F2F01">
              <w:rPr>
                <w:sz w:val="20"/>
                <w:szCs w:val="20"/>
              </w:rPr>
              <w:t>.</w:t>
            </w:r>
            <w:r w:rsidRPr="005762E6">
              <w:rPr>
                <w:sz w:val="20"/>
                <w:szCs w:val="20"/>
              </w:rPr>
              <w:t xml:space="preserve"> Journal of the National Cancer Institute; 2010;102:1385.</w:t>
            </w:r>
            <w:r w:rsidRPr="005762E6">
              <w:rPr>
                <w:sz w:val="20"/>
                <w:szCs w:val="20"/>
              </w:rPr>
              <w:br/>
            </w:r>
            <w:r w:rsidRPr="005762E6">
              <w:rPr>
                <w:sz w:val="20"/>
                <w:szCs w:val="20"/>
              </w:rPr>
              <w:br/>
            </w:r>
            <w:r w:rsidRPr="005762E6">
              <w:rPr>
                <w:b/>
                <w:bCs/>
                <w:sz w:val="20"/>
                <w:szCs w:val="20"/>
              </w:rPr>
              <w:t>Keywords:</w:t>
            </w:r>
            <w:r w:rsidRPr="005762E6">
              <w:rPr>
                <w:sz w:val="20"/>
                <w:szCs w:val="20"/>
              </w:rPr>
              <w:br/>
              <w:t>*African Americans/sn [Statistics &amp; Numerical Data],​Comorbidity,​Health Status Disparities,​Humans,​Insurance,​ Health,​Lung Neoplasms/eh [Ethnology],​Lung Neoplasms/pa [Pathology],​Lung Neoplasms/su [Surgery],​*Lung Neoplasms,​*Menthol,​Neoplasm Staging,​Physician's Role,​*Pneumonectomy/sn [Statistics &amp; Numerical Data],​Primary Health Care,​SEER Program,​*Smoking/ae [Adverse Effects],​Social Marketing,​Tobacco Industry,​United States/ep [Epidemiology]</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7D170E5B"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F480204" w14:textId="77777777" w:rsidR="00B44564" w:rsidRPr="005762E6" w:rsidRDefault="00B44564" w:rsidP="00EA69AA">
            <w:pPr>
              <w:spacing w:after="120" w:line="240" w:lineRule="auto"/>
              <w:contextualSpacing/>
              <w:rPr>
                <w:sz w:val="20"/>
                <w:szCs w:val="20"/>
              </w:rPr>
            </w:pPr>
            <w:r w:rsidRPr="005762E6">
              <w:rPr>
                <w:sz w:val="20"/>
                <w:szCs w:val="20"/>
              </w:rPr>
              <w:t>634</w:t>
            </w:r>
          </w:p>
        </w:tc>
        <w:tc>
          <w:tcPr>
            <w:tcW w:w="0" w:type="auto"/>
            <w:tcBorders>
              <w:top w:val="single" w:sz="6" w:space="0" w:color="auto"/>
              <w:left w:val="single" w:sz="6" w:space="0" w:color="auto"/>
              <w:bottom w:val="single" w:sz="6" w:space="0" w:color="auto"/>
              <w:right w:val="single" w:sz="6" w:space="0" w:color="auto"/>
            </w:tcBorders>
          </w:tcPr>
          <w:p w14:paraId="188233BD"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6079CCB" w14:textId="396060E3" w:rsidR="00B44564" w:rsidRPr="005762E6" w:rsidRDefault="00B44564" w:rsidP="00EA69AA">
            <w:pPr>
              <w:spacing w:after="120" w:line="240" w:lineRule="auto"/>
              <w:contextualSpacing/>
              <w:rPr>
                <w:sz w:val="20"/>
                <w:szCs w:val="20"/>
              </w:rPr>
            </w:pPr>
            <w:r w:rsidRPr="005762E6">
              <w:rPr>
                <w:sz w:val="20"/>
                <w:szCs w:val="20"/>
              </w:rPr>
              <w:t xml:space="preserve">Jennifer B </w:t>
            </w:r>
            <w:proofErr w:type="gramStart"/>
            <w:r w:rsidRPr="005762E6">
              <w:rPr>
                <w:sz w:val="20"/>
                <w:szCs w:val="20"/>
              </w:rPr>
              <w:t>Unger,​</w:t>
            </w:r>
            <w:proofErr w:type="gramEnd"/>
            <w:r w:rsidRPr="005762E6">
              <w:rPr>
                <w:sz w:val="20"/>
                <w:szCs w:val="20"/>
              </w:rPr>
              <w:t xml:space="preserve"> Bruce Jr Allen,​ Earl Leonard,​ Made Wenten,​ Tess Boley Cruz Menthol and non-menthol cigarette use among Black smokers in Southern California</w:t>
            </w:r>
            <w:r w:rsidR="007F2F01">
              <w:rPr>
                <w:sz w:val="20"/>
                <w:szCs w:val="20"/>
              </w:rPr>
              <w:t>.</w:t>
            </w:r>
            <w:r w:rsidRPr="005762E6">
              <w:rPr>
                <w:sz w:val="20"/>
                <w:szCs w:val="20"/>
              </w:rPr>
              <w:t xml:space="preserve"> Nicotine &amp; tobacco </w:t>
            </w:r>
            <w:proofErr w:type="gramStart"/>
            <w:r w:rsidRPr="005762E6">
              <w:rPr>
                <w:sz w:val="20"/>
                <w:szCs w:val="20"/>
              </w:rPr>
              <w:t>research :</w:t>
            </w:r>
            <w:proofErr w:type="gramEnd"/>
            <w:r w:rsidRPr="005762E6">
              <w:rPr>
                <w:sz w:val="20"/>
                <w:szCs w:val="20"/>
              </w:rPr>
              <w:t xml:space="preserve"> official journal of the Society for Research on Nicotine and Tobacco; 2010;12:398.</w:t>
            </w:r>
            <w:r w:rsidRPr="005762E6">
              <w:rPr>
                <w:sz w:val="20"/>
                <w:szCs w:val="20"/>
              </w:rPr>
              <w:br/>
            </w:r>
            <w:r w:rsidRPr="005762E6">
              <w:rPr>
                <w:sz w:val="20"/>
                <w:szCs w:val="20"/>
              </w:rPr>
              <w:br/>
            </w:r>
            <w:r w:rsidRPr="005762E6">
              <w:rPr>
                <w:b/>
                <w:bCs/>
                <w:sz w:val="20"/>
                <w:szCs w:val="20"/>
              </w:rPr>
              <w:t>Keywords:</w:t>
            </w:r>
            <w:r w:rsidRPr="005762E6">
              <w:rPr>
                <w:sz w:val="20"/>
                <w:szCs w:val="20"/>
              </w:rPr>
              <w:br/>
              <w:t>Adult,​African Americans/sn [Statistics &amp; Numerical Data],​California/ep [Epidemiology],​Female,​Humans,​Male,​*Menthol,​Middle Aged,​*Smoking/ep [Epidemiology],​United States/ep [Epidemiology]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Menthol cigarette smoking is more prevalent among Blacks than among other groups in the United States. This study examined associations between </w:t>
            </w:r>
            <w:proofErr w:type="gramStart"/>
            <w:r w:rsidRPr="005762E6">
              <w:rPr>
                <w:sz w:val="20"/>
                <w:szCs w:val="20"/>
              </w:rPr>
              <w:t>demographic,​</w:t>
            </w:r>
            <w:proofErr w:type="gramEnd"/>
            <w:r w:rsidRPr="005762E6">
              <w:rPr>
                <w:sz w:val="20"/>
                <w:szCs w:val="20"/>
              </w:rPr>
              <w:t xml:space="preserve"> psychological,​ attitudinal,​ social,​ and cultural factors and menthol smoking among Black adults.,​ METHODS: This study recruited 720 Black smokers from community intercept locations throughout Los Angeles County,​ California,​ and surveyed them by telephone.,​ RESULTS: Fifty-seven percent of respondents were menthol-only smokers,​ 15% were regular-only smokers,​ and 28% smoked both menthols and regular cigarettes (combined smokers). </w:t>
            </w:r>
            <w:r w:rsidRPr="005762E6">
              <w:rPr>
                <w:sz w:val="20"/>
                <w:szCs w:val="20"/>
              </w:rPr>
              <w:lastRenderedPageBreak/>
              <w:t xml:space="preserve">In bivariate </w:t>
            </w:r>
            <w:proofErr w:type="gramStart"/>
            <w:r w:rsidRPr="005762E6">
              <w:rPr>
                <w:sz w:val="20"/>
                <w:szCs w:val="20"/>
              </w:rPr>
              <w:t>models,​</w:t>
            </w:r>
            <w:proofErr w:type="gramEnd"/>
            <w:r w:rsidRPr="005762E6">
              <w:rPr>
                <w:sz w:val="20"/>
                <w:szCs w:val="20"/>
              </w:rPr>
              <w:t xml:space="preserve"> menthol-only and combined smokers had stronger beliefs in the medicinal effects of menthols relative to regular-only smokers. Menthol-only smokers held stronger </w:t>
            </w:r>
            <w:proofErr w:type="gramStart"/>
            <w:r w:rsidRPr="005762E6">
              <w:rPr>
                <w:sz w:val="20"/>
                <w:szCs w:val="20"/>
              </w:rPr>
              <w:t>beliefs,​</w:t>
            </w:r>
            <w:proofErr w:type="gramEnd"/>
            <w:r w:rsidRPr="005762E6">
              <w:rPr>
                <w:sz w:val="20"/>
                <w:szCs w:val="20"/>
              </w:rPr>
              <w:t xml:space="preserve"> relative to regular-only smokers,​ that menthols were less harmful than regular cigarettes. Menthol-only smokers preferred the menthol taste/sensation more than combined </w:t>
            </w:r>
            <w:proofErr w:type="gramStart"/>
            <w:r w:rsidRPr="005762E6">
              <w:rPr>
                <w:sz w:val="20"/>
                <w:szCs w:val="20"/>
              </w:rPr>
              <w:t>smokers,​</w:t>
            </w:r>
            <w:proofErr w:type="gramEnd"/>
            <w:r w:rsidRPr="005762E6">
              <w:rPr>
                <w:sz w:val="20"/>
                <w:szCs w:val="20"/>
              </w:rPr>
              <w:t xml:space="preserve"> who preferred the menthol taste/sensation more than regular-only smokers. Menthol-only and combined smokers had more menthol smokers in their current social networks compared with regular-only smokers. In multivariate </w:t>
            </w:r>
            <w:proofErr w:type="gramStart"/>
            <w:r w:rsidRPr="005762E6">
              <w:rPr>
                <w:sz w:val="20"/>
                <w:szCs w:val="20"/>
              </w:rPr>
              <w:t>analyses,​</w:t>
            </w:r>
            <w:proofErr w:type="gramEnd"/>
            <w:r w:rsidRPr="005762E6">
              <w:rPr>
                <w:sz w:val="20"/>
                <w:szCs w:val="20"/>
              </w:rPr>
              <w:t xml:space="preserve"> preference for menthol taste/sensation,​ belief in medicinal effects of menthols,​ and menthol smokers in current social network differentiated menthol-only and combined smokers from regular-only smokers,​ controlling for confounding variables. Correlates of menthol smoking varied across genders and age groups</w:t>
            </w:r>
            <w:proofErr w:type="gramStart"/>
            <w:r w:rsidRPr="005762E6">
              <w:rPr>
                <w:sz w:val="20"/>
                <w:szCs w:val="20"/>
              </w:rPr>
              <w:t>.,​</w:t>
            </w:r>
            <w:proofErr w:type="gramEnd"/>
            <w:r w:rsidRPr="005762E6">
              <w:rPr>
                <w:sz w:val="20"/>
                <w:szCs w:val="20"/>
              </w:rPr>
              <w:t xml:space="preserve"> DISCUSSION: Health education efforts are needed to dispel the myth that menthol cigarettes are more medicinal and less harmful than regular cigarettes. Prevention and cessation efforts in Black communities can be tailored to reflect predictors of menthol smoking to reduce tobacco-related morbidity and mortality. In the era of Food and Drug Administration regulation of </w:t>
            </w:r>
            <w:proofErr w:type="gramStart"/>
            <w:r w:rsidRPr="005762E6">
              <w:rPr>
                <w:sz w:val="20"/>
                <w:szCs w:val="20"/>
              </w:rPr>
              <w:t>cigarettes,​</w:t>
            </w:r>
            <w:proofErr w:type="gramEnd"/>
            <w:r w:rsidRPr="005762E6">
              <w:rPr>
                <w:sz w:val="20"/>
                <w:szCs w:val="20"/>
              </w:rPr>
              <w:t xml:space="preserve"> research is needed to prevent health disparities associated with menthol cigarette smoking.</w:t>
            </w:r>
          </w:p>
        </w:tc>
      </w:tr>
      <w:tr w:rsidR="00B44564" w:rsidRPr="005762E6" w14:paraId="56D5A581"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88EA780" w14:textId="77777777" w:rsidR="00B44564" w:rsidRPr="005762E6" w:rsidRDefault="00B44564" w:rsidP="00EA69AA">
            <w:pPr>
              <w:spacing w:after="120" w:line="240" w:lineRule="auto"/>
              <w:contextualSpacing/>
              <w:rPr>
                <w:sz w:val="20"/>
                <w:szCs w:val="20"/>
              </w:rPr>
            </w:pPr>
            <w:r w:rsidRPr="005762E6">
              <w:rPr>
                <w:sz w:val="20"/>
                <w:szCs w:val="20"/>
              </w:rPr>
              <w:lastRenderedPageBreak/>
              <w:t>635</w:t>
            </w:r>
          </w:p>
        </w:tc>
        <w:tc>
          <w:tcPr>
            <w:tcW w:w="0" w:type="auto"/>
            <w:tcBorders>
              <w:top w:val="single" w:sz="6" w:space="0" w:color="auto"/>
              <w:left w:val="single" w:sz="6" w:space="0" w:color="auto"/>
              <w:bottom w:val="single" w:sz="6" w:space="0" w:color="auto"/>
              <w:right w:val="single" w:sz="6" w:space="0" w:color="auto"/>
            </w:tcBorders>
          </w:tcPr>
          <w:p w14:paraId="13BCCFD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D7D3135" w14:textId="4171C965" w:rsidR="00B44564" w:rsidRPr="005762E6" w:rsidRDefault="00B44564" w:rsidP="00EA69AA">
            <w:pPr>
              <w:spacing w:after="120" w:line="240" w:lineRule="auto"/>
              <w:contextualSpacing/>
              <w:rPr>
                <w:sz w:val="20"/>
                <w:szCs w:val="20"/>
              </w:rPr>
            </w:pPr>
            <w:r w:rsidRPr="005762E6">
              <w:rPr>
                <w:sz w:val="20"/>
                <w:szCs w:val="20"/>
              </w:rPr>
              <w:t>J Daniel Heck A review and assessment of menthol employed as a cigarette flavoring ingredient</w:t>
            </w:r>
            <w:r w:rsidR="007F2F01">
              <w:rPr>
                <w:sz w:val="20"/>
                <w:szCs w:val="20"/>
              </w:rPr>
              <w:t>.</w:t>
            </w:r>
            <w:r w:rsidRPr="005762E6">
              <w:rPr>
                <w:sz w:val="20"/>
                <w:szCs w:val="20"/>
              </w:rPr>
              <w:t xml:space="preserve"> Food and chemical </w:t>
            </w:r>
            <w:proofErr w:type="gramStart"/>
            <w:r w:rsidRPr="005762E6">
              <w:rPr>
                <w:sz w:val="20"/>
                <w:szCs w:val="20"/>
              </w:rPr>
              <w:t>toxicology :</w:t>
            </w:r>
            <w:proofErr w:type="gramEnd"/>
            <w:r w:rsidRPr="005762E6">
              <w:rPr>
                <w:sz w:val="20"/>
                <w:szCs w:val="20"/>
              </w:rPr>
              <w:t xml:space="preserve"> an international journal published for the British Industrial Biological Research Association; 2010;48 Suppl 2:S1.</w:t>
            </w:r>
            <w:r w:rsidRPr="005762E6">
              <w:rPr>
                <w:sz w:val="20"/>
                <w:szCs w:val="20"/>
              </w:rPr>
              <w:br/>
            </w:r>
            <w:r w:rsidRPr="005762E6">
              <w:rPr>
                <w:sz w:val="20"/>
                <w:szCs w:val="20"/>
              </w:rPr>
              <w:br/>
            </w:r>
            <w:r w:rsidRPr="005762E6">
              <w:rPr>
                <w:b/>
                <w:bCs/>
                <w:sz w:val="20"/>
                <w:szCs w:val="20"/>
              </w:rPr>
              <w:t>Keywords:</w:t>
            </w:r>
            <w:r w:rsidRPr="005762E6">
              <w:rPr>
                <w:sz w:val="20"/>
                <w:szCs w:val="20"/>
              </w:rPr>
              <w:br/>
              <w:t>*Flavoring Agents/ch [Chemistry],​*Flavoring Agents/to [Toxicity],​Humans,​*Menthol/ch [Chemistry],​*Menthol/to [Toxicity],​*Smoking,​Social Behavior,​Socioeconomic Factors,​*Tobacco/ch [Chemistry]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Cigarette smoking is established as a substantial contributor to risks for cancer,​ cardiovascular and respiratory diseases. Less is known about the potential of cigarette composition to affect smoking risks. The use of cigarette flavoring ingredients such as menthol is currently of worldwide public health and regulatory interest. The unique conditions of menthol inhalation exposure that occur coincident with that of the complex cigarette smoke aerosol require specialized studies to support an assessment of its safety in cigarette flavoring applications. The present state of knowledge is sufficient to support an assessment of the safety of the use of menthol in cigarettes. </w:t>
            </w:r>
            <w:proofErr w:type="gramStart"/>
            <w:r w:rsidRPr="005762E6">
              <w:rPr>
                <w:sz w:val="20"/>
                <w:szCs w:val="20"/>
              </w:rPr>
              <w:t>Scientific,​</w:t>
            </w:r>
            <w:proofErr w:type="gramEnd"/>
            <w:r w:rsidRPr="005762E6">
              <w:rPr>
                <w:sz w:val="20"/>
                <w:szCs w:val="20"/>
              </w:rPr>
              <w:t xml:space="preserve"> smoking behavioral and epidemiological data available through mid-2009 is critically reviewed and a broad convergence of findings supports a judgment that menthol employed as a cigarette tobacco flavoring ingredient does not meaningfully affect the inherent toxicity of cigarette smoke or the human risks that attend smoking. There remains a need for well-designed studies of the potential of menthol to affect smoking </w:t>
            </w:r>
            <w:proofErr w:type="gramStart"/>
            <w:r w:rsidRPr="005762E6">
              <w:rPr>
                <w:sz w:val="20"/>
                <w:szCs w:val="20"/>
              </w:rPr>
              <w:t>initiation,​</w:t>
            </w:r>
            <w:proofErr w:type="gramEnd"/>
            <w:r w:rsidRPr="005762E6">
              <w:rPr>
                <w:sz w:val="20"/>
                <w:szCs w:val="20"/>
              </w:rPr>
              <w:t xml:space="preserve"> cessation and addiction in order to differentiate any independent effects of menthol in cigarettes from those imposed by socioeconomic,​ environmental and peer influences on these complex human behaviors. Copyright 2009 Elsevier Ltd. All rights reserved.</w:t>
            </w:r>
          </w:p>
        </w:tc>
      </w:tr>
      <w:tr w:rsidR="00B44564" w:rsidRPr="005762E6" w14:paraId="665DB957"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D3B2B3D" w14:textId="77777777" w:rsidR="00B44564" w:rsidRPr="005762E6" w:rsidRDefault="00B44564" w:rsidP="00EA69AA">
            <w:pPr>
              <w:spacing w:after="120" w:line="240" w:lineRule="auto"/>
              <w:contextualSpacing/>
              <w:rPr>
                <w:sz w:val="20"/>
                <w:szCs w:val="20"/>
              </w:rPr>
            </w:pPr>
            <w:r w:rsidRPr="005762E6">
              <w:rPr>
                <w:sz w:val="20"/>
                <w:szCs w:val="20"/>
              </w:rPr>
              <w:t>638</w:t>
            </w:r>
          </w:p>
        </w:tc>
        <w:tc>
          <w:tcPr>
            <w:tcW w:w="0" w:type="auto"/>
            <w:tcBorders>
              <w:top w:val="single" w:sz="6" w:space="0" w:color="auto"/>
              <w:left w:val="single" w:sz="6" w:space="0" w:color="auto"/>
              <w:bottom w:val="single" w:sz="6" w:space="0" w:color="auto"/>
              <w:right w:val="single" w:sz="6" w:space="0" w:color="auto"/>
            </w:tcBorders>
          </w:tcPr>
          <w:p w14:paraId="41F6BA2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150085E" w14:textId="4547F4DE" w:rsidR="00B44564" w:rsidRPr="005762E6" w:rsidRDefault="00B44564" w:rsidP="00EA69AA">
            <w:pPr>
              <w:spacing w:after="120" w:line="240" w:lineRule="auto"/>
              <w:contextualSpacing/>
              <w:rPr>
                <w:sz w:val="20"/>
                <w:szCs w:val="20"/>
              </w:rPr>
            </w:pPr>
            <w:r w:rsidRPr="005762E6">
              <w:rPr>
                <w:sz w:val="20"/>
                <w:szCs w:val="20"/>
              </w:rPr>
              <w:t xml:space="preserve">Jingzhu </w:t>
            </w:r>
            <w:proofErr w:type="gramStart"/>
            <w:r w:rsidRPr="005762E6">
              <w:rPr>
                <w:sz w:val="20"/>
                <w:szCs w:val="20"/>
              </w:rPr>
              <w:t>Wang,​</w:t>
            </w:r>
            <w:proofErr w:type="gramEnd"/>
            <w:r w:rsidRPr="005762E6">
              <w:rPr>
                <w:sz w:val="20"/>
                <w:szCs w:val="20"/>
              </w:rPr>
              <w:t xml:space="preserve"> Hans J Roethig,​ Scott Appleton,​ Michael Werley,​ Raheema Muhammad-Kah,​ Paul Mendes The effect of menthol containing cigarettes on adult smokers' exposure to nicotine and carbon monoxide</w:t>
            </w:r>
            <w:r w:rsidR="007F2F01">
              <w:rPr>
                <w:sz w:val="20"/>
                <w:szCs w:val="20"/>
              </w:rPr>
              <w:t>.</w:t>
            </w:r>
            <w:r w:rsidRPr="005762E6">
              <w:rPr>
                <w:sz w:val="20"/>
                <w:szCs w:val="20"/>
              </w:rPr>
              <w:t xml:space="preserve"> Regulatory toxicology and pharmacology : RTP; 2010;57:24.</w:t>
            </w:r>
            <w:r w:rsidRPr="005762E6">
              <w:rPr>
                <w:sz w:val="20"/>
                <w:szCs w:val="20"/>
              </w:rPr>
              <w:br/>
            </w:r>
            <w:r w:rsidRPr="005762E6">
              <w:rPr>
                <w:sz w:val="20"/>
                <w:szCs w:val="20"/>
              </w:rPr>
              <w:br/>
            </w:r>
            <w:r w:rsidRPr="005762E6">
              <w:rPr>
                <w:b/>
                <w:bCs/>
                <w:sz w:val="20"/>
                <w:szCs w:val="20"/>
              </w:rPr>
              <w:t>Keywords:</w:t>
            </w:r>
            <w:r w:rsidRPr="005762E6">
              <w:rPr>
                <w:sz w:val="20"/>
                <w:szCs w:val="20"/>
              </w:rPr>
              <w:br/>
              <w:t>Adult,​African Continental Ancestry Group,​Aged,​Aged,​ 80 and over,​Analysis of Variance,​Biomarkers/an [Analysis],​Biomarkers/bl [Blood],​Biomarkers/ur [Urine],​*Carbon Monoxide/an [Analysis],​Carboxyhemoglobin/an [Analysis],​Cotinine/bl [Blood],​Cross-Sectional Studies,​European Continental Ancestry Group,​Female,​Humans,​Male,​Menthol/ae [Adverse Effects],​*Menthol/an [Analysis],​Middle Aged,​*Nicotine/an [Analysis],​Nicotine/ur [Urine],​Smoking/ae [Adverse Effects],​Smoking/bl [Blood],​Smoking/ur [Urine],​*Smoking,​*Tobacco/ch [Chemistry],​Young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UNLABELLED: There is limited information comparing biomarkers of exposure (BOE) to cigarette smoke in menthol (MS) and non-menthol cigarette smokers (NMS).,​ OBJECTIVE: To compare BOE to nicotine and carbon monoxide in MS and NMS.,​ METHODS: Cross-sectional,​ observational,​ ambulatory,​ multi-centre study in 3341 adult cigarette smokers. Nicotine equivalents (NE) in 24h </w:t>
            </w:r>
            <w:proofErr w:type="gramStart"/>
            <w:r w:rsidRPr="005762E6">
              <w:rPr>
                <w:sz w:val="20"/>
                <w:szCs w:val="20"/>
              </w:rPr>
              <w:t>urine,​</w:t>
            </w:r>
            <w:proofErr w:type="gramEnd"/>
            <w:r w:rsidRPr="005762E6">
              <w:rPr>
                <w:sz w:val="20"/>
                <w:szCs w:val="20"/>
              </w:rPr>
              <w:t xml:space="preserve"> NE/cigarette,​ COHb and serum </w:t>
            </w:r>
            <w:r w:rsidRPr="005762E6">
              <w:rPr>
                <w:sz w:val="20"/>
                <w:szCs w:val="20"/>
              </w:rPr>
              <w:lastRenderedPageBreak/>
              <w:t>cotinine were measured. Statistical analyses included analysis of variance and Wilcoxon test</w:t>
            </w:r>
            <w:proofErr w:type="gramStart"/>
            <w:r w:rsidRPr="005762E6">
              <w:rPr>
                <w:sz w:val="20"/>
                <w:szCs w:val="20"/>
              </w:rPr>
              <w:t>.,​</w:t>
            </w:r>
            <w:proofErr w:type="gramEnd"/>
            <w:r w:rsidRPr="005762E6">
              <w:rPr>
                <w:sz w:val="20"/>
                <w:szCs w:val="20"/>
              </w:rPr>
              <w:t xml:space="preserve"> RESULTS: Analyses of variance revealed no statistically significant effects of mentholated cigarettes on NE/24h,​ COHb,​ serum cotinine and NE/cigarette. On average MS smoked 15.0 and NMS 16.8 cigarettes/day. The unadjusted mean differences were as follows: MS had lower NE/24h (5.4%) and COHb (3.2%</w:t>
            </w:r>
            <w:proofErr w:type="gramStart"/>
            <w:r w:rsidRPr="005762E6">
              <w:rPr>
                <w:sz w:val="20"/>
                <w:szCs w:val="20"/>
              </w:rPr>
              <w:t>),​</w:t>
            </w:r>
            <w:proofErr w:type="gramEnd"/>
            <w:r w:rsidRPr="005762E6">
              <w:rPr>
                <w:sz w:val="20"/>
                <w:szCs w:val="20"/>
              </w:rPr>
              <w:t xml:space="preserve"> higher serum cotinine (3.0%) and NE/cigarette (5.7%) than NMS. African-Americans MS smoked 40% fewer </w:t>
            </w:r>
            <w:proofErr w:type="gramStart"/>
            <w:r w:rsidRPr="005762E6">
              <w:rPr>
                <w:sz w:val="20"/>
                <w:szCs w:val="20"/>
              </w:rPr>
              <w:t>cigarettes,​</w:t>
            </w:r>
            <w:proofErr w:type="gramEnd"/>
            <w:r w:rsidRPr="005762E6">
              <w:rPr>
                <w:sz w:val="20"/>
                <w:szCs w:val="20"/>
              </w:rPr>
              <w:t xml:space="preserve"> showed lower NE/24h (24%) and COHb (10%) and higher NE/cig (29%) and serum cotinine (8%) levels than their White counterparts.,​ CONCLUSIONS: Smoking mentholated cigarettes does not increase daily exposure to smoke constituents as measured by NE and COHb. These findings are consistent with the majority of epidemiological studies indicating no difference in smoking related risks between MS and NMS. Copyright (c) 2009 Elsevier Inc. All rights reserved.</w:t>
            </w:r>
          </w:p>
        </w:tc>
      </w:tr>
      <w:tr w:rsidR="00B44564" w:rsidRPr="005762E6" w14:paraId="14005955"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49C2B7A" w14:textId="77777777" w:rsidR="00B44564" w:rsidRPr="005762E6" w:rsidRDefault="00B44564" w:rsidP="00EA69AA">
            <w:pPr>
              <w:spacing w:after="120" w:line="240" w:lineRule="auto"/>
              <w:contextualSpacing/>
              <w:rPr>
                <w:sz w:val="20"/>
                <w:szCs w:val="20"/>
              </w:rPr>
            </w:pPr>
            <w:r w:rsidRPr="005762E6">
              <w:rPr>
                <w:sz w:val="20"/>
                <w:szCs w:val="20"/>
              </w:rPr>
              <w:lastRenderedPageBreak/>
              <w:t>641</w:t>
            </w:r>
          </w:p>
        </w:tc>
        <w:tc>
          <w:tcPr>
            <w:tcW w:w="0" w:type="auto"/>
            <w:tcBorders>
              <w:top w:val="single" w:sz="6" w:space="0" w:color="auto"/>
              <w:left w:val="single" w:sz="6" w:space="0" w:color="auto"/>
              <w:bottom w:val="single" w:sz="6" w:space="0" w:color="auto"/>
              <w:right w:val="single" w:sz="6" w:space="0" w:color="auto"/>
            </w:tcBorders>
          </w:tcPr>
          <w:p w14:paraId="663CBE3C"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35AF89C" w14:textId="7489C5EE" w:rsidR="00B44564" w:rsidRPr="005762E6" w:rsidRDefault="00B44564" w:rsidP="00EA69AA">
            <w:pPr>
              <w:spacing w:after="120" w:line="240" w:lineRule="auto"/>
              <w:contextualSpacing/>
              <w:rPr>
                <w:sz w:val="20"/>
                <w:szCs w:val="20"/>
              </w:rPr>
            </w:pPr>
            <w:r w:rsidRPr="005762E6">
              <w:rPr>
                <w:sz w:val="20"/>
                <w:szCs w:val="20"/>
              </w:rPr>
              <w:t xml:space="preserve">Lisa B </w:t>
            </w:r>
            <w:proofErr w:type="gramStart"/>
            <w:r w:rsidRPr="005762E6">
              <w:rPr>
                <w:sz w:val="20"/>
                <w:szCs w:val="20"/>
              </w:rPr>
              <w:t>Signorello,​</w:t>
            </w:r>
            <w:proofErr w:type="gramEnd"/>
            <w:r w:rsidRPr="005762E6">
              <w:rPr>
                <w:sz w:val="20"/>
                <w:szCs w:val="20"/>
              </w:rPr>
              <w:t xml:space="preserve"> Qiuyin Cai,​ Robert E Tarone,​ Joseph K McLaughlin,​ William J Blot Racial differences in serum cotinine levels of smokers</w:t>
            </w:r>
            <w:r w:rsidR="007F2F01">
              <w:rPr>
                <w:sz w:val="20"/>
                <w:szCs w:val="20"/>
              </w:rPr>
              <w:t>.</w:t>
            </w:r>
            <w:r w:rsidRPr="005762E6">
              <w:rPr>
                <w:sz w:val="20"/>
                <w:szCs w:val="20"/>
              </w:rPr>
              <w:t xml:space="preserve"> Disease markers; 2009;27:187.</w:t>
            </w:r>
            <w:r w:rsidRPr="005762E6">
              <w:rPr>
                <w:sz w:val="20"/>
                <w:szCs w:val="20"/>
              </w:rPr>
              <w:br/>
            </w:r>
            <w:r w:rsidRPr="005762E6">
              <w:rPr>
                <w:sz w:val="20"/>
                <w:szCs w:val="20"/>
              </w:rPr>
              <w:br/>
            </w:r>
            <w:r w:rsidRPr="005762E6">
              <w:rPr>
                <w:b/>
                <w:bCs/>
                <w:sz w:val="20"/>
                <w:szCs w:val="20"/>
              </w:rPr>
              <w:t>Keywords:</w:t>
            </w:r>
            <w:r w:rsidRPr="005762E6">
              <w:rPr>
                <w:sz w:val="20"/>
                <w:szCs w:val="20"/>
              </w:rPr>
              <w:br/>
              <w:t>Adult,​*African Continental Ancestry Group,​*Biomarkers/bl [Blood],​Cohort Studies,​*Cotinine/bl [Blood],​*European Continental Ancestry Group,​Female,​Humans,​Male,​Middle Aged,​Multivariate Analysis,​*Smoking/bl [Blood]</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The purpose of this study was to estimate black/white differences in cotinine levels for current smokers of both sexes,​ and to explore the potential contribution of mentholated cigarettes to these differences. Sera from 255 current smokers sampled from Southern Community Cohort Study participants (65 black </w:t>
            </w:r>
            <w:proofErr w:type="gramStart"/>
            <w:r w:rsidRPr="005762E6">
              <w:rPr>
                <w:sz w:val="20"/>
                <w:szCs w:val="20"/>
              </w:rPr>
              <w:t>men,​</w:t>
            </w:r>
            <w:proofErr w:type="gramEnd"/>
            <w:r w:rsidRPr="005762E6">
              <w:rPr>
                <w:sz w:val="20"/>
                <w:szCs w:val="20"/>
              </w:rPr>
              <w:t xml:space="preserve"> 65 black women,​ 63 white men,​ 62 white women) were analyzed for cotinine,​ and linear regression was used to model the effect of race on cotinine level,​ adjusting for the number of cigarettes smoked within the last 24 hours,​ use of menthol vs. non-menthol cigarettes,​ exposure to environmental tobacco smoke,​ and age. Black smokers smoked fewer cigarettes than white </w:t>
            </w:r>
            <w:proofErr w:type="gramStart"/>
            <w:r w:rsidRPr="005762E6">
              <w:rPr>
                <w:sz w:val="20"/>
                <w:szCs w:val="20"/>
              </w:rPr>
              <w:t>smokers,​</w:t>
            </w:r>
            <w:proofErr w:type="gramEnd"/>
            <w:r w:rsidRPr="005762E6">
              <w:rPr>
                <w:sz w:val="20"/>
                <w:szCs w:val="20"/>
              </w:rPr>
              <w:t xml:space="preserve"> yet had crude mean cotinine levels nearly as high or higher than white smokers. After multivariate </w:t>
            </w:r>
            <w:proofErr w:type="gramStart"/>
            <w:r w:rsidRPr="005762E6">
              <w:rPr>
                <w:sz w:val="20"/>
                <w:szCs w:val="20"/>
              </w:rPr>
              <w:t>adjustment,​</w:t>
            </w:r>
            <w:proofErr w:type="gramEnd"/>
            <w:r w:rsidRPr="005762E6">
              <w:rPr>
                <w:sz w:val="20"/>
                <w:szCs w:val="20"/>
              </w:rPr>
              <w:t xml:space="preserve"> cotinine levels were an average of 50 ng/ml higher among black than white women (p=0.008) and non-significantly 12 ng/ml higher among black than white men (p=0.52). We observed no increase in cotinine levels associated with menthol cigarette use. We conclude that differences in cotinine levels among smokers suggest racial variation in exposure to and/or metabolism of tobacco smoke </w:t>
            </w:r>
            <w:proofErr w:type="gramStart"/>
            <w:r w:rsidRPr="005762E6">
              <w:rPr>
                <w:sz w:val="20"/>
                <w:szCs w:val="20"/>
              </w:rPr>
              <w:t>constituents,​</w:t>
            </w:r>
            <w:proofErr w:type="gramEnd"/>
            <w:r w:rsidRPr="005762E6">
              <w:rPr>
                <w:sz w:val="20"/>
                <w:szCs w:val="20"/>
              </w:rPr>
              <w:t xml:space="preserve"> but our findings do not support a role for menthol preference in this disparity.</w:t>
            </w:r>
          </w:p>
        </w:tc>
      </w:tr>
      <w:tr w:rsidR="00B44564" w:rsidRPr="005762E6" w14:paraId="4AD6EF3A"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C6FD17E" w14:textId="77777777" w:rsidR="00B44564" w:rsidRPr="005762E6" w:rsidRDefault="00B44564" w:rsidP="00EA69AA">
            <w:pPr>
              <w:spacing w:after="120" w:line="240" w:lineRule="auto"/>
              <w:contextualSpacing/>
              <w:rPr>
                <w:sz w:val="20"/>
                <w:szCs w:val="20"/>
              </w:rPr>
            </w:pPr>
            <w:r w:rsidRPr="005762E6">
              <w:rPr>
                <w:sz w:val="20"/>
                <w:szCs w:val="20"/>
              </w:rPr>
              <w:t>642</w:t>
            </w:r>
          </w:p>
        </w:tc>
        <w:tc>
          <w:tcPr>
            <w:tcW w:w="0" w:type="auto"/>
            <w:tcBorders>
              <w:top w:val="single" w:sz="6" w:space="0" w:color="auto"/>
              <w:left w:val="single" w:sz="6" w:space="0" w:color="auto"/>
              <w:bottom w:val="single" w:sz="6" w:space="0" w:color="auto"/>
              <w:right w:val="single" w:sz="6" w:space="0" w:color="auto"/>
            </w:tcBorders>
          </w:tcPr>
          <w:p w14:paraId="18C4B0C8"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CBEB29C" w14:textId="647B4122" w:rsidR="00B44564" w:rsidRPr="005762E6" w:rsidRDefault="00B44564" w:rsidP="00EA69AA">
            <w:pPr>
              <w:spacing w:after="120" w:line="240" w:lineRule="auto"/>
              <w:contextualSpacing/>
              <w:rPr>
                <w:sz w:val="20"/>
                <w:szCs w:val="20"/>
              </w:rPr>
            </w:pPr>
            <w:r w:rsidRPr="005762E6">
              <w:rPr>
                <w:sz w:val="20"/>
                <w:szCs w:val="20"/>
              </w:rPr>
              <w:t xml:space="preserve">Daniel A </w:t>
            </w:r>
            <w:proofErr w:type="gramStart"/>
            <w:r w:rsidRPr="005762E6">
              <w:rPr>
                <w:sz w:val="20"/>
                <w:szCs w:val="20"/>
              </w:rPr>
              <w:t>Gundersen,​</w:t>
            </w:r>
            <w:proofErr w:type="gramEnd"/>
            <w:r w:rsidRPr="005762E6">
              <w:rPr>
                <w:sz w:val="20"/>
                <w:szCs w:val="20"/>
              </w:rPr>
              <w:t xml:space="preserve"> Cristine D Delnevo,​ Olivia Wackowski Exploring the relationship between race/ethnicity,​ menthol smoking,​ and cessation,​ in a nationally representative sample of adults</w:t>
            </w:r>
            <w:r w:rsidR="007F2F01">
              <w:rPr>
                <w:sz w:val="20"/>
                <w:szCs w:val="20"/>
              </w:rPr>
              <w:t>.</w:t>
            </w:r>
            <w:r w:rsidRPr="005762E6">
              <w:rPr>
                <w:sz w:val="20"/>
                <w:szCs w:val="20"/>
              </w:rPr>
              <w:t xml:space="preserve"> Preventive medicine; 2009;49:553.</w:t>
            </w:r>
            <w:r w:rsidRPr="005762E6">
              <w:rPr>
                <w:sz w:val="20"/>
                <w:szCs w:val="20"/>
              </w:rPr>
              <w:br/>
            </w:r>
            <w:r w:rsidRPr="005762E6">
              <w:rPr>
                <w:sz w:val="20"/>
                <w:szCs w:val="20"/>
              </w:rPr>
              <w:br/>
            </w:r>
            <w:r w:rsidRPr="005762E6">
              <w:rPr>
                <w:b/>
                <w:bCs/>
                <w:sz w:val="20"/>
                <w:szCs w:val="20"/>
              </w:rPr>
              <w:t>Keywords:</w:t>
            </w:r>
            <w:r w:rsidRPr="005762E6">
              <w:rPr>
                <w:sz w:val="20"/>
                <w:szCs w:val="20"/>
              </w:rPr>
              <w:br/>
              <w:t>African Americans,​Cross-Sectional Studies,​*Ethnic Groups,​European Continental Ancestry Group,​Female,​Health Surveys,​Hispanic Americans,​Humans,​Logistic Models,​Male,​*Menthol,​Middle Aged,​*Smoking/eh [Ethnology],​*Smoking Cessation/eh [Ethnology],​United States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OBJECTIVE: To explore the relationship between race/ethnicity,​ menthol smoking,​ and cessation in a nationally representative sample of adults.,​ METHODS: Data from the 2005 U.S. National Health Interview Survey was analyzed. Our analyses were restricted to 7815 </w:t>
            </w:r>
            <w:proofErr w:type="gramStart"/>
            <w:r w:rsidRPr="005762E6">
              <w:rPr>
                <w:sz w:val="20"/>
                <w:szCs w:val="20"/>
              </w:rPr>
              <w:t>white,​</w:t>
            </w:r>
            <w:proofErr w:type="gramEnd"/>
            <w:r w:rsidRPr="005762E6">
              <w:rPr>
                <w:sz w:val="20"/>
                <w:szCs w:val="20"/>
              </w:rPr>
              <w:t xml:space="preserve"> black,​ and Hispanic current and former cigarette smokers who indicated that they do not currently use other tobacco products and have made a quit attempt. We used multiple logistic regressions to test the relationship of menthol smoking and cessation controlling for various factors</w:t>
            </w:r>
            <w:proofErr w:type="gramStart"/>
            <w:r w:rsidRPr="005762E6">
              <w:rPr>
                <w:sz w:val="20"/>
                <w:szCs w:val="20"/>
              </w:rPr>
              <w:t>.,​</w:t>
            </w:r>
            <w:proofErr w:type="gramEnd"/>
            <w:r w:rsidRPr="005762E6">
              <w:rPr>
                <w:sz w:val="20"/>
                <w:szCs w:val="20"/>
              </w:rPr>
              <w:t xml:space="preserve"> RESULTS: Significant interaction effects were found indicating that the association between menthol smoking and cessation differs between whites and blacks,​ and whites and Hispanics. When blacks and Hispanics are collapsed as non-</w:t>
            </w:r>
            <w:proofErr w:type="gramStart"/>
            <w:r w:rsidRPr="005762E6">
              <w:rPr>
                <w:sz w:val="20"/>
                <w:szCs w:val="20"/>
              </w:rPr>
              <w:t>white,​</w:t>
            </w:r>
            <w:proofErr w:type="gramEnd"/>
            <w:r w:rsidRPr="005762E6">
              <w:rPr>
                <w:sz w:val="20"/>
                <w:szCs w:val="20"/>
              </w:rPr>
              <w:t xml:space="preserve"> we found that non-white menthol smokers were significantly less likely to have quit smoking (adjusted odds ratio=0.55,​ p&lt;0.01) compared to their non-menthol smoking counterparts. In </w:t>
            </w:r>
            <w:proofErr w:type="gramStart"/>
            <w:r w:rsidRPr="005762E6">
              <w:rPr>
                <w:sz w:val="20"/>
                <w:szCs w:val="20"/>
              </w:rPr>
              <w:t>contrast,​</w:t>
            </w:r>
            <w:proofErr w:type="gramEnd"/>
            <w:r w:rsidRPr="005762E6">
              <w:rPr>
                <w:sz w:val="20"/>
                <w:szCs w:val="20"/>
              </w:rPr>
              <w:t xml:space="preserve"> among whites,​ menthol smokers were more likely to be former smokers than nonmenthol smokers (adjusted odds ratio=1.17,​ p&lt;0.05).,​ CONCLUSION: Our findings provide </w:t>
            </w:r>
            <w:r w:rsidRPr="005762E6">
              <w:rPr>
                <w:sz w:val="20"/>
                <w:szCs w:val="20"/>
              </w:rPr>
              <w:lastRenderedPageBreak/>
              <w:t>some support for the hypothesis that menthol smoking can lead to poorer cessation outcomes,​ but only for non-white smokers.</w:t>
            </w:r>
          </w:p>
        </w:tc>
      </w:tr>
      <w:tr w:rsidR="00B44564" w:rsidRPr="005762E6" w14:paraId="7D6DE069"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2A454C5" w14:textId="77777777" w:rsidR="00B44564" w:rsidRPr="005762E6" w:rsidRDefault="00B44564" w:rsidP="00EA69AA">
            <w:pPr>
              <w:spacing w:after="120" w:line="240" w:lineRule="auto"/>
              <w:contextualSpacing/>
              <w:rPr>
                <w:sz w:val="20"/>
                <w:szCs w:val="20"/>
              </w:rPr>
            </w:pPr>
            <w:r w:rsidRPr="005762E6">
              <w:rPr>
                <w:sz w:val="20"/>
                <w:szCs w:val="20"/>
              </w:rPr>
              <w:lastRenderedPageBreak/>
              <w:t>646</w:t>
            </w:r>
          </w:p>
        </w:tc>
        <w:tc>
          <w:tcPr>
            <w:tcW w:w="0" w:type="auto"/>
            <w:tcBorders>
              <w:top w:val="single" w:sz="6" w:space="0" w:color="auto"/>
              <w:left w:val="single" w:sz="6" w:space="0" w:color="auto"/>
              <w:bottom w:val="single" w:sz="6" w:space="0" w:color="auto"/>
              <w:right w:val="single" w:sz="6" w:space="0" w:color="auto"/>
            </w:tcBorders>
          </w:tcPr>
          <w:p w14:paraId="6554D518"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27FD729" w14:textId="677E90FD" w:rsidR="00B44564" w:rsidRPr="005762E6" w:rsidRDefault="00B44564" w:rsidP="00EA69AA">
            <w:pPr>
              <w:spacing w:after="120" w:line="240" w:lineRule="auto"/>
              <w:contextualSpacing/>
              <w:rPr>
                <w:sz w:val="20"/>
                <w:szCs w:val="20"/>
              </w:rPr>
            </w:pPr>
            <w:r w:rsidRPr="005762E6">
              <w:rPr>
                <w:sz w:val="20"/>
                <w:szCs w:val="20"/>
              </w:rPr>
              <w:t xml:space="preserve">Raphaela </w:t>
            </w:r>
            <w:proofErr w:type="gramStart"/>
            <w:r w:rsidRPr="005762E6">
              <w:rPr>
                <w:sz w:val="20"/>
                <w:szCs w:val="20"/>
              </w:rPr>
              <w:t>Finkenauer,​</w:t>
            </w:r>
            <w:proofErr w:type="gramEnd"/>
            <w:r w:rsidRPr="005762E6">
              <w:rPr>
                <w:sz w:val="20"/>
                <w:szCs w:val="20"/>
              </w:rPr>
              <w:t xml:space="preserve"> Cynthia S Pomerleau,​ Sandy M Snedecor,​ Ovide F Pomerleau Race differences in factors relating to smoking initiation</w:t>
            </w:r>
            <w:r w:rsidR="007F2F01">
              <w:rPr>
                <w:sz w:val="20"/>
                <w:szCs w:val="20"/>
              </w:rPr>
              <w:t>.</w:t>
            </w:r>
            <w:r w:rsidRPr="005762E6">
              <w:rPr>
                <w:sz w:val="20"/>
                <w:szCs w:val="20"/>
              </w:rPr>
              <w:t xml:space="preserve"> Addictive behaviors; 2009;34:1056.</w:t>
            </w:r>
            <w:r w:rsidRPr="005762E6">
              <w:rPr>
                <w:sz w:val="20"/>
                <w:szCs w:val="20"/>
              </w:rPr>
              <w:br/>
            </w:r>
            <w:r w:rsidRPr="005762E6">
              <w:rPr>
                <w:sz w:val="20"/>
                <w:szCs w:val="20"/>
              </w:rPr>
              <w:br/>
            </w:r>
            <w:r w:rsidRPr="005762E6">
              <w:rPr>
                <w:b/>
                <w:bCs/>
                <w:sz w:val="20"/>
                <w:szCs w:val="20"/>
              </w:rPr>
              <w:t>Keywords:</w:t>
            </w:r>
            <w:r w:rsidRPr="005762E6">
              <w:rPr>
                <w:sz w:val="20"/>
                <w:szCs w:val="20"/>
              </w:rPr>
              <w:br/>
              <w:t>Adult,​*African Americans,​*European Continental Ancestry Group,​Female,​Humans,​Male,​Retrospective Studies,​Risk Factors,​*Smoking/eh [Ethnology],​Smoking/px [Psychology],​Socioeconomic Factors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To investigate race differences in retrospectively-reported early smoking experiences,​ we studied African-American (n=48) and Caucasian (n=155) current smokers who participated in a study designed to identify phenotypic and genotypic factors associated with smoking. Compared with Caucasian </w:t>
            </w:r>
            <w:proofErr w:type="gramStart"/>
            <w:r w:rsidRPr="005762E6">
              <w:rPr>
                <w:sz w:val="20"/>
                <w:szCs w:val="20"/>
              </w:rPr>
              <w:t>smokers,​</w:t>
            </w:r>
            <w:proofErr w:type="gramEnd"/>
            <w:r w:rsidRPr="005762E6">
              <w:rPr>
                <w:sz w:val="20"/>
                <w:szCs w:val="20"/>
              </w:rPr>
              <w:t xml:space="preserve"> African-American smokers were less educated (mean+/-s.e.m.: 13.3+/-0.25 vs. 14.3 +/- 0.16; p&lt;.01),​ had higher BMI (28.9+/-1.06 vs. 26.7+/-0.52; p&lt;.05),​ and smoked significantly fewer cigarettes/day (14.1+/-1.00 vs. 18.4+/-0.74; p&lt;.01). Ninety percent of African-American smokers consumed menthol </w:t>
            </w:r>
            <w:proofErr w:type="gramStart"/>
            <w:r w:rsidRPr="005762E6">
              <w:rPr>
                <w:sz w:val="20"/>
                <w:szCs w:val="20"/>
              </w:rPr>
              <w:t>cigarettes,​</w:t>
            </w:r>
            <w:proofErr w:type="gramEnd"/>
            <w:r w:rsidRPr="005762E6">
              <w:rPr>
                <w:sz w:val="20"/>
                <w:szCs w:val="20"/>
              </w:rPr>
              <w:t xml:space="preserve"> as opposed to 25% of Caucasian smokers. African-American smokers were significantly older than Caucasian smokers upon initial smoking experimentation (17.4+/-1.1 vs. 14.7+/-0.3; p&lt;.05) and onset of regular smoking (19.7+/-0.9 vs. 17.4+/-0.4; p&lt;.05). African-American smokers were significantly more likely than Caucasian smokers to endorse global pleasurable sensations (48% vs. 30%; p&lt;.05</w:t>
            </w:r>
            <w:proofErr w:type="gramStart"/>
            <w:r w:rsidRPr="005762E6">
              <w:rPr>
                <w:sz w:val="20"/>
                <w:szCs w:val="20"/>
              </w:rPr>
              <w:t>),​</w:t>
            </w:r>
            <w:proofErr w:type="gramEnd"/>
            <w:r w:rsidRPr="005762E6">
              <w:rPr>
                <w:sz w:val="20"/>
                <w:szCs w:val="20"/>
              </w:rPr>
              <w:t xml:space="preserve"> "pleasurable rush or buzz" (62% vs. 43%; p&lt;.05),​ and "relaxing" (45% vs. 27%; p&lt;.05) as early experiences with smoking,​ whereas Caucasian smokers were marginally more likely to report dizziness and difficulty inhaling (61% vs. 45%; p&lt;.10 and 48% vs. 31%; p&lt;.10,​ respectively). Caucasian smokers were significantly more likely to endorse friends (6.9+/-0.2 vs. 4.8+/-0.4; p&lt;.0001) and "perk me up" (4.2+/-0.3 vs. 3.1+/-0.4; p&lt;.05) and marginally more likely to endorse buzz (4.2+/-0.2 vs. 3.4+/-0.5; p&lt;.10) as reasons for starting to smoke. Further research is needed to determine the relative contributions of </w:t>
            </w:r>
            <w:proofErr w:type="gramStart"/>
            <w:r w:rsidRPr="005762E6">
              <w:rPr>
                <w:sz w:val="20"/>
                <w:szCs w:val="20"/>
              </w:rPr>
              <w:t>genetic,​</w:t>
            </w:r>
            <w:proofErr w:type="gramEnd"/>
            <w:r w:rsidRPr="005762E6">
              <w:rPr>
                <w:sz w:val="20"/>
                <w:szCs w:val="20"/>
              </w:rPr>
              <w:t xml:space="preserve"> developmental,​ and socio-cultural factors to these findings.</w:t>
            </w:r>
          </w:p>
        </w:tc>
      </w:tr>
      <w:tr w:rsidR="00B44564" w:rsidRPr="005762E6" w14:paraId="78E23C47"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B4715E7" w14:textId="77777777" w:rsidR="00B44564" w:rsidRPr="005762E6" w:rsidRDefault="00B44564" w:rsidP="00EA69AA">
            <w:pPr>
              <w:spacing w:after="120" w:line="240" w:lineRule="auto"/>
              <w:contextualSpacing/>
              <w:rPr>
                <w:sz w:val="20"/>
                <w:szCs w:val="20"/>
              </w:rPr>
            </w:pPr>
            <w:r w:rsidRPr="005762E6">
              <w:rPr>
                <w:sz w:val="20"/>
                <w:szCs w:val="20"/>
              </w:rPr>
              <w:t>648</w:t>
            </w:r>
          </w:p>
        </w:tc>
        <w:tc>
          <w:tcPr>
            <w:tcW w:w="0" w:type="auto"/>
            <w:tcBorders>
              <w:top w:val="single" w:sz="6" w:space="0" w:color="auto"/>
              <w:left w:val="single" w:sz="6" w:space="0" w:color="auto"/>
              <w:bottom w:val="single" w:sz="6" w:space="0" w:color="auto"/>
              <w:right w:val="single" w:sz="6" w:space="0" w:color="auto"/>
            </w:tcBorders>
          </w:tcPr>
          <w:p w14:paraId="71203620"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BC96986" w14:textId="7D8D195E" w:rsidR="00B44564" w:rsidRPr="005762E6" w:rsidRDefault="00B44564" w:rsidP="00EA69AA">
            <w:pPr>
              <w:spacing w:after="120" w:line="240" w:lineRule="auto"/>
              <w:contextualSpacing/>
              <w:rPr>
                <w:sz w:val="20"/>
                <w:szCs w:val="20"/>
              </w:rPr>
            </w:pPr>
            <w:r w:rsidRPr="005762E6">
              <w:rPr>
                <w:sz w:val="20"/>
                <w:szCs w:val="20"/>
              </w:rPr>
              <w:t xml:space="preserve">Karen L </w:t>
            </w:r>
            <w:proofErr w:type="gramStart"/>
            <w:r w:rsidRPr="005762E6">
              <w:rPr>
                <w:sz w:val="20"/>
                <w:szCs w:val="20"/>
              </w:rPr>
              <w:t>Cropsey,​</w:t>
            </w:r>
            <w:proofErr w:type="gramEnd"/>
            <w:r w:rsidRPr="005762E6">
              <w:rPr>
                <w:sz w:val="20"/>
                <w:szCs w:val="20"/>
              </w:rPr>
              <w:t xml:space="preserve"> Michael F Weaver,​ Gloria D Eldridge,​ Gabriela C Villalobos,​ Al M Best,​ Maxine L Stitzer Differential success rates in racial groups: results of a clinical trial of smoking cessation among female prisoners</w:t>
            </w:r>
            <w:r w:rsidR="007F2F01">
              <w:rPr>
                <w:sz w:val="20"/>
                <w:szCs w:val="20"/>
              </w:rPr>
              <w:t>.</w:t>
            </w:r>
            <w:r w:rsidRPr="005762E6">
              <w:rPr>
                <w:sz w:val="20"/>
                <w:szCs w:val="20"/>
              </w:rPr>
              <w:t xml:space="preserve"> Nicotine &amp; tobacco research : official journal of the Society for Research on Nicotine and Tobacco; 2009;11:690.</w:t>
            </w:r>
            <w:r w:rsidRPr="005762E6">
              <w:rPr>
                <w:sz w:val="20"/>
                <w:szCs w:val="20"/>
              </w:rPr>
              <w:br/>
            </w:r>
            <w:r w:rsidRPr="005762E6">
              <w:rPr>
                <w:sz w:val="20"/>
                <w:szCs w:val="20"/>
              </w:rPr>
              <w:br/>
            </w:r>
            <w:r w:rsidRPr="005762E6">
              <w:rPr>
                <w:b/>
                <w:bCs/>
                <w:sz w:val="20"/>
                <w:szCs w:val="20"/>
              </w:rPr>
              <w:t>Keywords:</w:t>
            </w:r>
            <w:r w:rsidRPr="005762E6">
              <w:rPr>
                <w:sz w:val="20"/>
                <w:szCs w:val="20"/>
              </w:rPr>
              <w:br/>
              <w:t>Adult,​*African Americans/sn [Statistics &amp; Numerical Data],​Attitude to Health/eh [Ethnology],​Counseling/sn [Statistics &amp; Numerical Data],​*European Continental Ancestry Group/sn [Statistics &amp; Numerical Data],​Female,​Health Promotion/sn [Statistics &amp; Numerical Data],​Humans,​Middle Aged,​*Prisoners/sn [Statistics &amp; Numerical Data],​*Smoking/eh [Ethnology],​*Smoking/th [Therapy],​*Smoking Cessation/eh [Ethnology],​Smoking Cessation/mt [Methods],​Surveys and Questionnaires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INTRODUCTION: This study replicated prior observations of racial differences in smoking cessation in which Black smokers have demonstrated lower smoking cessation rates than White smokers.,​ METHODS: The study used data from a smoking cessation intervention and compared White and Black female prisoners (N = 233) on a 10-week intervention of group psychotherapy and nicotine replacement (patch). Generalized estimating equations were used to model smoking cessation across the 12-month follow-up</w:t>
            </w:r>
            <w:proofErr w:type="gramStart"/>
            <w:r w:rsidRPr="005762E6">
              <w:rPr>
                <w:sz w:val="20"/>
                <w:szCs w:val="20"/>
              </w:rPr>
              <w:t>.,​</w:t>
            </w:r>
            <w:proofErr w:type="gramEnd"/>
            <w:r w:rsidRPr="005762E6">
              <w:rPr>
                <w:sz w:val="20"/>
                <w:szCs w:val="20"/>
              </w:rPr>
              <w:t xml:space="preserve"> RESULTS: Compared with an untreated control group,​ both Black and White smokers benefited from the cessation treatment. </w:t>
            </w:r>
            <w:proofErr w:type="gramStart"/>
            <w:r w:rsidRPr="005762E6">
              <w:rPr>
                <w:sz w:val="20"/>
                <w:szCs w:val="20"/>
              </w:rPr>
              <w:t>However,​</w:t>
            </w:r>
            <w:proofErr w:type="gramEnd"/>
            <w:r w:rsidRPr="005762E6">
              <w:rPr>
                <w:sz w:val="20"/>
                <w:szCs w:val="20"/>
              </w:rPr>
              <w:t xml:space="preserve"> after controlling for potential confounds,​ White smokers had significantly higher overall smoking cessation rates across time compared with Black smokers (e.g.,​ 30% vs. 24% abstinent at 6 weeks; 13% vs. 10% abstinent at 12 months). Smoking mentholated cigarettes was not associated with these differences in quit rates</w:t>
            </w:r>
            <w:proofErr w:type="gramStart"/>
            <w:r w:rsidRPr="005762E6">
              <w:rPr>
                <w:sz w:val="20"/>
                <w:szCs w:val="20"/>
              </w:rPr>
              <w:t>.,​</w:t>
            </w:r>
            <w:proofErr w:type="gramEnd"/>
            <w:r w:rsidRPr="005762E6">
              <w:rPr>
                <w:sz w:val="20"/>
                <w:szCs w:val="20"/>
              </w:rPr>
              <w:t xml:space="preserve"> DISCUSSION: Understanding differential treatment responses can lead to the development of more tailored and efficacious smoking cessation interventions that may reduce the morbidity and mortality associated with smoking in prison populations.</w:t>
            </w:r>
          </w:p>
        </w:tc>
      </w:tr>
      <w:tr w:rsidR="00B44564" w:rsidRPr="005762E6" w14:paraId="793D241B"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A2F60B6" w14:textId="77777777" w:rsidR="00B44564" w:rsidRPr="005762E6" w:rsidRDefault="00B44564" w:rsidP="00EA69AA">
            <w:pPr>
              <w:spacing w:after="120" w:line="240" w:lineRule="auto"/>
              <w:contextualSpacing/>
              <w:rPr>
                <w:sz w:val="20"/>
                <w:szCs w:val="20"/>
              </w:rPr>
            </w:pPr>
            <w:r w:rsidRPr="005762E6">
              <w:rPr>
                <w:sz w:val="20"/>
                <w:szCs w:val="20"/>
              </w:rPr>
              <w:t>650</w:t>
            </w:r>
          </w:p>
        </w:tc>
        <w:tc>
          <w:tcPr>
            <w:tcW w:w="0" w:type="auto"/>
            <w:tcBorders>
              <w:top w:val="single" w:sz="6" w:space="0" w:color="auto"/>
              <w:left w:val="single" w:sz="6" w:space="0" w:color="auto"/>
              <w:bottom w:val="single" w:sz="6" w:space="0" w:color="auto"/>
              <w:right w:val="single" w:sz="6" w:space="0" w:color="auto"/>
            </w:tcBorders>
          </w:tcPr>
          <w:p w14:paraId="269DF5C5"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4EA3D44" w14:textId="291314B9" w:rsidR="00B44564" w:rsidRPr="005762E6" w:rsidRDefault="00B44564" w:rsidP="00EA69AA">
            <w:pPr>
              <w:spacing w:after="120" w:line="240" w:lineRule="auto"/>
              <w:contextualSpacing/>
              <w:rPr>
                <w:sz w:val="20"/>
                <w:szCs w:val="20"/>
              </w:rPr>
            </w:pPr>
            <w:r w:rsidRPr="005762E6">
              <w:rPr>
                <w:sz w:val="20"/>
                <w:szCs w:val="20"/>
              </w:rPr>
              <w:t xml:space="preserve">K </w:t>
            </w:r>
            <w:proofErr w:type="spellStart"/>
            <w:r w:rsidRPr="005762E6">
              <w:rPr>
                <w:sz w:val="20"/>
                <w:szCs w:val="20"/>
              </w:rPr>
              <w:t>K</w:t>
            </w:r>
            <w:proofErr w:type="spellEnd"/>
            <w:r w:rsidRPr="005762E6">
              <w:rPr>
                <w:sz w:val="20"/>
                <w:szCs w:val="20"/>
              </w:rPr>
              <w:t xml:space="preserve"> </w:t>
            </w:r>
            <w:proofErr w:type="gramStart"/>
            <w:r w:rsidRPr="005762E6">
              <w:rPr>
                <w:sz w:val="20"/>
                <w:szCs w:val="20"/>
              </w:rPr>
              <w:t>Gandhi,​</w:t>
            </w:r>
            <w:proofErr w:type="gramEnd"/>
            <w:r w:rsidRPr="005762E6">
              <w:rPr>
                <w:sz w:val="20"/>
                <w:szCs w:val="20"/>
              </w:rPr>
              <w:t xml:space="preserve"> J Foulds,​ M B Steinberg,​ S-E Lu,​ J M Williams Lower quit rates among African American and Latino menthol cigarette smokers at a tobacco treatment clinic</w:t>
            </w:r>
            <w:r w:rsidR="007F2F01">
              <w:rPr>
                <w:sz w:val="20"/>
                <w:szCs w:val="20"/>
              </w:rPr>
              <w:t>.</w:t>
            </w:r>
            <w:r w:rsidRPr="005762E6">
              <w:rPr>
                <w:sz w:val="20"/>
                <w:szCs w:val="20"/>
              </w:rPr>
              <w:t xml:space="preserve"> International journal of clinical practice; 2009;63:360.</w:t>
            </w:r>
            <w:r w:rsidRPr="005762E6">
              <w:rPr>
                <w:sz w:val="20"/>
                <w:szCs w:val="20"/>
              </w:rPr>
              <w:br/>
            </w:r>
            <w:r w:rsidRPr="005762E6">
              <w:rPr>
                <w:sz w:val="20"/>
                <w:szCs w:val="20"/>
              </w:rPr>
              <w:lastRenderedPageBreak/>
              <w:br/>
            </w:r>
            <w:r w:rsidRPr="005762E6">
              <w:rPr>
                <w:b/>
                <w:bCs/>
                <w:sz w:val="20"/>
                <w:szCs w:val="20"/>
              </w:rPr>
              <w:t>Keywords:</w:t>
            </w:r>
            <w:r w:rsidRPr="005762E6">
              <w:rPr>
                <w:sz w:val="20"/>
                <w:szCs w:val="20"/>
              </w:rPr>
              <w:br/>
              <w:t>Adult,​*African Americans/sn [Statistics &amp; Numerical Data],​Cohort Studies,​Educational Status,​European Continental Ancestry Group/sn [Statistics &amp; Numerical Data],​Female,​*Hispanic Americans/sn [Statistics &amp; Numerical Data],​Humans,​Male,​Menthol,​New Jersey,​Retrospective Studies,​Smoking/eh [Ethnology],​*Smoking Cessation/eh [Ethnology],​Smoking Cessation/sn [Statistics &amp; Numerical Data],​*Smoking Prevention,​Socioeconomic Factors,​Treatment Outcome</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Lower rates of smoking cessation and higher rates of lung cancer in African American (AA) smokers may be linked to their preference for mentholated cigarettes.,​ AIM: This study assessed the relationship between menthol smoking,​ race/ethnicity and smoking cessation among a diverse cohort of 1688 patients attending a specialist smoking cessation service.,​ RESULTS: 46% of the patients smoked mentholated cigarettes,​ but significantly more AA (81%) and Latino (66%) patients than Whites (32%) smoked menthols. AA and Latino menthol smokers smoked significantly fewer cigarettes per day (CPD) than non-menthol smokers (15.7 vs. </w:t>
            </w:r>
            <w:proofErr w:type="gramStart"/>
            <w:r w:rsidRPr="005762E6">
              <w:rPr>
                <w:sz w:val="20"/>
                <w:szCs w:val="20"/>
              </w:rPr>
              <w:t>20.3,​</w:t>
            </w:r>
            <w:proofErr w:type="gramEnd"/>
            <w:r w:rsidRPr="005762E6">
              <w:rPr>
                <w:sz w:val="20"/>
                <w:szCs w:val="20"/>
              </w:rPr>
              <w:t xml:space="preserve"> for AA,​ and 17.0 vs. 22.1,​ for Latinos),​ with no differences among White menthol and non-menthol smokers. At 4-week follow </w:t>
            </w:r>
            <w:proofErr w:type="gramStart"/>
            <w:r w:rsidRPr="005762E6">
              <w:rPr>
                <w:sz w:val="20"/>
                <w:szCs w:val="20"/>
              </w:rPr>
              <w:t>up,​</w:t>
            </w:r>
            <w:proofErr w:type="gramEnd"/>
            <w:r w:rsidRPr="005762E6">
              <w:rPr>
                <w:sz w:val="20"/>
                <w:szCs w:val="20"/>
              </w:rPr>
              <w:t xml:space="preserve"> AA,​ Latino and White non-menthol smokers had similar quit rates (54%,​ 50% and 50% respectively). In </w:t>
            </w:r>
            <w:proofErr w:type="gramStart"/>
            <w:r w:rsidRPr="005762E6">
              <w:rPr>
                <w:sz w:val="20"/>
                <w:szCs w:val="20"/>
              </w:rPr>
              <w:t>contrast,​</w:t>
            </w:r>
            <w:proofErr w:type="gramEnd"/>
            <w:r w:rsidRPr="005762E6">
              <w:rPr>
                <w:sz w:val="20"/>
                <w:szCs w:val="20"/>
              </w:rPr>
              <w:t xml:space="preserve"> among menthol smokers,​ AAs and Latinos had lower quit rates (30% and 23% respectively) compared with Whites (43%,​ p &lt; 0.001). AA and Latino menthol smokers had significantly lower odds of quitting [odds ratio (OR) = 0.34; 95% CI = </w:t>
            </w:r>
            <w:proofErr w:type="gramStart"/>
            <w:r w:rsidRPr="005762E6">
              <w:rPr>
                <w:sz w:val="20"/>
                <w:szCs w:val="20"/>
              </w:rPr>
              <w:t>0.17,​</w:t>
            </w:r>
            <w:proofErr w:type="gramEnd"/>
            <w:r w:rsidRPr="005762E6">
              <w:rPr>
                <w:sz w:val="20"/>
                <w:szCs w:val="20"/>
              </w:rPr>
              <w:t xml:space="preserve"> 0.69 for AA,​ and OR = 0.32; 95% CI = 0.16,​ 0.62 for Latinos] than their non-menthol counterparts. At 6-month follow </w:t>
            </w:r>
            <w:proofErr w:type="gramStart"/>
            <w:r w:rsidRPr="005762E6">
              <w:rPr>
                <w:sz w:val="20"/>
                <w:szCs w:val="20"/>
              </w:rPr>
              <w:t>up,​</w:t>
            </w:r>
            <w:proofErr w:type="gramEnd"/>
            <w:r w:rsidRPr="005762E6">
              <w:rPr>
                <w:sz w:val="20"/>
                <w:szCs w:val="20"/>
              </w:rPr>
              <w:t xml:space="preserve"> a similar trend was observed for the race/ethnicity subgroups,​ with AA menthol smokers having half the odds of being abstinent compared with AA non-menthol smokers (OR = 0.48; 95% CI = 0.25,​ 0.9).,​ CONCLUSIONS: Despite smoking fewer CPD,​ AA and Latino menthol smokers experience reduced success in quitting as compared with non-menthol smokers within the same ethnic/racial groups.</w:t>
            </w:r>
          </w:p>
        </w:tc>
      </w:tr>
      <w:tr w:rsidR="00B44564" w:rsidRPr="005762E6" w14:paraId="247B022B"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99F07CF" w14:textId="77777777" w:rsidR="00B44564" w:rsidRPr="005762E6" w:rsidRDefault="00B44564" w:rsidP="00EA69AA">
            <w:pPr>
              <w:spacing w:after="120" w:line="240" w:lineRule="auto"/>
              <w:contextualSpacing/>
              <w:rPr>
                <w:sz w:val="20"/>
                <w:szCs w:val="20"/>
              </w:rPr>
            </w:pPr>
            <w:r w:rsidRPr="005762E6">
              <w:rPr>
                <w:sz w:val="20"/>
                <w:szCs w:val="20"/>
              </w:rPr>
              <w:lastRenderedPageBreak/>
              <w:t>652</w:t>
            </w:r>
          </w:p>
        </w:tc>
        <w:tc>
          <w:tcPr>
            <w:tcW w:w="0" w:type="auto"/>
            <w:tcBorders>
              <w:top w:val="single" w:sz="6" w:space="0" w:color="auto"/>
              <w:left w:val="single" w:sz="6" w:space="0" w:color="auto"/>
              <w:bottom w:val="single" w:sz="6" w:space="0" w:color="auto"/>
              <w:right w:val="single" w:sz="6" w:space="0" w:color="auto"/>
            </w:tcBorders>
          </w:tcPr>
          <w:p w14:paraId="24FB6E89"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CCC4B8B" w14:textId="5C0ED47F" w:rsidR="00B44564" w:rsidRPr="005762E6" w:rsidRDefault="00B44564" w:rsidP="00EA69AA">
            <w:pPr>
              <w:spacing w:after="120" w:line="240" w:lineRule="auto"/>
              <w:contextualSpacing/>
              <w:rPr>
                <w:sz w:val="20"/>
                <w:szCs w:val="20"/>
              </w:rPr>
            </w:pPr>
            <w:r w:rsidRPr="005762E6">
              <w:rPr>
                <w:sz w:val="20"/>
                <w:szCs w:val="20"/>
              </w:rPr>
              <w:t xml:space="preserve">Joshua E </w:t>
            </w:r>
            <w:proofErr w:type="gramStart"/>
            <w:r w:rsidRPr="005762E6">
              <w:rPr>
                <w:sz w:val="20"/>
                <w:szCs w:val="20"/>
              </w:rPr>
              <w:t>Muscat,​</w:t>
            </w:r>
            <w:proofErr w:type="gramEnd"/>
            <w:r w:rsidRPr="005762E6">
              <w:rPr>
                <w:sz w:val="20"/>
                <w:szCs w:val="20"/>
              </w:rPr>
              <w:t xml:space="preserve"> Gang Chen,​ Ashley Knipe,​ Steven D Stellman,​ Philip Lazarus,​ John P Jr Richie Effects of menthol on tobacco smoke exposure,​ nicotine dependence,​ and NNAL glucuronidation</w:t>
            </w:r>
            <w:r w:rsidR="007F2F01">
              <w:rPr>
                <w:sz w:val="20"/>
                <w:szCs w:val="20"/>
              </w:rPr>
              <w:t>.</w:t>
            </w:r>
            <w:r w:rsidRPr="005762E6">
              <w:rPr>
                <w:sz w:val="20"/>
                <w:szCs w:val="20"/>
              </w:rPr>
              <w:t xml:space="preserve"> Cancer epidemiology,​ biomarkers &amp; prevention : a publication of the American Association for Cancer Research,​ cosponsored by the American Society of Preventive Oncology; 2009;18:35.</w:t>
            </w:r>
            <w:r w:rsidRPr="005762E6">
              <w:rPr>
                <w:sz w:val="20"/>
                <w:szCs w:val="20"/>
              </w:rPr>
              <w:br/>
            </w:r>
            <w:r w:rsidRPr="005762E6">
              <w:rPr>
                <w:sz w:val="20"/>
                <w:szCs w:val="20"/>
              </w:rPr>
              <w:br/>
            </w:r>
            <w:r w:rsidRPr="005762E6">
              <w:rPr>
                <w:b/>
                <w:bCs/>
                <w:sz w:val="20"/>
                <w:szCs w:val="20"/>
              </w:rPr>
              <w:t>Keywords:</w:t>
            </w:r>
            <w:r w:rsidRPr="005762E6">
              <w:rPr>
                <w:sz w:val="20"/>
                <w:szCs w:val="20"/>
              </w:rPr>
              <w:br/>
              <w:t>African Continental Ancestry Group,​*Biomarkers/me [Metabolism],​Chi-Square Distribution,​Cotinine/me [Metabolism],​Cross-Sectional Studies,​European Continental Ancestry Group,​Female,​*Glucuronates/ur [Urine],​Humans,​Male,​*Menthol/me [Metabolism],​Menthol/to [Toxicity],​*Nitrosamines/ur [Urine],​Regression Analysis,​Thiocyanates/bl [Blood],​*Tobacco Smoke Pollution,​*Tobacco Use Disorder/me [Metabolism]</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Menthol is a controversial cigarette additive because its physiologic or pharmacologic effects may possibly increase the risk for cancer and its targeted market is the Black community. In a community-based cross-sectional study on 525 Black and White </w:t>
            </w:r>
            <w:proofErr w:type="gramStart"/>
            <w:r w:rsidRPr="005762E6">
              <w:rPr>
                <w:sz w:val="20"/>
                <w:szCs w:val="20"/>
              </w:rPr>
              <w:t>volunteers,​</w:t>
            </w:r>
            <w:proofErr w:type="gramEnd"/>
            <w:r w:rsidRPr="005762E6">
              <w:rPr>
                <w:sz w:val="20"/>
                <w:szCs w:val="20"/>
              </w:rPr>
              <w:t xml:space="preserve"> we compared levels of urinary and plasma cotinine,​ plasma thiocyanate,​ urinary 4-(N-nitrosomethylamino)-1-(3-pyridyl)-1-butanol (NNAL),​ and its detoxified form (NNAL-Gluc) between menthol and nonmenthol smokers. In regression models that adjusted for daily cigarette </w:t>
            </w:r>
            <w:proofErr w:type="gramStart"/>
            <w:r w:rsidRPr="005762E6">
              <w:rPr>
                <w:sz w:val="20"/>
                <w:szCs w:val="20"/>
              </w:rPr>
              <w:t>intake,​</w:t>
            </w:r>
            <w:proofErr w:type="gramEnd"/>
            <w:r w:rsidRPr="005762E6">
              <w:rPr>
                <w:sz w:val="20"/>
                <w:szCs w:val="20"/>
              </w:rPr>
              <w:t xml:space="preserve"> no significant differences were observed in the concentration of these biomarkers by menthol status in both races. There was no significant association between high Fagerstrom nicotine dependence scores and the use of menthol cigarettes (odds </w:t>
            </w:r>
            <w:proofErr w:type="gramStart"/>
            <w:r w:rsidRPr="005762E6">
              <w:rPr>
                <w:sz w:val="20"/>
                <w:szCs w:val="20"/>
              </w:rPr>
              <w:t>ratio,​</w:t>
            </w:r>
            <w:proofErr w:type="gramEnd"/>
            <w:r w:rsidRPr="005762E6">
              <w:rPr>
                <w:sz w:val="20"/>
                <w:szCs w:val="20"/>
              </w:rPr>
              <w:t xml:space="preserve"> 1.1; 95% confidence interval,​ 0.6-2.0),​ but an increased risk was observed with smoking a cigarette soon (&lt;or=30 minutes) after waking (odds ratio,​ 2.1; 95% confidence interval,​ 1.0-3.8). The ratio of NNAL-Gluc to </w:t>
            </w:r>
            <w:proofErr w:type="gramStart"/>
            <w:r w:rsidRPr="005762E6">
              <w:rPr>
                <w:sz w:val="20"/>
                <w:szCs w:val="20"/>
              </w:rPr>
              <w:t>NNAL,​</w:t>
            </w:r>
            <w:proofErr w:type="gramEnd"/>
            <w:r w:rsidRPr="005762E6">
              <w:rPr>
                <w:sz w:val="20"/>
                <w:szCs w:val="20"/>
              </w:rPr>
              <w:t xml:space="preserve"> a possible indicator of lung cancer risk,​ was significantly lower in menthol versus nonmenthol smokers. The NNAL-Gluc/NNAL ratio was 34% lower in Whites (P &lt; 0.01) and 22% lower in Blacks. In subsequent human liver microsome </w:t>
            </w:r>
            <w:proofErr w:type="gramStart"/>
            <w:r w:rsidRPr="005762E6">
              <w:rPr>
                <w:sz w:val="20"/>
                <w:szCs w:val="20"/>
              </w:rPr>
              <w:t>studies,​</w:t>
            </w:r>
            <w:proofErr w:type="gramEnd"/>
            <w:r w:rsidRPr="005762E6">
              <w:rPr>
                <w:sz w:val="20"/>
                <w:szCs w:val="20"/>
              </w:rPr>
              <w:t xml:space="preserve"> menthol inhibited the rate of NNAL-O-glucuronidation and NNAL-N-glucuronidation. </w:t>
            </w:r>
            <w:proofErr w:type="gramStart"/>
            <w:r w:rsidRPr="005762E6">
              <w:rPr>
                <w:sz w:val="20"/>
                <w:szCs w:val="20"/>
              </w:rPr>
              <w:t>Collectively,​</w:t>
            </w:r>
            <w:proofErr w:type="gramEnd"/>
            <w:r w:rsidRPr="005762E6">
              <w:rPr>
                <w:sz w:val="20"/>
                <w:szCs w:val="20"/>
              </w:rPr>
              <w:t xml:space="preserve"> these results show that menthol does not affect biological exposure to tobacco smoke constituents but indicates that menthol might inhibit the detoxification of the potent lung carcinogen NNAL.</w:t>
            </w:r>
          </w:p>
        </w:tc>
      </w:tr>
      <w:tr w:rsidR="00B44564" w:rsidRPr="005762E6" w14:paraId="76978C7D"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E0EE9F7" w14:textId="77777777" w:rsidR="00B44564" w:rsidRPr="005762E6" w:rsidRDefault="00B44564" w:rsidP="00EA69AA">
            <w:pPr>
              <w:spacing w:after="120" w:line="240" w:lineRule="auto"/>
              <w:contextualSpacing/>
              <w:rPr>
                <w:sz w:val="20"/>
                <w:szCs w:val="20"/>
              </w:rPr>
            </w:pPr>
            <w:r w:rsidRPr="005762E6">
              <w:rPr>
                <w:sz w:val="20"/>
                <w:szCs w:val="20"/>
              </w:rPr>
              <w:t>654</w:t>
            </w:r>
          </w:p>
        </w:tc>
        <w:tc>
          <w:tcPr>
            <w:tcW w:w="0" w:type="auto"/>
            <w:tcBorders>
              <w:top w:val="single" w:sz="6" w:space="0" w:color="auto"/>
              <w:left w:val="single" w:sz="6" w:space="0" w:color="auto"/>
              <w:bottom w:val="single" w:sz="6" w:space="0" w:color="auto"/>
              <w:right w:val="single" w:sz="6" w:space="0" w:color="auto"/>
            </w:tcBorders>
          </w:tcPr>
          <w:p w14:paraId="3D32610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0C026A6" w14:textId="3FFAFD6E" w:rsidR="00B44564" w:rsidRPr="005762E6" w:rsidRDefault="00B44564" w:rsidP="00EA69AA">
            <w:pPr>
              <w:spacing w:after="120" w:line="240" w:lineRule="auto"/>
              <w:contextualSpacing/>
              <w:rPr>
                <w:sz w:val="20"/>
                <w:szCs w:val="20"/>
              </w:rPr>
            </w:pPr>
            <w:r w:rsidRPr="005762E6">
              <w:rPr>
                <w:sz w:val="20"/>
                <w:szCs w:val="20"/>
              </w:rPr>
              <w:t xml:space="preserve">Jessica L </w:t>
            </w:r>
            <w:proofErr w:type="gramStart"/>
            <w:r w:rsidRPr="005762E6">
              <w:rPr>
                <w:sz w:val="20"/>
                <w:szCs w:val="20"/>
              </w:rPr>
              <w:t>Muilenburg,​</w:t>
            </w:r>
            <w:proofErr w:type="gramEnd"/>
            <w:r w:rsidRPr="005762E6">
              <w:rPr>
                <w:sz w:val="20"/>
                <w:szCs w:val="20"/>
              </w:rPr>
              <w:t xml:space="preserve"> Jerome S Jr Legge African American adolescents and menthol cigarettes: smoking behavior among secondary school students</w:t>
            </w:r>
            <w:r w:rsidR="007F2F01">
              <w:rPr>
                <w:sz w:val="20"/>
                <w:szCs w:val="20"/>
              </w:rPr>
              <w:t>.</w:t>
            </w:r>
            <w:r w:rsidRPr="005762E6">
              <w:rPr>
                <w:sz w:val="20"/>
                <w:szCs w:val="20"/>
              </w:rPr>
              <w:t xml:space="preserve"> The Journal of adolescent health : official publication of the </w:t>
            </w:r>
            <w:r w:rsidRPr="005762E6">
              <w:rPr>
                <w:sz w:val="20"/>
                <w:szCs w:val="20"/>
              </w:rPr>
              <w:lastRenderedPageBreak/>
              <w:t>Society for Adolescent Medicine; 2008;43:570.</w:t>
            </w:r>
            <w:r w:rsidRPr="005762E6">
              <w:rPr>
                <w:sz w:val="20"/>
                <w:szCs w:val="20"/>
              </w:rPr>
              <w:br/>
            </w:r>
            <w:r w:rsidRPr="005762E6">
              <w:rPr>
                <w:sz w:val="20"/>
                <w:szCs w:val="20"/>
              </w:rPr>
              <w:br/>
            </w:r>
            <w:r w:rsidRPr="005762E6">
              <w:rPr>
                <w:b/>
                <w:bCs/>
                <w:sz w:val="20"/>
                <w:szCs w:val="20"/>
              </w:rPr>
              <w:t>Keywords:</w:t>
            </w:r>
            <w:r w:rsidRPr="005762E6">
              <w:rPr>
                <w:sz w:val="20"/>
                <w:szCs w:val="20"/>
              </w:rPr>
              <w:br/>
              <w:t>Adolescent,​*Adolescent Behavior/eh [Ethnology],​*African Americans/sn [Statistics &amp; Numerical Data],​Age Distribution,​Case-Control Studies,​Child,​European Continental Ancestry Group/sn [Statistics &amp; Numerical Data],​Female,​Health Behavior/eh [Ethnology],​Health Surveys,​Humans,​Male,​Menthol,​Sex Distribution,​*Smoking/eh [Ethnology],​Social Environment,​Southeastern United States/ep [Epidemiology],​*Students/sn [Statistics &amp; Numerical Data],​Young Adult</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PURPOSE: This paper examines the impact of smoking menthol cigarettes among secondary students,​ primarily African Americans,​ across five measures of smoking behavior.,​ METHODS: Data were gathered from a 2006 survey of six secondary schools in a large urban area in the southeastern United States. Ordered logit analysis is employed to estimate race and menthol effects on cigarette consumption</w:t>
            </w:r>
            <w:proofErr w:type="gramStart"/>
            <w:r w:rsidRPr="005762E6">
              <w:rPr>
                <w:sz w:val="20"/>
                <w:szCs w:val="20"/>
              </w:rPr>
              <w:t>.,​</w:t>
            </w:r>
            <w:proofErr w:type="gramEnd"/>
            <w:r w:rsidRPr="005762E6">
              <w:rPr>
                <w:sz w:val="20"/>
                <w:szCs w:val="20"/>
              </w:rPr>
              <w:t xml:space="preserve"> RESULTS: African American youth smoke at lower rates than white adolescents; menthol smokers consume cigarettes at higher rates irrespective of race. Most </w:t>
            </w:r>
            <w:proofErr w:type="gramStart"/>
            <w:r w:rsidRPr="005762E6">
              <w:rPr>
                <w:sz w:val="20"/>
                <w:szCs w:val="20"/>
              </w:rPr>
              <w:t>importantly,​</w:t>
            </w:r>
            <w:proofErr w:type="gramEnd"/>
            <w:r w:rsidRPr="005762E6">
              <w:rPr>
                <w:sz w:val="20"/>
                <w:szCs w:val="20"/>
              </w:rPr>
              <w:t xml:space="preserve"> there is a strong interaction effect with black menthol smokers demonstrating the highest levels of cigarette consumption.,​ CONCLUSIONS: There is a need to provide adolescent and adult African Americans accurate information on the dangers of menthol cigarettes. Any proposed legislation should consider the special problems of menthol and its relationship to high cigarette </w:t>
            </w:r>
            <w:proofErr w:type="gramStart"/>
            <w:r w:rsidRPr="005762E6">
              <w:rPr>
                <w:sz w:val="20"/>
                <w:szCs w:val="20"/>
              </w:rPr>
              <w:t>consumption,​</w:t>
            </w:r>
            <w:proofErr w:type="gramEnd"/>
            <w:r w:rsidRPr="005762E6">
              <w:rPr>
                <w:sz w:val="20"/>
                <w:szCs w:val="20"/>
              </w:rPr>
              <w:t xml:space="preserve"> especially for African American adolescents.</w:t>
            </w:r>
          </w:p>
        </w:tc>
      </w:tr>
      <w:tr w:rsidR="00B44564" w:rsidRPr="005762E6" w14:paraId="7962234E"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EF57D9D" w14:textId="77777777" w:rsidR="00B44564" w:rsidRPr="005762E6" w:rsidRDefault="00B44564" w:rsidP="00EA69AA">
            <w:pPr>
              <w:spacing w:after="120" w:line="240" w:lineRule="auto"/>
              <w:contextualSpacing/>
              <w:rPr>
                <w:sz w:val="20"/>
                <w:szCs w:val="20"/>
              </w:rPr>
            </w:pPr>
            <w:r w:rsidRPr="005762E6">
              <w:rPr>
                <w:sz w:val="20"/>
                <w:szCs w:val="20"/>
              </w:rPr>
              <w:lastRenderedPageBreak/>
              <w:t>656</w:t>
            </w:r>
          </w:p>
        </w:tc>
        <w:tc>
          <w:tcPr>
            <w:tcW w:w="0" w:type="auto"/>
            <w:tcBorders>
              <w:top w:val="single" w:sz="6" w:space="0" w:color="auto"/>
              <w:left w:val="single" w:sz="6" w:space="0" w:color="auto"/>
              <w:bottom w:val="single" w:sz="6" w:space="0" w:color="auto"/>
              <w:right w:val="single" w:sz="6" w:space="0" w:color="auto"/>
            </w:tcBorders>
          </w:tcPr>
          <w:p w14:paraId="1AE0C09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B48F815" w14:textId="1AD93104" w:rsidR="00B44564" w:rsidRPr="005762E6" w:rsidRDefault="00B44564" w:rsidP="00EA69AA">
            <w:pPr>
              <w:spacing w:after="120" w:line="240" w:lineRule="auto"/>
              <w:contextualSpacing/>
              <w:rPr>
                <w:sz w:val="20"/>
                <w:szCs w:val="20"/>
              </w:rPr>
            </w:pPr>
            <w:r w:rsidRPr="005762E6">
              <w:rPr>
                <w:sz w:val="20"/>
                <w:szCs w:val="20"/>
              </w:rPr>
              <w:t xml:space="preserve">Anita </w:t>
            </w:r>
            <w:proofErr w:type="gramStart"/>
            <w:r w:rsidRPr="005762E6">
              <w:rPr>
                <w:sz w:val="20"/>
                <w:szCs w:val="20"/>
              </w:rPr>
              <w:t>Fernander,​</w:t>
            </w:r>
            <w:proofErr w:type="gramEnd"/>
            <w:r w:rsidRPr="005762E6">
              <w:rPr>
                <w:sz w:val="20"/>
                <w:szCs w:val="20"/>
              </w:rPr>
              <w:t xml:space="preserve"> Mitzi Schumacher,​ Xiaochen Wei,​ Peter Crooks,​ Peter Wedlund Smoking risk and the likelihood of quitting among African-American female light and heavy smokers</w:t>
            </w:r>
            <w:r w:rsidR="007F2F01">
              <w:rPr>
                <w:sz w:val="20"/>
                <w:szCs w:val="20"/>
              </w:rPr>
              <w:t>.</w:t>
            </w:r>
            <w:r w:rsidRPr="005762E6">
              <w:rPr>
                <w:sz w:val="20"/>
                <w:szCs w:val="20"/>
              </w:rPr>
              <w:t xml:space="preserve"> Journal of the National Medical Association; 2008;100:1199.</w:t>
            </w:r>
            <w:r w:rsidRPr="005762E6">
              <w:rPr>
                <w:sz w:val="20"/>
                <w:szCs w:val="20"/>
              </w:rPr>
              <w:br/>
            </w:r>
            <w:r w:rsidRPr="005762E6">
              <w:rPr>
                <w:sz w:val="20"/>
                <w:szCs w:val="20"/>
              </w:rPr>
              <w:br/>
            </w:r>
            <w:r w:rsidRPr="005762E6">
              <w:rPr>
                <w:b/>
                <w:bCs/>
                <w:sz w:val="20"/>
                <w:szCs w:val="20"/>
              </w:rPr>
              <w:t>Keywords:</w:t>
            </w:r>
            <w:r w:rsidRPr="005762E6">
              <w:rPr>
                <w:sz w:val="20"/>
                <w:szCs w:val="20"/>
              </w:rPr>
              <w:br/>
              <w:t>Adult,​African Americans/px [Psychology],​*African Americans,​Female,​Humans,​Smoking/ae [Adverse Effects],​*Smoking,​*Smoking Cessation/sn [Statistics &amp; Numerical Data],​United States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While African-American females are more likely to be light smokers compared to their counterparts of other racially classified social groups (RCSGs),​ they are more likely to carry a heavier burden of smoking-related morbidity and mortality. </w:t>
            </w:r>
            <w:proofErr w:type="gramStart"/>
            <w:r w:rsidRPr="005762E6">
              <w:rPr>
                <w:sz w:val="20"/>
                <w:szCs w:val="20"/>
              </w:rPr>
              <w:t>Thus,​</w:t>
            </w:r>
            <w:proofErr w:type="gramEnd"/>
            <w:r w:rsidRPr="005762E6">
              <w:rPr>
                <w:sz w:val="20"/>
                <w:szCs w:val="20"/>
              </w:rPr>
              <w:t xml:space="preserve"> it is critical that African-American female light smokers are targeted to engage in smoking cessation. Research has revealed that African-American women are less likely to have a successful quit attempt following a cessation intervention than females from other RCSGs. It has been postulated that the low smoking cessation rates among African-American female light smokers may be due to the lack of appropriate psychosocioculturally tailored cessation interventions that address issues of stress and coping that explain why they smoke and continue to smoke that may differ from their heavy smoker counterparts. The purpose of this study was to ascertain whether African-American female light smokers differed from their heavy smoker counterparts on psychosociocultural stress and coping factors. Findings revealed no differences in the sociodemographic variables of </w:t>
            </w:r>
            <w:proofErr w:type="gramStart"/>
            <w:r w:rsidRPr="005762E6">
              <w:rPr>
                <w:sz w:val="20"/>
                <w:szCs w:val="20"/>
              </w:rPr>
              <w:t>age,​</w:t>
            </w:r>
            <w:proofErr w:type="gramEnd"/>
            <w:r w:rsidRPr="005762E6">
              <w:rPr>
                <w:sz w:val="20"/>
                <w:szCs w:val="20"/>
              </w:rPr>
              <w:t xml:space="preserve"> income,​ education and BMI; in the psychosociocultural measures of acculturative stress,​ race-related stress and coping; or in the smoking characteristics of menthol smoking status,​ cotinine level and CYP2A6 metabolic functioning between light and heavy smokers. </w:t>
            </w:r>
            <w:proofErr w:type="gramStart"/>
            <w:r w:rsidRPr="005762E6">
              <w:rPr>
                <w:sz w:val="20"/>
                <w:szCs w:val="20"/>
              </w:rPr>
              <w:t>However,​</w:t>
            </w:r>
            <w:proofErr w:type="gramEnd"/>
            <w:r w:rsidRPr="005762E6">
              <w:rPr>
                <w:sz w:val="20"/>
                <w:szCs w:val="20"/>
              </w:rPr>
              <w:t xml:space="preserve"> the study found that African-American female light smokers take longer to smoke their first cigarette of the day,​ have a lower smoking risk,​ are more likely to quit,​ and exhibit lower carbon monoxide levels than African-American female heavy smokers. The current study suggests that other than the obvious factors of greater likelihood of </w:t>
            </w:r>
            <w:proofErr w:type="gramStart"/>
            <w:r w:rsidRPr="005762E6">
              <w:rPr>
                <w:sz w:val="20"/>
                <w:szCs w:val="20"/>
              </w:rPr>
              <w:t>quitting,​</w:t>
            </w:r>
            <w:proofErr w:type="gramEnd"/>
            <w:r w:rsidRPr="005762E6">
              <w:rPr>
                <w:sz w:val="20"/>
                <w:szCs w:val="20"/>
              </w:rPr>
              <w:t xml:space="preserve"> lower smoking risk,​ longer latency to smoke and lower carbon monoxide levels,​ specific smoking cessation programs may not need to be differentially psychosocio-culturally tailored for African-American female light smokers compared to their heavy-smoking counterparts.</w:t>
            </w:r>
          </w:p>
        </w:tc>
      </w:tr>
      <w:tr w:rsidR="00B44564" w:rsidRPr="005762E6" w14:paraId="331FAC1E"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4F153D5" w14:textId="77777777" w:rsidR="00B44564" w:rsidRPr="005762E6" w:rsidRDefault="00B44564" w:rsidP="00EA69AA">
            <w:pPr>
              <w:spacing w:after="120" w:line="240" w:lineRule="auto"/>
              <w:contextualSpacing/>
              <w:rPr>
                <w:sz w:val="20"/>
                <w:szCs w:val="20"/>
              </w:rPr>
            </w:pPr>
            <w:r w:rsidRPr="005762E6">
              <w:rPr>
                <w:sz w:val="20"/>
                <w:szCs w:val="20"/>
              </w:rPr>
              <w:t>657</w:t>
            </w:r>
          </w:p>
        </w:tc>
        <w:tc>
          <w:tcPr>
            <w:tcW w:w="0" w:type="auto"/>
            <w:tcBorders>
              <w:top w:val="single" w:sz="6" w:space="0" w:color="auto"/>
              <w:left w:val="single" w:sz="6" w:space="0" w:color="auto"/>
              <w:bottom w:val="single" w:sz="6" w:space="0" w:color="auto"/>
              <w:right w:val="single" w:sz="6" w:space="0" w:color="auto"/>
            </w:tcBorders>
          </w:tcPr>
          <w:p w14:paraId="7929ECD0"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86EF0FB" w14:textId="193A27F1" w:rsidR="00B44564" w:rsidRPr="005762E6" w:rsidRDefault="00B44564" w:rsidP="00EA69AA">
            <w:pPr>
              <w:spacing w:after="120" w:line="240" w:lineRule="auto"/>
              <w:contextualSpacing/>
              <w:rPr>
                <w:sz w:val="20"/>
                <w:szCs w:val="20"/>
              </w:rPr>
            </w:pPr>
            <w:r w:rsidRPr="005762E6">
              <w:rPr>
                <w:sz w:val="20"/>
                <w:szCs w:val="20"/>
              </w:rPr>
              <w:t xml:space="preserve">Wen Qi </w:t>
            </w:r>
            <w:proofErr w:type="gramStart"/>
            <w:r w:rsidRPr="005762E6">
              <w:rPr>
                <w:sz w:val="20"/>
                <w:szCs w:val="20"/>
              </w:rPr>
              <w:t>Gan,​</w:t>
            </w:r>
            <w:proofErr w:type="gramEnd"/>
            <w:r w:rsidRPr="005762E6">
              <w:rPr>
                <w:sz w:val="20"/>
                <w:szCs w:val="20"/>
              </w:rPr>
              <w:t xml:space="preserve"> Sigal Ben-Zaken Cohen,​ S F Paul Man,​ Don D Sin Sex-related differences in serum cotinine concentrations in daily cigarette smokers</w:t>
            </w:r>
            <w:r w:rsidR="007F2F01">
              <w:rPr>
                <w:sz w:val="20"/>
                <w:szCs w:val="20"/>
              </w:rPr>
              <w:t>.</w:t>
            </w:r>
            <w:r w:rsidRPr="005762E6">
              <w:rPr>
                <w:sz w:val="20"/>
                <w:szCs w:val="20"/>
              </w:rPr>
              <w:t xml:space="preserve"> Nicotine &amp; tobacco research : official journal of the Society for Research on Nicotine and Tobacco; 2008;10:1293.</w:t>
            </w:r>
            <w:r w:rsidRPr="005762E6">
              <w:rPr>
                <w:sz w:val="20"/>
                <w:szCs w:val="20"/>
              </w:rPr>
              <w:br/>
            </w:r>
            <w:r w:rsidRPr="005762E6">
              <w:rPr>
                <w:sz w:val="20"/>
                <w:szCs w:val="20"/>
              </w:rPr>
              <w:br/>
            </w:r>
            <w:r w:rsidRPr="005762E6">
              <w:rPr>
                <w:b/>
                <w:bCs/>
                <w:sz w:val="20"/>
                <w:szCs w:val="20"/>
              </w:rPr>
              <w:t>Keywords:</w:t>
            </w:r>
            <w:r w:rsidRPr="005762E6">
              <w:rPr>
                <w:sz w:val="20"/>
                <w:szCs w:val="20"/>
              </w:rPr>
              <w:br/>
              <w:t>Adult,​Aged,​*Biomarkers/bl [Blood],​Canada/ep [Epidemiology],​*Cotinine/bl [Blood],​Female,​Humans,​Male,​</w:t>
            </w:r>
            <w:r w:rsidRPr="005762E6">
              <w:rPr>
                <w:sz w:val="20"/>
                <w:szCs w:val="20"/>
              </w:rPr>
              <w:lastRenderedPageBreak/>
              <w:t>Middle Aged,​Nicotine/bl [Blood],​Regression Analysis,​Sex Distribution,​*Smoking/bl [Blood],​*Smoking/ep [Epidemiology],​Smoking Cessation/sn [Statistics &amp; Numerical Data]</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Self-reported use of cigarettes generally underestimates the true cigarette exposure of smokers. Serum cotinine is considered the best biomarker to evaluate tobacco exposure. This study determined whether or not there were any significant differences in serum cotinine concentrations between men and women when they reported smoking the same number of cigarettes per day. We analyzed cotinine and tobacco consumption data on 680 women and 840 </w:t>
            </w:r>
            <w:proofErr w:type="gramStart"/>
            <w:r w:rsidRPr="005762E6">
              <w:rPr>
                <w:sz w:val="20"/>
                <w:szCs w:val="20"/>
              </w:rPr>
              <w:t>men,​</w:t>
            </w:r>
            <w:proofErr w:type="gramEnd"/>
            <w:r w:rsidRPr="005762E6">
              <w:rPr>
                <w:sz w:val="20"/>
                <w:szCs w:val="20"/>
              </w:rPr>
              <w:t xml:space="preserve"> aged 20 years or older,​ who smoked at least 100 cigarettes during their lifetime and were still actively smoking at the time of the National Health and Nutrition Examination Surveys (1999-2002). </w:t>
            </w:r>
            <w:proofErr w:type="gramStart"/>
            <w:r w:rsidRPr="005762E6">
              <w:rPr>
                <w:sz w:val="20"/>
                <w:szCs w:val="20"/>
              </w:rPr>
              <w:t>Overall,​</w:t>
            </w:r>
            <w:proofErr w:type="gramEnd"/>
            <w:r w:rsidRPr="005762E6">
              <w:rPr>
                <w:sz w:val="20"/>
                <w:szCs w:val="20"/>
              </w:rPr>
              <w:t xml:space="preserve"> compared with men,​ women reported smoking fewer cigarettes per day (16.1 vs. 18.7,​ p&lt;.001) and had lower serum cotinine concentrations (1163.3 nmol/L vs. 1343.9 nmol/L,​ p&lt;.001). Women were more likely than men to smoke filtered (p = .018) and mentholated (p&lt;.001) cigarettes. After adjustment for the number of cigarettes smoked per </w:t>
            </w:r>
            <w:proofErr w:type="gramStart"/>
            <w:r w:rsidRPr="005762E6">
              <w:rPr>
                <w:sz w:val="20"/>
                <w:szCs w:val="20"/>
              </w:rPr>
              <w:t>day,​</w:t>
            </w:r>
            <w:proofErr w:type="gramEnd"/>
            <w:r w:rsidRPr="005762E6">
              <w:rPr>
                <w:sz w:val="20"/>
                <w:szCs w:val="20"/>
              </w:rPr>
              <w:t xml:space="preserve"> age,​ race,​ body mass index,​ poverty status,​ the use of either menthol or regular cigarettes,​ and the nicotine content in cigarettes,​ female compared with male smokers had lower serum cotinine concentrations (difference of 117.6 nmol/L; 95% CI = 42.6-192.6,​ p = .003). The difference was particularly notable in moderate to heavy smokers (</w:t>
            </w:r>
            <w:proofErr w:type="gramStart"/>
            <w:r w:rsidRPr="005762E6">
              <w:rPr>
                <w:sz w:val="20"/>
                <w:szCs w:val="20"/>
              </w:rPr>
              <w:t>i.e.,​</w:t>
            </w:r>
            <w:proofErr w:type="gramEnd"/>
            <w:r w:rsidRPr="005762E6">
              <w:rPr>
                <w:sz w:val="20"/>
                <w:szCs w:val="20"/>
              </w:rPr>
              <w:t xml:space="preserve"> those who smoked more than 15 cigarettes/day). These findings indicate that significant sex-related differences exist in serum cotinine levels among </w:t>
            </w:r>
            <w:proofErr w:type="gramStart"/>
            <w:r w:rsidRPr="005762E6">
              <w:rPr>
                <w:sz w:val="20"/>
                <w:szCs w:val="20"/>
              </w:rPr>
              <w:t>smokers,​</w:t>
            </w:r>
            <w:proofErr w:type="gramEnd"/>
            <w:r w:rsidRPr="005762E6">
              <w:rPr>
                <w:sz w:val="20"/>
                <w:szCs w:val="20"/>
              </w:rPr>
              <w:t xml:space="preserve"> which suggests that self-reports may overestimate cigarette exposure in women compared with men.</w:t>
            </w:r>
          </w:p>
        </w:tc>
      </w:tr>
      <w:tr w:rsidR="00B44564" w:rsidRPr="005762E6" w14:paraId="4FD849B0"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11ADA0E" w14:textId="77777777" w:rsidR="00B44564" w:rsidRPr="005762E6" w:rsidRDefault="00B44564" w:rsidP="00EA69AA">
            <w:pPr>
              <w:spacing w:after="120" w:line="240" w:lineRule="auto"/>
              <w:contextualSpacing/>
              <w:rPr>
                <w:sz w:val="20"/>
                <w:szCs w:val="20"/>
              </w:rPr>
            </w:pPr>
            <w:r w:rsidRPr="005762E6">
              <w:rPr>
                <w:sz w:val="20"/>
                <w:szCs w:val="20"/>
              </w:rPr>
              <w:lastRenderedPageBreak/>
              <w:t>658</w:t>
            </w:r>
          </w:p>
        </w:tc>
        <w:tc>
          <w:tcPr>
            <w:tcW w:w="0" w:type="auto"/>
            <w:tcBorders>
              <w:top w:val="single" w:sz="6" w:space="0" w:color="auto"/>
              <w:left w:val="single" w:sz="6" w:space="0" w:color="auto"/>
              <w:bottom w:val="single" w:sz="6" w:space="0" w:color="auto"/>
              <w:right w:val="single" w:sz="6" w:space="0" w:color="auto"/>
            </w:tcBorders>
          </w:tcPr>
          <w:p w14:paraId="5E2C3F2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27F7C81" w14:textId="671B18F2" w:rsidR="00B44564" w:rsidRPr="005762E6" w:rsidRDefault="00B44564" w:rsidP="00EA69AA">
            <w:pPr>
              <w:spacing w:after="120" w:line="240" w:lineRule="auto"/>
              <w:contextualSpacing/>
              <w:rPr>
                <w:sz w:val="20"/>
                <w:szCs w:val="20"/>
              </w:rPr>
            </w:pPr>
            <w:r w:rsidRPr="005762E6">
              <w:rPr>
                <w:sz w:val="20"/>
                <w:szCs w:val="20"/>
              </w:rPr>
              <w:t xml:space="preserve">Jennifer M </w:t>
            </w:r>
            <w:proofErr w:type="gramStart"/>
            <w:r w:rsidRPr="005762E6">
              <w:rPr>
                <w:sz w:val="20"/>
                <w:szCs w:val="20"/>
              </w:rPr>
              <w:t>Kreslake,​</w:t>
            </w:r>
            <w:proofErr w:type="gramEnd"/>
            <w:r w:rsidRPr="005762E6">
              <w:rPr>
                <w:sz w:val="20"/>
                <w:szCs w:val="20"/>
              </w:rPr>
              <w:t xml:space="preserve"> Geoffrey Ferris Wayne,​ Hillel R Alpert,​ Howard K Koh,​ Gregory N Connolly Tobacco industry control of menthol in cigarettes and targeting of adolescents and young adults</w:t>
            </w:r>
            <w:r w:rsidR="007F2F01">
              <w:rPr>
                <w:sz w:val="20"/>
                <w:szCs w:val="20"/>
              </w:rPr>
              <w:t>.</w:t>
            </w:r>
            <w:r w:rsidRPr="005762E6">
              <w:rPr>
                <w:sz w:val="20"/>
                <w:szCs w:val="20"/>
              </w:rPr>
              <w:t xml:space="preserve"> American journal of public health; 2008;98:1685.</w:t>
            </w:r>
            <w:r w:rsidRPr="005762E6">
              <w:rPr>
                <w:sz w:val="20"/>
                <w:szCs w:val="20"/>
              </w:rPr>
              <w:br/>
            </w:r>
            <w:r w:rsidRPr="005762E6">
              <w:rPr>
                <w:sz w:val="20"/>
                <w:szCs w:val="20"/>
              </w:rPr>
              <w:br/>
            </w:r>
            <w:r w:rsidRPr="005762E6">
              <w:rPr>
                <w:b/>
                <w:bCs/>
                <w:sz w:val="20"/>
                <w:szCs w:val="20"/>
              </w:rPr>
              <w:t>Keywords:</w:t>
            </w:r>
            <w:r w:rsidRPr="005762E6">
              <w:rPr>
                <w:sz w:val="20"/>
                <w:szCs w:val="20"/>
              </w:rPr>
              <w:br/>
              <w:t>Adolescent,​Adolescent Behavior,​Adult,​Age Factors,​*Consumer Behavior/sn [Statistics &amp; Numerical Data],​Data Collection,​Female,​Health Knowledge,​ Attitudes,​ Practice,​Humans,​Male,​*Marketing/mt [Methods],​Marketing/sn [Statistics &amp; Numerical Data],​*Menthol/an [Analysis],​Menthol/sd [Supply &amp; Distribution],​*Smoking/ep [Epidemiology],​*Tobacco/ch [Chemistry],​*Tobacco Industry/ec [Economics],​Tobacco Industry/sn [Statistics &amp; Numerical Data],​United States/ep [Epidemiology]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OBJECTIVES: We examined whether tobacco manufacturers manipulate the menthol content of cigarettes in an effort to target adolescents and young adults.,​ METHODS: We analyzed data from tobacco industry documents describing menthol product development,​ results of laboratory testing of US menthol brands,​ market research reports,​ and the 2006 National Survey on Drug Use and Health.,​ RESULTS: The tobacco industry attracted new smokers by promoting cigarettes with lower menthol content,​ which were popular with adolescents and young adults,​ and provided cigarettes with higher menthol content to long-term smokers. Menthol cigarette sales remained stable from 2000 to 2005 in the United </w:t>
            </w:r>
            <w:proofErr w:type="gramStart"/>
            <w:r w:rsidRPr="005762E6">
              <w:rPr>
                <w:sz w:val="20"/>
                <w:szCs w:val="20"/>
              </w:rPr>
              <w:t>States,​</w:t>
            </w:r>
            <w:proofErr w:type="gramEnd"/>
            <w:r w:rsidRPr="005762E6">
              <w:rPr>
                <w:sz w:val="20"/>
                <w:szCs w:val="20"/>
              </w:rPr>
              <w:t xml:space="preserve"> despite a 22% decline in overall packs sold.,​ CONCLUSIONS: Tobacco companies manipulate the sensory characteristics of cigarettes,​ including menthol content,​ thereby facilitating smoking initiation and nicotine dependence. Menthol brands that have used this strategy have been the most successful in attracting youth and young adult smokers and have grown in popularity.</w:t>
            </w:r>
          </w:p>
        </w:tc>
      </w:tr>
      <w:tr w:rsidR="00B44564" w:rsidRPr="005762E6" w14:paraId="0DA2E974"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78FC333" w14:textId="77777777" w:rsidR="00B44564" w:rsidRPr="005762E6" w:rsidRDefault="00B44564" w:rsidP="00EA69AA">
            <w:pPr>
              <w:spacing w:after="120" w:line="240" w:lineRule="auto"/>
              <w:contextualSpacing/>
              <w:rPr>
                <w:sz w:val="20"/>
                <w:szCs w:val="20"/>
              </w:rPr>
            </w:pPr>
            <w:r w:rsidRPr="005762E6">
              <w:rPr>
                <w:sz w:val="20"/>
                <w:szCs w:val="20"/>
              </w:rPr>
              <w:t>659</w:t>
            </w:r>
          </w:p>
        </w:tc>
        <w:tc>
          <w:tcPr>
            <w:tcW w:w="0" w:type="auto"/>
            <w:tcBorders>
              <w:top w:val="single" w:sz="6" w:space="0" w:color="auto"/>
              <w:left w:val="single" w:sz="6" w:space="0" w:color="auto"/>
              <w:bottom w:val="single" w:sz="6" w:space="0" w:color="auto"/>
              <w:right w:val="single" w:sz="6" w:space="0" w:color="auto"/>
            </w:tcBorders>
          </w:tcPr>
          <w:p w14:paraId="2140425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93DA9AB" w14:textId="1598F84C" w:rsidR="00B44564" w:rsidRPr="005762E6" w:rsidRDefault="00B44564" w:rsidP="00EA69AA">
            <w:pPr>
              <w:spacing w:after="120" w:line="240" w:lineRule="auto"/>
              <w:contextualSpacing/>
              <w:rPr>
                <w:sz w:val="20"/>
                <w:szCs w:val="20"/>
              </w:rPr>
            </w:pPr>
            <w:r w:rsidRPr="005762E6">
              <w:rPr>
                <w:sz w:val="20"/>
                <w:szCs w:val="20"/>
              </w:rPr>
              <w:t xml:space="preserve">Gisela I </w:t>
            </w:r>
            <w:proofErr w:type="gramStart"/>
            <w:r w:rsidRPr="005762E6">
              <w:rPr>
                <w:sz w:val="20"/>
                <w:szCs w:val="20"/>
              </w:rPr>
              <w:t>Robles,​</w:t>
            </w:r>
            <w:proofErr w:type="gramEnd"/>
            <w:r w:rsidRPr="005762E6">
              <w:rPr>
                <w:sz w:val="20"/>
                <w:szCs w:val="20"/>
              </w:rPr>
              <w:t xml:space="preserve"> Devada Singh-Franco,​ Hoytin Lee Ghin A review of the efficacy of smoking-cessation pharmacotherapies in nonwhite populations</w:t>
            </w:r>
            <w:r w:rsidR="007F2F01">
              <w:rPr>
                <w:sz w:val="20"/>
                <w:szCs w:val="20"/>
              </w:rPr>
              <w:t>.</w:t>
            </w:r>
            <w:r w:rsidRPr="005762E6">
              <w:rPr>
                <w:sz w:val="20"/>
                <w:szCs w:val="20"/>
              </w:rPr>
              <w:t xml:space="preserve"> Clinical therapeutics; 2008;30:800.</w:t>
            </w:r>
            <w:r w:rsidRPr="005762E6">
              <w:rPr>
                <w:sz w:val="20"/>
                <w:szCs w:val="20"/>
              </w:rPr>
              <w:br/>
            </w:r>
            <w:r w:rsidRPr="005762E6">
              <w:rPr>
                <w:sz w:val="20"/>
                <w:szCs w:val="20"/>
              </w:rPr>
              <w:br/>
            </w:r>
            <w:r w:rsidRPr="005762E6">
              <w:rPr>
                <w:b/>
                <w:bCs/>
                <w:sz w:val="20"/>
                <w:szCs w:val="20"/>
              </w:rPr>
              <w:t>Keywords:</w:t>
            </w:r>
            <w:r w:rsidRPr="005762E6">
              <w:rPr>
                <w:sz w:val="20"/>
                <w:szCs w:val="20"/>
              </w:rPr>
              <w:br/>
              <w:t>African Americans,​Bupropion/ad [Administration &amp; Dosage],​Bupropion/tu [Therapeutic Use],​Hispanic Americans,​Humans,​Nicotine/ad [Administration &amp; Dosage],​Nicotine/tu [Therapeutic Use],​*Smoking Cessation/eh [Ethnology],​*Smoking Cessation/mt [Methods],​Smoking Cessation/px [Psychology],​*Tobacco Use Disorder/dt [Drug Therapy],​*Tobacco Use Disorder/eh [Ethnology]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Cigarette smoking continues to be the leading cause of preventable morbidity and mortality in the United States. Research suggests that behavioral support strategies and pharmacotherapy </w:t>
            </w:r>
            <w:r w:rsidRPr="005762E6">
              <w:rPr>
                <w:sz w:val="20"/>
                <w:szCs w:val="20"/>
              </w:rPr>
              <w:lastRenderedPageBreak/>
              <w:t xml:space="preserve">can improve abstinence rates. However,​ both approaches,​ especially pharmacotherapy,​ have been understudied in nonwhite US populations.,​ OBJECTIVE: The aim of this review was to evaluate the efficacy of smoking-cessation pharmacotherapy in nonwhite US populations.,​ METHODS: Using search terms smoking cessation,​ nicotine replacement therapy,​ bupropion SR,​ varenicline,​ minority,​ ethnicity,​ African American,​ black,​ Hispanic,​ American Indian,​ and Alaska Native,​ a literature search was conducted to identify English-language studies that evaluated the use of smoking-cessation pharmacotherapies in nonwhite patients in MEDLINE (1966-December 2007),​ International Pharmaceutical Abstracts (1980-January 2008),​ Database of Abstracts of Reviews of Effectiveness (1990-December 2007),​ and EMBASE Drugs &amp; Pharmacology (1991-third quarter 2007).,​ RESULTS: Nine studies were identified and assessed. Six studies looked at smoking-cessation pharmacotherapy in black </w:t>
            </w:r>
            <w:proofErr w:type="gramStart"/>
            <w:r w:rsidRPr="005762E6">
              <w:rPr>
                <w:sz w:val="20"/>
                <w:szCs w:val="20"/>
              </w:rPr>
              <w:t>smokers,​</w:t>
            </w:r>
            <w:proofErr w:type="gramEnd"/>
            <w:r w:rsidRPr="005762E6">
              <w:rPr>
                <w:sz w:val="20"/>
                <w:szCs w:val="20"/>
              </w:rPr>
              <w:t xml:space="preserve"> 1 in Hispanic smokers,​ 1 in Native American smokers,​ and 1 in white and nonwhite smokers. In black smokers (N = 410; mean cigarettes per day [cpd</w:t>
            </w:r>
            <w:proofErr w:type="gramStart"/>
            <w:r w:rsidRPr="005762E6">
              <w:rPr>
                <w:sz w:val="20"/>
                <w:szCs w:val="20"/>
              </w:rPr>
              <w:t>],​</w:t>
            </w:r>
            <w:proofErr w:type="gramEnd"/>
            <w:r w:rsidRPr="005762E6">
              <w:rPr>
                <w:sz w:val="20"/>
                <w:szCs w:val="20"/>
              </w:rPr>
              <w:t xml:space="preserve"> 20.4) who received the nicotine patch versus placebo,​ the 30-day self-reported abstinence rates were 21.5% versus 13.7% (P = 0.03) at 10 weeks and 17.1% versus 11.7% (P = NS) at 6 months. In black smokers (N = 600; mean [SD] </w:t>
            </w:r>
            <w:proofErr w:type="gramStart"/>
            <w:r w:rsidRPr="005762E6">
              <w:rPr>
                <w:sz w:val="20"/>
                <w:szCs w:val="20"/>
              </w:rPr>
              <w:t>cpd,​</w:t>
            </w:r>
            <w:proofErr w:type="gramEnd"/>
            <w:r w:rsidRPr="005762E6">
              <w:rPr>
                <w:sz w:val="20"/>
                <w:szCs w:val="20"/>
              </w:rPr>
              <w:t xml:space="preserve"> 16.1 [7.5]) who received sustained-release (SR) bupropion 150 mg BID versus placebo for 7 weeks,​ the 7-day biochemically verified abstinence rates at weeks 6 and 26 were 36.0% versus 19.0% (Delta,​ 17%; 95% CI,​ 9.7-24.4; P &lt; 0.001) and 21.0% versus 13.7% (Delta,​ 7.3%; 95% CI,​ 1.0-13.7; P = 0.02). Predictors of smoking cessation included use of bupropion SR (abstinence rate,​ 41.5% vs 21.1%; P&lt;0.001); smoking nonmentholated cigarettes (abstinence rate,​ 28.3% in mentholated smokers [n = 417] vs 41.5% in nonmentholated smokers [n = 118]; P = 0.006); not smoking within 30 minutes of awakening (abstinence rate,​ 26.4% [n = 420] in those who did vs 48.7% [n = 115] in those who did not; P &lt; 0.001); and lower baseline salivary cotinine levels (256.8 [137.0] ng/mL in those who became abstinent vs 305.6 [143.4] ng/mL in those who remained smokers; P &lt; 0.001). In black light (or=7 consecutive days (odds </w:t>
            </w:r>
            <w:proofErr w:type="gramStart"/>
            <w:r w:rsidRPr="005762E6">
              <w:rPr>
                <w:sz w:val="20"/>
                <w:szCs w:val="20"/>
              </w:rPr>
              <w:t>ratio,​</w:t>
            </w:r>
            <w:proofErr w:type="gramEnd"/>
            <w:r w:rsidRPr="005762E6">
              <w:rPr>
                <w:sz w:val="20"/>
                <w:szCs w:val="20"/>
              </w:rPr>
              <w:t xml:space="preserve"> 0.20; 95% CI,​ 0.05-0.77; P = 0.02).,​ CONCLUSIONS: Data from the studies in this review support the use of smoking-cessation pharmacotherapy (nicotine patch and bupropion SR) in nonwhite patients. Black patients,​ who smoked within 30 minutes of awakening,​ smoked mentholated cigarettes,​ and had high salivary cotinine levels may have difficulty quitting regardless of the number of cigarettes smoked per day; therefore,​ determining the type of cigarettes smoked (mentholated vs nonmentholated) and salivary cotinine levels may be helpful in assessing the severity of smoking addiction and guide pharmacotherapy (eg,​ starting at higher doses of nicotine-replacement therapy in a light smoker). Other than smoking-cessation behavioral </w:t>
            </w:r>
            <w:proofErr w:type="gramStart"/>
            <w:r w:rsidRPr="005762E6">
              <w:rPr>
                <w:sz w:val="20"/>
                <w:szCs w:val="20"/>
              </w:rPr>
              <w:t>studies,​</w:t>
            </w:r>
            <w:proofErr w:type="gramEnd"/>
            <w:r w:rsidRPr="005762E6">
              <w:rPr>
                <w:sz w:val="20"/>
                <w:szCs w:val="20"/>
              </w:rPr>
              <w:t xml:space="preserve"> there is a lack of congruent smoking-cessation pharmacotherapy studies in American Indian/Alaska Native,​ Hispanic,​ and other ethnic populations.</w:t>
            </w:r>
          </w:p>
        </w:tc>
      </w:tr>
      <w:tr w:rsidR="00B44564" w:rsidRPr="005762E6" w14:paraId="53B71731"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DE2C2EF" w14:textId="77777777" w:rsidR="00B44564" w:rsidRPr="005762E6" w:rsidRDefault="00B44564" w:rsidP="00EA69AA">
            <w:pPr>
              <w:spacing w:after="120" w:line="240" w:lineRule="auto"/>
              <w:contextualSpacing/>
              <w:rPr>
                <w:sz w:val="20"/>
                <w:szCs w:val="20"/>
              </w:rPr>
            </w:pPr>
            <w:r w:rsidRPr="005762E6">
              <w:rPr>
                <w:sz w:val="20"/>
                <w:szCs w:val="20"/>
              </w:rPr>
              <w:lastRenderedPageBreak/>
              <w:t>661</w:t>
            </w:r>
          </w:p>
        </w:tc>
        <w:tc>
          <w:tcPr>
            <w:tcW w:w="0" w:type="auto"/>
            <w:tcBorders>
              <w:top w:val="single" w:sz="6" w:space="0" w:color="auto"/>
              <w:left w:val="single" w:sz="6" w:space="0" w:color="auto"/>
              <w:bottom w:val="single" w:sz="6" w:space="0" w:color="auto"/>
              <w:right w:val="single" w:sz="6" w:space="0" w:color="auto"/>
            </w:tcBorders>
          </w:tcPr>
          <w:p w14:paraId="3F5D22B7"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309A2CA" w14:textId="287A432B" w:rsidR="00B44564" w:rsidRPr="005762E6" w:rsidRDefault="00B44564" w:rsidP="00EA69AA">
            <w:pPr>
              <w:spacing w:after="120" w:line="240" w:lineRule="auto"/>
              <w:contextualSpacing/>
              <w:rPr>
                <w:sz w:val="20"/>
                <w:szCs w:val="20"/>
              </w:rPr>
            </w:pPr>
            <w:r w:rsidRPr="005762E6">
              <w:rPr>
                <w:sz w:val="20"/>
                <w:szCs w:val="20"/>
              </w:rPr>
              <w:t xml:space="preserve">Patricia </w:t>
            </w:r>
            <w:proofErr w:type="gramStart"/>
            <w:r w:rsidRPr="005762E6">
              <w:rPr>
                <w:sz w:val="20"/>
                <w:szCs w:val="20"/>
              </w:rPr>
              <w:t>Richter,​</w:t>
            </w:r>
            <w:proofErr w:type="gramEnd"/>
            <w:r w:rsidRPr="005762E6">
              <w:rPr>
                <w:sz w:val="20"/>
                <w:szCs w:val="20"/>
              </w:rPr>
              <w:t xml:space="preserve"> Diane Beistle,​ Linda Pederson,​ Michelle O'Hegarty Small-group discussions on menthol cigarettes: listening to adult African American smokers in Atlanta,​ Georgia</w:t>
            </w:r>
            <w:r w:rsidR="007F2F01">
              <w:rPr>
                <w:sz w:val="20"/>
                <w:szCs w:val="20"/>
              </w:rPr>
              <w:t>.</w:t>
            </w:r>
            <w:r w:rsidRPr="005762E6">
              <w:rPr>
                <w:sz w:val="20"/>
                <w:szCs w:val="20"/>
              </w:rPr>
              <w:t xml:space="preserve"> Ethnicity &amp; health; 2008;13:171.</w:t>
            </w:r>
            <w:r w:rsidRPr="005762E6">
              <w:rPr>
                <w:sz w:val="20"/>
                <w:szCs w:val="20"/>
              </w:rPr>
              <w:br/>
            </w:r>
            <w:r w:rsidRPr="005762E6">
              <w:rPr>
                <w:sz w:val="20"/>
                <w:szCs w:val="20"/>
              </w:rPr>
              <w:br/>
            </w:r>
            <w:r w:rsidRPr="005762E6">
              <w:rPr>
                <w:b/>
                <w:bCs/>
                <w:sz w:val="20"/>
                <w:szCs w:val="20"/>
              </w:rPr>
              <w:t>Keywords:</w:t>
            </w:r>
            <w:r w:rsidRPr="005762E6">
              <w:rPr>
                <w:sz w:val="20"/>
                <w:szCs w:val="20"/>
              </w:rPr>
              <w:br/>
              <w:t>*African Americans/px [Psychology],​Female,​*Flavoring Agents,​Georgia,​Health Behavior/eh [Ethnology],​Humans,​Interviews as Topic,​Male,​Marketing,​*Menthol,​Middle Aged,​*Smoking/eh [Ethnology],​*Smoking/px [Psychology],​Smoking Cessation/eh [Ethnology],​Smoking Cessation/px [Psychology],​Social Perception</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OBJECTIVE: In 2002,​ the First Conference on Menthol Cigarettes brought together researchers from diverse backgrounds to summarize what is known about menthol cigarettes and the people who smoke them,​ and to identify areas of needed research on menthol cigarettes. Since the </w:t>
            </w:r>
            <w:proofErr w:type="gramStart"/>
            <w:r w:rsidRPr="005762E6">
              <w:rPr>
                <w:sz w:val="20"/>
                <w:szCs w:val="20"/>
              </w:rPr>
              <w:t>conference,​</w:t>
            </w:r>
            <w:proofErr w:type="gramEnd"/>
            <w:r w:rsidRPr="005762E6">
              <w:rPr>
                <w:sz w:val="20"/>
                <w:szCs w:val="20"/>
              </w:rPr>
              <w:t xml:space="preserve"> PubMed reports 24 articles,​ including the conference proceedings,​ on menthol cigarettes and African Americans. Many of the articles address epidemiological or biomedical topics. While there has been some focus on social influences and marketing </w:t>
            </w:r>
            <w:proofErr w:type="gramStart"/>
            <w:r w:rsidRPr="005762E6">
              <w:rPr>
                <w:sz w:val="20"/>
                <w:szCs w:val="20"/>
              </w:rPr>
              <w:t>issues,​</w:t>
            </w:r>
            <w:proofErr w:type="gramEnd"/>
            <w:r w:rsidRPr="005762E6">
              <w:rPr>
                <w:sz w:val="20"/>
                <w:szCs w:val="20"/>
              </w:rPr>
              <w:t xml:space="preserve"> more research and a greater focus on this topic are needed.,​ DESIGN: To stimulate research on a population disproportionately burdened by the health effects of smoking,​ we conducted small-group discussions in 2005 with adult African American smokers in Atlanta,​ Georgia. Each group discussion focused on a different topic: smoking behavior and preferences,​ perceptions of social influences,​ health effects and perceived harmfulness of menthol,​ quitting menthol cigarette smoking,​ or the influence of marketing and advertising of menthol cigarettes.,​ RESULTS: Themes emerged from the discussions: (1) emulation of black culture by white youth and racial integration of neighborhoods and communities may have modified the perception that African Americans smoke menthol cigarettes and whites smoke non-menthol cigarettes; (2) non-menthol cigarette smokers were thought to be 'hardcore' smokers with less interest in </w:t>
            </w:r>
            <w:r w:rsidRPr="005762E6">
              <w:rPr>
                <w:sz w:val="20"/>
                <w:szCs w:val="20"/>
              </w:rPr>
              <w:lastRenderedPageBreak/>
              <w:t>quitting; (3) switching to non-menthol cigarettes was discussed as a way of quitting cigarettes for habitual menthol smokers; and,​ (4) smoking menthol cigarettes was thought to lead to fewer negative health effects.,​ CONCLUSION: Some topics suggested by the participants warrant further investigation. More research is needed to assess the pervasiveness of these beliefs and their potential utility for smoking cessation interventions.</w:t>
            </w:r>
          </w:p>
        </w:tc>
      </w:tr>
      <w:tr w:rsidR="00B44564" w:rsidRPr="005762E6" w14:paraId="1138890A"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2019DBA" w14:textId="77777777" w:rsidR="00B44564" w:rsidRPr="005762E6" w:rsidRDefault="00B44564" w:rsidP="00EA69AA">
            <w:pPr>
              <w:spacing w:after="120" w:line="240" w:lineRule="auto"/>
              <w:contextualSpacing/>
              <w:rPr>
                <w:sz w:val="20"/>
                <w:szCs w:val="20"/>
              </w:rPr>
            </w:pPr>
            <w:r w:rsidRPr="005762E6">
              <w:rPr>
                <w:sz w:val="20"/>
                <w:szCs w:val="20"/>
              </w:rPr>
              <w:lastRenderedPageBreak/>
              <w:t>662</w:t>
            </w:r>
          </w:p>
        </w:tc>
        <w:tc>
          <w:tcPr>
            <w:tcW w:w="0" w:type="auto"/>
            <w:tcBorders>
              <w:top w:val="single" w:sz="6" w:space="0" w:color="auto"/>
              <w:left w:val="single" w:sz="6" w:space="0" w:color="auto"/>
              <w:bottom w:val="single" w:sz="6" w:space="0" w:color="auto"/>
              <w:right w:val="single" w:sz="6" w:space="0" w:color="auto"/>
            </w:tcBorders>
          </w:tcPr>
          <w:p w14:paraId="030CA3C5"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6F35CB7" w14:textId="756F8E00" w:rsidR="00B44564" w:rsidRPr="005762E6" w:rsidRDefault="00B44564" w:rsidP="00EA69AA">
            <w:pPr>
              <w:spacing w:after="120" w:line="240" w:lineRule="auto"/>
              <w:contextualSpacing/>
              <w:rPr>
                <w:sz w:val="20"/>
                <w:szCs w:val="20"/>
              </w:rPr>
            </w:pPr>
            <w:r w:rsidRPr="005762E6">
              <w:rPr>
                <w:sz w:val="20"/>
                <w:szCs w:val="20"/>
              </w:rPr>
              <w:t xml:space="preserve">Jennifer M </w:t>
            </w:r>
            <w:proofErr w:type="gramStart"/>
            <w:r w:rsidRPr="005762E6">
              <w:rPr>
                <w:sz w:val="20"/>
                <w:szCs w:val="20"/>
              </w:rPr>
              <w:t>Kreslake,​</w:t>
            </w:r>
            <w:proofErr w:type="gramEnd"/>
            <w:r w:rsidRPr="005762E6">
              <w:rPr>
                <w:sz w:val="20"/>
                <w:szCs w:val="20"/>
              </w:rPr>
              <w:t xml:space="preserve"> Geoffrey Ferris Wayne,​ Gregory N Connolly The menthol smoker: tobacco industry research on consumer sensory perception of menthol cigarettes and its role in smoking behavior</w:t>
            </w:r>
            <w:r w:rsidR="007F2F01">
              <w:rPr>
                <w:sz w:val="20"/>
                <w:szCs w:val="20"/>
              </w:rPr>
              <w:t>.</w:t>
            </w:r>
            <w:r w:rsidRPr="005762E6">
              <w:rPr>
                <w:sz w:val="20"/>
                <w:szCs w:val="20"/>
              </w:rPr>
              <w:t xml:space="preserve"> Nicotine &amp; tobacco research : official journal of the Society for Research on Nicotine and Tobacco; 2008;10:705.</w:t>
            </w:r>
            <w:r w:rsidRPr="005762E6">
              <w:rPr>
                <w:sz w:val="20"/>
                <w:szCs w:val="20"/>
              </w:rPr>
              <w:br/>
            </w:r>
            <w:r w:rsidRPr="005762E6">
              <w:rPr>
                <w:sz w:val="20"/>
                <w:szCs w:val="20"/>
              </w:rPr>
              <w:br/>
            </w:r>
            <w:r w:rsidRPr="005762E6">
              <w:rPr>
                <w:b/>
                <w:bCs/>
                <w:sz w:val="20"/>
                <w:szCs w:val="20"/>
              </w:rPr>
              <w:t>Keywords:</w:t>
            </w:r>
            <w:r w:rsidRPr="005762E6">
              <w:rPr>
                <w:sz w:val="20"/>
                <w:szCs w:val="20"/>
              </w:rPr>
              <w:br/>
              <w:t>Age Factors,​*Behavior,​ Addictive/ep [Epidemiology],​Behavior,​ Addictive/eh [Ethnology],​*Consumer Behavior/sn [Statistics &amp; Numerical Data],​Documentation,​Ethnic Groups/sn [Statistics &amp; Numerical Data],​*Flavoring Agents/ad [Administration &amp; Dosage],​Humans,​*Menthol/ad [Administration &amp; Dosage],​Sex Factors,​*Smoking/ep [Epidemiology],​Smoking/eh [Ethnology],​Smoking/lj [Legislation &amp; Jurisprudence],​*Tobacco Industry,​Tobacco Use Disorder/ep [Epidemiology],​Tobacco Use Disorder/eh [Ethnology],​United States/ep [Epidemiology]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The use of menthol in cigarettes is actively promoted by the tobacco industry for its perceived sensory benefits,​ and smokers of menthol cigarettes commonly differ from nonmenthol smokers in markers of smoking behavior and addiction. In this </w:t>
            </w:r>
            <w:proofErr w:type="gramStart"/>
            <w:r w:rsidRPr="005762E6">
              <w:rPr>
                <w:sz w:val="20"/>
                <w:szCs w:val="20"/>
              </w:rPr>
              <w:t>study,​</w:t>
            </w:r>
            <w:proofErr w:type="gramEnd"/>
            <w:r w:rsidRPr="005762E6">
              <w:rPr>
                <w:sz w:val="20"/>
                <w:szCs w:val="20"/>
              </w:rPr>
              <w:t xml:space="preserve"> we analyzed internal tobacco industry documents to describe the relationships between sensory perception and the attitudes,​ preferences,​ and patterns of cigarette use among menthol smokers. Two unique types of menthol smoker emerged from this analysis: those who cannot tolerate the harshness and irritation associated with smoking nonmenthol </w:t>
            </w:r>
            <w:proofErr w:type="gramStart"/>
            <w:r w:rsidRPr="005762E6">
              <w:rPr>
                <w:sz w:val="20"/>
                <w:szCs w:val="20"/>
              </w:rPr>
              <w:t>cigarettes,​</w:t>
            </w:r>
            <w:proofErr w:type="gramEnd"/>
            <w:r w:rsidRPr="005762E6">
              <w:rPr>
                <w:sz w:val="20"/>
                <w:szCs w:val="20"/>
              </w:rPr>
              <w:t xml:space="preserve"> and those who seek out the specific menthol flavor and associated physical sensation. Among the first segment of menthol </w:t>
            </w:r>
            <w:proofErr w:type="gramStart"/>
            <w:r w:rsidRPr="005762E6">
              <w:rPr>
                <w:sz w:val="20"/>
                <w:szCs w:val="20"/>
              </w:rPr>
              <w:t>smokers,​</w:t>
            </w:r>
            <w:proofErr w:type="gramEnd"/>
            <w:r w:rsidRPr="005762E6">
              <w:rPr>
                <w:sz w:val="20"/>
                <w:szCs w:val="20"/>
              </w:rPr>
              <w:t xml:space="preserve"> menthol reduces negative sensory characteristics associated with smoking. This segment of smokers may include a large proportion of occasional smokers or young </w:t>
            </w:r>
            <w:proofErr w:type="gramStart"/>
            <w:r w:rsidRPr="005762E6">
              <w:rPr>
                <w:sz w:val="20"/>
                <w:szCs w:val="20"/>
              </w:rPr>
              <w:t>people,​</w:t>
            </w:r>
            <w:proofErr w:type="gramEnd"/>
            <w:r w:rsidRPr="005762E6">
              <w:rPr>
                <w:sz w:val="20"/>
                <w:szCs w:val="20"/>
              </w:rPr>
              <w:t xml:space="preserve"> as well as smokers who have "traded down" to a less strong cigarette because of perceived harshness or negative health effects. Some established menthol </w:t>
            </w:r>
            <w:proofErr w:type="gramStart"/>
            <w:r w:rsidRPr="005762E6">
              <w:rPr>
                <w:sz w:val="20"/>
                <w:szCs w:val="20"/>
              </w:rPr>
              <w:t>smokers,​</w:t>
            </w:r>
            <w:proofErr w:type="gramEnd"/>
            <w:r w:rsidRPr="005762E6">
              <w:rPr>
                <w:sz w:val="20"/>
                <w:szCs w:val="20"/>
              </w:rPr>
              <w:t xml:space="preserve"> on the other hand,​ appear to be tolerant of and even actively seek stronger sensory attributes,​ including higher menthol levels. Smokers of these "stronger" menthols have traditionally been disproportionately Black and male. Some beginning or occasional smokers may adopt menthols for their mild properties and to cover up the taste of </w:t>
            </w:r>
            <w:proofErr w:type="gramStart"/>
            <w:r w:rsidRPr="005762E6">
              <w:rPr>
                <w:sz w:val="20"/>
                <w:szCs w:val="20"/>
              </w:rPr>
              <w:t>tobacco,​</w:t>
            </w:r>
            <w:proofErr w:type="gramEnd"/>
            <w:r w:rsidRPr="005762E6">
              <w:rPr>
                <w:sz w:val="20"/>
                <w:szCs w:val="20"/>
              </w:rPr>
              <w:t xml:space="preserve"> but then develop a stronger desire for the menthol taste over time. Future research measuring smoking behavior and evaluating cessation outcomes of menthol smokers should consider the duration of menthol use and differentiate smokers according to their reasons for using menthols.</w:t>
            </w:r>
          </w:p>
        </w:tc>
      </w:tr>
      <w:tr w:rsidR="00B44564" w:rsidRPr="005762E6" w14:paraId="52F18393"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0EE03B9" w14:textId="77777777" w:rsidR="00B44564" w:rsidRPr="005762E6" w:rsidRDefault="00B44564" w:rsidP="00EA69AA">
            <w:pPr>
              <w:spacing w:after="120" w:line="240" w:lineRule="auto"/>
              <w:contextualSpacing/>
              <w:rPr>
                <w:sz w:val="20"/>
                <w:szCs w:val="20"/>
              </w:rPr>
            </w:pPr>
            <w:r w:rsidRPr="005762E6">
              <w:rPr>
                <w:sz w:val="20"/>
                <w:szCs w:val="20"/>
              </w:rPr>
              <w:t>665</w:t>
            </w:r>
          </w:p>
        </w:tc>
        <w:tc>
          <w:tcPr>
            <w:tcW w:w="0" w:type="auto"/>
            <w:tcBorders>
              <w:top w:val="single" w:sz="6" w:space="0" w:color="auto"/>
              <w:left w:val="single" w:sz="6" w:space="0" w:color="auto"/>
              <w:bottom w:val="single" w:sz="6" w:space="0" w:color="auto"/>
              <w:right w:val="single" w:sz="6" w:space="0" w:color="auto"/>
            </w:tcBorders>
          </w:tcPr>
          <w:p w14:paraId="0611A7CD"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E5F23E9" w14:textId="53A79DD8" w:rsidR="00B44564" w:rsidRPr="005762E6" w:rsidRDefault="00B44564" w:rsidP="00EA69AA">
            <w:pPr>
              <w:spacing w:after="120" w:line="240" w:lineRule="auto"/>
              <w:contextualSpacing/>
              <w:rPr>
                <w:sz w:val="20"/>
                <w:szCs w:val="20"/>
              </w:rPr>
            </w:pPr>
            <w:r w:rsidRPr="005762E6">
              <w:rPr>
                <w:sz w:val="20"/>
                <w:szCs w:val="20"/>
              </w:rPr>
              <w:t xml:space="preserve">Steven S </w:t>
            </w:r>
            <w:proofErr w:type="gramStart"/>
            <w:r w:rsidRPr="005762E6">
              <w:rPr>
                <w:sz w:val="20"/>
                <w:szCs w:val="20"/>
              </w:rPr>
              <w:t>Fu,​</w:t>
            </w:r>
            <w:proofErr w:type="gramEnd"/>
            <w:r w:rsidRPr="005762E6">
              <w:rPr>
                <w:sz w:val="20"/>
                <w:szCs w:val="20"/>
              </w:rPr>
              <w:t xml:space="preserve"> Kolawole S Okuyemi,​ Melissa R Partin,​ Jasjit S Ahluwalia,​ David B Nelson,​ Barbara A Clothier,​ Anne M Joseph Menthol cigarettes and smoking cessation during an aided quit attempt</w:t>
            </w:r>
            <w:r w:rsidR="007F2F01">
              <w:rPr>
                <w:sz w:val="20"/>
                <w:szCs w:val="20"/>
              </w:rPr>
              <w:t>.</w:t>
            </w:r>
            <w:r w:rsidRPr="005762E6">
              <w:rPr>
                <w:sz w:val="20"/>
                <w:szCs w:val="20"/>
              </w:rPr>
              <w:t xml:space="preserve"> Nicotine &amp; tobacco research : official journal of the Society for Research on Nicotine and Tobacco; 2008;10:457.</w:t>
            </w:r>
            <w:r w:rsidRPr="005762E6">
              <w:rPr>
                <w:sz w:val="20"/>
                <w:szCs w:val="20"/>
              </w:rPr>
              <w:br/>
            </w:r>
            <w:r w:rsidRPr="005762E6">
              <w:rPr>
                <w:sz w:val="20"/>
                <w:szCs w:val="20"/>
              </w:rPr>
              <w:br/>
            </w:r>
            <w:r w:rsidRPr="005762E6">
              <w:rPr>
                <w:b/>
                <w:bCs/>
                <w:sz w:val="20"/>
                <w:szCs w:val="20"/>
              </w:rPr>
              <w:t>Keywords:</w:t>
            </w:r>
            <w:r w:rsidRPr="005762E6">
              <w:rPr>
                <w:sz w:val="20"/>
                <w:szCs w:val="20"/>
              </w:rPr>
              <w:br/>
              <w:t>Adult,​African Americans/sn [Statistics &amp; Numerical Data],​Age Factors,​Aged,​*Ethnic Groups/sn [Statistics &amp; Numerical Data],​European Continental Ancestry Group/sn [Statistics &amp; Numerical Data],​Female,​*Flavoring Agents/ad [Administration &amp; Dosage],​Humans,​Male,​*Menthol/ad [Administration &amp; Dosage],​Middle Aged,​*Nicotine/ad [Administration &amp; Dosage],​Prevalence,​Risk Factors,​*Smoking/eh [Ethnology],​*Smoking Cessation/eh [Ethnology],​Smoking Cessation/px [Psychology],​Smoking Prevention</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Menthol may make cigarettes more addictive and rates of menthol cigarette smoking are disproportionately higher among Black. </w:t>
            </w:r>
            <w:proofErr w:type="gramStart"/>
            <w:r w:rsidRPr="005762E6">
              <w:rPr>
                <w:sz w:val="20"/>
                <w:szCs w:val="20"/>
              </w:rPr>
              <w:t>However,​</w:t>
            </w:r>
            <w:proofErr w:type="gramEnd"/>
            <w:r w:rsidRPr="005762E6">
              <w:rPr>
                <w:sz w:val="20"/>
                <w:szCs w:val="20"/>
              </w:rPr>
              <w:t xml:space="preserve"> few studies have examined the association between menthol cigarette smoking and cessation,​ and the studies to date have produced conflicting findings. The present study examines the effect of menthol cigarette smoking on cessation among a multi-ethnic sample of smokers making a pharmacotherapy-aided quit attempt. We hypothesized that menthol cigarette smoking would be associated with lower smoking abstinence rates and conducted a secondary analysis of data from a multi-site randomized controlled trial of an intervention designed to facilitate repeat tobacco cessation </w:t>
            </w:r>
            <w:r w:rsidRPr="005762E6">
              <w:rPr>
                <w:sz w:val="20"/>
                <w:szCs w:val="20"/>
              </w:rPr>
              <w:lastRenderedPageBreak/>
              <w:t xml:space="preserve">treatment (N = </w:t>
            </w:r>
            <w:proofErr w:type="gramStart"/>
            <w:r w:rsidRPr="005762E6">
              <w:rPr>
                <w:sz w:val="20"/>
                <w:szCs w:val="20"/>
              </w:rPr>
              <w:t>1,​</w:t>
            </w:r>
            <w:proofErr w:type="gramEnd"/>
            <w:r w:rsidRPr="005762E6">
              <w:rPr>
                <w:sz w:val="20"/>
                <w:szCs w:val="20"/>
              </w:rPr>
              <w:t xml:space="preserve">343). The intervention consisted of a patient phone call and a computerized provider prompt. The primary outcome for this analysis was 7-day point prevalence smoking abstinence. The average age of the sample was 56 years old. </w:t>
            </w:r>
            <w:proofErr w:type="gramStart"/>
            <w:r w:rsidRPr="005762E6">
              <w:rPr>
                <w:sz w:val="20"/>
                <w:szCs w:val="20"/>
              </w:rPr>
              <w:t>Overall,​</w:t>
            </w:r>
            <w:proofErr w:type="gramEnd"/>
            <w:r w:rsidRPr="005762E6">
              <w:rPr>
                <w:sz w:val="20"/>
                <w:szCs w:val="20"/>
              </w:rPr>
              <w:t xml:space="preserve"> 25% of the sample smoked menthol cigarettes: 19% of Whites,​ 62% of Blacks,​ and 25% of other ethnicity (p&lt;.001). We observed no significant effects for menthol cigarette smoking or ethnicity on smoking abstinence rates. In </w:t>
            </w:r>
            <w:proofErr w:type="gramStart"/>
            <w:r w:rsidRPr="005762E6">
              <w:rPr>
                <w:sz w:val="20"/>
                <w:szCs w:val="20"/>
              </w:rPr>
              <w:t>conclusion,​</w:t>
            </w:r>
            <w:proofErr w:type="gramEnd"/>
            <w:r w:rsidRPr="005762E6">
              <w:rPr>
                <w:sz w:val="20"/>
                <w:szCs w:val="20"/>
              </w:rPr>
              <w:t xml:space="preserve"> combined with findings from previous research,​ this study suggests that smoking menthol cigarettes does not decrease smoking cessation among older smokers during a quit attempt aided with pharmacotherapy.</w:t>
            </w:r>
          </w:p>
        </w:tc>
      </w:tr>
      <w:tr w:rsidR="00B44564" w:rsidRPr="005762E6" w14:paraId="1CD02EFD"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65187D4" w14:textId="77777777" w:rsidR="00B44564" w:rsidRPr="005762E6" w:rsidRDefault="00B44564" w:rsidP="00EA69AA">
            <w:pPr>
              <w:spacing w:after="120" w:line="240" w:lineRule="auto"/>
              <w:contextualSpacing/>
              <w:rPr>
                <w:sz w:val="20"/>
                <w:szCs w:val="20"/>
              </w:rPr>
            </w:pPr>
            <w:r w:rsidRPr="005762E6">
              <w:rPr>
                <w:sz w:val="20"/>
                <w:szCs w:val="20"/>
              </w:rPr>
              <w:lastRenderedPageBreak/>
              <w:t>667</w:t>
            </w:r>
          </w:p>
        </w:tc>
        <w:tc>
          <w:tcPr>
            <w:tcW w:w="0" w:type="auto"/>
            <w:tcBorders>
              <w:top w:val="single" w:sz="6" w:space="0" w:color="auto"/>
              <w:left w:val="single" w:sz="6" w:space="0" w:color="auto"/>
              <w:bottom w:val="single" w:sz="6" w:space="0" w:color="auto"/>
              <w:right w:val="single" w:sz="6" w:space="0" w:color="auto"/>
            </w:tcBorders>
          </w:tcPr>
          <w:p w14:paraId="50D4994B"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709C4D1" w14:textId="605F4D72" w:rsidR="00B44564" w:rsidRPr="005762E6" w:rsidRDefault="00B44564" w:rsidP="00EA69AA">
            <w:pPr>
              <w:spacing w:after="120" w:line="240" w:lineRule="auto"/>
              <w:contextualSpacing/>
              <w:rPr>
                <w:sz w:val="20"/>
                <w:szCs w:val="20"/>
              </w:rPr>
            </w:pPr>
            <w:r w:rsidRPr="005762E6">
              <w:rPr>
                <w:sz w:val="20"/>
                <w:szCs w:val="20"/>
              </w:rPr>
              <w:t xml:space="preserve">Amie L </w:t>
            </w:r>
            <w:proofErr w:type="gramStart"/>
            <w:r w:rsidRPr="005762E6">
              <w:rPr>
                <w:sz w:val="20"/>
                <w:szCs w:val="20"/>
              </w:rPr>
              <w:t>Haas,​</w:t>
            </w:r>
            <w:proofErr w:type="gramEnd"/>
            <w:r w:rsidRPr="005762E6">
              <w:rPr>
                <w:sz w:val="20"/>
                <w:szCs w:val="20"/>
              </w:rPr>
              <w:t xml:space="preserve"> James L Sorensen,​ Sharon M Hall,​ Christine Lin,​ Kevin Delucchi,​ Karl Sporer,​ TeChieh Chen Cigarette smoking in opioid-using patients presenting for hospital-based medical services</w:t>
            </w:r>
            <w:r w:rsidR="007F2F01">
              <w:rPr>
                <w:sz w:val="20"/>
                <w:szCs w:val="20"/>
              </w:rPr>
              <w:t>.</w:t>
            </w:r>
            <w:r w:rsidRPr="005762E6">
              <w:rPr>
                <w:sz w:val="20"/>
                <w:szCs w:val="20"/>
              </w:rPr>
              <w:t xml:space="preserve"> The American journal on addictions; </w:t>
            </w:r>
            <w:proofErr w:type="gramStart"/>
            <w:r w:rsidRPr="005762E6">
              <w:rPr>
                <w:sz w:val="20"/>
                <w:szCs w:val="20"/>
              </w:rPr>
              <w:t>2008;17:65</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Adult,​Female,​*Health Services/ut [Utilization],​Hospitalization,​Humans,​Male,​Menthol,​Nicotine,​*Opioid-Related Disorders/ep [Epidemiology],​*Opioid-Related Disorders/rh [Rehabilitation],​Patient Compliance/sn [Statistics &amp; Numerical Data],​Sex Factors,​*Smoking/ep [Epidemiology]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Little is known about cigarette smoking among opioid users who are not in substance abuse treatment. The study examined cigarette smoking in out-of-treatment opioid users presenting at a hospital who participated in drug abuse research. Participants exhibited a high rate of smoking (92%) at baseline that remained unchanged at one year and were moderately nicotine-dependent. Nineteen percent preferred unfiltered cigarettes. Women were more likely to smoke menthol cigarettes; men were more likely to smoke unfiltered cigarettes. Caucasians tended to smoke more than other ethnicities and exhibited greater dependence. Out-of-treatment drug users continue to be at high risk for continued smoking.</w:t>
            </w:r>
          </w:p>
        </w:tc>
      </w:tr>
      <w:tr w:rsidR="00B44564" w:rsidRPr="005762E6" w14:paraId="5C7C6C3D"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9A76810" w14:textId="77777777" w:rsidR="00B44564" w:rsidRPr="005762E6" w:rsidRDefault="00B44564" w:rsidP="00EA69AA">
            <w:pPr>
              <w:spacing w:after="120" w:line="240" w:lineRule="auto"/>
              <w:contextualSpacing/>
              <w:rPr>
                <w:sz w:val="20"/>
                <w:szCs w:val="20"/>
              </w:rPr>
            </w:pPr>
            <w:r w:rsidRPr="005762E6">
              <w:rPr>
                <w:sz w:val="20"/>
                <w:szCs w:val="20"/>
              </w:rPr>
              <w:t>668</w:t>
            </w:r>
          </w:p>
        </w:tc>
        <w:tc>
          <w:tcPr>
            <w:tcW w:w="0" w:type="auto"/>
            <w:tcBorders>
              <w:top w:val="single" w:sz="6" w:space="0" w:color="auto"/>
              <w:left w:val="single" w:sz="6" w:space="0" w:color="auto"/>
              <w:bottom w:val="single" w:sz="6" w:space="0" w:color="auto"/>
              <w:right w:val="single" w:sz="6" w:space="0" w:color="auto"/>
            </w:tcBorders>
          </w:tcPr>
          <w:p w14:paraId="26502AF2"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C8C4693" w14:textId="432AF06C" w:rsidR="00B44564" w:rsidRPr="005762E6" w:rsidRDefault="00B44564" w:rsidP="00EA69AA">
            <w:pPr>
              <w:spacing w:after="120" w:line="240" w:lineRule="auto"/>
              <w:contextualSpacing/>
              <w:rPr>
                <w:sz w:val="20"/>
                <w:szCs w:val="20"/>
              </w:rPr>
            </w:pPr>
            <w:r w:rsidRPr="005762E6">
              <w:rPr>
                <w:sz w:val="20"/>
                <w:szCs w:val="20"/>
              </w:rPr>
              <w:t xml:space="preserve">M T </w:t>
            </w:r>
            <w:proofErr w:type="gramStart"/>
            <w:r w:rsidRPr="005762E6">
              <w:rPr>
                <w:sz w:val="20"/>
                <w:szCs w:val="20"/>
              </w:rPr>
              <w:t>Bover,​</w:t>
            </w:r>
            <w:proofErr w:type="gramEnd"/>
            <w:r w:rsidRPr="005762E6">
              <w:rPr>
                <w:sz w:val="20"/>
                <w:szCs w:val="20"/>
              </w:rPr>
              <w:t xml:space="preserve"> J Foulds,​ M B Steinberg,​ D Richardson,​ S W Marcella Waking at night to smoke as a marker for tobacco dependence: patient characteristics and relationship to treatment outcome</w:t>
            </w:r>
            <w:r w:rsidR="007F2F01">
              <w:rPr>
                <w:sz w:val="20"/>
                <w:szCs w:val="20"/>
              </w:rPr>
              <w:t>.</w:t>
            </w:r>
            <w:r w:rsidRPr="005762E6">
              <w:rPr>
                <w:sz w:val="20"/>
                <w:szCs w:val="20"/>
              </w:rPr>
              <w:t xml:space="preserve"> International journal of clinical practice; 2008;62:182.</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Adolescent,​Adult,​Aged,​Aged,​ 80 and over,​*Circadian Rhythm,​Female,​Follow-Up Studies,​Humans,​Male,​Middle Aged,​Prognosis,​*Sleep Disorders,​ Intrinsic/et [Etiology],​Smoking Cessation,​Socioeconomic Factors,​*Tobacco Use Disorder/px [Psychology],​*Tobacco Use Disorder/th [Therapy],​Treatment Outcome</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AIM: This study aimed to describe the characteristics of treatment-seeking patients who wake at night to smoke (night-smoking),​ identify factors that may be associated with night-smoking,​ and assess the association between night-smoking and treatment outcome.,​ METHODS: A total of 2312 consecutive eligible cigarette smokers who sought treatment at a specialist tobacco-dependence clinic declared a Target Quit Date,​ provided baseline information at assessment,​ and were then followed-up 4 and 26 weeks after their target quit date.,​ RESULTS: Of the total sample,​ 51.1% were identified as night-smokers and 25.1% reported smoking abstinence at 26-week follow-up. Night-smoking was associated with a number of other patient </w:t>
            </w:r>
            <w:proofErr w:type="gramStart"/>
            <w:r w:rsidRPr="005762E6">
              <w:rPr>
                <w:sz w:val="20"/>
                <w:szCs w:val="20"/>
              </w:rPr>
              <w:t>characteristics,​</w:t>
            </w:r>
            <w:proofErr w:type="gramEnd"/>
            <w:r w:rsidRPr="005762E6">
              <w:rPr>
                <w:sz w:val="20"/>
                <w:szCs w:val="20"/>
              </w:rPr>
              <w:t xml:space="preserve"> including African-American race or Hispanic ethnicity,​ having smoking-related medical symptoms,​ having been treated for a behavioural health problem,​ smoking mentholated cigarettes,​ smoking within 30 min of waking in the morning,​ increased cigarettes smoked per day,​ and not having private health insurance. In multivariate </w:t>
            </w:r>
            <w:proofErr w:type="gramStart"/>
            <w:r w:rsidRPr="005762E6">
              <w:rPr>
                <w:sz w:val="20"/>
                <w:szCs w:val="20"/>
              </w:rPr>
              <w:t>analyses,​</w:t>
            </w:r>
            <w:proofErr w:type="gramEnd"/>
            <w:r w:rsidRPr="005762E6">
              <w:rPr>
                <w:sz w:val="20"/>
                <w:szCs w:val="20"/>
              </w:rPr>
              <w:t xml:space="preserve"> night-smoking at assessment remained a significant predictor of smoking at 26-week follow-up when controlling for other factors associated with treatment outcome (adjusted odds ratio: 0.77,​ 95% confidence interval: 0.62-0.96). Night-smokers also experienced a shorter average time to relapse (38.5 vs. 56 </w:t>
            </w:r>
            <w:proofErr w:type="gramStart"/>
            <w:r w:rsidRPr="005762E6">
              <w:rPr>
                <w:sz w:val="20"/>
                <w:szCs w:val="20"/>
              </w:rPr>
              <w:t>days,​</w:t>
            </w:r>
            <w:proofErr w:type="gramEnd"/>
            <w:r w:rsidRPr="005762E6">
              <w:rPr>
                <w:sz w:val="20"/>
                <w:szCs w:val="20"/>
              </w:rPr>
              <w:t xml:space="preserve"> p&lt;0.0001).,​ CONCLUSIONS: Several socioeconomic and tobacco use characteristics are shared among patients who wake at night to smoke. This behaviour can be assessed by a simple question and used as a marker for tobacco dependence and as an indicator that more intensive and sustained treatment may be required.</w:t>
            </w:r>
          </w:p>
        </w:tc>
      </w:tr>
      <w:tr w:rsidR="00B44564" w:rsidRPr="005762E6" w14:paraId="08312687"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C513D4C" w14:textId="77777777" w:rsidR="00B44564" w:rsidRPr="005762E6" w:rsidRDefault="00B44564" w:rsidP="00EA69AA">
            <w:pPr>
              <w:spacing w:after="120" w:line="240" w:lineRule="auto"/>
              <w:contextualSpacing/>
              <w:rPr>
                <w:sz w:val="20"/>
                <w:szCs w:val="20"/>
              </w:rPr>
            </w:pPr>
            <w:r w:rsidRPr="005762E6">
              <w:rPr>
                <w:sz w:val="20"/>
                <w:szCs w:val="20"/>
              </w:rPr>
              <w:t>672</w:t>
            </w:r>
          </w:p>
        </w:tc>
        <w:tc>
          <w:tcPr>
            <w:tcW w:w="0" w:type="auto"/>
            <w:tcBorders>
              <w:top w:val="single" w:sz="6" w:space="0" w:color="auto"/>
              <w:left w:val="single" w:sz="6" w:space="0" w:color="auto"/>
              <w:bottom w:val="single" w:sz="6" w:space="0" w:color="auto"/>
              <w:right w:val="single" w:sz="6" w:space="0" w:color="auto"/>
            </w:tcBorders>
          </w:tcPr>
          <w:p w14:paraId="43A95DFB"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3874A10" w14:textId="61562930" w:rsidR="00B44564" w:rsidRPr="005762E6" w:rsidRDefault="00B44564" w:rsidP="00EA69AA">
            <w:pPr>
              <w:spacing w:after="120" w:line="240" w:lineRule="auto"/>
              <w:contextualSpacing/>
              <w:rPr>
                <w:sz w:val="20"/>
                <w:szCs w:val="20"/>
              </w:rPr>
            </w:pPr>
            <w:r w:rsidRPr="005762E6">
              <w:rPr>
                <w:sz w:val="20"/>
                <w:szCs w:val="20"/>
              </w:rPr>
              <w:t xml:space="preserve">Kolawole S </w:t>
            </w:r>
            <w:proofErr w:type="gramStart"/>
            <w:r w:rsidRPr="005762E6">
              <w:rPr>
                <w:sz w:val="20"/>
                <w:szCs w:val="20"/>
              </w:rPr>
              <w:t>Okuyemi,​</w:t>
            </w:r>
            <w:proofErr w:type="gramEnd"/>
            <w:r w:rsidRPr="005762E6">
              <w:rPr>
                <w:sz w:val="20"/>
                <w:szCs w:val="20"/>
              </w:rPr>
              <w:t xml:space="preserve"> Babalola Faseru,​ Lisa Sanderson Cox,​ Carrie A Bronars,​ Jasjit S Ahluwalia Relationship between menthol cigarettes and smoking cessation among African American light smokers</w:t>
            </w:r>
            <w:r w:rsidR="007F2F01">
              <w:rPr>
                <w:sz w:val="20"/>
                <w:szCs w:val="20"/>
              </w:rPr>
              <w:t>.</w:t>
            </w:r>
            <w:r w:rsidRPr="005762E6">
              <w:rPr>
                <w:sz w:val="20"/>
                <w:szCs w:val="20"/>
              </w:rPr>
              <w:t xml:space="preserve"> Addiction (Abingdon,​ England); 2007;102:1979.</w:t>
            </w:r>
            <w:r w:rsidRPr="005762E6">
              <w:rPr>
                <w:sz w:val="20"/>
                <w:szCs w:val="20"/>
              </w:rPr>
              <w:br/>
            </w:r>
            <w:r w:rsidRPr="005762E6">
              <w:rPr>
                <w:sz w:val="20"/>
                <w:szCs w:val="20"/>
              </w:rPr>
              <w:lastRenderedPageBreak/>
              <w:br/>
            </w:r>
            <w:r w:rsidRPr="005762E6">
              <w:rPr>
                <w:b/>
                <w:bCs/>
                <w:sz w:val="20"/>
                <w:szCs w:val="20"/>
              </w:rPr>
              <w:t>Keywords:</w:t>
            </w:r>
            <w:r w:rsidRPr="005762E6">
              <w:rPr>
                <w:sz w:val="20"/>
                <w:szCs w:val="20"/>
              </w:rPr>
              <w:br/>
              <w:t>Adult,​*African Americans/eh [Ethnology],​African Americans/px [Psychology],​Age Factors,​Female,​Health Education,​Humans,​Male,​*Menthol,​Middle Aged,​Regression Analysis,​*Smoking/ae [Adverse Effects],​*Smoking Cessation/eh [Ethnology],​Smoking Cessation/px [Psychology],​Smoking Cessation/sn [Statistics &amp; Numerical Data],​*Tobacco/ae [Adverse Effects]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AIMS: To determine whether African American light smokers who smoked menthol cigarettes had lower cessation when treated with nicotine replacement therapy and counseling.,​ DESIGN: Data were derived from a clinical trial that assessed the efficacy of 2 mg nicotine gum (versus placebo) and counseling (motivational interviewing counseling versus Health Education) for smoking cessation among African American light smokers (smoked &lt; or = 10 cigarettes per day).,​ PARTICIPANTS: The sample consisted of 755 African American light smokers.,​ MEASUREMENTS: The primary outcome variable was verified 7-day point-prevalence smoking cessation at 26 weeks follow-up. Verification was by salivary cotinine</w:t>
            </w:r>
            <w:proofErr w:type="gramStart"/>
            <w:r w:rsidRPr="005762E6">
              <w:rPr>
                <w:sz w:val="20"/>
                <w:szCs w:val="20"/>
              </w:rPr>
              <w:t>.,​</w:t>
            </w:r>
            <w:proofErr w:type="gramEnd"/>
            <w:r w:rsidRPr="005762E6">
              <w:rPr>
                <w:sz w:val="20"/>
                <w:szCs w:val="20"/>
              </w:rPr>
              <w:t xml:space="preserve"> FINDINGS: Compared to non-menthol smokers,​ menthol smokers were younger and less confident to quit smoking (P = 0.023). At 26 weeks post-</w:t>
            </w:r>
            <w:proofErr w:type="gramStart"/>
            <w:r w:rsidRPr="005762E6">
              <w:rPr>
                <w:sz w:val="20"/>
                <w:szCs w:val="20"/>
              </w:rPr>
              <w:t>randomization,​</w:t>
            </w:r>
            <w:proofErr w:type="gramEnd"/>
            <w:r w:rsidRPr="005762E6">
              <w:rPr>
                <w:sz w:val="20"/>
                <w:szCs w:val="20"/>
              </w:rPr>
              <w:t xml:space="preserve"> 7-day verified abstinence rate was significantly lower for menthol smokers (11.2% versus 18.8% for non-menthol,​ P = 0.015).,​ CONCLUSIONS: Among African American light smokers,​ use of menthol cigarettes is associated with lower smoking cessation rates. Because the majority of African American smokers use menthol </w:t>
            </w:r>
            <w:proofErr w:type="gramStart"/>
            <w:r w:rsidRPr="005762E6">
              <w:rPr>
                <w:sz w:val="20"/>
                <w:szCs w:val="20"/>
              </w:rPr>
              <w:t>cigarettes,​</w:t>
            </w:r>
            <w:proofErr w:type="gramEnd"/>
            <w:r w:rsidRPr="005762E6">
              <w:rPr>
                <w:sz w:val="20"/>
                <w:szCs w:val="20"/>
              </w:rPr>
              <w:t xml:space="preserve"> a better understanding of the mechanism for this lower quit rate is needed.</w:t>
            </w:r>
          </w:p>
        </w:tc>
      </w:tr>
      <w:tr w:rsidR="00B44564" w:rsidRPr="005762E6" w14:paraId="7431A805"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09FACEF" w14:textId="77777777" w:rsidR="00B44564" w:rsidRPr="005762E6" w:rsidRDefault="00B44564" w:rsidP="00EA69AA">
            <w:pPr>
              <w:spacing w:after="120" w:line="240" w:lineRule="auto"/>
              <w:contextualSpacing/>
              <w:rPr>
                <w:sz w:val="20"/>
                <w:szCs w:val="20"/>
              </w:rPr>
            </w:pPr>
            <w:r w:rsidRPr="005762E6">
              <w:rPr>
                <w:sz w:val="20"/>
                <w:szCs w:val="20"/>
              </w:rPr>
              <w:lastRenderedPageBreak/>
              <w:t>673</w:t>
            </w:r>
          </w:p>
        </w:tc>
        <w:tc>
          <w:tcPr>
            <w:tcW w:w="0" w:type="auto"/>
            <w:tcBorders>
              <w:top w:val="single" w:sz="6" w:space="0" w:color="auto"/>
              <w:left w:val="single" w:sz="6" w:space="0" w:color="auto"/>
              <w:bottom w:val="single" w:sz="6" w:space="0" w:color="auto"/>
              <w:right w:val="single" w:sz="6" w:space="0" w:color="auto"/>
            </w:tcBorders>
          </w:tcPr>
          <w:p w14:paraId="68BA26E3"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872B90B" w14:textId="4176FAFE" w:rsidR="00B44564" w:rsidRPr="005762E6" w:rsidRDefault="00B44564" w:rsidP="00EA69AA">
            <w:pPr>
              <w:spacing w:after="120" w:line="240" w:lineRule="auto"/>
              <w:contextualSpacing/>
              <w:rPr>
                <w:sz w:val="20"/>
                <w:szCs w:val="20"/>
              </w:rPr>
            </w:pPr>
            <w:r w:rsidRPr="005762E6">
              <w:rPr>
                <w:sz w:val="20"/>
                <w:szCs w:val="20"/>
              </w:rPr>
              <w:t xml:space="preserve">Gregory N </w:t>
            </w:r>
            <w:proofErr w:type="gramStart"/>
            <w:r w:rsidRPr="005762E6">
              <w:rPr>
                <w:sz w:val="20"/>
                <w:szCs w:val="20"/>
              </w:rPr>
              <w:t>Connolly,​</w:t>
            </w:r>
            <w:proofErr w:type="gramEnd"/>
            <w:r w:rsidRPr="005762E6">
              <w:rPr>
                <w:sz w:val="20"/>
                <w:szCs w:val="20"/>
              </w:rPr>
              <w:t xml:space="preserve"> Hillel R Alpert,​ Geoffrey Ferris Wayne,​ Howard Koh Trends in nicotine yield in smoke and its relationship with design characteristics among popular US cigarette brands,​ 1997-2005</w:t>
            </w:r>
            <w:r w:rsidR="007F2F01">
              <w:rPr>
                <w:sz w:val="20"/>
                <w:szCs w:val="20"/>
              </w:rPr>
              <w:t>.</w:t>
            </w:r>
            <w:r w:rsidRPr="005762E6">
              <w:rPr>
                <w:sz w:val="20"/>
                <w:szCs w:val="20"/>
              </w:rPr>
              <w:t xml:space="preserve"> Tobacco control; 2007;16:e5.</w:t>
            </w:r>
            <w:r w:rsidRPr="005762E6">
              <w:rPr>
                <w:sz w:val="20"/>
                <w:szCs w:val="20"/>
              </w:rPr>
              <w:br/>
            </w:r>
            <w:r w:rsidRPr="005762E6">
              <w:rPr>
                <w:sz w:val="20"/>
                <w:szCs w:val="20"/>
              </w:rPr>
              <w:br/>
            </w:r>
            <w:r w:rsidRPr="005762E6">
              <w:rPr>
                <w:b/>
                <w:bCs/>
                <w:sz w:val="20"/>
                <w:szCs w:val="20"/>
              </w:rPr>
              <w:t>Keywords:</w:t>
            </w:r>
            <w:r w:rsidRPr="005762E6">
              <w:rPr>
                <w:sz w:val="20"/>
                <w:szCs w:val="20"/>
              </w:rPr>
              <w:br/>
              <w:t>Humans,​*Nicotine/an [Analysis],​*Smoke/an [Analysis],​*Smoking/td [Trends],​*Tobacco/ch [Chemistry],​*Tobacco Industry/td [Trends],​United States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OBJECTIVES: To determine whether nicotine yields in the smoke of cigarettes would show an overall increase over time or an increasing trend limited to any particular market category (eg,​ full flavour vs light,​ medium (mild) or ultralight; mentholated vs non-mentholated),​ manufacturer,​ or brand family or brand style,​ and whether nicotine yields in smoke would be associated with measurable trends in cigarette design.,​ METHODS: Machine-based measures of nicotine yield in smoke and measures of cigarette design features related to nicotine delivery (ventilation,​ nicotine content in the tobacco rod and number of puffs),​ as well as market category descriptors,​ were obtained from annual reports filed with the Massachusetts Department of Public by tobacco manufacturers for 1997-2005. Trends in nicotine yield and its relationship with design features and market parameters were analysed with multilevel mixed-effects regression modelling procedures</w:t>
            </w:r>
            <w:proofErr w:type="gramStart"/>
            <w:r w:rsidRPr="005762E6">
              <w:rPr>
                <w:sz w:val="20"/>
                <w:szCs w:val="20"/>
              </w:rPr>
              <w:t>.,​</w:t>
            </w:r>
            <w:proofErr w:type="gramEnd"/>
            <w:r w:rsidRPr="005762E6">
              <w:rPr>
                <w:sz w:val="20"/>
                <w:szCs w:val="20"/>
              </w:rPr>
              <w:t xml:space="preserve"> RESULTS: A statistically significant trend was confirmed in increased nicotine yield,​ of 0.019 (1.1%) mg/cig/year over the period 1997-2005 and 0.029 (1.6%) mg/cig/year over the period 1998-2005. The increasing trend was observed in all major market categories (mentholated vs non-</w:t>
            </w:r>
            <w:proofErr w:type="gramStart"/>
            <w:r w:rsidRPr="005762E6">
              <w:rPr>
                <w:sz w:val="20"/>
                <w:szCs w:val="20"/>
              </w:rPr>
              <w:t>mentholated,​</w:t>
            </w:r>
            <w:proofErr w:type="gramEnd"/>
            <w:r w:rsidRPr="005762E6">
              <w:rPr>
                <w:sz w:val="20"/>
                <w:szCs w:val="20"/>
              </w:rPr>
              <w:t xml:space="preserve"> and full flavour vs light,​ medium (mild) or ultralight). Nicotine yield in smoke was positively associated with nicotine concentration in the tobacco and number of puffs per </w:t>
            </w:r>
            <w:proofErr w:type="gramStart"/>
            <w:r w:rsidRPr="005762E6">
              <w:rPr>
                <w:sz w:val="20"/>
                <w:szCs w:val="20"/>
              </w:rPr>
              <w:t>cigarette,​</w:t>
            </w:r>
            <w:proofErr w:type="gramEnd"/>
            <w:r w:rsidRPr="005762E6">
              <w:rPr>
                <w:sz w:val="20"/>
                <w:szCs w:val="20"/>
              </w:rPr>
              <w:t xml:space="preserve"> both of which showed increasing trends during the study period.,​ CONCLUSIONS: This study confirms increased machine-measured levels of nicotine,​ the addictive agent in cigarettes,​ in smoke,​ to be a result of increased nicotine in the tobacco rod and other design modifications.</w:t>
            </w:r>
          </w:p>
        </w:tc>
      </w:tr>
      <w:tr w:rsidR="00B44564" w:rsidRPr="005762E6" w14:paraId="13419934"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007BD88" w14:textId="77777777" w:rsidR="00B44564" w:rsidRPr="005762E6" w:rsidRDefault="00B44564" w:rsidP="00EA69AA">
            <w:pPr>
              <w:spacing w:after="120" w:line="240" w:lineRule="auto"/>
              <w:contextualSpacing/>
              <w:rPr>
                <w:sz w:val="20"/>
                <w:szCs w:val="20"/>
              </w:rPr>
            </w:pPr>
            <w:r w:rsidRPr="005762E6">
              <w:rPr>
                <w:sz w:val="20"/>
                <w:szCs w:val="20"/>
              </w:rPr>
              <w:t>678</w:t>
            </w:r>
          </w:p>
        </w:tc>
        <w:tc>
          <w:tcPr>
            <w:tcW w:w="0" w:type="auto"/>
            <w:tcBorders>
              <w:top w:val="single" w:sz="6" w:space="0" w:color="auto"/>
              <w:left w:val="single" w:sz="6" w:space="0" w:color="auto"/>
              <w:bottom w:val="single" w:sz="6" w:space="0" w:color="auto"/>
              <w:right w:val="single" w:sz="6" w:space="0" w:color="auto"/>
            </w:tcBorders>
          </w:tcPr>
          <w:p w14:paraId="33FECBAB"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0D840FA" w14:textId="0C87B2FA" w:rsidR="00B44564" w:rsidRPr="005762E6" w:rsidRDefault="00B44564" w:rsidP="00EA69AA">
            <w:pPr>
              <w:spacing w:after="120" w:line="240" w:lineRule="auto"/>
              <w:contextualSpacing/>
              <w:rPr>
                <w:sz w:val="20"/>
                <w:szCs w:val="20"/>
              </w:rPr>
            </w:pPr>
            <w:r w:rsidRPr="005762E6">
              <w:rPr>
                <w:sz w:val="20"/>
                <w:szCs w:val="20"/>
              </w:rPr>
              <w:t xml:space="preserve">Bruce Jr </w:t>
            </w:r>
            <w:proofErr w:type="gramStart"/>
            <w:r w:rsidRPr="005762E6">
              <w:rPr>
                <w:sz w:val="20"/>
                <w:szCs w:val="20"/>
              </w:rPr>
              <w:t>Allen,​</w:t>
            </w:r>
            <w:proofErr w:type="gramEnd"/>
            <w:r w:rsidRPr="005762E6">
              <w:rPr>
                <w:sz w:val="20"/>
                <w:szCs w:val="20"/>
              </w:rPr>
              <w:t xml:space="preserve"> Jennifer B Unger Sociocultural correlates of menthol cigarette smoking among adult African Americans in Los Angeles</w:t>
            </w:r>
            <w:r w:rsidR="007F2F01">
              <w:rPr>
                <w:sz w:val="20"/>
                <w:szCs w:val="20"/>
              </w:rPr>
              <w:t>.</w:t>
            </w:r>
            <w:r w:rsidRPr="005762E6">
              <w:rPr>
                <w:sz w:val="20"/>
                <w:szCs w:val="20"/>
              </w:rPr>
              <w:t xml:space="preserve"> Nicotine &amp; tobacco research : official journal of the Society for Research on Nicotine and Tobacco; 2007;9:447.</w:t>
            </w:r>
            <w:r w:rsidRPr="005762E6">
              <w:rPr>
                <w:sz w:val="20"/>
                <w:szCs w:val="20"/>
              </w:rPr>
              <w:br/>
            </w:r>
            <w:r w:rsidRPr="005762E6">
              <w:rPr>
                <w:sz w:val="20"/>
                <w:szCs w:val="20"/>
              </w:rPr>
              <w:br/>
            </w:r>
            <w:r w:rsidRPr="005762E6">
              <w:rPr>
                <w:b/>
                <w:bCs/>
                <w:sz w:val="20"/>
                <w:szCs w:val="20"/>
              </w:rPr>
              <w:t>Keywords:</w:t>
            </w:r>
            <w:r w:rsidRPr="005762E6">
              <w:rPr>
                <w:sz w:val="20"/>
                <w:szCs w:val="20"/>
              </w:rPr>
              <w:br/>
              <w:t>Adult,​African Americans/px [Psychology],​*African Americans/sn [Statistics &amp; Numerical Data],​*Attitude to Health/eh [Ethnology],​Cultural Characteristics,​Female,​*Flavoring Agents,​Health Behavior/eh [Ethnology],​</w:t>
            </w:r>
            <w:r w:rsidRPr="005762E6">
              <w:rPr>
                <w:sz w:val="20"/>
                <w:szCs w:val="20"/>
              </w:rPr>
              <w:lastRenderedPageBreak/>
              <w:t>Humans,​Los Angeles/ep [Epidemiology],​Male,​*Menthol,​Middle Aged,​*Smoking/eh [Ethnology],​*Smoking Cessation/eh [Ethnology],​Socioeconomic Factors,​Surveys and Questionnaires,​Urban Population/sn [Statistics &amp; Numerical Data]</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Nearly 70% of adult African American smokers smoke menthol cigarettes. More information is needed about the </w:t>
            </w:r>
            <w:proofErr w:type="gramStart"/>
            <w:r w:rsidRPr="005762E6">
              <w:rPr>
                <w:sz w:val="20"/>
                <w:szCs w:val="20"/>
              </w:rPr>
              <w:t>psychological,​</w:t>
            </w:r>
            <w:proofErr w:type="gramEnd"/>
            <w:r w:rsidRPr="005762E6">
              <w:rPr>
                <w:sz w:val="20"/>
                <w:szCs w:val="20"/>
              </w:rPr>
              <w:t xml:space="preserve"> social,​ and cultural factors that influence their overwhelming preference for menthol cigarettes. This study examined variables associated with menthol vs. nonmenthol cigarette use among 432 adult African American smokers in Los </w:t>
            </w:r>
            <w:proofErr w:type="gramStart"/>
            <w:r w:rsidRPr="005762E6">
              <w:rPr>
                <w:sz w:val="20"/>
                <w:szCs w:val="20"/>
              </w:rPr>
              <w:t>Angeles,​</w:t>
            </w:r>
            <w:proofErr w:type="gramEnd"/>
            <w:r w:rsidRPr="005762E6">
              <w:rPr>
                <w:sz w:val="20"/>
                <w:szCs w:val="20"/>
              </w:rPr>
              <w:t xml:space="preserve"> California. Menthol smoking was most prevalent among </w:t>
            </w:r>
            <w:proofErr w:type="gramStart"/>
            <w:r w:rsidRPr="005762E6">
              <w:rPr>
                <w:sz w:val="20"/>
                <w:szCs w:val="20"/>
              </w:rPr>
              <w:t>women,​</w:t>
            </w:r>
            <w:proofErr w:type="gramEnd"/>
            <w:r w:rsidRPr="005762E6">
              <w:rPr>
                <w:sz w:val="20"/>
                <w:szCs w:val="20"/>
              </w:rPr>
              <w:t xml:space="preserve"> 18-30-year-olds,​ and employed respondents. Controlling for age and </w:t>
            </w:r>
            <w:proofErr w:type="gramStart"/>
            <w:r w:rsidRPr="005762E6">
              <w:rPr>
                <w:sz w:val="20"/>
                <w:szCs w:val="20"/>
              </w:rPr>
              <w:t>employment,​</w:t>
            </w:r>
            <w:proofErr w:type="gramEnd"/>
            <w:r w:rsidRPr="005762E6">
              <w:rPr>
                <w:sz w:val="20"/>
                <w:szCs w:val="20"/>
              </w:rPr>
              <w:t xml:space="preserve"> we found that the significant correlates of menthol use among women were parents' menthol smoking,​ the belief that most African American smokers smoke menthols,​ and disagreement with the belief that smoking menthol cigarettes is a "Black thing." Among </w:t>
            </w:r>
            <w:proofErr w:type="gramStart"/>
            <w:r w:rsidRPr="005762E6">
              <w:rPr>
                <w:sz w:val="20"/>
                <w:szCs w:val="20"/>
              </w:rPr>
              <w:t>men,​</w:t>
            </w:r>
            <w:proofErr w:type="gramEnd"/>
            <w:r w:rsidRPr="005762E6">
              <w:rPr>
                <w:sz w:val="20"/>
                <w:szCs w:val="20"/>
              </w:rPr>
              <w:t xml:space="preserve"> the only significant correlate of menthol smoking was the belief that most African American smokers smoke menthols. Results indicate that menthol smoking among adult African Americans is at least partly a consequence of a complex set of social and cultural norms. Further research is needed to understand the reasons why so many African Americans select </w:t>
            </w:r>
            <w:proofErr w:type="gramStart"/>
            <w:r w:rsidRPr="005762E6">
              <w:rPr>
                <w:sz w:val="20"/>
                <w:szCs w:val="20"/>
              </w:rPr>
              <w:t>menthols,​</w:t>
            </w:r>
            <w:proofErr w:type="gramEnd"/>
            <w:r w:rsidRPr="005762E6">
              <w:rPr>
                <w:sz w:val="20"/>
                <w:szCs w:val="20"/>
              </w:rPr>
              <w:t xml:space="preserve"> as well as the health consequences of these choices.</w:t>
            </w:r>
          </w:p>
        </w:tc>
      </w:tr>
      <w:tr w:rsidR="00B44564" w:rsidRPr="005762E6" w14:paraId="6F4F4FBC"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69F2652" w14:textId="77777777" w:rsidR="00B44564" w:rsidRPr="005762E6" w:rsidRDefault="00B44564" w:rsidP="00EA69AA">
            <w:pPr>
              <w:spacing w:after="120" w:line="240" w:lineRule="auto"/>
              <w:contextualSpacing/>
              <w:rPr>
                <w:sz w:val="20"/>
                <w:szCs w:val="20"/>
              </w:rPr>
            </w:pPr>
            <w:r w:rsidRPr="005762E6">
              <w:rPr>
                <w:sz w:val="20"/>
                <w:szCs w:val="20"/>
              </w:rPr>
              <w:lastRenderedPageBreak/>
              <w:t>680</w:t>
            </w:r>
          </w:p>
        </w:tc>
        <w:tc>
          <w:tcPr>
            <w:tcW w:w="0" w:type="auto"/>
            <w:tcBorders>
              <w:top w:val="single" w:sz="6" w:space="0" w:color="auto"/>
              <w:left w:val="single" w:sz="6" w:space="0" w:color="auto"/>
              <w:bottom w:val="single" w:sz="6" w:space="0" w:color="auto"/>
              <w:right w:val="single" w:sz="6" w:space="0" w:color="auto"/>
            </w:tcBorders>
          </w:tcPr>
          <w:p w14:paraId="328E0E1A"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EBFCE05" w14:textId="4CE9C5FC" w:rsidR="00B44564" w:rsidRPr="005762E6" w:rsidRDefault="00B44564" w:rsidP="00EA69AA">
            <w:pPr>
              <w:spacing w:after="120" w:line="240" w:lineRule="auto"/>
              <w:contextualSpacing/>
              <w:rPr>
                <w:sz w:val="20"/>
                <w:szCs w:val="20"/>
              </w:rPr>
            </w:pPr>
            <w:r w:rsidRPr="005762E6">
              <w:rPr>
                <w:sz w:val="20"/>
                <w:szCs w:val="20"/>
              </w:rPr>
              <w:t xml:space="preserve">Robert P </w:t>
            </w:r>
            <w:proofErr w:type="gramStart"/>
            <w:r w:rsidRPr="005762E6">
              <w:rPr>
                <w:sz w:val="20"/>
                <w:szCs w:val="20"/>
              </w:rPr>
              <w:t>Murray,​</w:t>
            </w:r>
            <w:proofErr w:type="gramEnd"/>
            <w:r w:rsidRPr="005762E6">
              <w:rPr>
                <w:sz w:val="20"/>
                <w:szCs w:val="20"/>
              </w:rPr>
              <w:t xml:space="preserve"> John E Connett,​ Melissa A Skeans,​ Donald P Tashkin Menthol cigarettes and health risks in Lung Health Study data</w:t>
            </w:r>
            <w:r w:rsidR="007F2F01">
              <w:rPr>
                <w:sz w:val="20"/>
                <w:szCs w:val="20"/>
              </w:rPr>
              <w:t>.</w:t>
            </w:r>
            <w:r w:rsidRPr="005762E6">
              <w:rPr>
                <w:sz w:val="20"/>
                <w:szCs w:val="20"/>
              </w:rPr>
              <w:t xml:space="preserve"> Nicotine &amp; tobacco research : official journal of the Society for Research on Nicotine and Tobacco; 2007;9:101.</w:t>
            </w:r>
            <w:r w:rsidRPr="005762E6">
              <w:rPr>
                <w:sz w:val="20"/>
                <w:szCs w:val="20"/>
              </w:rPr>
              <w:br/>
            </w:r>
            <w:r w:rsidRPr="005762E6">
              <w:rPr>
                <w:sz w:val="20"/>
                <w:szCs w:val="20"/>
              </w:rPr>
              <w:br/>
            </w:r>
            <w:r w:rsidRPr="005762E6">
              <w:rPr>
                <w:b/>
                <w:bCs/>
                <w:sz w:val="20"/>
                <w:szCs w:val="20"/>
              </w:rPr>
              <w:t>Keywords:</w:t>
            </w:r>
            <w:r w:rsidRPr="005762E6">
              <w:rPr>
                <w:sz w:val="20"/>
                <w:szCs w:val="20"/>
              </w:rPr>
              <w:br/>
              <w:t>Adult,​African Americans/sn [Statistics &amp; Numerical Data],​Bronchodilator Agents/tu [Therapeutic Use],​Female,​*Health Behavior,​Humans,​Ipratropium/tu [Therapeutic Use],​*Lung Diseases/ci [Chemically Induced],​Lung Diseases/ep [Epidemiology],​Male,​*Menthol/ae [Adverse Effects],​Middle Aged,​Risk Factors,​*Smoking/ep [Epidemiology],​Smoking Cessation/sn [Statistics &amp; Numerical Data],​*Smoking Prevention,​*Tobacco</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Whether menthol cigarettes confer a higher risk of death than plain cigarettes is not known. The Lung Health Study (LHS) enrolled </w:t>
            </w:r>
            <w:proofErr w:type="gramStart"/>
            <w:r w:rsidRPr="005762E6">
              <w:rPr>
                <w:sz w:val="20"/>
                <w:szCs w:val="20"/>
              </w:rPr>
              <w:t>5,​</w:t>
            </w:r>
            <w:proofErr w:type="gramEnd"/>
            <w:r w:rsidRPr="005762E6">
              <w:rPr>
                <w:sz w:val="20"/>
                <w:szCs w:val="20"/>
              </w:rPr>
              <w:t xml:space="preserve">887 adult smokers in a clinical trial of smoking cessation and ipratropium in the prevention of chronic obstructive pulmonary disease. LHS participants have been subjected to surveillance for mortality from all causes for 14 years. We examined these data for differences between self-reported smokers of menthol cigarettes versus plain cigarettes. Using proportional hazards regression </w:t>
            </w:r>
            <w:proofErr w:type="gramStart"/>
            <w:r w:rsidRPr="005762E6">
              <w:rPr>
                <w:sz w:val="20"/>
                <w:szCs w:val="20"/>
              </w:rPr>
              <w:t>methods,​</w:t>
            </w:r>
            <w:proofErr w:type="gramEnd"/>
            <w:r w:rsidRPr="005762E6">
              <w:rPr>
                <w:sz w:val="20"/>
                <w:szCs w:val="20"/>
              </w:rPr>
              <w:t xml:space="preserve"> we found no differences in hazard ratios for coronary heart disease,​ cardiovascular disease,​ lung cancer,​ or death from any cause. Contrary to expectations about nicotine </w:t>
            </w:r>
            <w:proofErr w:type="gramStart"/>
            <w:r w:rsidRPr="005762E6">
              <w:rPr>
                <w:sz w:val="20"/>
                <w:szCs w:val="20"/>
              </w:rPr>
              <w:t>dependence,​</w:t>
            </w:r>
            <w:proofErr w:type="gramEnd"/>
            <w:r w:rsidRPr="005762E6">
              <w:rPr>
                <w:sz w:val="20"/>
                <w:szCs w:val="20"/>
              </w:rPr>
              <w:t xml:space="preserve"> we found that users of menthol cigarettes had smoked fewer pack-years at baseline. We found no difference in success at smoking cessation with or without menthol. We conclude that our data contain no evidence that mentholation of cigarettes increases the hazards of smoking.</w:t>
            </w:r>
          </w:p>
        </w:tc>
      </w:tr>
      <w:tr w:rsidR="00B44564" w:rsidRPr="005762E6" w14:paraId="7774ABCF"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0B2C8CC" w14:textId="77777777" w:rsidR="00B44564" w:rsidRPr="005762E6" w:rsidRDefault="00B44564" w:rsidP="00EA69AA">
            <w:pPr>
              <w:spacing w:after="120" w:line="240" w:lineRule="auto"/>
              <w:contextualSpacing/>
              <w:rPr>
                <w:sz w:val="20"/>
                <w:szCs w:val="20"/>
              </w:rPr>
            </w:pPr>
            <w:r w:rsidRPr="005762E6">
              <w:rPr>
                <w:sz w:val="20"/>
                <w:szCs w:val="20"/>
              </w:rPr>
              <w:t>681</w:t>
            </w:r>
          </w:p>
        </w:tc>
        <w:tc>
          <w:tcPr>
            <w:tcW w:w="0" w:type="auto"/>
            <w:tcBorders>
              <w:top w:val="single" w:sz="6" w:space="0" w:color="auto"/>
              <w:left w:val="single" w:sz="6" w:space="0" w:color="auto"/>
              <w:bottom w:val="single" w:sz="6" w:space="0" w:color="auto"/>
              <w:right w:val="single" w:sz="6" w:space="0" w:color="auto"/>
            </w:tcBorders>
          </w:tcPr>
          <w:p w14:paraId="75CE0A5B"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C703380" w14:textId="3F5D31FC" w:rsidR="00B44564" w:rsidRPr="005762E6" w:rsidRDefault="00B44564" w:rsidP="00EA69AA">
            <w:pPr>
              <w:spacing w:after="120" w:line="240" w:lineRule="auto"/>
              <w:contextualSpacing/>
              <w:rPr>
                <w:sz w:val="20"/>
                <w:szCs w:val="20"/>
              </w:rPr>
            </w:pPr>
            <w:r w:rsidRPr="005762E6">
              <w:rPr>
                <w:sz w:val="20"/>
                <w:szCs w:val="20"/>
              </w:rPr>
              <w:t xml:space="preserve">Olivia </w:t>
            </w:r>
            <w:proofErr w:type="gramStart"/>
            <w:r w:rsidRPr="005762E6">
              <w:rPr>
                <w:sz w:val="20"/>
                <w:szCs w:val="20"/>
              </w:rPr>
              <w:t>Wackowski,​</w:t>
            </w:r>
            <w:proofErr w:type="gramEnd"/>
            <w:r w:rsidRPr="005762E6">
              <w:rPr>
                <w:sz w:val="20"/>
                <w:szCs w:val="20"/>
              </w:rPr>
              <w:t xml:space="preserve"> Cristine D Delnevo Menthol cigarettes and indicators of tobacco dependence among adolescents</w:t>
            </w:r>
            <w:r w:rsidR="007F2F01">
              <w:rPr>
                <w:sz w:val="20"/>
                <w:szCs w:val="20"/>
              </w:rPr>
              <w:t>.</w:t>
            </w:r>
            <w:r w:rsidRPr="005762E6">
              <w:rPr>
                <w:sz w:val="20"/>
                <w:szCs w:val="20"/>
              </w:rPr>
              <w:t xml:space="preserve"> Addictive behaviors; 2007;32:1964.</w:t>
            </w:r>
            <w:r w:rsidRPr="005762E6">
              <w:rPr>
                <w:sz w:val="20"/>
                <w:szCs w:val="20"/>
              </w:rPr>
              <w:br/>
            </w:r>
            <w:r w:rsidRPr="005762E6">
              <w:rPr>
                <w:sz w:val="20"/>
                <w:szCs w:val="20"/>
              </w:rPr>
              <w:br/>
            </w:r>
            <w:r w:rsidRPr="005762E6">
              <w:rPr>
                <w:b/>
                <w:bCs/>
                <w:sz w:val="20"/>
                <w:szCs w:val="20"/>
              </w:rPr>
              <w:t>Keywords:</w:t>
            </w:r>
            <w:r w:rsidRPr="005762E6">
              <w:rPr>
                <w:sz w:val="20"/>
                <w:szCs w:val="20"/>
              </w:rPr>
              <w:br/>
              <w:t>Adolescent,​Age Factors,​Female,​Humans,​Male,​*Menthol,​Prevalence,​Severity of Illness Index,​Surveys and Questionnaires,​*Tobacco Use Disorder/ep [Epidemiology]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OBJECTIVES: This study examines measures of nicotine dependence among adolescent menthol and non-menthol cigarette smokers in a nationally representative sample.,​ METHODS: We examined rates of menthol smoking and measures of nicotine dependence among 1345 current established smokers in grades 9-12 who participated in the 2004 National Youth Tobacco Survey. Logistic regression was used to generate an adjusted odds ratio (OR) for menthol smoking for four measures of nicotine </w:t>
            </w:r>
            <w:proofErr w:type="gramStart"/>
            <w:r w:rsidRPr="005762E6">
              <w:rPr>
                <w:sz w:val="20"/>
                <w:szCs w:val="20"/>
              </w:rPr>
              <w:t>dependence,​</w:t>
            </w:r>
            <w:proofErr w:type="gramEnd"/>
            <w:r w:rsidRPr="005762E6">
              <w:rPr>
                <w:sz w:val="20"/>
                <w:szCs w:val="20"/>
              </w:rPr>
              <w:t xml:space="preserve"> controlling for demographic characteristics and smoking patterns.,​ RESULTS: Approximately 46% of all current established cigarette smokers were menthol smokers. Menthol smokers had 2.6 and 1.6 greater odds than non-menthol smokers for reporting that they could go for less than 1 h before feeling like they need a cigarette and that they experience cravings after not smoking for a </w:t>
            </w:r>
            <w:proofErr w:type="gramStart"/>
            <w:r w:rsidRPr="005762E6">
              <w:rPr>
                <w:sz w:val="20"/>
                <w:szCs w:val="20"/>
              </w:rPr>
              <w:t>while,​</w:t>
            </w:r>
            <w:proofErr w:type="gramEnd"/>
            <w:r w:rsidRPr="005762E6">
              <w:rPr>
                <w:sz w:val="20"/>
                <w:szCs w:val="20"/>
              </w:rPr>
              <w:t xml:space="preserve"> respectively.,​ CONCLUSIONS: Menthol cigarette </w:t>
            </w:r>
            <w:r w:rsidRPr="005762E6">
              <w:rPr>
                <w:sz w:val="20"/>
                <w:szCs w:val="20"/>
              </w:rPr>
              <w:lastRenderedPageBreak/>
              <w:t>smoking was associated with two dependence measures and may be more addictive than regular cigarettes in young smokers. Future research should continue to explore relationships between dependency and menthol use as well as the high prevalence of menthol use among adolescents.</w:t>
            </w:r>
          </w:p>
        </w:tc>
      </w:tr>
      <w:tr w:rsidR="00B44564" w:rsidRPr="005762E6" w14:paraId="12DBC00A"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1F01D35" w14:textId="77777777" w:rsidR="00B44564" w:rsidRPr="005762E6" w:rsidRDefault="00B44564" w:rsidP="00EA69AA">
            <w:pPr>
              <w:spacing w:after="120" w:line="240" w:lineRule="auto"/>
              <w:contextualSpacing/>
              <w:rPr>
                <w:sz w:val="20"/>
                <w:szCs w:val="20"/>
              </w:rPr>
            </w:pPr>
            <w:r w:rsidRPr="005762E6">
              <w:rPr>
                <w:sz w:val="20"/>
                <w:szCs w:val="20"/>
              </w:rPr>
              <w:lastRenderedPageBreak/>
              <w:t>682</w:t>
            </w:r>
          </w:p>
        </w:tc>
        <w:tc>
          <w:tcPr>
            <w:tcW w:w="0" w:type="auto"/>
            <w:tcBorders>
              <w:top w:val="single" w:sz="6" w:space="0" w:color="auto"/>
              <w:left w:val="single" w:sz="6" w:space="0" w:color="auto"/>
              <w:bottom w:val="single" w:sz="6" w:space="0" w:color="auto"/>
              <w:right w:val="single" w:sz="6" w:space="0" w:color="auto"/>
            </w:tcBorders>
          </w:tcPr>
          <w:p w14:paraId="039D619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7B5571D" w14:textId="7553576D" w:rsidR="00B44564" w:rsidRPr="005762E6" w:rsidRDefault="00B44564" w:rsidP="00EA69AA">
            <w:pPr>
              <w:spacing w:after="120" w:line="240" w:lineRule="auto"/>
              <w:contextualSpacing/>
              <w:rPr>
                <w:sz w:val="20"/>
                <w:szCs w:val="20"/>
              </w:rPr>
            </w:pPr>
            <w:r w:rsidRPr="005762E6">
              <w:rPr>
                <w:sz w:val="20"/>
                <w:szCs w:val="20"/>
              </w:rPr>
              <w:t xml:space="preserve">Michael S </w:t>
            </w:r>
            <w:proofErr w:type="gramStart"/>
            <w:r w:rsidRPr="005762E6">
              <w:rPr>
                <w:sz w:val="20"/>
                <w:szCs w:val="20"/>
              </w:rPr>
              <w:t>Werley,​</w:t>
            </w:r>
            <w:proofErr w:type="gramEnd"/>
            <w:r w:rsidRPr="005762E6">
              <w:rPr>
                <w:sz w:val="20"/>
                <w:szCs w:val="20"/>
              </w:rPr>
              <w:t xml:space="preserve"> Christopher R E Coggins,​ Peter N Lee Possible effects on smokers of cigarette mentholation: a review of the evidence relating to key research questions</w:t>
            </w:r>
            <w:r w:rsidR="007F2F01">
              <w:rPr>
                <w:sz w:val="20"/>
                <w:szCs w:val="20"/>
              </w:rPr>
              <w:t>.</w:t>
            </w:r>
            <w:r w:rsidRPr="005762E6">
              <w:rPr>
                <w:sz w:val="20"/>
                <w:szCs w:val="20"/>
              </w:rPr>
              <w:t xml:space="preserve"> Regulatory toxicology and pharmacology : RTP; 2007;47:189.</w:t>
            </w:r>
            <w:r w:rsidRPr="005762E6">
              <w:rPr>
                <w:sz w:val="20"/>
                <w:szCs w:val="20"/>
              </w:rPr>
              <w:br/>
            </w:r>
            <w:r w:rsidRPr="005762E6">
              <w:rPr>
                <w:sz w:val="20"/>
                <w:szCs w:val="20"/>
              </w:rPr>
              <w:br/>
            </w:r>
            <w:r w:rsidRPr="005762E6">
              <w:rPr>
                <w:b/>
                <w:bCs/>
                <w:sz w:val="20"/>
                <w:szCs w:val="20"/>
              </w:rPr>
              <w:t>Keywords:</w:t>
            </w:r>
            <w:r w:rsidRPr="005762E6">
              <w:rPr>
                <w:sz w:val="20"/>
                <w:szCs w:val="20"/>
              </w:rPr>
              <w:br/>
              <w:t>Adult,​*African Americans/sn [Statistics &amp; Numerical Data],​Blood Pressure,​Carbon Monoxide,​Cotinine/bl [Blood],​Female,​Health Behavior/eh [Ethnology],​Heart Rate,​Humans,​*Lung Neoplasms/ep [Epidemiology],​*Lung Neoplasms/et [Etiology],​Male,​*Menthol/pd [Pharmacology],​Nicotine/pk [Pharmacokinetics],​Prevalence,​Respiratory Mechanics,​Risk Factors,​Sex Factors,​*Smoking/ae [Adverse Effects],​Smoking/eh [Ethnology],​Smoking Cessation,​Tars/me [Metabolism]</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Menthol (2-isopropyl-5-methyl-cyclohexan-1-ol) is used in food,​ pharmaceutical,​ and tobacco products. Despite its long usage history and GRAS </w:t>
            </w:r>
            <w:proofErr w:type="gramStart"/>
            <w:r w:rsidRPr="005762E6">
              <w:rPr>
                <w:sz w:val="20"/>
                <w:szCs w:val="20"/>
              </w:rPr>
              <w:t>status,​</w:t>
            </w:r>
            <w:proofErr w:type="gramEnd"/>
            <w:r w:rsidRPr="005762E6">
              <w:rPr>
                <w:sz w:val="20"/>
                <w:szCs w:val="20"/>
              </w:rPr>
              <w:t xml:space="preserve"> scientific literature on effects of cigarette mentholation is limited. Because African-American men have high lung cancer rates and predominantly smoke mentholated </w:t>
            </w:r>
            <w:proofErr w:type="gramStart"/>
            <w:r w:rsidRPr="005762E6">
              <w:rPr>
                <w:sz w:val="20"/>
                <w:szCs w:val="20"/>
              </w:rPr>
              <w:t>cigarettes,​</w:t>
            </w:r>
            <w:proofErr w:type="gramEnd"/>
            <w:r w:rsidRPr="005762E6">
              <w:rPr>
                <w:sz w:val="20"/>
                <w:szCs w:val="20"/>
              </w:rPr>
              <w:t xml:space="preserve"> and because menthol's cooling effect might affect puffing and smoke inhalation,​ possible adverse effects of cigarette mentholation have been suggested. We review the evidence on the effects of mentholation on </w:t>
            </w:r>
            <w:proofErr w:type="gramStart"/>
            <w:r w:rsidRPr="005762E6">
              <w:rPr>
                <w:sz w:val="20"/>
                <w:szCs w:val="20"/>
              </w:rPr>
              <w:t>smokers,​</w:t>
            </w:r>
            <w:proofErr w:type="gramEnd"/>
            <w:r w:rsidRPr="005762E6">
              <w:rPr>
                <w:sz w:val="20"/>
                <w:szCs w:val="20"/>
              </w:rPr>
              <w:t xml:space="preserve"> and we also identify areas for further study. Five large epidemiological studies provide no evidence that cigarette mentholation increases lung cancer risk. Mentholation cannot explain the higher risk for lung cancer in African-American male </w:t>
            </w:r>
            <w:proofErr w:type="gramStart"/>
            <w:r w:rsidRPr="005762E6">
              <w:rPr>
                <w:sz w:val="20"/>
                <w:szCs w:val="20"/>
              </w:rPr>
              <w:t>smokers,​</w:t>
            </w:r>
            <w:proofErr w:type="gramEnd"/>
            <w:r w:rsidRPr="005762E6">
              <w:rPr>
                <w:sz w:val="20"/>
                <w:szCs w:val="20"/>
              </w:rPr>
              <w:t xml:space="preserve"> who also predominantly smoke mentholated cigarettes. Limited data on other cancers also suggest no risk from mentholation. The scientific literature suggests that cigarette mentholation does not increase puff number or puff volume of smoked </w:t>
            </w:r>
            <w:proofErr w:type="gramStart"/>
            <w:r w:rsidRPr="005762E6">
              <w:rPr>
                <w:sz w:val="20"/>
                <w:szCs w:val="20"/>
              </w:rPr>
              <w:t>cigarettes,​</w:t>
            </w:r>
            <w:proofErr w:type="gramEnd"/>
            <w:r w:rsidRPr="005762E6">
              <w:rPr>
                <w:sz w:val="20"/>
                <w:szCs w:val="20"/>
              </w:rPr>
              <w:t xml:space="preserve"> and has little or no effect on heart rate,​ blood pressure,​ uptake of carbon monoxide,​ tar intake or retention,​ or blood cotinine concentration. Mentholation has little effect on other smoke </w:t>
            </w:r>
            <w:proofErr w:type="gramStart"/>
            <w:r w:rsidRPr="005762E6">
              <w:rPr>
                <w:sz w:val="20"/>
                <w:szCs w:val="20"/>
              </w:rPr>
              <w:t>constituents,​</w:t>
            </w:r>
            <w:proofErr w:type="gramEnd"/>
            <w:r w:rsidRPr="005762E6">
              <w:rPr>
                <w:sz w:val="20"/>
                <w:szCs w:val="20"/>
              </w:rPr>
              <w:t xml:space="preserve"> and no apparent effect on nicotine absorption,​ airway patency and smoking initiation,​ dependency or cessation. Any toxicological effects of cigarette mentholation on adult smokers are probably quite limited.</w:t>
            </w:r>
          </w:p>
        </w:tc>
      </w:tr>
      <w:tr w:rsidR="00B44564" w:rsidRPr="005762E6" w14:paraId="3592DA64"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3630492" w14:textId="77777777" w:rsidR="00B44564" w:rsidRPr="005762E6" w:rsidRDefault="00B44564" w:rsidP="00EA69AA">
            <w:pPr>
              <w:spacing w:after="120" w:line="240" w:lineRule="auto"/>
              <w:contextualSpacing/>
              <w:rPr>
                <w:sz w:val="20"/>
                <w:szCs w:val="20"/>
              </w:rPr>
            </w:pPr>
            <w:r w:rsidRPr="005762E6">
              <w:rPr>
                <w:sz w:val="20"/>
                <w:szCs w:val="20"/>
              </w:rPr>
              <w:t>683</w:t>
            </w:r>
          </w:p>
        </w:tc>
        <w:tc>
          <w:tcPr>
            <w:tcW w:w="0" w:type="auto"/>
            <w:tcBorders>
              <w:top w:val="single" w:sz="6" w:space="0" w:color="auto"/>
              <w:left w:val="single" w:sz="6" w:space="0" w:color="auto"/>
              <w:bottom w:val="single" w:sz="6" w:space="0" w:color="auto"/>
              <w:right w:val="single" w:sz="6" w:space="0" w:color="auto"/>
            </w:tcBorders>
          </w:tcPr>
          <w:p w14:paraId="58B30CB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7FB7A61" w14:textId="194DEA5C" w:rsidR="00B44564" w:rsidRPr="005762E6" w:rsidRDefault="00B44564" w:rsidP="00EA69AA">
            <w:pPr>
              <w:spacing w:after="120" w:line="240" w:lineRule="auto"/>
              <w:contextualSpacing/>
              <w:rPr>
                <w:sz w:val="20"/>
                <w:szCs w:val="20"/>
              </w:rPr>
            </w:pPr>
            <w:r w:rsidRPr="005762E6">
              <w:rPr>
                <w:sz w:val="20"/>
                <w:szCs w:val="20"/>
              </w:rPr>
              <w:t xml:space="preserve">Mark J </w:t>
            </w:r>
            <w:proofErr w:type="gramStart"/>
            <w:r w:rsidRPr="005762E6">
              <w:rPr>
                <w:sz w:val="20"/>
                <w:szCs w:val="20"/>
              </w:rPr>
              <w:t>Pletcher,​</w:t>
            </w:r>
            <w:proofErr w:type="gramEnd"/>
            <w:r w:rsidRPr="005762E6">
              <w:rPr>
                <w:sz w:val="20"/>
                <w:szCs w:val="20"/>
              </w:rPr>
              <w:t xml:space="preserve"> Benjamin J Hulley,​ Thomas Houston,​ Catarina I Kiefe,​ Neal Benowitz,​ Stephen Sidney Menthol cigarettes,​ smoking cessation,​ atherosclerosis,​ and pulmonary function: the Coronary Artery Risk Development in Young Adults (CARDIA) Study</w:t>
            </w:r>
            <w:r w:rsidR="007F2F01">
              <w:rPr>
                <w:sz w:val="20"/>
                <w:szCs w:val="20"/>
              </w:rPr>
              <w:t>.</w:t>
            </w:r>
            <w:r w:rsidRPr="005762E6">
              <w:rPr>
                <w:sz w:val="20"/>
                <w:szCs w:val="20"/>
              </w:rPr>
              <w:t xml:space="preserve"> Archives of internal medicine; 2006;166:1915.</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Adolescent,​Adult,​African Americans,​*Atherosclerosis/et [Etiology],​European Continental Ancestry Group,​Female,​Humans,​Male,​*Menthol/ae [Adverse Effects],​Prospective Studies,​*Pulmonary Ventilation/de [Drug Effects],​*Smoking/ae [Adverse Effects],​Smoking/eh [Ethnology],​*Smoking Cessation/eh [Ethnology]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African American smokers are more likely to experience tobacco-related morbidity and mortality than European American smokers,​ and higher rates of menthol cigarette smoking may contribute to these disparities.,​ METHODS: We prospectively measured cumulative exposure to menthol and nonmenthol cigarettes and smoking cessation behavior (1985-2000),​ coronary calcification (2000),​ and 10-year change in pulmonary function (1985-1995) in African American and European American smokers recruited in 1985 for the Coronary Artery Risk Development in Young Adults Study.,​ RESULTS: We identified 1535 smokers in 1985 (972 menthol and 563 nonmenthol); 89% of African Americans preferred menthol vs 29% of European Americans (P&lt;.001). After adjustment for </w:t>
            </w:r>
            <w:proofErr w:type="gramStart"/>
            <w:r w:rsidRPr="005762E6">
              <w:rPr>
                <w:sz w:val="20"/>
                <w:szCs w:val="20"/>
              </w:rPr>
              <w:t>ethnicity,​</w:t>
            </w:r>
            <w:proofErr w:type="gramEnd"/>
            <w:r w:rsidRPr="005762E6">
              <w:rPr>
                <w:sz w:val="20"/>
                <w:szCs w:val="20"/>
              </w:rPr>
              <w:t xml:space="preserve"> demographics,​ and social factors,​ we found nonsignificant trends in menthol smokers toward lower cessation (odds ratio [OR],​ 0.71; 95% confidence interval [CI],​ 0.49-1.02; P = .06) and recent quit attempt (OR,​ 0.77; 95% CI,​ 0.56-1.06; P = .11) rates and a significant increase in the risk of relapse (OR,​ 1.89; 95% CI,​ 1.17-3.05; P = .009). Per pack-year of exposure,​ however,​ we found no differences from menthol in tobacco-related coronary calcification (adjusted OR,​ 1.27; 95% CI,​ 1.01-1.60 for menthol cigarettes and 1.33; 95% CI,​ 1.06-1.68 for nonmenthol cigarettes per 10-pack-year increase; P = .75 for comparison) or 10-year pulmonary function decline (adjusted excess </w:t>
            </w:r>
            <w:r w:rsidRPr="005762E6">
              <w:rPr>
                <w:sz w:val="20"/>
                <w:szCs w:val="20"/>
              </w:rPr>
              <w:lastRenderedPageBreak/>
              <w:t>decline in forced expiratory volume in 1 second,​ 84 mL; 95% CI,​ 32-137 for menthol cigarettes and 80 mL; 95% CI,​ 30-129 for nonmenthol cigarettes,​ per 10-pack-year increase; P = .88 for comparison).,​ CONCLUSION: Menthol and nonmenthol cigarettes seem to be equally harmful per cigarette smoked in terms of atherosclerosis and pulmonary function decline,​ but menthol cigarettes may be harder to quit smoking.</w:t>
            </w:r>
          </w:p>
        </w:tc>
      </w:tr>
      <w:tr w:rsidR="00B44564" w:rsidRPr="005762E6" w14:paraId="555825C9"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DD11188" w14:textId="77777777" w:rsidR="00B44564" w:rsidRPr="005762E6" w:rsidRDefault="00B44564" w:rsidP="00EA69AA">
            <w:pPr>
              <w:spacing w:after="120" w:line="240" w:lineRule="auto"/>
              <w:contextualSpacing/>
              <w:rPr>
                <w:sz w:val="20"/>
                <w:szCs w:val="20"/>
              </w:rPr>
            </w:pPr>
            <w:r w:rsidRPr="005762E6">
              <w:rPr>
                <w:sz w:val="20"/>
                <w:szCs w:val="20"/>
              </w:rPr>
              <w:lastRenderedPageBreak/>
              <w:t>684</w:t>
            </w:r>
          </w:p>
        </w:tc>
        <w:tc>
          <w:tcPr>
            <w:tcW w:w="0" w:type="auto"/>
            <w:tcBorders>
              <w:top w:val="single" w:sz="6" w:space="0" w:color="auto"/>
              <w:left w:val="single" w:sz="6" w:space="0" w:color="auto"/>
              <w:bottom w:val="single" w:sz="6" w:space="0" w:color="auto"/>
              <w:right w:val="single" w:sz="6" w:space="0" w:color="auto"/>
            </w:tcBorders>
          </w:tcPr>
          <w:p w14:paraId="389A7B2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97269F9" w14:textId="5D248557" w:rsidR="00B44564" w:rsidRPr="005762E6" w:rsidRDefault="00B44564" w:rsidP="00EA69AA">
            <w:pPr>
              <w:spacing w:after="120" w:line="240" w:lineRule="auto"/>
              <w:contextualSpacing/>
              <w:rPr>
                <w:sz w:val="20"/>
                <w:szCs w:val="20"/>
              </w:rPr>
            </w:pPr>
            <w:r w:rsidRPr="005762E6">
              <w:rPr>
                <w:sz w:val="20"/>
                <w:szCs w:val="20"/>
              </w:rPr>
              <w:t>Richard Hebert What's new in Nicotine &amp; Tobacco Research?</w:t>
            </w:r>
            <w:r w:rsidR="007F2F01">
              <w:rPr>
                <w:sz w:val="20"/>
                <w:szCs w:val="20"/>
              </w:rPr>
              <w:t>.</w:t>
            </w:r>
            <w:r w:rsidRPr="005762E6">
              <w:rPr>
                <w:sz w:val="20"/>
                <w:szCs w:val="20"/>
              </w:rPr>
              <w:t xml:space="preserve"> Nicotine &amp; tobacco research : official journal of the Society for Research on Nicotine and Tobacco; 2006;8:481.</w:t>
            </w:r>
            <w:r w:rsidRPr="005762E6">
              <w:rPr>
                <w:sz w:val="20"/>
                <w:szCs w:val="20"/>
              </w:rPr>
              <w:br/>
            </w:r>
            <w:r w:rsidRPr="005762E6">
              <w:rPr>
                <w:sz w:val="20"/>
                <w:szCs w:val="20"/>
              </w:rPr>
              <w:br/>
            </w:r>
            <w:r w:rsidRPr="005762E6">
              <w:rPr>
                <w:b/>
                <w:bCs/>
                <w:sz w:val="20"/>
                <w:szCs w:val="20"/>
              </w:rPr>
              <w:t>Keywords:</w:t>
            </w:r>
            <w:r w:rsidRPr="005762E6">
              <w:rPr>
                <w:sz w:val="20"/>
                <w:szCs w:val="20"/>
              </w:rPr>
              <w:br/>
              <w:t>Adolescent,​Adolescent Behavior,​Adult,​Female,​Humans,​Male,​*Melanins/me [Metabolism],​Menthol,​Nicotine/ae [Adverse Effects],​Nicotine/me [Metabolism],​*Nicotine/pd [Pharmacology],​Pregnancy,​Pregnancy Complications/me [Metabolism],​*Smoking/ae [Adverse Effects],​Smoking/px [Psychology],​Tobacco Smoke Pollution/ae [Adverse Effects]</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2CC28D53"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1AE6FEE" w14:textId="77777777" w:rsidR="00B44564" w:rsidRPr="005762E6" w:rsidRDefault="00B44564" w:rsidP="00EA69AA">
            <w:pPr>
              <w:spacing w:after="120" w:line="240" w:lineRule="auto"/>
              <w:contextualSpacing/>
              <w:rPr>
                <w:sz w:val="20"/>
                <w:szCs w:val="20"/>
              </w:rPr>
            </w:pPr>
            <w:r w:rsidRPr="005762E6">
              <w:rPr>
                <w:sz w:val="20"/>
                <w:szCs w:val="20"/>
              </w:rPr>
              <w:t>685</w:t>
            </w:r>
          </w:p>
        </w:tc>
        <w:tc>
          <w:tcPr>
            <w:tcW w:w="0" w:type="auto"/>
            <w:tcBorders>
              <w:top w:val="single" w:sz="6" w:space="0" w:color="auto"/>
              <w:left w:val="single" w:sz="6" w:space="0" w:color="auto"/>
              <w:bottom w:val="single" w:sz="6" w:space="0" w:color="auto"/>
              <w:right w:val="single" w:sz="6" w:space="0" w:color="auto"/>
            </w:tcBorders>
          </w:tcPr>
          <w:p w14:paraId="0C08C41F"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75897C0" w14:textId="5D1C441A" w:rsidR="00B44564" w:rsidRPr="005762E6" w:rsidRDefault="00B44564" w:rsidP="00EA69AA">
            <w:pPr>
              <w:spacing w:after="120" w:line="240" w:lineRule="auto"/>
              <w:contextualSpacing/>
              <w:rPr>
                <w:sz w:val="20"/>
                <w:szCs w:val="20"/>
              </w:rPr>
            </w:pPr>
            <w:r w:rsidRPr="005762E6">
              <w:rPr>
                <w:sz w:val="20"/>
                <w:szCs w:val="20"/>
              </w:rPr>
              <w:t xml:space="preserve">James C </w:t>
            </w:r>
            <w:proofErr w:type="gramStart"/>
            <w:r w:rsidRPr="005762E6">
              <w:rPr>
                <w:sz w:val="20"/>
                <w:szCs w:val="20"/>
              </w:rPr>
              <w:t>Hersey,​</w:t>
            </w:r>
            <w:proofErr w:type="gramEnd"/>
            <w:r w:rsidRPr="005762E6">
              <w:rPr>
                <w:sz w:val="20"/>
                <w:szCs w:val="20"/>
              </w:rPr>
              <w:t xml:space="preserve"> Shu Wen Ng,​ James M Nonnemaker,​ Paul Mowery,​ Kristin Y Thomas,​ My-Charllins Vilsaint,​ Jane A Allen,​ M Lyndon Haviland Are menthol cigarettes a starter product for youth?</w:t>
            </w:r>
            <w:r w:rsidR="007F2F01">
              <w:rPr>
                <w:sz w:val="20"/>
                <w:szCs w:val="20"/>
              </w:rPr>
              <w:t>.</w:t>
            </w:r>
            <w:r w:rsidRPr="005762E6">
              <w:rPr>
                <w:sz w:val="20"/>
                <w:szCs w:val="20"/>
              </w:rPr>
              <w:t xml:space="preserve"> Nicotine &amp; tobacco research : official journal of the Society for Research on Nicotine and Tobacco; 2006;8:403.</w:t>
            </w:r>
            <w:r w:rsidRPr="005762E6">
              <w:rPr>
                <w:sz w:val="20"/>
                <w:szCs w:val="20"/>
              </w:rPr>
              <w:br/>
            </w:r>
            <w:r w:rsidRPr="005762E6">
              <w:rPr>
                <w:sz w:val="20"/>
                <w:szCs w:val="20"/>
              </w:rPr>
              <w:br/>
            </w:r>
            <w:r w:rsidRPr="005762E6">
              <w:rPr>
                <w:b/>
                <w:bCs/>
                <w:sz w:val="20"/>
                <w:szCs w:val="20"/>
              </w:rPr>
              <w:t>Keywords:</w:t>
            </w:r>
            <w:r w:rsidRPr="005762E6">
              <w:rPr>
                <w:sz w:val="20"/>
                <w:szCs w:val="20"/>
              </w:rPr>
              <w:br/>
              <w:t>Adolescent,​Adolescent Behavior,​*Behavior,​ Addictive/ep [Epidemiology],​Causality,​Comorbidity,​Female,​Flavoring Agents/ad [Administration &amp; Dosage],​Humans,​Male,​*Menthol/ad [Administration &amp; Dosage],​Population Surveillance,​*Smoking/ep [Epidemiology],​Smoking/px [Psychology],​*Tobacco Industry,​*Tobacco Use Disorder/ep [Epidemiology],​United States/ep [Epidemiology]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This study assessed the relationship between menthol use and nicotine dependence. Data from the National Youth Tobacco Survey indicated that menthol cigarette use was significantly more common among </w:t>
            </w:r>
            <w:proofErr w:type="gramStart"/>
            <w:r w:rsidRPr="005762E6">
              <w:rPr>
                <w:sz w:val="20"/>
                <w:szCs w:val="20"/>
              </w:rPr>
              <w:t>newer,​</w:t>
            </w:r>
            <w:proofErr w:type="gramEnd"/>
            <w:r w:rsidRPr="005762E6">
              <w:rPr>
                <w:sz w:val="20"/>
                <w:szCs w:val="20"/>
              </w:rPr>
              <w:t xml:space="preserve"> younger smokers. </w:t>
            </w:r>
            <w:proofErr w:type="gramStart"/>
            <w:r w:rsidRPr="005762E6">
              <w:rPr>
                <w:sz w:val="20"/>
                <w:szCs w:val="20"/>
              </w:rPr>
              <w:t>Additionally,​</w:t>
            </w:r>
            <w:proofErr w:type="gramEnd"/>
            <w:r w:rsidRPr="005762E6">
              <w:rPr>
                <w:sz w:val="20"/>
                <w:szCs w:val="20"/>
              </w:rPr>
              <w:t xml:space="preserve"> youth who smoked menthol cigarettes had significantly higher scores on a scale of nicotine dependence compared with nonmenthol smokers,​ controlling for demographic background and the length,​ frequency,​ and level of smoking. The study suggests that menthol cigarettes are a starter product that may be associated with smoking uptake by youth.</w:t>
            </w:r>
          </w:p>
        </w:tc>
      </w:tr>
      <w:tr w:rsidR="00B44564" w:rsidRPr="005762E6" w14:paraId="29DF773A"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EB46432" w14:textId="77777777" w:rsidR="00B44564" w:rsidRPr="005762E6" w:rsidRDefault="00B44564" w:rsidP="00EA69AA">
            <w:pPr>
              <w:spacing w:after="120" w:line="240" w:lineRule="auto"/>
              <w:contextualSpacing/>
              <w:rPr>
                <w:sz w:val="20"/>
                <w:szCs w:val="20"/>
              </w:rPr>
            </w:pPr>
            <w:r w:rsidRPr="005762E6">
              <w:rPr>
                <w:sz w:val="20"/>
                <w:szCs w:val="20"/>
              </w:rPr>
              <w:t>688</w:t>
            </w:r>
          </w:p>
        </w:tc>
        <w:tc>
          <w:tcPr>
            <w:tcW w:w="0" w:type="auto"/>
            <w:tcBorders>
              <w:top w:val="single" w:sz="6" w:space="0" w:color="auto"/>
              <w:left w:val="single" w:sz="6" w:space="0" w:color="auto"/>
              <w:bottom w:val="single" w:sz="6" w:space="0" w:color="auto"/>
              <w:right w:val="single" w:sz="6" w:space="0" w:color="auto"/>
            </w:tcBorders>
          </w:tcPr>
          <w:p w14:paraId="2974B11A"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CBAEB3D" w14:textId="206D900F" w:rsidR="00B44564" w:rsidRPr="005762E6" w:rsidRDefault="00B44564" w:rsidP="00EA69AA">
            <w:pPr>
              <w:spacing w:after="120" w:line="240" w:lineRule="auto"/>
              <w:contextualSpacing/>
              <w:rPr>
                <w:sz w:val="20"/>
                <w:szCs w:val="20"/>
              </w:rPr>
            </w:pPr>
            <w:r w:rsidRPr="005762E6">
              <w:rPr>
                <w:sz w:val="20"/>
                <w:szCs w:val="20"/>
              </w:rPr>
              <w:t xml:space="preserve">Eric T </w:t>
            </w:r>
            <w:proofErr w:type="gramStart"/>
            <w:r w:rsidRPr="005762E6">
              <w:rPr>
                <w:sz w:val="20"/>
                <w:szCs w:val="20"/>
              </w:rPr>
              <w:t>Moolchan,​</w:t>
            </w:r>
            <w:proofErr w:type="gramEnd"/>
            <w:r w:rsidRPr="005762E6">
              <w:rPr>
                <w:sz w:val="20"/>
                <w:szCs w:val="20"/>
              </w:rPr>
              <w:t xml:space="preserve"> Frederick H Franken,​ Maria Jaszyna-Gasior Adolescent nicotine metabolism: ethnoracial differences among dependent smokers</w:t>
            </w:r>
            <w:r w:rsidR="007F2F01">
              <w:rPr>
                <w:sz w:val="20"/>
                <w:szCs w:val="20"/>
              </w:rPr>
              <w:t>.</w:t>
            </w:r>
            <w:r w:rsidRPr="005762E6">
              <w:rPr>
                <w:sz w:val="20"/>
                <w:szCs w:val="20"/>
              </w:rPr>
              <w:t xml:space="preserve"> Ethnicity &amp; disease; </w:t>
            </w:r>
            <w:proofErr w:type="gramStart"/>
            <w:r w:rsidRPr="005762E6">
              <w:rPr>
                <w:sz w:val="20"/>
                <w:szCs w:val="20"/>
              </w:rPr>
              <w:t>2006;16:239</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Adolescent,​African Americans,​Baltimore,​European Continental Ancestry Group,​Female,​Humans,​Male,​Nicotine/bl [Blood],​*Nicotine/me [Metabolism],​Smoking/eh [Ethnology],​*Tobacco Use Disorder/eh [Ethnology]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Variations in nicotine metabolism are thought to contribute to differences in cigarette consumption between African Americans and Caucasian adult smokers. To investigate the potential mechanism of previously documented lower smoking rates among African-American adolescent smokers seeking cessation </w:t>
            </w:r>
            <w:proofErr w:type="gramStart"/>
            <w:r w:rsidRPr="005762E6">
              <w:rPr>
                <w:sz w:val="20"/>
                <w:szCs w:val="20"/>
              </w:rPr>
              <w:t>treatment,​</w:t>
            </w:r>
            <w:proofErr w:type="gramEnd"/>
            <w:r w:rsidRPr="005762E6">
              <w:rPr>
                <w:sz w:val="20"/>
                <w:szCs w:val="20"/>
              </w:rPr>
              <w:t xml:space="preserve"> we measured nicotine metabolite ratios as markers of the metabolic disposition of nicotine,​ which is generally considered to be under the influence of cytochrome P450 (CYP) 2A6. Plasma ratios of trans-3'-hydroxycotinine (3HC) to cotinine (COT) were examined in 92 cessation treatment-seeking adolescents (mean age 15.2 </w:t>
            </w:r>
            <w:proofErr w:type="gramStart"/>
            <w:r w:rsidRPr="005762E6">
              <w:rPr>
                <w:sz w:val="20"/>
                <w:szCs w:val="20"/>
              </w:rPr>
              <w:t>years,​</w:t>
            </w:r>
            <w:proofErr w:type="gramEnd"/>
            <w:r w:rsidRPr="005762E6">
              <w:rPr>
                <w:sz w:val="20"/>
                <w:szCs w:val="20"/>
              </w:rPr>
              <w:t xml:space="preserve"> standard deviation [SD] 1.3,​ 69% female,​ 31% African American,​ mean Fagerstrom Test for Nicotine Dependence [FTND] 6.5,​ SD 1.6,​ mean years smoked 2.6,​ SD 1.6). Groups were similar in </w:t>
            </w:r>
            <w:proofErr w:type="gramStart"/>
            <w:r w:rsidRPr="005762E6">
              <w:rPr>
                <w:sz w:val="20"/>
                <w:szCs w:val="20"/>
              </w:rPr>
              <w:t>age,​</w:t>
            </w:r>
            <w:proofErr w:type="gramEnd"/>
            <w:r w:rsidRPr="005762E6">
              <w:rPr>
                <w:sz w:val="20"/>
                <w:szCs w:val="20"/>
              </w:rPr>
              <w:t xml:space="preserve"> gender distribution,​ and mean FTND score. Analysis with independent t tests revealed significantly lower number of cigarettes per day (CPD) (</w:t>
            </w:r>
            <w:proofErr w:type="gramStart"/>
            <w:r w:rsidRPr="005762E6">
              <w:rPr>
                <w:sz w:val="20"/>
                <w:szCs w:val="20"/>
              </w:rPr>
              <w:t>15.1,​</w:t>
            </w:r>
            <w:proofErr w:type="gramEnd"/>
            <w:r w:rsidRPr="005762E6">
              <w:rPr>
                <w:sz w:val="20"/>
                <w:szCs w:val="20"/>
              </w:rPr>
              <w:t xml:space="preserve"> SD 7.6 vs 19.6,​ SD 8.0,​ P=.013) and nicotine metabolite ratios (0.27,​ SD 0.15 vs 0.35,​ SD 0.16,​ P=.026) in African-American compared to Caucasian adolescent smokers. Consistent with metabolic </w:t>
            </w:r>
            <w:proofErr w:type="gramStart"/>
            <w:r w:rsidRPr="005762E6">
              <w:rPr>
                <w:sz w:val="20"/>
                <w:szCs w:val="20"/>
              </w:rPr>
              <w:t>variation,​</w:t>
            </w:r>
            <w:proofErr w:type="gramEnd"/>
            <w:r w:rsidRPr="005762E6">
              <w:rPr>
                <w:sz w:val="20"/>
                <w:szCs w:val="20"/>
              </w:rPr>
              <w:t xml:space="preserve"> mean COT/CPD ratio was significantly higher in African-American compared to Caucasian adolescents. Results remained statistically significant when comparing menthol smokers by ethnicity. These findings are consistent with those found among adult smokers and provide a putative mechanism for </w:t>
            </w:r>
            <w:r w:rsidRPr="005762E6">
              <w:rPr>
                <w:sz w:val="20"/>
                <w:szCs w:val="20"/>
              </w:rPr>
              <w:lastRenderedPageBreak/>
              <w:t xml:space="preserve">reported ethnoracial differences in adolescent cigarette consumption. Our results underscore the need for measures independent of consumption for determining degree of nicotine dependence and treatment selection across </w:t>
            </w:r>
            <w:proofErr w:type="gramStart"/>
            <w:r w:rsidRPr="005762E6">
              <w:rPr>
                <w:sz w:val="20"/>
                <w:szCs w:val="20"/>
              </w:rPr>
              <w:t>ethnicities,​</w:t>
            </w:r>
            <w:proofErr w:type="gramEnd"/>
            <w:r w:rsidRPr="005762E6">
              <w:rPr>
                <w:sz w:val="20"/>
                <w:szCs w:val="20"/>
              </w:rPr>
              <w:t xml:space="preserve"> even among youths.</w:t>
            </w:r>
          </w:p>
        </w:tc>
      </w:tr>
      <w:tr w:rsidR="00B44564" w:rsidRPr="005762E6" w14:paraId="614CFF0C"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CEDAD7B" w14:textId="77777777" w:rsidR="00B44564" w:rsidRPr="005762E6" w:rsidRDefault="00B44564" w:rsidP="00EA69AA">
            <w:pPr>
              <w:spacing w:after="120" w:line="240" w:lineRule="auto"/>
              <w:contextualSpacing/>
              <w:rPr>
                <w:sz w:val="20"/>
                <w:szCs w:val="20"/>
              </w:rPr>
            </w:pPr>
            <w:r w:rsidRPr="005762E6">
              <w:rPr>
                <w:sz w:val="20"/>
                <w:szCs w:val="20"/>
              </w:rPr>
              <w:lastRenderedPageBreak/>
              <w:t>690</w:t>
            </w:r>
          </w:p>
        </w:tc>
        <w:tc>
          <w:tcPr>
            <w:tcW w:w="0" w:type="auto"/>
            <w:tcBorders>
              <w:top w:val="single" w:sz="6" w:space="0" w:color="auto"/>
              <w:left w:val="single" w:sz="6" w:space="0" w:color="auto"/>
              <w:bottom w:val="single" w:sz="6" w:space="0" w:color="auto"/>
              <w:right w:val="single" w:sz="6" w:space="0" w:color="auto"/>
            </w:tcBorders>
          </w:tcPr>
          <w:p w14:paraId="4525377A"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FCE1D76" w14:textId="263C5788" w:rsidR="00B44564" w:rsidRPr="005762E6" w:rsidRDefault="00B44564" w:rsidP="00EA69AA">
            <w:pPr>
              <w:spacing w:after="120" w:line="240" w:lineRule="auto"/>
              <w:contextualSpacing/>
              <w:rPr>
                <w:sz w:val="20"/>
                <w:szCs w:val="20"/>
              </w:rPr>
            </w:pPr>
            <w:r w:rsidRPr="005762E6">
              <w:rPr>
                <w:sz w:val="20"/>
                <w:szCs w:val="20"/>
              </w:rPr>
              <w:t xml:space="preserve">Charles C </w:t>
            </w:r>
            <w:proofErr w:type="gramStart"/>
            <w:r w:rsidRPr="005762E6">
              <w:rPr>
                <w:sz w:val="20"/>
                <w:szCs w:val="20"/>
              </w:rPr>
              <w:t>Collins,​</w:t>
            </w:r>
            <w:proofErr w:type="gramEnd"/>
            <w:r w:rsidRPr="005762E6">
              <w:rPr>
                <w:sz w:val="20"/>
                <w:szCs w:val="20"/>
              </w:rPr>
              <w:t xml:space="preserve"> Eric T Moolchan Shorter time to first cigarette of the day in menthol adolescent cigarette smokers</w:t>
            </w:r>
            <w:r w:rsidR="007F2F01">
              <w:rPr>
                <w:sz w:val="20"/>
                <w:szCs w:val="20"/>
              </w:rPr>
              <w:t>.</w:t>
            </w:r>
            <w:r w:rsidRPr="005762E6">
              <w:rPr>
                <w:sz w:val="20"/>
                <w:szCs w:val="20"/>
              </w:rPr>
              <w:t xml:space="preserve"> Addictive behaviors; </w:t>
            </w:r>
            <w:proofErr w:type="gramStart"/>
            <w:r w:rsidRPr="005762E6">
              <w:rPr>
                <w:sz w:val="20"/>
                <w:szCs w:val="20"/>
              </w:rPr>
              <w:t>2006;31:1460</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Adolescent,​*Behavior,​ Addictive/pp [Physiopathology],​*Circadian Rhythm/de [Drug Effects],​Female,​Humans,​Male,​*Menthol/ad [Administration &amp; Dosage],​*Nicotine/ad [Administration &amp; Dosage],​*Smoking,​Time Factors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Menthol smoking is thought to contribute to the addictiveness of smoking. Given the high prevalence of menthol smoking among </w:t>
            </w:r>
            <w:proofErr w:type="gramStart"/>
            <w:r w:rsidRPr="005762E6">
              <w:rPr>
                <w:sz w:val="20"/>
                <w:szCs w:val="20"/>
              </w:rPr>
              <w:t>youth,​</w:t>
            </w:r>
            <w:proofErr w:type="gramEnd"/>
            <w:r w:rsidRPr="005762E6">
              <w:rPr>
                <w:sz w:val="20"/>
                <w:szCs w:val="20"/>
              </w:rPr>
              <w:t xml:space="preserve"> the aim of the current analysis was to examine differences in consumption and tobacco dependence,​ including smoking urgency among menthol and non-menthol adolescent smokers. Data for the current analysis were collected from telephone interviews with adolescent smokers applying to a cessation treatment study. Of 572 adolescent smokers (mean age=15.6+/-1.6 years; 55.1% female; 46.9% African </w:t>
            </w:r>
            <w:proofErr w:type="gramStart"/>
            <w:r w:rsidRPr="005762E6">
              <w:rPr>
                <w:sz w:val="20"/>
                <w:szCs w:val="20"/>
              </w:rPr>
              <w:t>American,​</w:t>
            </w:r>
            <w:proofErr w:type="gramEnd"/>
            <w:r w:rsidRPr="005762E6">
              <w:rPr>
                <w:sz w:val="20"/>
                <w:szCs w:val="20"/>
              </w:rPr>
              <w:t xml:space="preserve"> 48.2% European American),​ 531 smoked menthol cigarettes and 41 smoked non-menthol as their usual brand. Analysis using Fisher's Exact (one-tailed) Test revealed that menthol smokers had a significantly shorter time to first (TTF) cigarette of the day compared to non-menthol smokers (smoking within the first 5 min of the </w:t>
            </w:r>
            <w:proofErr w:type="gramStart"/>
            <w:r w:rsidRPr="005762E6">
              <w:rPr>
                <w:sz w:val="20"/>
                <w:szCs w:val="20"/>
              </w:rPr>
              <w:t>day,​</w:t>
            </w:r>
            <w:proofErr w:type="gramEnd"/>
            <w:r w:rsidRPr="005762E6">
              <w:rPr>
                <w:sz w:val="20"/>
                <w:szCs w:val="20"/>
              </w:rPr>
              <w:t xml:space="preserve"> 45% vs. 29%,​ respectively; p&lt;0.04). Independent t tests revealed no significant difference in number of cigarettes per day (CPD) (mean=12.2+/-8.5 vs. 11.4+/-8.8; p&lt;0.28) or Fagerstrom Test for Nicotine Dependence (FTND) scores (3.4+/-1.4 vs. 3.2+/-1.3; p&lt;0.23). While </w:t>
            </w:r>
            <w:proofErr w:type="gramStart"/>
            <w:r w:rsidRPr="005762E6">
              <w:rPr>
                <w:sz w:val="20"/>
                <w:szCs w:val="20"/>
              </w:rPr>
              <w:t>preliminary,​</w:t>
            </w:r>
            <w:proofErr w:type="gramEnd"/>
            <w:r w:rsidRPr="005762E6">
              <w:rPr>
                <w:sz w:val="20"/>
                <w:szCs w:val="20"/>
              </w:rPr>
              <w:t xml:space="preserve"> our findings suggest greater smoking urgency among menthol compared to non-menthol adolescent cessation-treatment seekers. Further study in a broader sample of adolescent smokers is warranted to elucidate the mechanisms underlying the effects of menthol smoking for youths.</w:t>
            </w:r>
          </w:p>
        </w:tc>
      </w:tr>
      <w:tr w:rsidR="00B44564" w:rsidRPr="005762E6" w14:paraId="290E1B97"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1E15EA0" w14:textId="77777777" w:rsidR="00B44564" w:rsidRPr="005762E6" w:rsidRDefault="00B44564" w:rsidP="00EA69AA">
            <w:pPr>
              <w:spacing w:after="120" w:line="240" w:lineRule="auto"/>
              <w:contextualSpacing/>
              <w:rPr>
                <w:sz w:val="20"/>
                <w:szCs w:val="20"/>
              </w:rPr>
            </w:pPr>
            <w:r w:rsidRPr="005762E6">
              <w:rPr>
                <w:sz w:val="20"/>
                <w:szCs w:val="20"/>
              </w:rPr>
              <w:t>692</w:t>
            </w:r>
          </w:p>
        </w:tc>
        <w:tc>
          <w:tcPr>
            <w:tcW w:w="0" w:type="auto"/>
            <w:tcBorders>
              <w:top w:val="single" w:sz="6" w:space="0" w:color="auto"/>
              <w:left w:val="single" w:sz="6" w:space="0" w:color="auto"/>
              <w:bottom w:val="single" w:sz="6" w:space="0" w:color="auto"/>
              <w:right w:val="single" w:sz="6" w:space="0" w:color="auto"/>
            </w:tcBorders>
          </w:tcPr>
          <w:p w14:paraId="1DF81637"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178F9A5" w14:textId="73F6CC34" w:rsidR="00B44564" w:rsidRPr="005762E6" w:rsidRDefault="00B44564" w:rsidP="00EA69AA">
            <w:pPr>
              <w:spacing w:after="120" w:line="240" w:lineRule="auto"/>
              <w:contextualSpacing/>
              <w:rPr>
                <w:sz w:val="20"/>
                <w:szCs w:val="20"/>
              </w:rPr>
            </w:pPr>
            <w:r w:rsidRPr="005762E6">
              <w:rPr>
                <w:sz w:val="20"/>
                <w:szCs w:val="20"/>
              </w:rPr>
              <w:t xml:space="preserve">Taru Kinnunen </w:t>
            </w:r>
            <w:proofErr w:type="gramStart"/>
            <w:r w:rsidRPr="005762E6">
              <w:rPr>
                <w:sz w:val="20"/>
                <w:szCs w:val="20"/>
              </w:rPr>
              <w:t>Mustonen,​</w:t>
            </w:r>
            <w:proofErr w:type="gramEnd"/>
            <w:r w:rsidRPr="005762E6">
              <w:rPr>
                <w:sz w:val="20"/>
                <w:szCs w:val="20"/>
              </w:rPr>
              <w:t xml:space="preserve"> Stacie M Spencer,​ Randall A Hoskinson,​ David P L Sachs,​ Arthur J Garvey The influence of gender,​ race,​ and menthol content on tobacco exposure measures</w:t>
            </w:r>
            <w:r w:rsidR="007F2F01">
              <w:rPr>
                <w:sz w:val="20"/>
                <w:szCs w:val="20"/>
              </w:rPr>
              <w:t>.</w:t>
            </w:r>
            <w:r w:rsidRPr="005762E6">
              <w:rPr>
                <w:sz w:val="20"/>
                <w:szCs w:val="20"/>
              </w:rPr>
              <w:t xml:space="preserve"> Nicotine &amp; tobacco research : official journal of the Society for Research on Nicotine and Tobacco; 2005;7:581.</w:t>
            </w:r>
            <w:r w:rsidRPr="005762E6">
              <w:rPr>
                <w:sz w:val="20"/>
                <w:szCs w:val="20"/>
              </w:rPr>
              <w:br/>
            </w:r>
            <w:r w:rsidRPr="005762E6">
              <w:rPr>
                <w:sz w:val="20"/>
                <w:szCs w:val="20"/>
              </w:rPr>
              <w:br/>
            </w:r>
            <w:r w:rsidRPr="005762E6">
              <w:rPr>
                <w:b/>
                <w:bCs/>
                <w:sz w:val="20"/>
                <w:szCs w:val="20"/>
              </w:rPr>
              <w:t>Keywords:</w:t>
            </w:r>
            <w:r w:rsidRPr="005762E6">
              <w:rPr>
                <w:sz w:val="20"/>
                <w:szCs w:val="20"/>
              </w:rPr>
              <w:br/>
              <w:t>Adult,​African Americans/px [Psychology],​*African Americans/sn [Statistics &amp; Numerical Data],​Analysis of Variance,​Attitude to Health/eh [Ethnology],​Biomarkers/an [Analysis],​Carbon Monoxide/an [Analysis],​Cotinine/an [Analysis],​European Continental Ancestry Group/px [Psychology],​*European Continental Ancestry Group/sn [Statistics &amp; Numerical Data],​Female,​Flavoring Agents/ae [Adverse Effects],​*Flavoring Agents/an [Analysis],​Humans,​Male,​Menthol/ae [Adverse Effects],​*Menthol/an [Analysis],​Middle Aged,​Saliva/ch [Chemistry],​Sex Distribution,​Smoking/ae [Adverse Effects],​*Smoking/ep [Epidemiology],​*Smoking/me [Metabolism],​Smoking Cessation/sn [Statistics &amp; Numerical Data],​United States/ep [Epidemiology]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Research has suggested that race,​ gender,​ and menthol cigarette use influence tobacco-smoke exposure measures and smoking-related disease risk. For </w:t>
            </w:r>
            <w:proofErr w:type="gramStart"/>
            <w:r w:rsidRPr="005762E6">
              <w:rPr>
                <w:sz w:val="20"/>
                <w:szCs w:val="20"/>
              </w:rPr>
              <w:t>example,​</w:t>
            </w:r>
            <w:proofErr w:type="gramEnd"/>
            <w:r w:rsidRPr="005762E6">
              <w:rPr>
                <w:sz w:val="20"/>
                <w:szCs w:val="20"/>
              </w:rPr>
              <w:t xml:space="preserve"> a high proportion of Black smokers prefer menthol cigarettes and,​ despite smoking fewer cigarettes per day (CPD) than do Whites,​ tend to have higher cotinine levels. </w:t>
            </w:r>
            <w:proofErr w:type="gramStart"/>
            <w:r w:rsidRPr="005762E6">
              <w:rPr>
                <w:sz w:val="20"/>
                <w:szCs w:val="20"/>
              </w:rPr>
              <w:t>Additionally,​</w:t>
            </w:r>
            <w:proofErr w:type="gramEnd"/>
            <w:r w:rsidRPr="005762E6">
              <w:rPr>
                <w:sz w:val="20"/>
                <w:szCs w:val="20"/>
              </w:rPr>
              <w:t xml:space="preserve"> Black males are more at risk for smoking-related lung cancer. High cotinine levels and smoking menthol cigarettes may lead to higher toxin </w:t>
            </w:r>
            <w:proofErr w:type="gramStart"/>
            <w:r w:rsidRPr="005762E6">
              <w:rPr>
                <w:sz w:val="20"/>
                <w:szCs w:val="20"/>
              </w:rPr>
              <w:t>intake,​</w:t>
            </w:r>
            <w:proofErr w:type="gramEnd"/>
            <w:r w:rsidRPr="005762E6">
              <w:rPr>
                <w:sz w:val="20"/>
                <w:szCs w:val="20"/>
              </w:rPr>
              <w:t xml:space="preserve"> which contributes to increased disease risk. We explored the relationship between tobacco exposure variables (</w:t>
            </w:r>
            <w:proofErr w:type="gramStart"/>
            <w:r w:rsidRPr="005762E6">
              <w:rPr>
                <w:sz w:val="20"/>
                <w:szCs w:val="20"/>
              </w:rPr>
              <w:t>i.e.,​</w:t>
            </w:r>
            <w:proofErr w:type="gramEnd"/>
            <w:r w:rsidRPr="005762E6">
              <w:rPr>
                <w:sz w:val="20"/>
                <w:szCs w:val="20"/>
              </w:rPr>
              <w:t xml:space="preserve"> cotinine,​ CPD,​ carbon monoxide [CO],​ nicotine content,​ and nicotine dependence) with respect to race,​ gender,​ and menthol content in a sample of 307 smokers recruited from the greater Boston area to participate in a smoking cessation treatment trial. The pattern of correlations between tobacco exposure measures and cotinine showed a consistently positive correlation between cotinine and CO in all smokers and a correlation between cotinine and CPD in those who smoked nonmenthol cigarettes. Cotinine and CPD correlations varied by gender and race among menthol cigarette smokers. </w:t>
            </w:r>
            <w:proofErr w:type="gramStart"/>
            <w:r w:rsidRPr="005762E6">
              <w:rPr>
                <w:sz w:val="20"/>
                <w:szCs w:val="20"/>
              </w:rPr>
              <w:t>Consistently,​</w:t>
            </w:r>
            <w:proofErr w:type="gramEnd"/>
            <w:r w:rsidRPr="005762E6">
              <w:rPr>
                <w:sz w:val="20"/>
                <w:szCs w:val="20"/>
              </w:rPr>
              <w:t xml:space="preserve"> we found a significant gender x race x menthol interaction on salivary cotinine level as well as cotinine/CPD ratio. These findings suggest that the relationship between number of </w:t>
            </w:r>
            <w:r w:rsidRPr="005762E6">
              <w:rPr>
                <w:sz w:val="20"/>
                <w:szCs w:val="20"/>
              </w:rPr>
              <w:lastRenderedPageBreak/>
              <w:t xml:space="preserve">cigarettes consumed and salivary cotinine is more complex than previously believed. It is not sufficient to look at race alone; researchers and clinicians need to look at race and gender </w:t>
            </w:r>
            <w:proofErr w:type="gramStart"/>
            <w:r w:rsidRPr="005762E6">
              <w:rPr>
                <w:sz w:val="20"/>
                <w:szCs w:val="20"/>
              </w:rPr>
              <w:t>concurrently,​</w:t>
            </w:r>
            <w:proofErr w:type="gramEnd"/>
            <w:r w:rsidRPr="005762E6">
              <w:rPr>
                <w:sz w:val="20"/>
                <w:szCs w:val="20"/>
              </w:rPr>
              <w:t xml:space="preserve"> as well as type of cigarette consumed.</w:t>
            </w:r>
          </w:p>
        </w:tc>
      </w:tr>
      <w:tr w:rsidR="00B44564" w:rsidRPr="005762E6" w14:paraId="07051B9A"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D4531DF" w14:textId="77777777" w:rsidR="00B44564" w:rsidRPr="005762E6" w:rsidRDefault="00B44564" w:rsidP="00EA69AA">
            <w:pPr>
              <w:spacing w:after="120" w:line="240" w:lineRule="auto"/>
              <w:contextualSpacing/>
              <w:rPr>
                <w:sz w:val="20"/>
                <w:szCs w:val="20"/>
              </w:rPr>
            </w:pPr>
            <w:r w:rsidRPr="005762E6">
              <w:rPr>
                <w:sz w:val="20"/>
                <w:szCs w:val="20"/>
              </w:rPr>
              <w:lastRenderedPageBreak/>
              <w:t>693</w:t>
            </w:r>
          </w:p>
        </w:tc>
        <w:tc>
          <w:tcPr>
            <w:tcW w:w="0" w:type="auto"/>
            <w:tcBorders>
              <w:top w:val="single" w:sz="6" w:space="0" w:color="auto"/>
              <w:left w:val="single" w:sz="6" w:space="0" w:color="auto"/>
              <w:bottom w:val="single" w:sz="6" w:space="0" w:color="auto"/>
              <w:right w:val="single" w:sz="6" w:space="0" w:color="auto"/>
            </w:tcBorders>
          </w:tcPr>
          <w:p w14:paraId="0296EC77"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2FA4A66" w14:textId="5E04D1E3" w:rsidR="00B44564" w:rsidRPr="005762E6" w:rsidRDefault="00B44564" w:rsidP="00EA69AA">
            <w:pPr>
              <w:spacing w:after="120" w:line="240" w:lineRule="auto"/>
              <w:contextualSpacing/>
              <w:rPr>
                <w:sz w:val="20"/>
                <w:szCs w:val="20"/>
              </w:rPr>
            </w:pPr>
            <w:r w:rsidRPr="005762E6">
              <w:rPr>
                <w:sz w:val="20"/>
                <w:szCs w:val="20"/>
              </w:rPr>
              <w:t xml:space="preserve">Carolyn C </w:t>
            </w:r>
            <w:proofErr w:type="gramStart"/>
            <w:r w:rsidRPr="005762E6">
              <w:rPr>
                <w:sz w:val="20"/>
                <w:szCs w:val="20"/>
              </w:rPr>
              <w:t>Celebucki,​</w:t>
            </w:r>
            <w:proofErr w:type="gramEnd"/>
            <w:r w:rsidRPr="005762E6">
              <w:rPr>
                <w:sz w:val="20"/>
                <w:szCs w:val="20"/>
              </w:rPr>
              <w:t xml:space="preserve"> Geoffrey Ferris Wayne,​ Gregory N Connolly,​ James F Pankow,​ Elsa I Chang Characterization of measured menthol in 48 U.S. cigarette sub-brands</w:t>
            </w:r>
            <w:r w:rsidR="007F2F01">
              <w:rPr>
                <w:sz w:val="20"/>
                <w:szCs w:val="20"/>
              </w:rPr>
              <w:t>.</w:t>
            </w:r>
            <w:r w:rsidRPr="005762E6">
              <w:rPr>
                <w:sz w:val="20"/>
                <w:szCs w:val="20"/>
              </w:rPr>
              <w:t xml:space="preserve"> Nicotine &amp; tobacco research : official journal of the Society for Research on Nicotine and Tobacco; 2005;7:523.</w:t>
            </w:r>
            <w:r w:rsidRPr="005762E6">
              <w:rPr>
                <w:sz w:val="20"/>
                <w:szCs w:val="20"/>
              </w:rPr>
              <w:br/>
            </w:r>
            <w:r w:rsidRPr="005762E6">
              <w:rPr>
                <w:sz w:val="20"/>
                <w:szCs w:val="20"/>
              </w:rPr>
              <w:br/>
            </w:r>
            <w:r w:rsidRPr="005762E6">
              <w:rPr>
                <w:b/>
                <w:bCs/>
                <w:sz w:val="20"/>
                <w:szCs w:val="20"/>
              </w:rPr>
              <w:t>Keywords:</w:t>
            </w:r>
            <w:r w:rsidRPr="005762E6">
              <w:rPr>
                <w:sz w:val="20"/>
                <w:szCs w:val="20"/>
              </w:rPr>
              <w:br/>
              <w:t>Analysis of Variance,​Flavoring Agents/ae [Adverse Effects],​*Flavoring Agents/an [Analysis],​Gas Chromatography-Mass Spectrometry,​Government Regulation,​Humans,​Menthol/ae [Adverse Effects],​*Menthol/an [Analysis],​*Smoke/an [Analysis],​*Tobacco/ch [Chemistry],​*Tobacco Industry/st [Standards],​United States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More than 25% of cigarettes sold in the United States are branded as mentholated,​ and these cigarettes are smoked disproportionately among populations with disparate tobacco-related health outcomes. This study is the first (independent of the tobacco industry) to report menthol for 48 popular commercially available mentholated cigarette sub-brands. The dependent variable "menthol per cigarette" was obtained by gas chromatography-mass spectrometer </w:t>
            </w:r>
            <w:proofErr w:type="gramStart"/>
            <w:r w:rsidRPr="005762E6">
              <w:rPr>
                <w:sz w:val="20"/>
                <w:szCs w:val="20"/>
              </w:rPr>
              <w:t>assay,​</w:t>
            </w:r>
            <w:proofErr w:type="gramEnd"/>
            <w:r w:rsidRPr="005762E6">
              <w:rPr>
                <w:sz w:val="20"/>
                <w:szCs w:val="20"/>
              </w:rPr>
              <w:t xml:space="preserve"> whereas average per-cigarette milligram weight of tobacco filler ("tobacco per cigarette") was determined gravimetrically. Pearson's correlations assessed associations among continuous variables. Analyses of variance assessed mean differences on the independent variables of interest: </w:t>
            </w:r>
            <w:proofErr w:type="gramStart"/>
            <w:r w:rsidRPr="005762E6">
              <w:rPr>
                <w:sz w:val="20"/>
                <w:szCs w:val="20"/>
              </w:rPr>
              <w:t>manufacturer,​</w:t>
            </w:r>
            <w:proofErr w:type="gramEnd"/>
            <w:r w:rsidRPr="005762E6">
              <w:rPr>
                <w:sz w:val="20"/>
                <w:szCs w:val="20"/>
              </w:rPr>
              <w:t xml:space="preserve"> brand family,​ industry descriptors of length (100 mm and King [85 mm]) and label (ultralight,​ light,​ medium/mild,​ and regular/full flavor),​ and a category constructed by the authors of exclusively menthol brand families (those without a non-menthol offering; Kool,​ Newport,​ and Salem) versus others (GPC,​ Camel,​ and Marlboro). Results showed menthol per cigarette and menthol per tobacco (</w:t>
            </w:r>
            <w:proofErr w:type="gramStart"/>
            <w:r w:rsidRPr="005762E6">
              <w:rPr>
                <w:sz w:val="20"/>
                <w:szCs w:val="20"/>
              </w:rPr>
              <w:t>i.e.,​</w:t>
            </w:r>
            <w:proofErr w:type="gramEnd"/>
            <w:r w:rsidRPr="005762E6">
              <w:rPr>
                <w:sz w:val="20"/>
                <w:szCs w:val="20"/>
              </w:rPr>
              <w:t xml:space="preserve"> milligrams of menthol per gram of tobacco filler) to be significantly greater in cigarettes labeled with industry descriptors of ultralight or light,​ belying the common consumer perception that "light" means less. Menthol per cigarette and tobacco per cigarette were significantly greater in 100-mm compared with 85-mm cigarettes. The study results are consistent with prior research that suggests menthol may be used to offset reductions in smoke delivery or impact and to facilitate compensatory smoke inhalation behaviors in smokers of cigarettes with reduced machine-measured smoke delivery. Tobacco manufacturers should be required by federal or other regulatory agencies to report the amount of menthol added to cigarettes.</w:t>
            </w:r>
          </w:p>
        </w:tc>
      </w:tr>
      <w:tr w:rsidR="00B44564" w:rsidRPr="005762E6" w14:paraId="37B4D7EA"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A00A6C1" w14:textId="77777777" w:rsidR="00B44564" w:rsidRPr="005762E6" w:rsidRDefault="00B44564" w:rsidP="00EA69AA">
            <w:pPr>
              <w:spacing w:after="120" w:line="240" w:lineRule="auto"/>
              <w:contextualSpacing/>
              <w:rPr>
                <w:sz w:val="20"/>
                <w:szCs w:val="20"/>
              </w:rPr>
            </w:pPr>
            <w:r w:rsidRPr="005762E6">
              <w:rPr>
                <w:sz w:val="20"/>
                <w:szCs w:val="20"/>
              </w:rPr>
              <w:t>695</w:t>
            </w:r>
          </w:p>
        </w:tc>
        <w:tc>
          <w:tcPr>
            <w:tcW w:w="0" w:type="auto"/>
            <w:tcBorders>
              <w:top w:val="single" w:sz="6" w:space="0" w:color="auto"/>
              <w:left w:val="single" w:sz="6" w:space="0" w:color="auto"/>
              <w:bottom w:val="single" w:sz="6" w:space="0" w:color="auto"/>
              <w:right w:val="single" w:sz="6" w:space="0" w:color="auto"/>
            </w:tcBorders>
          </w:tcPr>
          <w:p w14:paraId="360A22B7"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DE28FD6" w14:textId="79F4D9FD" w:rsidR="00B44564" w:rsidRPr="005762E6" w:rsidRDefault="00B44564" w:rsidP="00EA69AA">
            <w:pPr>
              <w:spacing w:after="120" w:line="240" w:lineRule="auto"/>
              <w:contextualSpacing/>
              <w:rPr>
                <w:sz w:val="20"/>
                <w:szCs w:val="20"/>
              </w:rPr>
            </w:pPr>
            <w:r w:rsidRPr="005762E6">
              <w:rPr>
                <w:sz w:val="20"/>
                <w:szCs w:val="20"/>
              </w:rPr>
              <w:t xml:space="preserve">Anita F </w:t>
            </w:r>
            <w:proofErr w:type="gramStart"/>
            <w:r w:rsidRPr="005762E6">
              <w:rPr>
                <w:sz w:val="20"/>
                <w:szCs w:val="20"/>
              </w:rPr>
              <w:t>Fernander,​</w:t>
            </w:r>
            <w:proofErr w:type="gramEnd"/>
            <w:r w:rsidRPr="005762E6">
              <w:rPr>
                <w:sz w:val="20"/>
                <w:szCs w:val="20"/>
              </w:rPr>
              <w:t xml:space="preserve"> Christi A Patten,​ Darrell R Schroeder,​ Susanna R Stevens,​ Kay M Eberman,​ Richard D Hurt Exploring the association of John Henry active coping and education on smoking behavior and nicotine dependence among Blacks in the USA</w:t>
            </w:r>
            <w:r w:rsidR="007F2F01">
              <w:rPr>
                <w:sz w:val="20"/>
                <w:szCs w:val="20"/>
              </w:rPr>
              <w:t>.</w:t>
            </w:r>
            <w:r w:rsidRPr="005762E6">
              <w:rPr>
                <w:sz w:val="20"/>
                <w:szCs w:val="20"/>
              </w:rPr>
              <w:t xml:space="preserve"> Social science &amp; medicine (1982); 2005;60:491.</w:t>
            </w:r>
            <w:r w:rsidRPr="005762E6">
              <w:rPr>
                <w:sz w:val="20"/>
                <w:szCs w:val="20"/>
              </w:rPr>
              <w:br/>
            </w:r>
            <w:r w:rsidRPr="005762E6">
              <w:rPr>
                <w:sz w:val="20"/>
                <w:szCs w:val="20"/>
              </w:rPr>
              <w:br/>
            </w:r>
            <w:r w:rsidRPr="005762E6">
              <w:rPr>
                <w:b/>
                <w:bCs/>
                <w:sz w:val="20"/>
                <w:szCs w:val="20"/>
              </w:rPr>
              <w:t>Keywords:</w:t>
            </w:r>
            <w:r w:rsidRPr="005762E6">
              <w:rPr>
                <w:sz w:val="20"/>
                <w:szCs w:val="20"/>
              </w:rPr>
              <w:br/>
              <w:t>*Adaptation,​ Psychological,​Adolescent,​Adult,​*African Americans/px [Psychology],​Educational Status,​Female,​Health Education,​Humans,​Male,​*Smoking/px [Psychology],​Social Class,​*Tobacco Use Disorder,​United States,​Urban Population</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Although smoking is used as a coping tool in response to stress and Blacks have been found to report smoking more in response to stress than Whites,​ little research exists that has examined ethno-culturally specific constructs of stress and coping as they relate to smoking behavior and nicotine dependence among Blacks in the USA. This study explored the association between the ethno-culturally interactively defined construct of John </w:t>
            </w:r>
            <w:proofErr w:type="gramStart"/>
            <w:r w:rsidRPr="005762E6">
              <w:rPr>
                <w:sz w:val="20"/>
                <w:szCs w:val="20"/>
              </w:rPr>
              <w:t>Henryism,​</w:t>
            </w:r>
            <w:proofErr w:type="gramEnd"/>
            <w:r w:rsidRPr="005762E6">
              <w:rPr>
                <w:sz w:val="20"/>
                <w:szCs w:val="20"/>
              </w:rPr>
              <w:t xml:space="preserve"> as well as the individual contributions of John Henry active coping and education on smoking behavior and nicotine dependence in a relatively urban-Midwestern Black population. Self-identified Black patients (n = 146) who had previously received a clinical intervention for nicotine dependence were followed to assess smoking status and John Henry active coping. Results revealed that patients with low levels of education who had low levels of John Henry active coping reported higher nicotine dependence scores than any other education by John Henry active coping group. </w:t>
            </w:r>
            <w:proofErr w:type="gramStart"/>
            <w:r w:rsidRPr="005762E6">
              <w:rPr>
                <w:sz w:val="20"/>
                <w:szCs w:val="20"/>
              </w:rPr>
              <w:t>Furthermore,​</w:t>
            </w:r>
            <w:proofErr w:type="gramEnd"/>
            <w:r w:rsidRPr="005762E6">
              <w:rPr>
                <w:sz w:val="20"/>
                <w:szCs w:val="20"/>
              </w:rPr>
              <w:t xml:space="preserve"> low levels of John Henry active coping were associated with the use of menthol cigarettes and lower-educational level was associated with smoking greater than 20 cigarettes per day. Further community-based studies examining this </w:t>
            </w:r>
            <w:r w:rsidRPr="005762E6">
              <w:rPr>
                <w:sz w:val="20"/>
                <w:szCs w:val="20"/>
              </w:rPr>
              <w:lastRenderedPageBreak/>
              <w:t>construct among Black smokers in various socio-cultural contexts are needed to clarify the association between John Henry active coping and socioeconomic status on smoking behavior and nicotine dependence among Blacks.</w:t>
            </w:r>
          </w:p>
        </w:tc>
      </w:tr>
      <w:tr w:rsidR="00B44564" w:rsidRPr="005762E6" w14:paraId="27C11981"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FCBF750" w14:textId="77777777" w:rsidR="00B44564" w:rsidRPr="005762E6" w:rsidRDefault="00B44564" w:rsidP="00EA69AA">
            <w:pPr>
              <w:spacing w:after="120" w:line="240" w:lineRule="auto"/>
              <w:contextualSpacing/>
              <w:rPr>
                <w:sz w:val="20"/>
                <w:szCs w:val="20"/>
              </w:rPr>
            </w:pPr>
            <w:r w:rsidRPr="005762E6">
              <w:rPr>
                <w:sz w:val="20"/>
                <w:szCs w:val="20"/>
              </w:rPr>
              <w:lastRenderedPageBreak/>
              <w:t>698</w:t>
            </w:r>
          </w:p>
        </w:tc>
        <w:tc>
          <w:tcPr>
            <w:tcW w:w="0" w:type="auto"/>
            <w:tcBorders>
              <w:top w:val="single" w:sz="6" w:space="0" w:color="auto"/>
              <w:left w:val="single" w:sz="6" w:space="0" w:color="auto"/>
              <w:bottom w:val="single" w:sz="6" w:space="0" w:color="auto"/>
              <w:right w:val="single" w:sz="6" w:space="0" w:color="auto"/>
            </w:tcBorders>
          </w:tcPr>
          <w:p w14:paraId="3EDB8098"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5E11A78" w14:textId="415BA7A9" w:rsidR="00B44564" w:rsidRPr="005762E6" w:rsidRDefault="00B44564" w:rsidP="00EA69AA">
            <w:pPr>
              <w:spacing w:after="120" w:line="240" w:lineRule="auto"/>
              <w:contextualSpacing/>
              <w:rPr>
                <w:sz w:val="20"/>
                <w:szCs w:val="20"/>
              </w:rPr>
            </w:pPr>
            <w:r w:rsidRPr="005762E6">
              <w:rPr>
                <w:sz w:val="20"/>
                <w:szCs w:val="20"/>
              </w:rPr>
              <w:t xml:space="preserve">Kolawole S </w:t>
            </w:r>
            <w:proofErr w:type="gramStart"/>
            <w:r w:rsidRPr="005762E6">
              <w:rPr>
                <w:sz w:val="20"/>
                <w:szCs w:val="20"/>
              </w:rPr>
              <w:t>Okuyemi,​</w:t>
            </w:r>
            <w:proofErr w:type="gramEnd"/>
            <w:r w:rsidRPr="005762E6">
              <w:rPr>
                <w:sz w:val="20"/>
                <w:szCs w:val="20"/>
              </w:rPr>
              <w:t xml:space="preserve"> Maiko Ebersole-Robinson,​ Niaman Nazir,​ Jasjit S Ahluwalia African-American menthol and nonmenthol smokers: differences in smoking and cessation experiences</w:t>
            </w:r>
            <w:r w:rsidR="007F2F01">
              <w:rPr>
                <w:sz w:val="20"/>
                <w:szCs w:val="20"/>
              </w:rPr>
              <w:t>.</w:t>
            </w:r>
            <w:r w:rsidRPr="005762E6">
              <w:rPr>
                <w:sz w:val="20"/>
                <w:szCs w:val="20"/>
              </w:rPr>
              <w:t xml:space="preserve"> Journal of the National Medical Association; 2004;96:1208.</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Adolescent,​Adult,​*African Americans/px [Psychology],​Aged,​Cross-Sectional Studies,​Female,​Humans,​Male,​*Menthol,​Middle Aged,​*Smoking/eh [Ethnology],​*Smoking Cessation/eh [Ethnology],​Socioeconomic Factors,​Urban Population</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Despite smoking fewer cigarettes per day,​ African Americans have lower cessation rates and experience disproportionately higher rates of smoking-related health consequences. Because of their high preference for menthol </w:t>
            </w:r>
            <w:proofErr w:type="gramStart"/>
            <w:r w:rsidRPr="005762E6">
              <w:rPr>
                <w:sz w:val="20"/>
                <w:szCs w:val="20"/>
              </w:rPr>
              <w:t>cigarettes,​</w:t>
            </w:r>
            <w:proofErr w:type="gramEnd"/>
            <w:r w:rsidRPr="005762E6">
              <w:rPr>
                <w:sz w:val="20"/>
                <w:szCs w:val="20"/>
              </w:rPr>
              <w:t xml:space="preserve"> it has been suggested that smoking menthol cigarettes may contribute to the excess smoking-related morbidity experienced by African Americans. Smoking menthol cigarettes could increase health risks from smoking if smokers of menthol cigarettes have lower cessation rates and thereby have longer duration of smoking compared to smokers of nonmentholated cigarettes. Few studies have examined associations between smoking of mentholated cigarettes and smoking cessation among African Americans. This study examined the smoking patterns of menthol cigarette smokers and their smoking cessation experiences</w:t>
            </w:r>
            <w:proofErr w:type="gramStart"/>
            <w:r w:rsidRPr="005762E6">
              <w:rPr>
                <w:sz w:val="20"/>
                <w:szCs w:val="20"/>
              </w:rPr>
              <w:t>.,​</w:t>
            </w:r>
            <w:proofErr w:type="gramEnd"/>
            <w:r w:rsidRPr="005762E6">
              <w:rPr>
                <w:sz w:val="20"/>
                <w:szCs w:val="20"/>
              </w:rPr>
              <w:t xml:space="preserve"> METHODS: A cross-sectional survey of 480 African-American smokers at an inner-city health center. Survey examined </w:t>
            </w:r>
            <w:proofErr w:type="gramStart"/>
            <w:r w:rsidRPr="005762E6">
              <w:rPr>
                <w:sz w:val="20"/>
                <w:szCs w:val="20"/>
              </w:rPr>
              <w:t>sociodemographics,​</w:t>
            </w:r>
            <w:proofErr w:type="gramEnd"/>
            <w:r w:rsidRPr="005762E6">
              <w:rPr>
                <w:sz w:val="20"/>
                <w:szCs w:val="20"/>
              </w:rPr>
              <w:t xml:space="preserve"> smoking characteristics,​ and smoking cessation experiences of participants. Menthol smokers (n = 407) were compared to nonmenthol smokers (n = 73) in these characteristics</w:t>
            </w:r>
            <w:proofErr w:type="gramStart"/>
            <w:r w:rsidRPr="005762E6">
              <w:rPr>
                <w:sz w:val="20"/>
                <w:szCs w:val="20"/>
              </w:rPr>
              <w:t>.,​</w:t>
            </w:r>
            <w:proofErr w:type="gramEnd"/>
            <w:r w:rsidRPr="005762E6">
              <w:rPr>
                <w:sz w:val="20"/>
                <w:szCs w:val="20"/>
              </w:rPr>
              <w:t xml:space="preserve"> RESULTS: Menthol smokers were younger and more likely to smoke cigarettes with longer rod length,​ with filters,​ and those high in nicotine and tar. Although both groups did not differ by number of past quit </w:t>
            </w:r>
            <w:proofErr w:type="gramStart"/>
            <w:r w:rsidRPr="005762E6">
              <w:rPr>
                <w:sz w:val="20"/>
                <w:szCs w:val="20"/>
              </w:rPr>
              <w:t>attempts,​</w:t>
            </w:r>
            <w:proofErr w:type="gramEnd"/>
            <w:r w:rsidRPr="005762E6">
              <w:rPr>
                <w:sz w:val="20"/>
                <w:szCs w:val="20"/>
              </w:rPr>
              <w:t xml:space="preserve"> time since most recent quit attempt was shorter for menthol smokers. The durations of most recent and longest-ever quit attempts were nonsignificantly shorter for </w:t>
            </w:r>
            <w:proofErr w:type="gramStart"/>
            <w:r w:rsidRPr="005762E6">
              <w:rPr>
                <w:sz w:val="20"/>
                <w:szCs w:val="20"/>
              </w:rPr>
              <w:t>menthol,​</w:t>
            </w:r>
            <w:proofErr w:type="gramEnd"/>
            <w:r w:rsidRPr="005762E6">
              <w:rPr>
                <w:sz w:val="20"/>
                <w:szCs w:val="20"/>
              </w:rPr>
              <w:t xml:space="preserve"> compared to nonmenthol smokers.,​ CONCLUSIONS: These data suggest that African-American menthol smokers are less successful with smoking cessation. Prospective studies are needed to confirm these findings and examine mechanisms underlying such differences.</w:t>
            </w:r>
          </w:p>
        </w:tc>
      </w:tr>
      <w:tr w:rsidR="00B44564" w:rsidRPr="005762E6" w14:paraId="07199421"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5FC2E46" w14:textId="77777777" w:rsidR="00B44564" w:rsidRPr="005762E6" w:rsidRDefault="00B44564" w:rsidP="00EA69AA">
            <w:pPr>
              <w:spacing w:after="120" w:line="240" w:lineRule="auto"/>
              <w:contextualSpacing/>
              <w:rPr>
                <w:sz w:val="20"/>
                <w:szCs w:val="20"/>
              </w:rPr>
            </w:pPr>
            <w:r w:rsidRPr="005762E6">
              <w:rPr>
                <w:sz w:val="20"/>
                <w:szCs w:val="20"/>
              </w:rPr>
              <w:t>699</w:t>
            </w:r>
          </w:p>
        </w:tc>
        <w:tc>
          <w:tcPr>
            <w:tcW w:w="0" w:type="auto"/>
            <w:tcBorders>
              <w:top w:val="single" w:sz="6" w:space="0" w:color="auto"/>
              <w:left w:val="single" w:sz="6" w:space="0" w:color="auto"/>
              <w:bottom w:val="single" w:sz="6" w:space="0" w:color="auto"/>
              <w:right w:val="single" w:sz="6" w:space="0" w:color="auto"/>
            </w:tcBorders>
          </w:tcPr>
          <w:p w14:paraId="2688070D"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B834C79" w14:textId="743BD5D5" w:rsidR="00B44564" w:rsidRPr="005762E6" w:rsidRDefault="00B44564" w:rsidP="00EA69AA">
            <w:pPr>
              <w:spacing w:after="120" w:line="240" w:lineRule="auto"/>
              <w:contextualSpacing/>
              <w:rPr>
                <w:sz w:val="20"/>
                <w:szCs w:val="20"/>
              </w:rPr>
            </w:pPr>
            <w:r w:rsidRPr="005762E6">
              <w:rPr>
                <w:sz w:val="20"/>
                <w:szCs w:val="20"/>
              </w:rPr>
              <w:t xml:space="preserve">Eric T </w:t>
            </w:r>
            <w:proofErr w:type="gramStart"/>
            <w:r w:rsidRPr="005762E6">
              <w:rPr>
                <w:sz w:val="20"/>
                <w:szCs w:val="20"/>
              </w:rPr>
              <w:t>Moolchan,​</w:t>
            </w:r>
            <w:proofErr w:type="gramEnd"/>
            <w:r w:rsidRPr="005762E6">
              <w:rPr>
                <w:sz w:val="20"/>
                <w:szCs w:val="20"/>
              </w:rPr>
              <w:t xml:space="preserve"> Darrell L Hudson,​ Jennifer R Schroeder,​ Shelley S Sehnert Heart rate and blood pressure responses to tobacco smoking among African-American adolescents</w:t>
            </w:r>
            <w:r w:rsidR="007F2F01">
              <w:rPr>
                <w:sz w:val="20"/>
                <w:szCs w:val="20"/>
              </w:rPr>
              <w:t>.</w:t>
            </w:r>
            <w:r w:rsidRPr="005762E6">
              <w:rPr>
                <w:sz w:val="20"/>
                <w:szCs w:val="20"/>
              </w:rPr>
              <w:t xml:space="preserve"> Journal of the National Medical Association; 2004;96:767.</w:t>
            </w:r>
            <w:r w:rsidRPr="005762E6">
              <w:rPr>
                <w:sz w:val="20"/>
                <w:szCs w:val="20"/>
              </w:rPr>
              <w:br/>
            </w:r>
            <w:r w:rsidRPr="005762E6">
              <w:rPr>
                <w:sz w:val="20"/>
                <w:szCs w:val="20"/>
              </w:rPr>
              <w:br/>
            </w:r>
            <w:r w:rsidRPr="005762E6">
              <w:rPr>
                <w:b/>
                <w:bCs/>
                <w:sz w:val="20"/>
                <w:szCs w:val="20"/>
              </w:rPr>
              <w:t>Keywords:</w:t>
            </w:r>
            <w:r w:rsidRPr="005762E6">
              <w:rPr>
                <w:sz w:val="20"/>
                <w:szCs w:val="20"/>
              </w:rPr>
              <w:br/>
              <w:t>Adolescent,​African Americans/sn [Statistics &amp; Numerical Data],​*African Americans,​*Blood Pressure/ge [Genetics],​European Continental Ancestry Group/sn [Statistics &amp; Numerical Data],​Female,​*Heart Rate/ge [Genetics],​Humans,​Male,​*Smoking/eh [Ethnology],​Smoking/pp [Physiopathology],​Smoking Cessation/eh [Ethnology]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Ethnic differences in both physiological response to and health consequences of tobacco smoking-some of which have been attributed to ethnic preferences for menthol cigarettes-have been described in the literature. We compared acute physiological responses to smoking in African-American and European-American adolescent menthol cigarette smokers seeking smoking cessation treatment. One-hundred- twenty-eight adolescents (32% African-</w:t>
            </w:r>
            <w:proofErr w:type="gramStart"/>
            <w:r w:rsidRPr="005762E6">
              <w:rPr>
                <w:sz w:val="20"/>
                <w:szCs w:val="20"/>
              </w:rPr>
              <w:t>American,​</w:t>
            </w:r>
            <w:proofErr w:type="gramEnd"/>
            <w:r w:rsidRPr="005762E6">
              <w:rPr>
                <w:sz w:val="20"/>
                <w:szCs w:val="20"/>
              </w:rPr>
              <w:t xml:space="preserve"> 71% female; mean age 15.16 +/- 1.32 years,​ mean Fagerstrom Test of Nicotine Dependence (FTND) score 6.73 +/- 1.53,​ cigarettes per day (CPD) 16.9 +/- 2.64) participated in an experimental session during which they smoked one menthol cigarette of their usual brand. Blood </w:t>
            </w:r>
            <w:proofErr w:type="gramStart"/>
            <w:r w:rsidRPr="005762E6">
              <w:rPr>
                <w:sz w:val="20"/>
                <w:szCs w:val="20"/>
              </w:rPr>
              <w:t>pressure,​</w:t>
            </w:r>
            <w:proofErr w:type="gramEnd"/>
            <w:r w:rsidRPr="005762E6">
              <w:rPr>
                <w:sz w:val="20"/>
                <w:szCs w:val="20"/>
              </w:rPr>
              <w:t xml:space="preserve"> heart rate,​ and exhaled carbon monoxide (CO) concentrations were measured before and after smoking; mean puff volume (mL),​ puff duration (sec) and maximal puff velocity (mL/sec) during smoking were also determined. Two sample t-tests were performed to assess ethnic differences in smoking topography; analysis of covariance was used to determine whether heart rate and blood pressure after smoking one menthol cigarette varied by </w:t>
            </w:r>
            <w:proofErr w:type="gramStart"/>
            <w:r w:rsidRPr="005762E6">
              <w:rPr>
                <w:sz w:val="20"/>
                <w:szCs w:val="20"/>
              </w:rPr>
              <w:t>ethnicity,​</w:t>
            </w:r>
            <w:proofErr w:type="gramEnd"/>
            <w:r w:rsidRPr="005762E6">
              <w:rPr>
                <w:sz w:val="20"/>
                <w:szCs w:val="20"/>
              </w:rPr>
              <w:t xml:space="preserve"> after controlling for baseline physiological measures. No significant ethnic </w:t>
            </w:r>
            <w:r w:rsidRPr="005762E6">
              <w:rPr>
                <w:sz w:val="20"/>
                <w:szCs w:val="20"/>
              </w:rPr>
              <w:lastRenderedPageBreak/>
              <w:t>differences were observed in either smoking topography or acute cardiovascular response to smoking. These preliminary findings warrant extension to a broader group of nontreatment-seeking adolescent smokers of both ethnicities.</w:t>
            </w:r>
          </w:p>
        </w:tc>
      </w:tr>
      <w:tr w:rsidR="00B44564" w:rsidRPr="005762E6" w14:paraId="7303173C"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B54651D" w14:textId="77777777" w:rsidR="00B44564" w:rsidRPr="005762E6" w:rsidRDefault="00B44564" w:rsidP="00EA69AA">
            <w:pPr>
              <w:spacing w:after="120" w:line="240" w:lineRule="auto"/>
              <w:contextualSpacing/>
              <w:rPr>
                <w:sz w:val="20"/>
                <w:szCs w:val="20"/>
              </w:rPr>
            </w:pPr>
            <w:r w:rsidRPr="005762E6">
              <w:rPr>
                <w:sz w:val="20"/>
                <w:szCs w:val="20"/>
              </w:rPr>
              <w:lastRenderedPageBreak/>
              <w:t>700</w:t>
            </w:r>
          </w:p>
        </w:tc>
        <w:tc>
          <w:tcPr>
            <w:tcW w:w="0" w:type="auto"/>
            <w:tcBorders>
              <w:top w:val="single" w:sz="6" w:space="0" w:color="auto"/>
              <w:left w:val="single" w:sz="6" w:space="0" w:color="auto"/>
              <w:bottom w:val="single" w:sz="6" w:space="0" w:color="auto"/>
              <w:right w:val="single" w:sz="6" w:space="0" w:color="auto"/>
            </w:tcBorders>
          </w:tcPr>
          <w:p w14:paraId="6FB81367"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3CD38A7" w14:textId="36874B9C" w:rsidR="00B44564" w:rsidRPr="005762E6" w:rsidRDefault="00B44564" w:rsidP="00EA69AA">
            <w:pPr>
              <w:spacing w:after="120" w:line="240" w:lineRule="auto"/>
              <w:contextualSpacing/>
              <w:rPr>
                <w:sz w:val="20"/>
                <w:szCs w:val="20"/>
              </w:rPr>
            </w:pPr>
            <w:r w:rsidRPr="005762E6">
              <w:rPr>
                <w:sz w:val="20"/>
                <w:szCs w:val="20"/>
              </w:rPr>
              <w:t xml:space="preserve">Jed E </w:t>
            </w:r>
            <w:proofErr w:type="gramStart"/>
            <w:r w:rsidRPr="005762E6">
              <w:rPr>
                <w:sz w:val="20"/>
                <w:szCs w:val="20"/>
              </w:rPr>
              <w:t>Rose,​</w:t>
            </w:r>
            <w:proofErr w:type="gramEnd"/>
            <w:r w:rsidRPr="005762E6">
              <w:rPr>
                <w:sz w:val="20"/>
                <w:szCs w:val="20"/>
              </w:rPr>
              <w:t xml:space="preserve"> Frederique M Behm Extinguishing the rewarding value of smoke cues: pharmacological and behavioral treatments</w:t>
            </w:r>
            <w:r w:rsidR="007F2F01">
              <w:rPr>
                <w:sz w:val="20"/>
                <w:szCs w:val="20"/>
              </w:rPr>
              <w:t>.</w:t>
            </w:r>
            <w:r w:rsidRPr="005762E6">
              <w:rPr>
                <w:sz w:val="20"/>
                <w:szCs w:val="20"/>
              </w:rPr>
              <w:t xml:space="preserve"> Nicotine &amp; tobacco research : official journal of the Society for Research on Nicotine and Tobacco; 2004;6:523.</w:t>
            </w:r>
            <w:r w:rsidRPr="005762E6">
              <w:rPr>
                <w:sz w:val="20"/>
                <w:szCs w:val="20"/>
              </w:rPr>
              <w:br/>
            </w:r>
            <w:r w:rsidRPr="005762E6">
              <w:rPr>
                <w:sz w:val="20"/>
                <w:szCs w:val="20"/>
              </w:rPr>
              <w:br/>
            </w:r>
            <w:r w:rsidRPr="005762E6">
              <w:rPr>
                <w:b/>
                <w:bCs/>
                <w:sz w:val="20"/>
                <w:szCs w:val="20"/>
              </w:rPr>
              <w:t>Keywords:</w:t>
            </w:r>
            <w:r w:rsidRPr="005762E6">
              <w:rPr>
                <w:sz w:val="20"/>
                <w:szCs w:val="20"/>
              </w:rPr>
              <w:br/>
              <w:t>Administration,​ Cutaneous,​Adult,​*Behavior Therapy,​Extinction,​ Psychological,​Female,​Ganglionic Stimulants/ad [Administration &amp; Dosage],​Ganglionic Stimulants/tu [Therapeutic Use],​Humans,​Male,​Mecamylamine/ad [Administration &amp; Dosage],​Mecamylamine/tu [Therapeutic Use],​Menthol/an [Analysis],​Middle Aged,​Nicotine/ad [Administration &amp; Dosage],​Nicotine/tu [Therapeutic Use],​Nicotinic Antagonists/ad [Administration &amp; Dosage],​Nicotinic Antagonists/tu [Therapeutic Use],​*Reinforcement (Psychology),​*Smoking/px [Psychology],​*Smoking Cessation/mt [Methods],​*Smoking Cessation/px [Psychology],​Tobacco Use Disorder/px [Psychology],​*Tobacco Use Disorder/th [Therapy]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The present study examined several pharmacological and behavioral treatments designed to promote extinction of the responses to rewarding cigarette smoke cues. Pharmacological treatments comprised nicotine skin patches (21 mg/24 hr) and the nicotinic acetylcholine receptor antagonist mecamylamine (10 mg/day</w:t>
            </w:r>
            <w:proofErr w:type="gramStart"/>
            <w:r w:rsidRPr="005762E6">
              <w:rPr>
                <w:sz w:val="20"/>
                <w:szCs w:val="20"/>
              </w:rPr>
              <w:t>),​</w:t>
            </w:r>
            <w:proofErr w:type="gramEnd"/>
            <w:r w:rsidRPr="005762E6">
              <w:rPr>
                <w:sz w:val="20"/>
                <w:szCs w:val="20"/>
              </w:rPr>
              <w:t xml:space="preserve"> administered separately or in combination. Behavioral manipulations included switching to denicotinized </w:t>
            </w:r>
            <w:proofErr w:type="gramStart"/>
            <w:r w:rsidRPr="005762E6">
              <w:rPr>
                <w:sz w:val="20"/>
                <w:szCs w:val="20"/>
              </w:rPr>
              <w:t>cigarettes,​</w:t>
            </w:r>
            <w:proofErr w:type="gramEnd"/>
            <w:r w:rsidRPr="005762E6">
              <w:rPr>
                <w:sz w:val="20"/>
                <w:szCs w:val="20"/>
              </w:rPr>
              <w:t xml:space="preserve"> to cigarettes having different menthol flavor,​ or to ventilated-filter (low tar and nicotine) cigarettes. Smokers were assigned to the various treatments for 2 weeks before they quit smoking. During weekly test </w:t>
            </w:r>
            <w:proofErr w:type="gramStart"/>
            <w:r w:rsidRPr="005762E6">
              <w:rPr>
                <w:sz w:val="20"/>
                <w:szCs w:val="20"/>
              </w:rPr>
              <w:t>sessions,​</w:t>
            </w:r>
            <w:proofErr w:type="gramEnd"/>
            <w:r w:rsidRPr="005762E6">
              <w:rPr>
                <w:sz w:val="20"/>
                <w:szCs w:val="20"/>
              </w:rPr>
              <w:t xml:space="preserve"> subjects rated the rewarding effects of their usual brands of cigarettes or cigarettes with different menthol content (mentholated vs. nonmentholated). Over the 2-week treatment </w:t>
            </w:r>
            <w:proofErr w:type="gramStart"/>
            <w:r w:rsidRPr="005762E6">
              <w:rPr>
                <w:sz w:val="20"/>
                <w:szCs w:val="20"/>
              </w:rPr>
              <w:t>period,​</w:t>
            </w:r>
            <w:proofErr w:type="gramEnd"/>
            <w:r w:rsidRPr="005762E6">
              <w:rPr>
                <w:sz w:val="20"/>
                <w:szCs w:val="20"/>
              </w:rPr>
              <w:t xml:space="preserve"> all pharmacological treatments reduced ratings of reward for the usual-brand test cigarettes. Switching to smoking denicotinized cigarettes for 2 weeks similarly decreased rewarding effects of the usual-brand test cigarettes. Subjects also strongly preferred cigarettes with the same menthol content to which they were accustomed. </w:t>
            </w:r>
            <w:proofErr w:type="gramStart"/>
            <w:r w:rsidRPr="005762E6">
              <w:rPr>
                <w:sz w:val="20"/>
                <w:szCs w:val="20"/>
              </w:rPr>
              <w:t>However,​</w:t>
            </w:r>
            <w:proofErr w:type="gramEnd"/>
            <w:r w:rsidRPr="005762E6">
              <w:rPr>
                <w:sz w:val="20"/>
                <w:szCs w:val="20"/>
              </w:rPr>
              <w:t xml:space="preserve"> manipulating the menthol content of the cigarettes smoked during the 2 weeks of treatment had different effects,​ depending on whether smokers habitually smoked mentholated or nonmentholated cigarettes. For menthol </w:t>
            </w:r>
            <w:proofErr w:type="gramStart"/>
            <w:r w:rsidRPr="005762E6">
              <w:rPr>
                <w:sz w:val="20"/>
                <w:szCs w:val="20"/>
              </w:rPr>
              <w:t>smokers,​</w:t>
            </w:r>
            <w:proofErr w:type="gramEnd"/>
            <w:r w:rsidRPr="005762E6">
              <w:rPr>
                <w:sz w:val="20"/>
                <w:szCs w:val="20"/>
              </w:rPr>
              <w:t xml:space="preserve"> removal of the menthol cue hampered extinction of reward ratings for the usual-brand (mentholated) test cigarette. For nonmenthol </w:t>
            </w:r>
            <w:proofErr w:type="gramStart"/>
            <w:r w:rsidRPr="005762E6">
              <w:rPr>
                <w:sz w:val="20"/>
                <w:szCs w:val="20"/>
              </w:rPr>
              <w:t>smokers,​</w:t>
            </w:r>
            <w:proofErr w:type="gramEnd"/>
            <w:r w:rsidRPr="005762E6">
              <w:rPr>
                <w:sz w:val="20"/>
                <w:szCs w:val="20"/>
              </w:rPr>
              <w:t xml:space="preserve"> addition of the menthol cue did not affect the progress of extinction of nonmenthol smoke cues. These findings demonstrate the importance of sensory cues in determining subjective reward and show that the reward value of these cues can be altered by removal of nicotine from tobacco or by pharmacological manipulations that interfere with the reinforcing effects of nicotine.</w:t>
            </w:r>
          </w:p>
        </w:tc>
      </w:tr>
      <w:tr w:rsidR="00B44564" w:rsidRPr="005762E6" w14:paraId="30890AEE"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89F5E51" w14:textId="77777777" w:rsidR="00B44564" w:rsidRPr="005762E6" w:rsidRDefault="00B44564" w:rsidP="00EA69AA">
            <w:pPr>
              <w:spacing w:after="120" w:line="240" w:lineRule="auto"/>
              <w:contextualSpacing/>
              <w:rPr>
                <w:sz w:val="20"/>
                <w:szCs w:val="20"/>
              </w:rPr>
            </w:pPr>
            <w:r w:rsidRPr="005762E6">
              <w:rPr>
                <w:sz w:val="20"/>
                <w:szCs w:val="20"/>
              </w:rPr>
              <w:t>701</w:t>
            </w:r>
          </w:p>
        </w:tc>
        <w:tc>
          <w:tcPr>
            <w:tcW w:w="0" w:type="auto"/>
            <w:tcBorders>
              <w:top w:val="single" w:sz="6" w:space="0" w:color="auto"/>
              <w:left w:val="single" w:sz="6" w:space="0" w:color="auto"/>
              <w:bottom w:val="single" w:sz="6" w:space="0" w:color="auto"/>
              <w:right w:val="single" w:sz="6" w:space="0" w:color="auto"/>
            </w:tcBorders>
          </w:tcPr>
          <w:p w14:paraId="74F23DA3"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C338BDB" w14:textId="7F6C63A1" w:rsidR="00B44564" w:rsidRPr="005762E6" w:rsidRDefault="00B44564" w:rsidP="00EA69AA">
            <w:pPr>
              <w:spacing w:after="120" w:line="240" w:lineRule="auto"/>
              <w:contextualSpacing/>
              <w:rPr>
                <w:sz w:val="20"/>
                <w:szCs w:val="20"/>
              </w:rPr>
            </w:pPr>
            <w:r w:rsidRPr="005762E6">
              <w:rPr>
                <w:sz w:val="20"/>
                <w:szCs w:val="20"/>
              </w:rPr>
              <w:t xml:space="preserve">Samuel </w:t>
            </w:r>
            <w:proofErr w:type="gramStart"/>
            <w:r w:rsidRPr="005762E6">
              <w:rPr>
                <w:sz w:val="20"/>
                <w:szCs w:val="20"/>
              </w:rPr>
              <w:t>Garten,​</w:t>
            </w:r>
            <w:proofErr w:type="gramEnd"/>
            <w:r w:rsidRPr="005762E6">
              <w:rPr>
                <w:sz w:val="20"/>
                <w:szCs w:val="20"/>
              </w:rPr>
              <w:t xml:space="preserve"> R Victor Falkner Role of mentholated cigarettes in increased nicotine dependence and greater risk of tobacco-attributable disease</w:t>
            </w:r>
            <w:r w:rsidR="007F2F01">
              <w:rPr>
                <w:sz w:val="20"/>
                <w:szCs w:val="20"/>
              </w:rPr>
              <w:t>.</w:t>
            </w:r>
            <w:r w:rsidRPr="005762E6">
              <w:rPr>
                <w:sz w:val="20"/>
                <w:szCs w:val="20"/>
              </w:rPr>
              <w:t xml:space="preserve"> Preventive medicine; 2004;38:793.</w:t>
            </w:r>
            <w:r w:rsidRPr="005762E6">
              <w:rPr>
                <w:sz w:val="20"/>
                <w:szCs w:val="20"/>
              </w:rPr>
              <w:br/>
            </w:r>
            <w:r w:rsidRPr="005762E6">
              <w:rPr>
                <w:sz w:val="20"/>
                <w:szCs w:val="20"/>
              </w:rPr>
              <w:br/>
            </w:r>
            <w:r w:rsidRPr="005762E6">
              <w:rPr>
                <w:b/>
                <w:bCs/>
                <w:sz w:val="20"/>
                <w:szCs w:val="20"/>
              </w:rPr>
              <w:t>Keywords:</w:t>
            </w:r>
            <w:r w:rsidRPr="005762E6">
              <w:rPr>
                <w:sz w:val="20"/>
                <w:szCs w:val="20"/>
              </w:rPr>
              <w:br/>
              <w:t>African Americans,​Female,​Humans,​Male,​Menthol/ad [Administration &amp; Dosage],​*Menthol/ae [Adverse Effects],​*Respiratory Tract Diseases/ci [Chemically Induced],​Respiratory Tract Diseases/et [Etiology],​Risk Factors,​*Smoking/ae [Adverse Effects],​*Thermoreceptors/de [Drug Effects],​*Tobacco Use Disorder/pp [Physiopathology]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Cold air stimulates upper airway cold receptors causing a reflex depressive effect on respiratory activity. </w:t>
            </w:r>
            <w:proofErr w:type="gramStart"/>
            <w:r w:rsidRPr="005762E6">
              <w:rPr>
                <w:sz w:val="20"/>
                <w:szCs w:val="20"/>
              </w:rPr>
              <w:t>Menthol,​</w:t>
            </w:r>
            <w:proofErr w:type="gramEnd"/>
            <w:r w:rsidRPr="005762E6">
              <w:rPr>
                <w:sz w:val="20"/>
                <w:szCs w:val="20"/>
              </w:rPr>
              <w:t xml:space="preserve"> in low concentrations can also stimulate these same cold receptors causing a depressive effect on respiratory activity. Menthol cigarettes when </w:t>
            </w:r>
            <w:proofErr w:type="gramStart"/>
            <w:r w:rsidRPr="005762E6">
              <w:rPr>
                <w:sz w:val="20"/>
                <w:szCs w:val="20"/>
              </w:rPr>
              <w:t>smoked,​</w:t>
            </w:r>
            <w:proofErr w:type="gramEnd"/>
            <w:r w:rsidRPr="005762E6">
              <w:rPr>
                <w:sz w:val="20"/>
                <w:szCs w:val="20"/>
              </w:rPr>
              <w:t xml:space="preserve"> deliver enough menthol to stimulate cold receptors resulting in the smoker experiencing a "cool sensation." The "cool sensation" experienced by the menthol smoker can result in a reflex-depressive effect on respiratory activity</w:t>
            </w:r>
            <w:proofErr w:type="gramStart"/>
            <w:r w:rsidRPr="005762E6">
              <w:rPr>
                <w:sz w:val="20"/>
                <w:szCs w:val="20"/>
              </w:rPr>
              <w:t>.,​</w:t>
            </w:r>
            <w:proofErr w:type="gramEnd"/>
            <w:r w:rsidRPr="005762E6">
              <w:rPr>
                <w:sz w:val="20"/>
                <w:szCs w:val="20"/>
              </w:rPr>
              <w:t xml:space="preserve"> METHOD: Literature searches were done for the NLM databases (e.g.,​ MEDLINE from 1966,​ TOXLINE,​ OLDMEDLINE (1985-1965),​ CANCERLIT,​ plus tobacco industry documents and hardcopy indices. The evidence was evaluated with application to mentholated cigarette smoking.,​ RESULTS AND DISCUSSION: A logical progression is </w:t>
            </w:r>
            <w:r w:rsidRPr="005762E6">
              <w:rPr>
                <w:sz w:val="20"/>
                <w:szCs w:val="20"/>
              </w:rPr>
              <w:lastRenderedPageBreak/>
              <w:t>presented that develops the framework to prove that menthol found in mentholated cigarettes may cause respiratory depression resulting in greater exposure to the toxic substances found in tobacco smoke.,​ CONCLUSION: As a result of breath holding that results from the stimulation of cold receptors there is a greater opportunity for exposure and transfer of the contents of the lungs to the pulmonary circulation. For the menthol smoker this results in a greater exposure to nicotine and the particulate matter (tar) of the smoked cigarette. This exposure can result in increased nicotine dependence and greater chance of tobacco-attributable disease.</w:t>
            </w:r>
          </w:p>
        </w:tc>
      </w:tr>
      <w:tr w:rsidR="00B44564" w:rsidRPr="005762E6" w14:paraId="203D9EFF"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475130C" w14:textId="77777777" w:rsidR="00B44564" w:rsidRPr="005762E6" w:rsidRDefault="00B44564" w:rsidP="00EA69AA">
            <w:pPr>
              <w:spacing w:after="120" w:line="240" w:lineRule="auto"/>
              <w:contextualSpacing/>
              <w:rPr>
                <w:sz w:val="20"/>
                <w:szCs w:val="20"/>
              </w:rPr>
            </w:pPr>
            <w:r w:rsidRPr="005762E6">
              <w:rPr>
                <w:sz w:val="20"/>
                <w:szCs w:val="20"/>
              </w:rPr>
              <w:lastRenderedPageBreak/>
              <w:t>702</w:t>
            </w:r>
          </w:p>
        </w:tc>
        <w:tc>
          <w:tcPr>
            <w:tcW w:w="0" w:type="auto"/>
            <w:tcBorders>
              <w:top w:val="single" w:sz="6" w:space="0" w:color="auto"/>
              <w:left w:val="single" w:sz="6" w:space="0" w:color="auto"/>
              <w:bottom w:val="single" w:sz="6" w:space="0" w:color="auto"/>
              <w:right w:val="single" w:sz="6" w:space="0" w:color="auto"/>
            </w:tcBorders>
          </w:tcPr>
          <w:p w14:paraId="6A686AE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2D92A6E" w14:textId="7C370E06" w:rsidR="00B44564" w:rsidRPr="005762E6" w:rsidRDefault="00B44564" w:rsidP="00EA69AA">
            <w:pPr>
              <w:spacing w:after="120" w:line="240" w:lineRule="auto"/>
              <w:contextualSpacing/>
              <w:rPr>
                <w:sz w:val="20"/>
                <w:szCs w:val="20"/>
              </w:rPr>
            </w:pPr>
            <w:r w:rsidRPr="005762E6">
              <w:rPr>
                <w:sz w:val="20"/>
                <w:szCs w:val="20"/>
              </w:rPr>
              <w:t xml:space="preserve">Neal L </w:t>
            </w:r>
            <w:proofErr w:type="gramStart"/>
            <w:r w:rsidRPr="005762E6">
              <w:rPr>
                <w:sz w:val="20"/>
                <w:szCs w:val="20"/>
              </w:rPr>
              <w:t>Benowitz,​</w:t>
            </w:r>
            <w:proofErr w:type="gramEnd"/>
            <w:r w:rsidRPr="005762E6">
              <w:rPr>
                <w:sz w:val="20"/>
                <w:szCs w:val="20"/>
              </w:rPr>
              <w:t xml:space="preserve"> Brenda Herrera,​ Peyton 3rd Jacob Mentholated cigarette smoking inhibits nicotine metabolism</w:t>
            </w:r>
            <w:r w:rsidR="007F2F01">
              <w:rPr>
                <w:sz w:val="20"/>
                <w:szCs w:val="20"/>
              </w:rPr>
              <w:t>.</w:t>
            </w:r>
            <w:r w:rsidRPr="005762E6">
              <w:rPr>
                <w:sz w:val="20"/>
                <w:szCs w:val="20"/>
              </w:rPr>
              <w:t xml:space="preserve"> The Journal of pharmacology and experimental therapeutics; 2004;310:1208.</w:t>
            </w:r>
            <w:r w:rsidRPr="005762E6">
              <w:rPr>
                <w:sz w:val="20"/>
                <w:szCs w:val="20"/>
              </w:rPr>
              <w:br/>
            </w:r>
            <w:r w:rsidRPr="005762E6">
              <w:rPr>
                <w:sz w:val="20"/>
                <w:szCs w:val="20"/>
              </w:rPr>
              <w:br/>
            </w:r>
            <w:r w:rsidRPr="005762E6">
              <w:rPr>
                <w:b/>
                <w:bCs/>
                <w:sz w:val="20"/>
                <w:szCs w:val="20"/>
              </w:rPr>
              <w:t>Keywords:</w:t>
            </w:r>
            <w:r w:rsidRPr="005762E6">
              <w:rPr>
                <w:sz w:val="20"/>
                <w:szCs w:val="20"/>
              </w:rPr>
              <w:br/>
              <w:t>Adult,​African Americans,​Antipruritics/pd [Pharmacology],​Carbon Monoxide/pk [Pharmacokinetics],​Cotinine/pk [Pharmacokinetics],​Drug Interactions,​European Continental Ancestry Group,​Female,​Humans,​Male,​*Menthol/pd [Pharmacology],​Middle Aged,​*Nicotine/pk [Pharmacokinetics],​Smoking/eh [Ethnology],​*Smoking/me [Metabolism]</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Smoking mentholated cigarettes has been suggested to convey a greater cancer risk compared with smoking nonmentholated cigarettes. Two of the possible mechanisms by which mentholated cigarette smoking could increase risk are by increasing systemic exposure to tobacco smoke toxins and by affecting the metabolism of nicotine or tobacco smoke carcinogens. To examine these </w:t>
            </w:r>
            <w:proofErr w:type="gramStart"/>
            <w:r w:rsidRPr="005762E6">
              <w:rPr>
                <w:sz w:val="20"/>
                <w:szCs w:val="20"/>
              </w:rPr>
              <w:t>possibilities,​</w:t>
            </w:r>
            <w:proofErr w:type="gramEnd"/>
            <w:r w:rsidRPr="005762E6">
              <w:rPr>
                <w:sz w:val="20"/>
                <w:szCs w:val="20"/>
              </w:rPr>
              <w:t xml:space="preserve"> we performed a crossover study in 14 healthy smokers,​ one-half of whom were African-Americans and one-half whites. Subjects were randomly assigned to smoke mentholated or nonmentholated cigarettes for 1 </w:t>
            </w:r>
            <w:proofErr w:type="gramStart"/>
            <w:r w:rsidRPr="005762E6">
              <w:rPr>
                <w:sz w:val="20"/>
                <w:szCs w:val="20"/>
              </w:rPr>
              <w:t>week,​</w:t>
            </w:r>
            <w:proofErr w:type="gramEnd"/>
            <w:r w:rsidRPr="005762E6">
              <w:rPr>
                <w:sz w:val="20"/>
                <w:szCs w:val="20"/>
              </w:rPr>
              <w:t xml:space="preserve"> then to cross over to the other type of cigarettes for another week. Subjects were confined to a Clinical Research Center for 3 days of each </w:t>
            </w:r>
            <w:proofErr w:type="gramStart"/>
            <w:r w:rsidRPr="005762E6">
              <w:rPr>
                <w:sz w:val="20"/>
                <w:szCs w:val="20"/>
              </w:rPr>
              <w:t>week,​</w:t>
            </w:r>
            <w:proofErr w:type="gramEnd"/>
            <w:r w:rsidRPr="005762E6">
              <w:rPr>
                <w:sz w:val="20"/>
                <w:szCs w:val="20"/>
              </w:rPr>
              <w:t xml:space="preserve"> during which time blood levels of nicotine and carbon monoxide were measured throughout the day and an intravenous infusion of deuterium-labeled nicotine and cotinine was administered to determine the rate and pathways of nicotine metabolism. The systemic intake of nicotine and carbon monoxide </w:t>
            </w:r>
            <w:proofErr w:type="gramStart"/>
            <w:r w:rsidRPr="005762E6">
              <w:rPr>
                <w:sz w:val="20"/>
                <w:szCs w:val="20"/>
              </w:rPr>
              <w:t>was,​</w:t>
            </w:r>
            <w:proofErr w:type="gramEnd"/>
            <w:r w:rsidRPr="005762E6">
              <w:rPr>
                <w:sz w:val="20"/>
                <w:szCs w:val="20"/>
              </w:rPr>
              <w:t xml:space="preserve"> on average,​ not affected by mentholation of cigarettes. Mentholated cigarette smoking did significantly inhibit the metabolism of nicotine (clearance: 1289 versus 1431 ml/</w:t>
            </w:r>
            <w:proofErr w:type="gramStart"/>
            <w:r w:rsidRPr="005762E6">
              <w:rPr>
                <w:sz w:val="20"/>
                <w:szCs w:val="20"/>
              </w:rPr>
              <w:t>min,​</w:t>
            </w:r>
            <w:proofErr w:type="gramEnd"/>
            <w:r w:rsidRPr="005762E6">
              <w:rPr>
                <w:sz w:val="20"/>
                <w:szCs w:val="20"/>
              </w:rPr>
              <w:t xml:space="preserve"> two sided,​ p = 0.02). Inhibition of nicotine metabolism occurred both by slower oxidative metabolism to cotinine and by slower glucuronide conjugation. Our data do not support the hypothesis that mentholated cigarette smoking results in a greater absorption of tobacco smoke toxins. Our finding of impaired metabolism of nicotine while mentholated cigarette smoking suggests that mentholated cigarette smoking enhances systemic nicotine exposure.</w:t>
            </w:r>
          </w:p>
        </w:tc>
      </w:tr>
      <w:tr w:rsidR="00B44564" w:rsidRPr="005762E6" w14:paraId="4F245B5B"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70958BA" w14:textId="77777777" w:rsidR="00B44564" w:rsidRPr="005762E6" w:rsidRDefault="00B44564" w:rsidP="00EA69AA">
            <w:pPr>
              <w:spacing w:after="120" w:line="240" w:lineRule="auto"/>
              <w:contextualSpacing/>
              <w:rPr>
                <w:sz w:val="20"/>
                <w:szCs w:val="20"/>
              </w:rPr>
            </w:pPr>
            <w:r w:rsidRPr="005762E6">
              <w:rPr>
                <w:sz w:val="20"/>
                <w:szCs w:val="20"/>
              </w:rPr>
              <w:t>703</w:t>
            </w:r>
          </w:p>
        </w:tc>
        <w:tc>
          <w:tcPr>
            <w:tcW w:w="0" w:type="auto"/>
            <w:tcBorders>
              <w:top w:val="single" w:sz="6" w:space="0" w:color="auto"/>
              <w:left w:val="single" w:sz="6" w:space="0" w:color="auto"/>
              <w:bottom w:val="single" w:sz="6" w:space="0" w:color="auto"/>
              <w:right w:val="single" w:sz="6" w:space="0" w:color="auto"/>
            </w:tcBorders>
          </w:tcPr>
          <w:p w14:paraId="3C9DCB5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C8E6E26" w14:textId="6721E3CE" w:rsidR="00B44564" w:rsidRPr="005762E6" w:rsidRDefault="00B44564" w:rsidP="00EA69AA">
            <w:pPr>
              <w:spacing w:after="120" w:line="240" w:lineRule="auto"/>
              <w:contextualSpacing/>
              <w:rPr>
                <w:sz w:val="20"/>
                <w:szCs w:val="20"/>
              </w:rPr>
            </w:pPr>
            <w:r w:rsidRPr="005762E6">
              <w:rPr>
                <w:sz w:val="20"/>
                <w:szCs w:val="20"/>
              </w:rPr>
              <w:t xml:space="preserve">Kari Jo </w:t>
            </w:r>
            <w:proofErr w:type="gramStart"/>
            <w:r w:rsidRPr="005762E6">
              <w:rPr>
                <w:sz w:val="20"/>
                <w:szCs w:val="20"/>
              </w:rPr>
              <w:t>Harris,​</w:t>
            </w:r>
            <w:proofErr w:type="gramEnd"/>
            <w:r w:rsidRPr="005762E6">
              <w:rPr>
                <w:sz w:val="20"/>
                <w:szCs w:val="20"/>
              </w:rPr>
              <w:t xml:space="preserve"> Kolawole S Okuyemi,​ Delwyn Catley,​ Matthew S Mayo,​ Bin Ge,​ Jasjit S Ahluwalia Predictors of smoking cessation among African-Americans enrolled in a randomized controlled trial of bupropion</w:t>
            </w:r>
            <w:r w:rsidR="007F2F01">
              <w:rPr>
                <w:sz w:val="20"/>
                <w:szCs w:val="20"/>
              </w:rPr>
              <w:t>.</w:t>
            </w:r>
            <w:r w:rsidRPr="005762E6">
              <w:rPr>
                <w:sz w:val="20"/>
                <w:szCs w:val="20"/>
              </w:rPr>
              <w:t xml:space="preserve"> Preventive medicine; </w:t>
            </w:r>
            <w:proofErr w:type="gramStart"/>
            <w:r w:rsidRPr="005762E6">
              <w:rPr>
                <w:sz w:val="20"/>
                <w:szCs w:val="20"/>
              </w:rPr>
              <w:t>2004;38:498</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Adult,​*African Americans,​*Bupropion/tu [Therapeutic Use],​*Dopamine Uptake Inhibitors/tu [Therapeutic Use],​Double-Blind Method,​Female,​Follow-Up Studies,​Humans,​Male,​Middle Aged,​Predictive Value of Tests,​*Smoking Cessation/eh [Ethnology]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OBJECTIVES: Identification of individual characteristics that predict successful smoking cessation treatment has been limited to studies with mostly white participants. This study identifies factors that predict successful quitting among African-Americans participating in a smoking cessation trial</w:t>
            </w:r>
            <w:proofErr w:type="gramStart"/>
            <w:r w:rsidRPr="005762E6">
              <w:rPr>
                <w:sz w:val="20"/>
                <w:szCs w:val="20"/>
              </w:rPr>
              <w:t>.,​</w:t>
            </w:r>
            <w:proofErr w:type="gramEnd"/>
            <w:r w:rsidRPr="005762E6">
              <w:rPr>
                <w:sz w:val="20"/>
                <w:szCs w:val="20"/>
              </w:rPr>
              <w:t xml:space="preserve"> METHODS: Twenty-one baseline variables were analyzed as potential predictors from a double-blind placebo-controlled,​ randomized trial that used bupropion SR for smoking cessation among 600 African-American smokers. Chi-square tests,​ two sample t tests,​ and multiple logistic regression procedures were employed to identify predictors of 7-day abstinence among the 535 participants who completed the 7-week medication phase.,​ RESULTS: Univariate predictors of cessation were receiving bupropion (P &lt; 0.0001),​ not smoking menthol cigarettes (P = 0.0062),​ smoking after 30 min of waking (P &lt; 0.0001),​ older age (P = 0.0085),​ smoking fewer cigarettes per day (P = 0.0038),​ and lower cotinine levels (P = 0.0002). Logistic regression identified three </w:t>
            </w:r>
            <w:r w:rsidRPr="005762E6">
              <w:rPr>
                <w:sz w:val="20"/>
                <w:szCs w:val="20"/>
              </w:rPr>
              <w:lastRenderedPageBreak/>
              <w:t xml:space="preserve">significant independent predictors. Participants who received bupropion treatment were more than twice as likely to quit smoking at the end of treatment compared to participants who received placebo (OR = 2.62; 95% CI = 1.77-3.88,​ P &lt; 0.0001),​ while smoking within 30 min of waking (OR = 0.40; 95% CI = 0.25-0.62,​ P &lt; 0.0001) and higher salivary cotinine levels at baseline (OR = 0.799; 95% CI = 0.629-0.922,​ P &lt; 0.0001) reduced the likelihood of quitting.,​ CONCLUSIONS: This is the first report identifying predictors of smoking cessation among African-Americans participating in a clinical trial. Results indicate </w:t>
            </w:r>
            <w:proofErr w:type="gramStart"/>
            <w:r w:rsidRPr="005762E6">
              <w:rPr>
                <w:sz w:val="20"/>
                <w:szCs w:val="20"/>
              </w:rPr>
              <w:t>that,​</w:t>
            </w:r>
            <w:proofErr w:type="gramEnd"/>
            <w:r w:rsidRPr="005762E6">
              <w:rPr>
                <w:sz w:val="20"/>
                <w:szCs w:val="20"/>
              </w:rPr>
              <w:t xml:space="preserve"> aside from bupropion treatment,​ various indicators of addiction were the strongest predictors. While this is similar to findings among white </w:t>
            </w:r>
            <w:proofErr w:type="gramStart"/>
            <w:r w:rsidRPr="005762E6">
              <w:rPr>
                <w:sz w:val="20"/>
                <w:szCs w:val="20"/>
              </w:rPr>
              <w:t>smokers,​</w:t>
            </w:r>
            <w:proofErr w:type="gramEnd"/>
            <w:r w:rsidRPr="005762E6">
              <w:rPr>
                <w:sz w:val="20"/>
                <w:szCs w:val="20"/>
              </w:rPr>
              <w:t xml:space="preserve"> thresholds of addiction may need to be adjusted for African-American smoking patterns. Additional studies focused on diverse populations are needed to improve treatment approaches and to identify population-specific factors that are important for treatment-matching approaches.</w:t>
            </w:r>
          </w:p>
        </w:tc>
      </w:tr>
      <w:tr w:rsidR="00B44564" w:rsidRPr="005762E6" w14:paraId="315DA3D9"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0D18AB3" w14:textId="77777777" w:rsidR="00B44564" w:rsidRPr="005762E6" w:rsidRDefault="00B44564" w:rsidP="00EA69AA">
            <w:pPr>
              <w:spacing w:after="120" w:line="240" w:lineRule="auto"/>
              <w:contextualSpacing/>
              <w:rPr>
                <w:sz w:val="20"/>
                <w:szCs w:val="20"/>
              </w:rPr>
            </w:pPr>
            <w:r w:rsidRPr="005762E6">
              <w:rPr>
                <w:sz w:val="20"/>
                <w:szCs w:val="20"/>
              </w:rPr>
              <w:lastRenderedPageBreak/>
              <w:t>704</w:t>
            </w:r>
          </w:p>
        </w:tc>
        <w:tc>
          <w:tcPr>
            <w:tcW w:w="0" w:type="auto"/>
            <w:tcBorders>
              <w:top w:val="single" w:sz="6" w:space="0" w:color="auto"/>
              <w:left w:val="single" w:sz="6" w:space="0" w:color="auto"/>
              <w:bottom w:val="single" w:sz="6" w:space="0" w:color="auto"/>
              <w:right w:val="single" w:sz="6" w:space="0" w:color="auto"/>
            </w:tcBorders>
          </w:tcPr>
          <w:p w14:paraId="41C2CA4C"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8D79435" w14:textId="1A2D37C5" w:rsidR="00B44564" w:rsidRPr="005762E6" w:rsidRDefault="00B44564" w:rsidP="00EA69AA">
            <w:pPr>
              <w:spacing w:after="120" w:line="240" w:lineRule="auto"/>
              <w:contextualSpacing/>
              <w:rPr>
                <w:sz w:val="20"/>
                <w:szCs w:val="20"/>
              </w:rPr>
            </w:pPr>
            <w:r w:rsidRPr="005762E6">
              <w:rPr>
                <w:sz w:val="20"/>
                <w:szCs w:val="20"/>
              </w:rPr>
              <w:t>Eric T Moolchan Adolescent menthol smokers: will they be a harder target for cessation?</w:t>
            </w:r>
            <w:r w:rsidR="007F2F01">
              <w:rPr>
                <w:sz w:val="20"/>
                <w:szCs w:val="20"/>
              </w:rPr>
              <w:t>.</w:t>
            </w:r>
            <w:r w:rsidRPr="005762E6">
              <w:rPr>
                <w:sz w:val="20"/>
                <w:szCs w:val="20"/>
              </w:rPr>
              <w:t xml:space="preserve"> Nicotine &amp; tobacco research : official journal of the Society for Research on Nicotine and Tobacco; 2004;6 Suppl 1:S93.</w:t>
            </w:r>
            <w:r w:rsidRPr="005762E6">
              <w:rPr>
                <w:sz w:val="20"/>
                <w:szCs w:val="20"/>
              </w:rPr>
              <w:br/>
            </w:r>
            <w:r w:rsidRPr="005762E6">
              <w:rPr>
                <w:sz w:val="20"/>
                <w:szCs w:val="20"/>
              </w:rPr>
              <w:br/>
            </w:r>
            <w:r w:rsidRPr="005762E6">
              <w:rPr>
                <w:b/>
                <w:bCs/>
                <w:sz w:val="20"/>
                <w:szCs w:val="20"/>
              </w:rPr>
              <w:t>Keywords:</w:t>
            </w:r>
            <w:r w:rsidRPr="005762E6">
              <w:rPr>
                <w:sz w:val="20"/>
                <w:szCs w:val="20"/>
              </w:rPr>
              <w:br/>
              <w:t>Administration,​ Inhalation,​Adolescent,​*Adolescent Behavior,​African Americans/sn [Statistics &amp; Numerical Data],​Female,​Health Status,​Humans,​Male,​*Menthol/ad [Administration &amp; Dosage],​Menthol/ae [Adverse Effects],​Smoking/eh [Ethnology],​*Smoking Cessation/mt [Methods],​*Smoking Prevention</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Menthol smoking may influence the development of tobacco addiction and related health consequences,​ yet limited data on menthol smoking by youth are available. We assessed usual brand menthol preference by Baltimore-area teenage smokers applying to a smoking cessation study between September 1999 and December 2002. Of a biethnic (Black and White) sample of 593 youths (mean age=15.5+/-1.4 </w:t>
            </w:r>
            <w:proofErr w:type="gramStart"/>
            <w:r w:rsidRPr="005762E6">
              <w:rPr>
                <w:sz w:val="20"/>
                <w:szCs w:val="20"/>
              </w:rPr>
              <w:t>years,​</w:t>
            </w:r>
            <w:proofErr w:type="gramEnd"/>
            <w:r w:rsidRPr="005762E6">
              <w:rPr>
                <w:sz w:val="20"/>
                <w:szCs w:val="20"/>
              </w:rPr>
              <w:t xml:space="preserve"> 51% female,​ 45% African American),​ the overwhelming majority (93%) were menthol smokers. Menthol preference rates were highest among African American girls and lowest among White boys. </w:t>
            </w:r>
            <w:proofErr w:type="gramStart"/>
            <w:r w:rsidRPr="005762E6">
              <w:rPr>
                <w:sz w:val="20"/>
                <w:szCs w:val="20"/>
              </w:rPr>
              <w:t>Overall,​</w:t>
            </w:r>
            <w:proofErr w:type="gramEnd"/>
            <w:r w:rsidRPr="005762E6">
              <w:rPr>
                <w:sz w:val="20"/>
                <w:szCs w:val="20"/>
              </w:rPr>
              <w:t xml:space="preserve"> a statistically significant association was found between ethnicity and menthol preference,​ chi2 (df=1)=19.4,​ p&lt;.001. This association also was observed separately for </w:t>
            </w:r>
            <w:proofErr w:type="gramStart"/>
            <w:r w:rsidRPr="005762E6">
              <w:rPr>
                <w:sz w:val="20"/>
                <w:szCs w:val="20"/>
              </w:rPr>
              <w:t>girls,​</w:t>
            </w:r>
            <w:proofErr w:type="gramEnd"/>
            <w:r w:rsidRPr="005762E6">
              <w:rPr>
                <w:sz w:val="20"/>
                <w:szCs w:val="20"/>
              </w:rPr>
              <w:t xml:space="preserve"> chi2 (df=1)=9.21,​ p=.0024,​ and for boys,​ chi2 (df=1)=9.59,​ p=.0020. Menthol smoking did not vary with age in either ethnic group. These findings of overwhelming menthol preference in a treatment-seeking sample of adolescents warrant further research on the developmental </w:t>
            </w:r>
            <w:proofErr w:type="gramStart"/>
            <w:r w:rsidRPr="005762E6">
              <w:rPr>
                <w:sz w:val="20"/>
                <w:szCs w:val="20"/>
              </w:rPr>
              <w:t>trajectory,​</w:t>
            </w:r>
            <w:proofErr w:type="gramEnd"/>
            <w:r w:rsidRPr="005762E6">
              <w:rPr>
                <w:sz w:val="20"/>
                <w:szCs w:val="20"/>
              </w:rPr>
              <w:t xml:space="preserve"> cessation,​ and health-related impact of menthol smoking by youth.</w:t>
            </w:r>
          </w:p>
        </w:tc>
      </w:tr>
      <w:tr w:rsidR="00B44564" w:rsidRPr="005762E6" w14:paraId="6D57923E"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0639991" w14:textId="77777777" w:rsidR="00B44564" w:rsidRPr="005762E6" w:rsidRDefault="00B44564" w:rsidP="00EA69AA">
            <w:pPr>
              <w:spacing w:after="120" w:line="240" w:lineRule="auto"/>
              <w:contextualSpacing/>
              <w:rPr>
                <w:sz w:val="20"/>
                <w:szCs w:val="20"/>
              </w:rPr>
            </w:pPr>
            <w:r w:rsidRPr="005762E6">
              <w:rPr>
                <w:sz w:val="20"/>
                <w:szCs w:val="20"/>
              </w:rPr>
              <w:t>706</w:t>
            </w:r>
          </w:p>
        </w:tc>
        <w:tc>
          <w:tcPr>
            <w:tcW w:w="0" w:type="auto"/>
            <w:tcBorders>
              <w:top w:val="single" w:sz="6" w:space="0" w:color="auto"/>
              <w:left w:val="single" w:sz="6" w:space="0" w:color="auto"/>
              <w:bottom w:val="single" w:sz="6" w:space="0" w:color="auto"/>
              <w:right w:val="single" w:sz="6" w:space="0" w:color="auto"/>
            </w:tcBorders>
          </w:tcPr>
          <w:p w14:paraId="3807326F"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7268F64" w14:textId="53C1438D" w:rsidR="00B44564" w:rsidRPr="005762E6" w:rsidRDefault="00B44564" w:rsidP="00EA69AA">
            <w:pPr>
              <w:spacing w:after="120" w:line="240" w:lineRule="auto"/>
              <w:contextualSpacing/>
              <w:rPr>
                <w:sz w:val="20"/>
                <w:szCs w:val="20"/>
              </w:rPr>
            </w:pPr>
            <w:r w:rsidRPr="005762E6">
              <w:rPr>
                <w:sz w:val="20"/>
                <w:szCs w:val="20"/>
              </w:rPr>
              <w:t xml:space="preserve">Gary A </w:t>
            </w:r>
            <w:proofErr w:type="gramStart"/>
            <w:r w:rsidRPr="005762E6">
              <w:rPr>
                <w:sz w:val="20"/>
                <w:szCs w:val="20"/>
              </w:rPr>
              <w:t>Giovino,​</w:t>
            </w:r>
            <w:proofErr w:type="gramEnd"/>
            <w:r w:rsidRPr="005762E6">
              <w:rPr>
                <w:sz w:val="20"/>
                <w:szCs w:val="20"/>
              </w:rPr>
              <w:t xml:space="preserve"> Stephen Sidney,​ Joseph C Gfroerer,​ Patrick M O'Malley,​ Jane A Allen,​ Patricia A Richter,​ K Michael Cummings Epidemiology of menthol cigarette use</w:t>
            </w:r>
            <w:r w:rsidR="007F2F01">
              <w:rPr>
                <w:sz w:val="20"/>
                <w:szCs w:val="20"/>
              </w:rPr>
              <w:t>.</w:t>
            </w:r>
            <w:r w:rsidRPr="005762E6">
              <w:rPr>
                <w:sz w:val="20"/>
                <w:szCs w:val="20"/>
              </w:rPr>
              <w:t xml:space="preserve"> Nicotine &amp; tobacco research : official journal of the Society for Research on Nicotine and Tobacco; 2004;6 Suppl 1:S67.</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Adolescent,​Adult,​Africa/ep [Epidemiology],​Asia/ep [Epidemiology],​Australia/ep [Epidemiology],​Canada/ep [Epidemiology],​Child,​*Ethnic Groups/sn [Statistics &amp; Numerical Data],​Europe/ep [Epidemiology],​Female,​Hong Kong/ep [Epidemiology],​Humans,​Latin America/ep [Epidemiology],​Male,​*Menthol/pd [Pharmacology],​*Smoking/ep [Epidemiology],​Surveys and Questionnaires,​Taste/de [Drug Effects],​United Kingdom/ep [Epidemiology],​United States/ep [Epidemiology]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Approximately one-fourth of all cigarettes sold in the United States are mentholated. An understanding of the </w:t>
            </w:r>
            <w:proofErr w:type="gramStart"/>
            <w:r w:rsidRPr="005762E6">
              <w:rPr>
                <w:sz w:val="20"/>
                <w:szCs w:val="20"/>
              </w:rPr>
              <w:t>consequences,​</w:t>
            </w:r>
            <w:proofErr w:type="gramEnd"/>
            <w:r w:rsidRPr="005762E6">
              <w:rPr>
                <w:sz w:val="20"/>
                <w:szCs w:val="20"/>
              </w:rPr>
              <w:t xml:space="preserve"> patterns,​ and correlates of menthol cigarette use can guide the development and implementation of strategies to reduce smoking prevalence and smoking-attributable morbidity and mortality. This paper summarizes the literature on the health effects of mentholated cigarettes and describes various patterns of use as indicated by consumption and survey data from the United States and other nations. The epidemiological literature on menthol cigarettes and cancer risk is inconclusive regarding whether these cigarettes confer a risk for cancer above that of nonmentholated varieties. Available data indicate that mentholated cigarettes are at least as dangerous as their nonmentholated counterparts. In </w:t>
            </w:r>
            <w:proofErr w:type="gramStart"/>
            <w:r w:rsidRPr="005762E6">
              <w:rPr>
                <w:sz w:val="20"/>
                <w:szCs w:val="20"/>
              </w:rPr>
              <w:t>addition,​</w:t>
            </w:r>
            <w:proofErr w:type="gramEnd"/>
            <w:r w:rsidRPr="005762E6">
              <w:rPr>
                <w:sz w:val="20"/>
                <w:szCs w:val="20"/>
              </w:rPr>
              <w:t xml:space="preserve"> because mentholation improves the taste of cigarettes for a substantial segment of the smoking population and appears to mask disease symptoms,​ this additive may facilitate initiation or inhibit quitting. Menthol market share is high in the Philippines (60%</w:t>
            </w:r>
            <w:proofErr w:type="gramStart"/>
            <w:r w:rsidRPr="005762E6">
              <w:rPr>
                <w:sz w:val="20"/>
                <w:szCs w:val="20"/>
              </w:rPr>
              <w:t>),​</w:t>
            </w:r>
            <w:proofErr w:type="gramEnd"/>
            <w:r w:rsidRPr="005762E6">
              <w:rPr>
                <w:sz w:val="20"/>
                <w:szCs w:val="20"/>
              </w:rPr>
              <w:t xml:space="preserve"> Cameroon (35%-40%),​ Hong Kong (26%),​ the United States (26%),​ and Singapore (22%). Newport has become the leading menthol brand in the United States. </w:t>
            </w:r>
            <w:r w:rsidRPr="005762E6">
              <w:rPr>
                <w:sz w:val="20"/>
                <w:szCs w:val="20"/>
              </w:rPr>
              <w:lastRenderedPageBreak/>
              <w:t xml:space="preserve">Surveys from four nations indicate that menthol use among adult smokers is more common among females than males. Among U.S. </w:t>
            </w:r>
            <w:proofErr w:type="gramStart"/>
            <w:r w:rsidRPr="005762E6">
              <w:rPr>
                <w:sz w:val="20"/>
                <w:szCs w:val="20"/>
              </w:rPr>
              <w:t>smokers,​</w:t>
            </w:r>
            <w:proofErr w:type="gramEnd"/>
            <w:r w:rsidRPr="005762E6">
              <w:rPr>
                <w:sz w:val="20"/>
                <w:szCs w:val="20"/>
              </w:rPr>
              <w:t xml:space="preserve"> 68.9% of Blacks,​ 29.2% of Hispanics,​ and 22.4% of Whites reported smoking a mentholated variety. Research is needed to better explain factors that may influence menthol </w:t>
            </w:r>
            <w:proofErr w:type="gramStart"/>
            <w:r w:rsidRPr="005762E6">
              <w:rPr>
                <w:sz w:val="20"/>
                <w:szCs w:val="20"/>
              </w:rPr>
              <w:t>preference,​</w:t>
            </w:r>
            <w:proofErr w:type="gramEnd"/>
            <w:r w:rsidRPr="005762E6">
              <w:rPr>
                <w:sz w:val="20"/>
                <w:szCs w:val="20"/>
              </w:rPr>
              <w:t xml:space="preserve"> such as marketing,​ risk perceptions,​ brand formulation,​ and taste preferences. Such research would guide the development of potentially more effective programs and policies.</w:t>
            </w:r>
          </w:p>
        </w:tc>
      </w:tr>
      <w:tr w:rsidR="00B44564" w:rsidRPr="005762E6" w14:paraId="6D8D9838"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3924717" w14:textId="77777777" w:rsidR="00B44564" w:rsidRPr="005762E6" w:rsidRDefault="00B44564" w:rsidP="00EA69AA">
            <w:pPr>
              <w:spacing w:after="120" w:line="240" w:lineRule="auto"/>
              <w:contextualSpacing/>
              <w:rPr>
                <w:sz w:val="20"/>
                <w:szCs w:val="20"/>
              </w:rPr>
            </w:pPr>
            <w:r w:rsidRPr="005762E6">
              <w:rPr>
                <w:sz w:val="20"/>
                <w:szCs w:val="20"/>
              </w:rPr>
              <w:lastRenderedPageBreak/>
              <w:t>708</w:t>
            </w:r>
          </w:p>
        </w:tc>
        <w:tc>
          <w:tcPr>
            <w:tcW w:w="0" w:type="auto"/>
            <w:tcBorders>
              <w:top w:val="single" w:sz="6" w:space="0" w:color="auto"/>
              <w:left w:val="single" w:sz="6" w:space="0" w:color="auto"/>
              <w:bottom w:val="single" w:sz="6" w:space="0" w:color="auto"/>
              <w:right w:val="single" w:sz="6" w:space="0" w:color="auto"/>
            </w:tcBorders>
          </w:tcPr>
          <w:p w14:paraId="2DBE0CDB"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EFFFCAE" w14:textId="384960E6" w:rsidR="00B44564" w:rsidRPr="005762E6" w:rsidRDefault="00B44564" w:rsidP="00EA69AA">
            <w:pPr>
              <w:spacing w:after="120" w:line="240" w:lineRule="auto"/>
              <w:contextualSpacing/>
              <w:rPr>
                <w:sz w:val="20"/>
                <w:szCs w:val="20"/>
              </w:rPr>
            </w:pPr>
            <w:r w:rsidRPr="005762E6">
              <w:rPr>
                <w:sz w:val="20"/>
                <w:szCs w:val="20"/>
              </w:rPr>
              <w:t xml:space="preserve">Geoffrey Ferris </w:t>
            </w:r>
            <w:proofErr w:type="gramStart"/>
            <w:r w:rsidRPr="005762E6">
              <w:rPr>
                <w:sz w:val="20"/>
                <w:szCs w:val="20"/>
              </w:rPr>
              <w:t>Wayne,​</w:t>
            </w:r>
            <w:proofErr w:type="gramEnd"/>
            <w:r w:rsidRPr="005762E6">
              <w:rPr>
                <w:sz w:val="20"/>
                <w:szCs w:val="20"/>
              </w:rPr>
              <w:t xml:space="preserve"> Gregory N Connolly Application,​ function,​ and effects of menthol in cigarettes: a survey of tobacco industry documents</w:t>
            </w:r>
            <w:r w:rsidR="007F2F01">
              <w:rPr>
                <w:sz w:val="20"/>
                <w:szCs w:val="20"/>
              </w:rPr>
              <w:t>.</w:t>
            </w:r>
            <w:r w:rsidRPr="005762E6">
              <w:rPr>
                <w:sz w:val="20"/>
                <w:szCs w:val="20"/>
              </w:rPr>
              <w:t xml:space="preserve"> Nicotine &amp; tobacco research : official journal of the Society for Research on Nicotine and Tobacco; 2004;6 Suppl 1:S43.</w:t>
            </w:r>
            <w:r w:rsidRPr="005762E6">
              <w:rPr>
                <w:sz w:val="20"/>
                <w:szCs w:val="20"/>
              </w:rPr>
              <w:br/>
            </w:r>
            <w:r w:rsidRPr="005762E6">
              <w:rPr>
                <w:sz w:val="20"/>
                <w:szCs w:val="20"/>
              </w:rPr>
              <w:br/>
            </w:r>
            <w:r w:rsidRPr="005762E6">
              <w:rPr>
                <w:b/>
                <w:bCs/>
                <w:sz w:val="20"/>
                <w:szCs w:val="20"/>
              </w:rPr>
              <w:t>Keywords:</w:t>
            </w:r>
            <w:r w:rsidRPr="005762E6">
              <w:rPr>
                <w:sz w:val="20"/>
                <w:szCs w:val="20"/>
              </w:rPr>
              <w:br/>
              <w:t>Central Nervous System/de [Drug Effects],​*Data Collection,​*Documentation,​Humans,​*Menthol/ae [Adverse Effects],​Public Health/lj [Legislation &amp; Jurisprudence],​*Smoking,​Tobacco Industry/lj [Legislation &amp; Jurisprudence],​*Tobacco Industry,​Trigeminal Nerve/de [Drug Effects],​United States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Menthol cigarettes are the only cigarette market category identified by use of a flavor additive and constitute more than a quarter of the overall market. Menthol also is used at reduced levels in many nonmenthol brands. Public health research has suggested patterns of use of mentholated brands as a potential explanation for the health disparities between Black (largely menthol) and White (largely nonmenthol) smokers and has explored the effects of menthol on smoker </w:t>
            </w:r>
            <w:proofErr w:type="gramStart"/>
            <w:r w:rsidRPr="005762E6">
              <w:rPr>
                <w:sz w:val="20"/>
                <w:szCs w:val="20"/>
              </w:rPr>
              <w:t>behavior,​</w:t>
            </w:r>
            <w:proofErr w:type="gramEnd"/>
            <w:r w:rsidRPr="005762E6">
              <w:rPr>
                <w:sz w:val="20"/>
                <w:szCs w:val="20"/>
              </w:rPr>
              <w:t xml:space="preserve"> consumption patterns,​ and consequent delivery of smoke constituents. </w:t>
            </w:r>
            <w:proofErr w:type="gramStart"/>
            <w:r w:rsidRPr="005762E6">
              <w:rPr>
                <w:sz w:val="20"/>
                <w:szCs w:val="20"/>
              </w:rPr>
              <w:t>However,​</w:t>
            </w:r>
            <w:proofErr w:type="gramEnd"/>
            <w:r w:rsidRPr="005762E6">
              <w:rPr>
                <w:sz w:val="20"/>
                <w:szCs w:val="20"/>
              </w:rPr>
              <w:t xml:space="preserve"> relatively few published studies have directly examined the physiological impact and function of menthol delivery in cigarettes. In this </w:t>
            </w:r>
            <w:proofErr w:type="gramStart"/>
            <w:r w:rsidRPr="005762E6">
              <w:rPr>
                <w:sz w:val="20"/>
                <w:szCs w:val="20"/>
              </w:rPr>
              <w:t>study,​</w:t>
            </w:r>
            <w:proofErr w:type="gramEnd"/>
            <w:r w:rsidRPr="005762E6">
              <w:rPr>
                <w:sz w:val="20"/>
                <w:szCs w:val="20"/>
              </w:rPr>
              <w:t xml:space="preserve"> we review internal tobacco industry documents to assess industry research on function and effects of menthol in cigarettes. Industry documents describe a range of physiological effects of </w:t>
            </w:r>
            <w:proofErr w:type="gramStart"/>
            <w:r w:rsidRPr="005762E6">
              <w:rPr>
                <w:sz w:val="20"/>
                <w:szCs w:val="20"/>
              </w:rPr>
              <w:t>menthol,​</w:t>
            </w:r>
            <w:proofErr w:type="gramEnd"/>
            <w:r w:rsidRPr="005762E6">
              <w:rPr>
                <w:sz w:val="20"/>
                <w:szCs w:val="20"/>
              </w:rPr>
              <w:t xml:space="preserve"> with important implications for use and consumption patterns. These effects include altered perception of tobacco smoke and its constituents via </w:t>
            </w:r>
            <w:proofErr w:type="gramStart"/>
            <w:r w:rsidRPr="005762E6">
              <w:rPr>
                <w:sz w:val="20"/>
                <w:szCs w:val="20"/>
              </w:rPr>
              <w:t>cooling,​</w:t>
            </w:r>
            <w:proofErr w:type="gramEnd"/>
            <w:r w:rsidRPr="005762E6">
              <w:rPr>
                <w:sz w:val="20"/>
                <w:szCs w:val="20"/>
              </w:rPr>
              <w:t xml:space="preserve"> smoothing,​ and anesthetic effects; increased impact through stimulation of trigeminal receptors; interaction with nicotine controlling its perception,​ delivery,​ and uptake; and increased respiratory irritation and toxic effects. Further studies are needed to evaluate these findings. We conclude that the unique differences between menthol cigarettes and nonmenthol cigarettes must be considered in </w:t>
            </w:r>
            <w:proofErr w:type="gramStart"/>
            <w:r w:rsidRPr="005762E6">
              <w:rPr>
                <w:sz w:val="20"/>
                <w:szCs w:val="20"/>
              </w:rPr>
              <w:t>research,​</w:t>
            </w:r>
            <w:proofErr w:type="gramEnd"/>
            <w:r w:rsidRPr="005762E6">
              <w:rPr>
                <w:sz w:val="20"/>
                <w:szCs w:val="20"/>
              </w:rPr>
              <w:t xml:space="preserve"> cessation treatment,​ and enactment of tobacco product regulations.</w:t>
            </w:r>
          </w:p>
        </w:tc>
      </w:tr>
      <w:tr w:rsidR="00B44564" w:rsidRPr="005762E6" w14:paraId="139BF0C8"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C1583AB" w14:textId="77777777" w:rsidR="00B44564" w:rsidRPr="005762E6" w:rsidRDefault="00B44564" w:rsidP="00EA69AA">
            <w:pPr>
              <w:spacing w:after="120" w:line="240" w:lineRule="auto"/>
              <w:contextualSpacing/>
              <w:rPr>
                <w:sz w:val="20"/>
                <w:szCs w:val="20"/>
              </w:rPr>
            </w:pPr>
            <w:r w:rsidRPr="005762E6">
              <w:rPr>
                <w:sz w:val="20"/>
                <w:szCs w:val="20"/>
              </w:rPr>
              <w:t>710</w:t>
            </w:r>
          </w:p>
        </w:tc>
        <w:tc>
          <w:tcPr>
            <w:tcW w:w="0" w:type="auto"/>
            <w:tcBorders>
              <w:top w:val="single" w:sz="6" w:space="0" w:color="auto"/>
              <w:left w:val="single" w:sz="6" w:space="0" w:color="auto"/>
              <w:bottom w:val="single" w:sz="6" w:space="0" w:color="auto"/>
              <w:right w:val="single" w:sz="6" w:space="0" w:color="auto"/>
            </w:tcBorders>
          </w:tcPr>
          <w:p w14:paraId="1069238C"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C855F0B" w14:textId="721727E0" w:rsidR="00B44564" w:rsidRPr="005762E6" w:rsidRDefault="00B44564" w:rsidP="00EA69AA">
            <w:pPr>
              <w:spacing w:after="120" w:line="240" w:lineRule="auto"/>
              <w:contextualSpacing/>
              <w:rPr>
                <w:sz w:val="20"/>
                <w:szCs w:val="20"/>
              </w:rPr>
            </w:pPr>
            <w:r w:rsidRPr="005762E6">
              <w:rPr>
                <w:sz w:val="20"/>
                <w:szCs w:val="20"/>
              </w:rPr>
              <w:t xml:space="preserve">Karen </w:t>
            </w:r>
            <w:proofErr w:type="gramStart"/>
            <w:r w:rsidRPr="005762E6">
              <w:rPr>
                <w:sz w:val="20"/>
                <w:szCs w:val="20"/>
              </w:rPr>
              <w:t>Ahijevych,​</w:t>
            </w:r>
            <w:proofErr w:type="gramEnd"/>
            <w:r w:rsidRPr="005762E6">
              <w:rPr>
                <w:sz w:val="20"/>
                <w:szCs w:val="20"/>
              </w:rPr>
              <w:t xml:space="preserve"> Bridgette E Garrett Menthol pharmacology and its potential impact on cigarette smoking behavior</w:t>
            </w:r>
            <w:r w:rsidR="007F2F01">
              <w:rPr>
                <w:sz w:val="20"/>
                <w:szCs w:val="20"/>
              </w:rPr>
              <w:t>.</w:t>
            </w:r>
            <w:r w:rsidRPr="005762E6">
              <w:rPr>
                <w:sz w:val="20"/>
                <w:szCs w:val="20"/>
              </w:rPr>
              <w:t xml:space="preserve"> Nicotine &amp; tobacco research : official journal of the Society for Research on Nicotine and Tobacco; 2004;6 Suppl 1:S17.</w:t>
            </w:r>
            <w:r w:rsidRPr="005762E6">
              <w:rPr>
                <w:sz w:val="20"/>
                <w:szCs w:val="20"/>
              </w:rPr>
              <w:br/>
            </w:r>
            <w:r w:rsidRPr="005762E6">
              <w:rPr>
                <w:sz w:val="20"/>
                <w:szCs w:val="20"/>
              </w:rPr>
              <w:br/>
            </w:r>
            <w:r w:rsidRPr="005762E6">
              <w:rPr>
                <w:b/>
                <w:bCs/>
                <w:sz w:val="20"/>
                <w:szCs w:val="20"/>
              </w:rPr>
              <w:t>Keywords:</w:t>
            </w:r>
            <w:r w:rsidRPr="005762E6">
              <w:rPr>
                <w:sz w:val="20"/>
                <w:szCs w:val="20"/>
              </w:rPr>
              <w:br/>
              <w:t>*Behavior,​ Addictive,​Calcium Channels/de [Drug Effects],​*Choice Behavior/de [Drug Effects],​Edetic Acid/me [Metabolism],​Humans,​Incidence,​Lung/me [Metabolism],​Menthol/ae [Adverse Effects],​Menthol/pk [Pharmacokinetics],​*Menthol/pd [Pharmacology],​Nicotine/pk [Pharmacokinetics],​Reinforcement (Psychology),​Respiration/de [Drug Effects],​*Smoking/ep [Epidemiology]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Menthol is the only tobacco additive promoted and advertised by the tobacco industry. Although a considerable body of research has examined the effects of menthol when it is administered alone and </w:t>
            </w:r>
            <w:proofErr w:type="gramStart"/>
            <w:r w:rsidRPr="005762E6">
              <w:rPr>
                <w:sz w:val="20"/>
                <w:szCs w:val="20"/>
              </w:rPr>
              <w:t>unburned,​</w:t>
            </w:r>
            <w:proofErr w:type="gramEnd"/>
            <w:r w:rsidRPr="005762E6">
              <w:rPr>
                <w:sz w:val="20"/>
                <w:szCs w:val="20"/>
              </w:rPr>
              <w:t xml:space="preserve"> the effects of menthol when burned in cigarette smoke are more complex because it is administered in a matrix of more than 4,​000 substances. </w:t>
            </w:r>
            <w:proofErr w:type="gramStart"/>
            <w:r w:rsidRPr="005762E6">
              <w:rPr>
                <w:sz w:val="20"/>
                <w:szCs w:val="20"/>
              </w:rPr>
              <w:t>Therefore,​</w:t>
            </w:r>
            <w:proofErr w:type="gramEnd"/>
            <w:r w:rsidRPr="005762E6">
              <w:rPr>
                <w:sz w:val="20"/>
                <w:szCs w:val="20"/>
              </w:rPr>
              <w:t xml:space="preserve"> it is difficult to isolate potential pharmacological and toxic effects of menthol when it is administered in a smoke mixture. Menthol properties include cooling and local </w:t>
            </w:r>
            <w:proofErr w:type="gramStart"/>
            <w:r w:rsidRPr="005762E6">
              <w:rPr>
                <w:sz w:val="20"/>
                <w:szCs w:val="20"/>
              </w:rPr>
              <w:t>anesthesia,​</w:t>
            </w:r>
            <w:proofErr w:type="gramEnd"/>
            <w:r w:rsidRPr="005762E6">
              <w:rPr>
                <w:sz w:val="20"/>
                <w:szCs w:val="20"/>
              </w:rPr>
              <w:t xml:space="preserve"> as well as effects on drug absorption and metabolism,​ bronchodilation and respiration changes,​ and electrophysiology. Subjective effects of smoothness and less harshness have been identified as reasons for menthol cigarette </w:t>
            </w:r>
            <w:proofErr w:type="gramStart"/>
            <w:r w:rsidRPr="005762E6">
              <w:rPr>
                <w:sz w:val="20"/>
                <w:szCs w:val="20"/>
              </w:rPr>
              <w:t>smoking,​</w:t>
            </w:r>
            <w:proofErr w:type="gramEnd"/>
            <w:r w:rsidRPr="005762E6">
              <w:rPr>
                <w:sz w:val="20"/>
                <w:szCs w:val="20"/>
              </w:rPr>
              <w:t xml:space="preserve"> but findings have been inconclusive regarding the effect of menthol on carbon monoxide exposure and smoking topography parameters. Gaps in the research literature and future research areas include the following: (a) What is the role of menthol in tobacco reinforcement and addiction? (b) In the absence of </w:t>
            </w:r>
            <w:proofErr w:type="gramStart"/>
            <w:r w:rsidRPr="005762E6">
              <w:rPr>
                <w:sz w:val="20"/>
                <w:szCs w:val="20"/>
              </w:rPr>
              <w:t>nicotine,​</w:t>
            </w:r>
            <w:proofErr w:type="gramEnd"/>
            <w:r w:rsidRPr="005762E6">
              <w:rPr>
                <w:sz w:val="20"/>
                <w:szCs w:val="20"/>
              </w:rPr>
              <w:t xml:space="preserve"> is menthol reinforcing? (c) Are the pharmacological and physiological effects of menthol mediated by a menthol-specific receptor or some other central nervous system-mediated action? (d) What are the influences of menthol and menthol metabolism on </w:t>
            </w:r>
            <w:r w:rsidRPr="005762E6">
              <w:rPr>
                <w:sz w:val="20"/>
                <w:szCs w:val="20"/>
              </w:rPr>
              <w:lastRenderedPageBreak/>
              <w:t xml:space="preserve">the metabolic activation and detoxification of carcinogens in tobacco smoke? and (e) Do differences exist in cigarette smoking topography in relation to the interaction of </w:t>
            </w:r>
            <w:proofErr w:type="gramStart"/>
            <w:r w:rsidRPr="005762E6">
              <w:rPr>
                <w:sz w:val="20"/>
                <w:szCs w:val="20"/>
              </w:rPr>
              <w:t>ethnicity,​</w:t>
            </w:r>
            <w:proofErr w:type="gramEnd"/>
            <w:r w:rsidRPr="005762E6">
              <w:rPr>
                <w:sz w:val="20"/>
                <w:szCs w:val="20"/>
              </w:rPr>
              <w:t xml:space="preserve"> gender,​ and menthol cigarette preference? Answers to these questions will help to elucidate the function of menthol in cigarettes and its impact on smoking behavior.</w:t>
            </w:r>
          </w:p>
        </w:tc>
      </w:tr>
      <w:tr w:rsidR="00B44564" w:rsidRPr="005762E6" w14:paraId="002BF97C"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070DC94" w14:textId="77777777" w:rsidR="00B44564" w:rsidRPr="005762E6" w:rsidRDefault="00B44564" w:rsidP="00EA69AA">
            <w:pPr>
              <w:spacing w:after="120" w:line="240" w:lineRule="auto"/>
              <w:contextualSpacing/>
              <w:rPr>
                <w:sz w:val="20"/>
                <w:szCs w:val="20"/>
              </w:rPr>
            </w:pPr>
            <w:r w:rsidRPr="005762E6">
              <w:rPr>
                <w:sz w:val="20"/>
                <w:szCs w:val="20"/>
              </w:rPr>
              <w:lastRenderedPageBreak/>
              <w:t>712</w:t>
            </w:r>
          </w:p>
        </w:tc>
        <w:tc>
          <w:tcPr>
            <w:tcW w:w="0" w:type="auto"/>
            <w:tcBorders>
              <w:top w:val="single" w:sz="6" w:space="0" w:color="auto"/>
              <w:left w:val="single" w:sz="6" w:space="0" w:color="auto"/>
              <w:bottom w:val="single" w:sz="6" w:space="0" w:color="auto"/>
              <w:right w:val="single" w:sz="6" w:space="0" w:color="auto"/>
            </w:tcBorders>
          </w:tcPr>
          <w:p w14:paraId="64CB153F"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DFAF8E9" w14:textId="7D61B1C9" w:rsidR="00B44564" w:rsidRPr="005762E6" w:rsidRDefault="00B44564" w:rsidP="00EA69AA">
            <w:pPr>
              <w:spacing w:after="120" w:line="240" w:lineRule="auto"/>
              <w:contextualSpacing/>
              <w:rPr>
                <w:sz w:val="20"/>
                <w:szCs w:val="20"/>
              </w:rPr>
            </w:pPr>
            <w:r w:rsidRPr="005762E6">
              <w:rPr>
                <w:sz w:val="20"/>
                <w:szCs w:val="20"/>
              </w:rPr>
              <w:t xml:space="preserve">Joseph R </w:t>
            </w:r>
            <w:proofErr w:type="gramStart"/>
            <w:r w:rsidRPr="005762E6">
              <w:rPr>
                <w:sz w:val="20"/>
                <w:szCs w:val="20"/>
              </w:rPr>
              <w:t>DiFranza,​</w:t>
            </w:r>
            <w:proofErr w:type="gramEnd"/>
            <w:r w:rsidRPr="005762E6">
              <w:rPr>
                <w:sz w:val="20"/>
                <w:szCs w:val="20"/>
              </w:rPr>
              <w:t xml:space="preserve"> Judith A Savageau,​ Kenneth Fletcher,​ Judith K Ockene,​ Nancy A Rigotti,​ Ann D McNeill,​ Mardia Coleman,​ Constance Wood Recollections and repercussions of the first inhaled cigarette</w:t>
            </w:r>
            <w:r w:rsidR="007F2F01">
              <w:rPr>
                <w:sz w:val="20"/>
                <w:szCs w:val="20"/>
              </w:rPr>
              <w:t>.</w:t>
            </w:r>
            <w:r w:rsidRPr="005762E6">
              <w:rPr>
                <w:sz w:val="20"/>
                <w:szCs w:val="20"/>
              </w:rPr>
              <w:t xml:space="preserve"> Addictive behaviors; 2004;29:261.</w:t>
            </w:r>
            <w:r w:rsidRPr="005762E6">
              <w:rPr>
                <w:sz w:val="20"/>
                <w:szCs w:val="20"/>
              </w:rPr>
              <w:br/>
            </w:r>
            <w:r w:rsidRPr="005762E6">
              <w:rPr>
                <w:sz w:val="20"/>
                <w:szCs w:val="20"/>
              </w:rPr>
              <w:br/>
            </w:r>
            <w:r w:rsidRPr="005762E6">
              <w:rPr>
                <w:b/>
                <w:bCs/>
                <w:sz w:val="20"/>
                <w:szCs w:val="20"/>
              </w:rPr>
              <w:t>Keywords:</w:t>
            </w:r>
            <w:r w:rsidRPr="005762E6">
              <w:rPr>
                <w:sz w:val="20"/>
                <w:szCs w:val="20"/>
              </w:rPr>
              <w:br/>
              <w:t>Adolescent,​Dizziness/et [Etiology],​Female,​Humans,​Male,​Massachusetts/ep [Epidemiology],​*Mental Recall,​Nausea/et [Etiology],​Psychometrics,​Relaxation/px [Psychology],​Retrospective Studies,​Risk Factors,​Smoking/ae [Adverse Effects],​*Smoking/px [Psychology],​Tobacco Use Disorder/ep [Epidemiology],​*Tobacco Use Disorder/et [Etiology]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CONTEXT: It has not been determined if a youth's reaction to the first smoking experience is predictive of future nicotine dependence,​ or whether the impact of the first cigarette can be altered by manipulating levels of tar,​ nicotine and menthol.,​ OBJECTIVE: To determine if the recalled response to the first cigarette is predictive of the development of symptoms of nicotine dependence and whether it is influenced by the type of cigarette smoked.,​ DESIGN AND SETTING: A retrospective/prospective longitudinal study of the natural history of nicotine dependence employing individual interviews conducted three times annually in two urban school systems over 3 years. Subjects were asked to recall their first smoking experience</w:t>
            </w:r>
            <w:proofErr w:type="gramStart"/>
            <w:r w:rsidRPr="005762E6">
              <w:rPr>
                <w:sz w:val="20"/>
                <w:szCs w:val="20"/>
              </w:rPr>
              <w:t>.,​</w:t>
            </w:r>
            <w:proofErr w:type="gramEnd"/>
            <w:r w:rsidRPr="005762E6">
              <w:rPr>
                <w:sz w:val="20"/>
                <w:szCs w:val="20"/>
              </w:rPr>
              <w:t xml:space="preserve"> PARTICIPANTS: A cohort of 237 subjects who had inhaled on a cigarette.,​ MAIN OUTCOME MEASURES: Symptoms associated with smoking; the Hooked on Nicotine Checklist of 10 symptoms of dependence.,​ RESULTS: Reactions to the initial smoking experience were unrelated to gender or cigarette brand,​ strength or mentholation. Relaxation in response to the first inhalation was the strongest predictor of symptoms of nicotine dependence. Dizziness and nausea were also independent predictors of dependence symptoms</w:t>
            </w:r>
            <w:proofErr w:type="gramStart"/>
            <w:r w:rsidRPr="005762E6">
              <w:rPr>
                <w:sz w:val="20"/>
                <w:szCs w:val="20"/>
              </w:rPr>
              <w:t>.,​</w:t>
            </w:r>
            <w:proofErr w:type="gramEnd"/>
            <w:r w:rsidRPr="005762E6">
              <w:rPr>
                <w:sz w:val="20"/>
                <w:szCs w:val="20"/>
              </w:rPr>
              <w:t xml:space="preserve"> CONCLUSIONS: The data suggest that increased sensitivity to nicotine as manifested by relaxation,​ dizziness,​ or nausea in response to the first exposure to nicotine represents a risk factor for the development of nicotine dependence.</w:t>
            </w:r>
          </w:p>
        </w:tc>
      </w:tr>
      <w:tr w:rsidR="00B44564" w:rsidRPr="005762E6" w14:paraId="5EA6AEFA"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20EC0AC" w14:textId="77777777" w:rsidR="00B44564" w:rsidRPr="005762E6" w:rsidRDefault="00B44564" w:rsidP="00EA69AA">
            <w:pPr>
              <w:spacing w:after="120" w:line="240" w:lineRule="auto"/>
              <w:contextualSpacing/>
              <w:rPr>
                <w:sz w:val="20"/>
                <w:szCs w:val="20"/>
              </w:rPr>
            </w:pPr>
            <w:r w:rsidRPr="005762E6">
              <w:rPr>
                <w:sz w:val="20"/>
                <w:szCs w:val="20"/>
              </w:rPr>
              <w:t>713</w:t>
            </w:r>
          </w:p>
        </w:tc>
        <w:tc>
          <w:tcPr>
            <w:tcW w:w="0" w:type="auto"/>
            <w:tcBorders>
              <w:top w:val="single" w:sz="6" w:space="0" w:color="auto"/>
              <w:left w:val="single" w:sz="6" w:space="0" w:color="auto"/>
              <w:bottom w:val="single" w:sz="6" w:space="0" w:color="auto"/>
              <w:right w:val="single" w:sz="6" w:space="0" w:color="auto"/>
            </w:tcBorders>
          </w:tcPr>
          <w:p w14:paraId="7B0249EB"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1DAB6E2" w14:textId="27EE5E23" w:rsidR="00B44564" w:rsidRPr="005762E6" w:rsidRDefault="00B44564" w:rsidP="00EA69AA">
            <w:pPr>
              <w:spacing w:after="120" w:line="240" w:lineRule="auto"/>
              <w:contextualSpacing/>
              <w:rPr>
                <w:sz w:val="20"/>
                <w:szCs w:val="20"/>
              </w:rPr>
            </w:pPr>
            <w:r w:rsidRPr="005762E6">
              <w:rPr>
                <w:sz w:val="20"/>
                <w:szCs w:val="20"/>
              </w:rPr>
              <w:t xml:space="preserve">Kolawole S </w:t>
            </w:r>
            <w:proofErr w:type="gramStart"/>
            <w:r w:rsidRPr="005762E6">
              <w:rPr>
                <w:sz w:val="20"/>
                <w:szCs w:val="20"/>
              </w:rPr>
              <w:t>Okuyemi,​</w:t>
            </w:r>
            <w:proofErr w:type="gramEnd"/>
            <w:r w:rsidRPr="005762E6">
              <w:rPr>
                <w:sz w:val="20"/>
                <w:szCs w:val="20"/>
              </w:rPr>
              <w:t xml:space="preserve"> Jasjit S Ahluwalia,​ Maiko Ebersole-Robinson,​ Delwyn Catley,​ Matthew S Mayo,​ Ken Resnicow Does menthol attenuate the effect of bupropion among African American smokers?</w:t>
            </w:r>
            <w:r w:rsidR="007F2F01">
              <w:rPr>
                <w:sz w:val="20"/>
                <w:szCs w:val="20"/>
              </w:rPr>
              <w:t>.</w:t>
            </w:r>
            <w:r w:rsidRPr="005762E6">
              <w:rPr>
                <w:sz w:val="20"/>
                <w:szCs w:val="20"/>
              </w:rPr>
              <w:t xml:space="preserve"> Addiction (Abingdon,​ England); 2003;98:1387.</w:t>
            </w:r>
            <w:r w:rsidRPr="005762E6">
              <w:rPr>
                <w:sz w:val="20"/>
                <w:szCs w:val="20"/>
              </w:rPr>
              <w:br/>
            </w:r>
            <w:r w:rsidRPr="005762E6">
              <w:rPr>
                <w:sz w:val="20"/>
                <w:szCs w:val="20"/>
              </w:rPr>
              <w:br/>
            </w:r>
            <w:r w:rsidRPr="005762E6">
              <w:rPr>
                <w:b/>
                <w:bCs/>
                <w:sz w:val="20"/>
                <w:szCs w:val="20"/>
              </w:rPr>
              <w:t>Keywords:</w:t>
            </w:r>
            <w:r w:rsidRPr="005762E6">
              <w:rPr>
                <w:sz w:val="20"/>
                <w:szCs w:val="20"/>
              </w:rPr>
              <w:br/>
              <w:t>Adult,​*African Americans,​*Bupropion/tu [Therapeutic Use],​Double-Blind Method,​Drug Interactions,​Female,​Humans,​Male,​*Menthol/pd [Pharmacology],​Middle Aged,​Odds Ratio,​*Smoking/eh [Ethnology],​*Smoking Cessation/eh [Ethnology],​Smoking Cessation/mt [Methods]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BACKGROUND: African Americans have higher tobacco-related morbidity and mortality and are more likely to smoke menthol cigarettes than their white counterparts. This study examined differences between African American menthol and non-menthol smokers in smoking characteristics and cessation</w:t>
            </w:r>
            <w:proofErr w:type="gramStart"/>
            <w:r w:rsidRPr="005762E6">
              <w:rPr>
                <w:sz w:val="20"/>
                <w:szCs w:val="20"/>
              </w:rPr>
              <w:t>.,​</w:t>
            </w:r>
            <w:proofErr w:type="gramEnd"/>
            <w:r w:rsidRPr="005762E6">
              <w:rPr>
                <w:sz w:val="20"/>
                <w:szCs w:val="20"/>
              </w:rPr>
              <w:t xml:space="preserve"> METHODS: The study sample consisted of 600 African American smokers enrolled in a clinical trial that assessed the efficacy of sustained-release bupropion for smoking cessation. Menthol (n = 471) and non-menthol (n = 129) smokers were compared on smoking-related characteristics and abstinence rates at 6 weeks and 6 months</w:t>
            </w:r>
            <w:proofErr w:type="gramStart"/>
            <w:r w:rsidRPr="005762E6">
              <w:rPr>
                <w:sz w:val="20"/>
                <w:szCs w:val="20"/>
              </w:rPr>
              <w:t>.,​</w:t>
            </w:r>
            <w:proofErr w:type="gramEnd"/>
            <w:r w:rsidRPr="005762E6">
              <w:rPr>
                <w:sz w:val="20"/>
                <w:szCs w:val="20"/>
              </w:rPr>
              <w:t xml:space="preserve"> RESULTS: Menthol smokers were younger (41.2 versus 52.9 years),​ more likely to be female (73.7% versus 56.6%) and more likely to smoke their first cigarette within 30 minutes of waking up (81.7% versus 69.8%) compared to non-menthol smokers (all P &lt; 0.01). Cigarette taste (50% versus 40</w:t>
            </w:r>
            <w:proofErr w:type="gramStart"/>
            <w:r w:rsidRPr="005762E6">
              <w:rPr>
                <w:sz w:val="20"/>
                <w:szCs w:val="20"/>
              </w:rPr>
              <w:t>%,​</w:t>
            </w:r>
            <w:proofErr w:type="gramEnd"/>
            <w:r w:rsidRPr="005762E6">
              <w:rPr>
                <w:sz w:val="20"/>
                <w:szCs w:val="20"/>
              </w:rPr>
              <w:t xml:space="preserve"> P = 0.054) was rated non-significantly higher by menthol smokers. Seven-day point-prevalence abstinence from smoking at 6 weeks were 28% and 42% (P = 0.006) and at 6 months were 21% and 27% (P = 0.21) for menthol and non-menthol </w:t>
            </w:r>
            <w:proofErr w:type="gramStart"/>
            <w:r w:rsidRPr="005762E6">
              <w:rPr>
                <w:sz w:val="20"/>
                <w:szCs w:val="20"/>
              </w:rPr>
              <w:t>smokers,​</w:t>
            </w:r>
            <w:proofErr w:type="gramEnd"/>
            <w:r w:rsidRPr="005762E6">
              <w:rPr>
                <w:sz w:val="20"/>
                <w:szCs w:val="20"/>
              </w:rPr>
              <w:t xml:space="preserve"> respectively. At 6 weeks follow-</w:t>
            </w:r>
            <w:proofErr w:type="gramStart"/>
            <w:r w:rsidRPr="005762E6">
              <w:rPr>
                <w:sz w:val="20"/>
                <w:szCs w:val="20"/>
              </w:rPr>
              <w:t>up,​</w:t>
            </w:r>
            <w:proofErr w:type="gramEnd"/>
            <w:r w:rsidRPr="005762E6">
              <w:rPr>
                <w:sz w:val="20"/>
                <w:szCs w:val="20"/>
              </w:rPr>
              <w:t xml:space="preserve"> stepwise logistic regression revealed that among those younger than 50 years,​ non-menthol smokers were more likely to quit smoking (odds ratio = 2.0; 95% CI = 1.03-3.95) as were those who received bupropion (odds ratio = 2.12; 95% CI = 1.32-3.39).,​ </w:t>
            </w:r>
            <w:r w:rsidRPr="005762E6">
              <w:rPr>
                <w:sz w:val="20"/>
                <w:szCs w:val="20"/>
              </w:rPr>
              <w:lastRenderedPageBreak/>
              <w:t>CONCLUSION: African American menthol smokers had lower smoking cessation rates after 6 weeks of treatment with bupropion-SR,​ thereby putting menthol smokers at greater risk from the health effects of smoking. Lower overall cessation rates among African Americans menthol smokers may partially explain ethnic differences in smoking-related disease risks.</w:t>
            </w:r>
          </w:p>
        </w:tc>
      </w:tr>
      <w:tr w:rsidR="00B44564" w:rsidRPr="005762E6" w14:paraId="5E877793"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B939379" w14:textId="77777777" w:rsidR="00B44564" w:rsidRPr="005762E6" w:rsidRDefault="00B44564" w:rsidP="00EA69AA">
            <w:pPr>
              <w:spacing w:after="120" w:line="240" w:lineRule="auto"/>
              <w:contextualSpacing/>
              <w:rPr>
                <w:sz w:val="20"/>
                <w:szCs w:val="20"/>
              </w:rPr>
            </w:pPr>
            <w:r w:rsidRPr="005762E6">
              <w:rPr>
                <w:sz w:val="20"/>
                <w:szCs w:val="20"/>
              </w:rPr>
              <w:lastRenderedPageBreak/>
              <w:t>715</w:t>
            </w:r>
          </w:p>
        </w:tc>
        <w:tc>
          <w:tcPr>
            <w:tcW w:w="0" w:type="auto"/>
            <w:tcBorders>
              <w:top w:val="single" w:sz="6" w:space="0" w:color="auto"/>
              <w:left w:val="single" w:sz="6" w:space="0" w:color="auto"/>
              <w:bottom w:val="single" w:sz="6" w:space="0" w:color="auto"/>
              <w:right w:val="single" w:sz="6" w:space="0" w:color="auto"/>
            </w:tcBorders>
          </w:tcPr>
          <w:p w14:paraId="278D5CF4"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533C7DE" w14:textId="7E9E30C3" w:rsidR="00B44564" w:rsidRPr="005762E6" w:rsidRDefault="00B44564" w:rsidP="00EA69AA">
            <w:pPr>
              <w:spacing w:after="120" w:line="240" w:lineRule="auto"/>
              <w:contextualSpacing/>
              <w:rPr>
                <w:sz w:val="20"/>
                <w:szCs w:val="20"/>
              </w:rPr>
            </w:pPr>
            <w:r w:rsidRPr="005762E6">
              <w:rPr>
                <w:sz w:val="20"/>
                <w:szCs w:val="20"/>
              </w:rPr>
              <w:t xml:space="preserve">Daniel R </w:t>
            </w:r>
            <w:proofErr w:type="gramStart"/>
            <w:r w:rsidRPr="005762E6">
              <w:rPr>
                <w:sz w:val="20"/>
                <w:szCs w:val="20"/>
              </w:rPr>
              <w:t>Brooks,​</w:t>
            </w:r>
            <w:proofErr w:type="gramEnd"/>
            <w:r w:rsidRPr="005762E6">
              <w:rPr>
                <w:sz w:val="20"/>
                <w:szCs w:val="20"/>
              </w:rPr>
              <w:t xml:space="preserve"> Julie R Palmer,​ Brian L Strom,​ Lynn Rosenberg Menthol cigarettes and risk of lung cancer</w:t>
            </w:r>
            <w:r w:rsidR="007F2F01">
              <w:rPr>
                <w:sz w:val="20"/>
                <w:szCs w:val="20"/>
              </w:rPr>
              <w:t>.</w:t>
            </w:r>
            <w:r w:rsidRPr="005762E6">
              <w:rPr>
                <w:sz w:val="20"/>
                <w:szCs w:val="20"/>
              </w:rPr>
              <w:t xml:space="preserve"> American journal of epidemiology; 2003;158:609.</w:t>
            </w:r>
            <w:r w:rsidRPr="005762E6">
              <w:rPr>
                <w:sz w:val="20"/>
                <w:szCs w:val="20"/>
              </w:rPr>
              <w:br/>
            </w:r>
            <w:r w:rsidRPr="005762E6">
              <w:rPr>
                <w:sz w:val="20"/>
                <w:szCs w:val="20"/>
              </w:rPr>
              <w:br/>
            </w:r>
            <w:r w:rsidRPr="005762E6">
              <w:rPr>
                <w:b/>
                <w:bCs/>
                <w:sz w:val="20"/>
                <w:szCs w:val="20"/>
              </w:rPr>
              <w:t>Keywords:</w:t>
            </w:r>
            <w:r w:rsidRPr="005762E6">
              <w:rPr>
                <w:sz w:val="20"/>
                <w:szCs w:val="20"/>
              </w:rPr>
              <w:br/>
              <w:t>Adult,​African Continental Ancestry Group,​Age Distribution,​Aged,​Case-Control Studies,​European Continental Ancestry Group,​Female,​Humans,​*Lung Neoplasms/ep [Epidemiology],​Male,​*Menthol/ad [Administration &amp; Dosage],​Middle Aged,​Multivariate Analysis,​Odds Ratio,​Population Surveillance,​Risk Assessment,​Risk Factors,​Sex Distribution,​*Smoking/ep [Epidemiology],​Socioeconomic Factors,​United States/ep [Epidemiology]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The authors analyzed data from a multihospital case-control study in the eastern United States to evaluate the hypothesis that smoking menthol cigarettes increases lung cancer risk compared with smoking nonmenthol cigarettes. Subjects included cases with lung cancer and controls admitted for conditions unrelated to smoking who were aged 40-74 </w:t>
            </w:r>
            <w:proofErr w:type="gramStart"/>
            <w:r w:rsidRPr="005762E6">
              <w:rPr>
                <w:sz w:val="20"/>
                <w:szCs w:val="20"/>
              </w:rPr>
              <w:t>years,​</w:t>
            </w:r>
            <w:proofErr w:type="gramEnd"/>
            <w:r w:rsidRPr="005762E6">
              <w:rPr>
                <w:sz w:val="20"/>
                <w:szCs w:val="20"/>
              </w:rPr>
              <w:t xml:space="preserve"> were interviewed from 1981 to 2000,​ and had smoked for &gt;or=20 years. Information was available on the brand and type of cigarette smoked most recently and for the longest time. Analyses were based on 643 cases and </w:t>
            </w:r>
            <w:proofErr w:type="gramStart"/>
            <w:r w:rsidRPr="005762E6">
              <w:rPr>
                <w:sz w:val="20"/>
                <w:szCs w:val="20"/>
              </w:rPr>
              <w:t>4,​</w:t>
            </w:r>
            <w:proofErr w:type="gramEnd"/>
            <w:r w:rsidRPr="005762E6">
              <w:rPr>
                <w:sz w:val="20"/>
                <w:szCs w:val="20"/>
              </w:rPr>
              <w:t>110 controls for whom brand information was available for &gt;or=60% of the total duration of smoking. Logistic regression was used to estimate the relative risk of lung cancer according to number of years of menthol cigarette use (&gt;</w:t>
            </w:r>
            <w:proofErr w:type="gramStart"/>
            <w:r w:rsidRPr="005762E6">
              <w:rPr>
                <w:sz w:val="20"/>
                <w:szCs w:val="20"/>
              </w:rPr>
              <w:t>15,​</w:t>
            </w:r>
            <w:proofErr w:type="gramEnd"/>
            <w:r w:rsidRPr="005762E6">
              <w:rPr>
                <w:sz w:val="20"/>
                <w:szCs w:val="20"/>
              </w:rPr>
              <w:t xml:space="preserve"> 1-15,​ 0),​ adjusting for demographic and smoking-related factors. The lung cancer risk for long-term smokers of menthol cigarettes was similar to that for smokers of nonmenthol cigarettes (odds ratio = </w:t>
            </w:r>
            <w:proofErr w:type="gramStart"/>
            <w:r w:rsidRPr="005762E6">
              <w:rPr>
                <w:sz w:val="20"/>
                <w:szCs w:val="20"/>
              </w:rPr>
              <w:t>0.97,​</w:t>
            </w:r>
            <w:proofErr w:type="gramEnd"/>
            <w:r w:rsidRPr="005762E6">
              <w:rPr>
                <w:sz w:val="20"/>
                <w:szCs w:val="20"/>
              </w:rPr>
              <w:t xml:space="preserve"> 95% confidence interval: 0.70,​ 1.34). Odds ratios were also close to 1.0 in separate analyses of </w:t>
            </w:r>
            <w:proofErr w:type="gramStart"/>
            <w:r w:rsidRPr="005762E6">
              <w:rPr>
                <w:sz w:val="20"/>
                <w:szCs w:val="20"/>
              </w:rPr>
              <w:t>male,​</w:t>
            </w:r>
            <w:proofErr w:type="gramEnd"/>
            <w:r w:rsidRPr="005762E6">
              <w:rPr>
                <w:sz w:val="20"/>
                <w:szCs w:val="20"/>
              </w:rPr>
              <w:t xml:space="preserve"> female,​ Black,​ and White subjects. The results of this study do not support the hypothesis that smoking menthol cigarettes increases the risk of lung cancer relative to smoking nonmenthol cigarettes.</w:t>
            </w:r>
          </w:p>
        </w:tc>
      </w:tr>
      <w:tr w:rsidR="00B44564" w:rsidRPr="005762E6" w14:paraId="4FDD3252"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E0319D9" w14:textId="77777777" w:rsidR="00B44564" w:rsidRPr="005762E6" w:rsidRDefault="00B44564" w:rsidP="00EA69AA">
            <w:pPr>
              <w:spacing w:after="120" w:line="240" w:lineRule="auto"/>
              <w:contextualSpacing/>
              <w:rPr>
                <w:sz w:val="20"/>
                <w:szCs w:val="20"/>
              </w:rPr>
            </w:pPr>
            <w:r w:rsidRPr="005762E6">
              <w:rPr>
                <w:sz w:val="20"/>
                <w:szCs w:val="20"/>
              </w:rPr>
              <w:t>717</w:t>
            </w:r>
          </w:p>
        </w:tc>
        <w:tc>
          <w:tcPr>
            <w:tcW w:w="0" w:type="auto"/>
            <w:tcBorders>
              <w:top w:val="single" w:sz="6" w:space="0" w:color="auto"/>
              <w:left w:val="single" w:sz="6" w:space="0" w:color="auto"/>
              <w:bottom w:val="single" w:sz="6" w:space="0" w:color="auto"/>
              <w:right w:val="single" w:sz="6" w:space="0" w:color="auto"/>
            </w:tcBorders>
          </w:tcPr>
          <w:p w14:paraId="28034C5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194430E" w14:textId="15C1B70F" w:rsidR="00B44564" w:rsidRPr="005762E6" w:rsidRDefault="00B44564" w:rsidP="00EA69AA">
            <w:pPr>
              <w:spacing w:after="120" w:line="240" w:lineRule="auto"/>
              <w:contextualSpacing/>
              <w:rPr>
                <w:sz w:val="20"/>
                <w:szCs w:val="20"/>
              </w:rPr>
            </w:pPr>
            <w:r w:rsidRPr="005762E6">
              <w:rPr>
                <w:sz w:val="20"/>
                <w:szCs w:val="20"/>
              </w:rPr>
              <w:t xml:space="preserve">James M </w:t>
            </w:r>
            <w:proofErr w:type="gramStart"/>
            <w:r w:rsidRPr="005762E6">
              <w:rPr>
                <w:sz w:val="20"/>
                <w:szCs w:val="20"/>
              </w:rPr>
              <w:t>MacDougall,​</w:t>
            </w:r>
            <w:proofErr w:type="gramEnd"/>
            <w:r w:rsidRPr="005762E6">
              <w:rPr>
                <w:sz w:val="20"/>
                <w:szCs w:val="20"/>
              </w:rPr>
              <w:t xml:space="preserve"> Keith Fandrick,​ Xiaodong Zhang,​ Scott V Serafin,​ John R Cashman Inhibition of human liver microsomal (S)-nicotine oxidation by (-)-menthol and analogues</w:t>
            </w:r>
            <w:r w:rsidR="007F2F01">
              <w:rPr>
                <w:sz w:val="20"/>
                <w:szCs w:val="20"/>
              </w:rPr>
              <w:t>.</w:t>
            </w:r>
            <w:r w:rsidRPr="005762E6">
              <w:rPr>
                <w:sz w:val="20"/>
                <w:szCs w:val="20"/>
              </w:rPr>
              <w:t xml:space="preserve"> Chemical research in toxicology; 2003;16:988.</w:t>
            </w:r>
            <w:r w:rsidRPr="005762E6">
              <w:rPr>
                <w:sz w:val="20"/>
                <w:szCs w:val="20"/>
              </w:rPr>
              <w:br/>
            </w:r>
            <w:r w:rsidRPr="005762E6">
              <w:rPr>
                <w:sz w:val="20"/>
                <w:szCs w:val="20"/>
              </w:rPr>
              <w:br/>
            </w:r>
            <w:r w:rsidRPr="005762E6">
              <w:rPr>
                <w:b/>
                <w:bCs/>
                <w:sz w:val="20"/>
                <w:szCs w:val="20"/>
              </w:rPr>
              <w:t>Keywords:</w:t>
            </w:r>
            <w:r w:rsidRPr="005762E6">
              <w:rPr>
                <w:sz w:val="20"/>
                <w:szCs w:val="20"/>
              </w:rPr>
              <w:br/>
              <w:t>Animals,​Aryl Hydrocarbon Hydroxylases/ch [Chemistry],​Aryl Hydrocarbon Hydroxylases/me [Metabolism],​Cotinine/me [Metabolism],​Coumarins/ch [Chemistry],​Coumarins/me [Metabolism],​Cytochrome P-450 CYP2A6,​Cytochrome P-450 Enzyme System/me [Metabolism],​Haplorhini,​Humans,​In Vitro Techniques,​*Menthol/aa [Analogs &amp; Derivatives],​Menthol/ch [Chemistry],​*Menthol/to [Toxicity],​*Microsomes,​ Liver/me [Metabolism],​Mixed Function Oxygenases/ch [Chemistry],​Mixed Function Oxygenases/me [Metabolism],​Nicotine/ch [Chemistry],​*Nicotine/me [Metabolism],​Oxidation-Reduction,​Rats,​Rats,​ Sprague-Dawley,​Smoking,​Stereoisomerism,​Steroid Hydroxylases/me [Metabolism]</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(-)-Menthol is a widely used flavoring ingredient present in mouthwash,​ foods,​ toothpaste,​ and cigarettes; yet,​ the pharmacological effects of menthol have not been widely studied. Mentholated cigarette smoking may increase the risk for lung cancer. Many African American smokers smoke mentholated </w:t>
            </w:r>
            <w:proofErr w:type="gramStart"/>
            <w:r w:rsidRPr="005762E6">
              <w:rPr>
                <w:sz w:val="20"/>
                <w:szCs w:val="20"/>
              </w:rPr>
              <w:t>cigarettes,​</w:t>
            </w:r>
            <w:proofErr w:type="gramEnd"/>
            <w:r w:rsidRPr="005762E6">
              <w:rPr>
                <w:sz w:val="20"/>
                <w:szCs w:val="20"/>
              </w:rPr>
              <w:t xml:space="preserve"> and African Americans have a significantly higher incidence of lung cancer as compared with whites. There may be a relationship between the incidence of lung cancer and the type of cigarette smoked because the use of mentholated cigarettes by white smokers is significantly less and the incidence of lung cancer is less. The mechanism whereby (-)-menthol could increase the health risk of smoking is not known. The results of our in vitro studies herein show that (-)-menthol and synthetic congeners inhibit the microsomal oxidation of nicotine to cotinine and the P450 2A6-mediated 7-hydroxylation of coumarin. Replacement of the alcohol oxygen atom of menthol with other heteroatoms increased the potency of P450 2A6 inhibition. </w:t>
            </w:r>
            <w:proofErr w:type="gramStart"/>
            <w:r w:rsidRPr="005762E6">
              <w:rPr>
                <w:sz w:val="20"/>
                <w:szCs w:val="20"/>
              </w:rPr>
              <w:t>Thus,​</w:t>
            </w:r>
            <w:proofErr w:type="gramEnd"/>
            <w:r w:rsidRPr="005762E6">
              <w:rPr>
                <w:sz w:val="20"/>
                <w:szCs w:val="20"/>
              </w:rPr>
              <w:t xml:space="preserve"> the K(i) value of (-)-menthol for inhibition of microsomal nicotine oxidation was 69.7 micro M but neomenthyl thiol possesses a K(i) value of 13.8 micro M. Menthylamine inhibited nicotine oxidation with a K(i) value of 49.8 micro M,​ but its hydroxylamine derivative gave an IC(50) value of 2.2 micro </w:t>
            </w:r>
            <w:r w:rsidRPr="005762E6">
              <w:rPr>
                <w:sz w:val="20"/>
                <w:szCs w:val="20"/>
              </w:rPr>
              <w:lastRenderedPageBreak/>
              <w:t xml:space="preserve">M. A series of 16 menthol derivatives and putative metabolites were procured or chemically synthesized and tested as inhibitors of P450 2A6. While highly potent inhibition of P450 2A6 was not observed for the menthol analogues </w:t>
            </w:r>
            <w:proofErr w:type="gramStart"/>
            <w:r w:rsidRPr="005762E6">
              <w:rPr>
                <w:sz w:val="20"/>
                <w:szCs w:val="20"/>
              </w:rPr>
              <w:t>examined,​</w:t>
            </w:r>
            <w:proofErr w:type="gramEnd"/>
            <w:r w:rsidRPr="005762E6">
              <w:rPr>
                <w:sz w:val="20"/>
                <w:szCs w:val="20"/>
              </w:rPr>
              <w:t xml:space="preserve"> it is nevertheless possible that smoking mentholated cigarettes leads to inhibition of nicotine metabolism and allows the smoker to achieve a certain elevated dose of nicotine each day. This may be another example of self-medication to obtain the desired effect of nicotine.</w:t>
            </w:r>
          </w:p>
        </w:tc>
      </w:tr>
      <w:tr w:rsidR="00B44564" w:rsidRPr="005762E6" w14:paraId="20F8C2B3"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3E06381" w14:textId="77777777" w:rsidR="00B44564" w:rsidRPr="005762E6" w:rsidRDefault="00B44564" w:rsidP="00EA69AA">
            <w:pPr>
              <w:spacing w:after="120" w:line="240" w:lineRule="auto"/>
              <w:contextualSpacing/>
              <w:rPr>
                <w:sz w:val="20"/>
                <w:szCs w:val="20"/>
              </w:rPr>
            </w:pPr>
            <w:r w:rsidRPr="005762E6">
              <w:rPr>
                <w:sz w:val="20"/>
                <w:szCs w:val="20"/>
              </w:rPr>
              <w:lastRenderedPageBreak/>
              <w:t>722</w:t>
            </w:r>
          </w:p>
        </w:tc>
        <w:tc>
          <w:tcPr>
            <w:tcW w:w="0" w:type="auto"/>
            <w:tcBorders>
              <w:top w:val="single" w:sz="6" w:space="0" w:color="auto"/>
              <w:left w:val="single" w:sz="6" w:space="0" w:color="auto"/>
              <w:bottom w:val="single" w:sz="6" w:space="0" w:color="auto"/>
              <w:right w:val="single" w:sz="6" w:space="0" w:color="auto"/>
            </w:tcBorders>
          </w:tcPr>
          <w:p w14:paraId="02564567"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2B12582" w14:textId="439864A2" w:rsidR="00B44564" w:rsidRPr="005762E6" w:rsidRDefault="00B44564" w:rsidP="00EA69AA">
            <w:pPr>
              <w:spacing w:after="120" w:line="240" w:lineRule="auto"/>
              <w:contextualSpacing/>
              <w:rPr>
                <w:sz w:val="20"/>
                <w:szCs w:val="20"/>
              </w:rPr>
            </w:pPr>
            <w:r w:rsidRPr="005762E6">
              <w:rPr>
                <w:sz w:val="20"/>
                <w:szCs w:val="20"/>
              </w:rPr>
              <w:t xml:space="preserve">Kathryn I </w:t>
            </w:r>
            <w:proofErr w:type="gramStart"/>
            <w:r w:rsidRPr="005762E6">
              <w:rPr>
                <w:sz w:val="20"/>
                <w:szCs w:val="20"/>
              </w:rPr>
              <w:t>Pollak,​</w:t>
            </w:r>
            <w:proofErr w:type="gramEnd"/>
            <w:r w:rsidRPr="005762E6">
              <w:rPr>
                <w:sz w:val="20"/>
                <w:szCs w:val="20"/>
              </w:rPr>
              <w:t xml:space="preserve"> Babafemi Taiwo,​ Pauline Lyna,​ Mary Baldwin,​ Isaac M Lipkus,​ Gerold Bepler,​ Colleen M McBride Reported cessation advice given to African Americans by health care providers in a community health clinic</w:t>
            </w:r>
            <w:r w:rsidR="007F2F01">
              <w:rPr>
                <w:sz w:val="20"/>
                <w:szCs w:val="20"/>
              </w:rPr>
              <w:t>.</w:t>
            </w:r>
            <w:r w:rsidRPr="005762E6">
              <w:rPr>
                <w:sz w:val="20"/>
                <w:szCs w:val="20"/>
              </w:rPr>
              <w:t xml:space="preserve"> Journal of community health; </w:t>
            </w:r>
            <w:proofErr w:type="gramStart"/>
            <w:r w:rsidRPr="005762E6">
              <w:rPr>
                <w:sz w:val="20"/>
                <w:szCs w:val="20"/>
              </w:rPr>
              <w:t>2002;27:381</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Adolescent,​Adult,​*African Americans/px [Psychology],​*Community Health Centers/og [Organization &amp; Administration],​Counseling,​Female,​Humans,​Male,​Middle Aged,​Multivariate Analysis,​North Carolina,​Physician-Patient Relations,​*Practice Patterns,​ Physicians',​*Smoking Cessation/eh [Ethnology]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Physician smoking cessation advice has been shown to be effective in encouraging patients to attempt cessation. Few studies have examined factors associated with patient-reported physician advice in an inner city community health clinic. Smokers identified via chart review and provider referral met with a study "smoking specialist." Eligible participants self-identified as African </w:t>
            </w:r>
            <w:proofErr w:type="gramStart"/>
            <w:r w:rsidRPr="005762E6">
              <w:rPr>
                <w:sz w:val="20"/>
                <w:szCs w:val="20"/>
              </w:rPr>
              <w:t>American,​</w:t>
            </w:r>
            <w:proofErr w:type="gramEnd"/>
            <w:r w:rsidRPr="005762E6">
              <w:rPr>
                <w:sz w:val="20"/>
                <w:szCs w:val="20"/>
              </w:rPr>
              <w:t xml:space="preserve"> smoked at least 1 cigarette per day in the prior 7 days,​ were 18 or older,​ had access to a telephone,​ and agreed to consider blood testing for genetic susceptibility to lung cancer. Of the 869 smokers </w:t>
            </w:r>
            <w:proofErr w:type="gramStart"/>
            <w:r w:rsidRPr="005762E6">
              <w:rPr>
                <w:sz w:val="20"/>
                <w:szCs w:val="20"/>
              </w:rPr>
              <w:t>identified,​</w:t>
            </w:r>
            <w:proofErr w:type="gramEnd"/>
            <w:r w:rsidRPr="005762E6">
              <w:rPr>
                <w:sz w:val="20"/>
                <w:szCs w:val="20"/>
              </w:rPr>
              <w:t xml:space="preserve"> 487 were eligible and completed a brief in-person and a more extensive follow-up telephone survey within one week after their visit. Patient reports of smoking cessation advice by providers were regressed on patient </w:t>
            </w:r>
            <w:proofErr w:type="gramStart"/>
            <w:r w:rsidRPr="005762E6">
              <w:rPr>
                <w:sz w:val="20"/>
                <w:szCs w:val="20"/>
              </w:rPr>
              <w:t>demographic,​</w:t>
            </w:r>
            <w:proofErr w:type="gramEnd"/>
            <w:r w:rsidRPr="005762E6">
              <w:rPr>
                <w:sz w:val="20"/>
                <w:szCs w:val="20"/>
              </w:rPr>
              <w:t xml:space="preserve"> smoking,​ health,​ and social support variables. Seventy percent of participants reported that they had been advised to quit smoking. Smokers who were </w:t>
            </w:r>
            <w:proofErr w:type="gramStart"/>
            <w:r w:rsidRPr="005762E6">
              <w:rPr>
                <w:sz w:val="20"/>
                <w:szCs w:val="20"/>
              </w:rPr>
              <w:t>older,​</w:t>
            </w:r>
            <w:proofErr w:type="gramEnd"/>
            <w:r w:rsidRPr="005762E6">
              <w:rPr>
                <w:sz w:val="20"/>
                <w:szCs w:val="20"/>
              </w:rPr>
              <w:t xml:space="preserve"> did not smoke menthol cigarettes,​ were in poorer health,​ and who had a regular health care provider were most likely to report having received advice. Patients in this community health setting reported high rates of provider advice to quit smoking. </w:t>
            </w:r>
            <w:proofErr w:type="gramStart"/>
            <w:r w:rsidRPr="005762E6">
              <w:rPr>
                <w:sz w:val="20"/>
                <w:szCs w:val="20"/>
              </w:rPr>
              <w:t>Yet,​</w:t>
            </w:r>
            <w:proofErr w:type="gramEnd"/>
            <w:r w:rsidRPr="005762E6">
              <w:rPr>
                <w:sz w:val="20"/>
                <w:szCs w:val="20"/>
              </w:rPr>
              <w:t xml:space="preserve"> even in this optimal condition,​ young healthy smokers did not report receiving advice,​ even when they were ready to quit smoking. Providers may need additional training and prompting to counsel young healthy smokers about the importance of cessation.</w:t>
            </w:r>
          </w:p>
        </w:tc>
      </w:tr>
      <w:tr w:rsidR="00B44564" w:rsidRPr="005762E6" w14:paraId="4FFD4339"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25208AD" w14:textId="77777777" w:rsidR="00B44564" w:rsidRPr="005762E6" w:rsidRDefault="00B44564" w:rsidP="00EA69AA">
            <w:pPr>
              <w:spacing w:after="120" w:line="240" w:lineRule="auto"/>
              <w:contextualSpacing/>
              <w:rPr>
                <w:sz w:val="20"/>
                <w:szCs w:val="20"/>
              </w:rPr>
            </w:pPr>
            <w:r w:rsidRPr="005762E6">
              <w:rPr>
                <w:sz w:val="20"/>
                <w:szCs w:val="20"/>
              </w:rPr>
              <w:t>723</w:t>
            </w:r>
          </w:p>
        </w:tc>
        <w:tc>
          <w:tcPr>
            <w:tcW w:w="0" w:type="auto"/>
            <w:tcBorders>
              <w:top w:val="single" w:sz="6" w:space="0" w:color="auto"/>
              <w:left w:val="single" w:sz="6" w:space="0" w:color="auto"/>
              <w:bottom w:val="single" w:sz="6" w:space="0" w:color="auto"/>
              <w:right w:val="single" w:sz="6" w:space="0" w:color="auto"/>
            </w:tcBorders>
          </w:tcPr>
          <w:p w14:paraId="2023787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BD0453F" w14:textId="48597ECE" w:rsidR="00B44564" w:rsidRPr="005762E6" w:rsidRDefault="00B44564" w:rsidP="00EA69AA">
            <w:pPr>
              <w:spacing w:after="120" w:line="240" w:lineRule="auto"/>
              <w:contextualSpacing/>
              <w:rPr>
                <w:sz w:val="20"/>
                <w:szCs w:val="20"/>
              </w:rPr>
            </w:pPr>
            <w:r w:rsidRPr="005762E6">
              <w:rPr>
                <w:sz w:val="20"/>
                <w:szCs w:val="20"/>
              </w:rPr>
              <w:t xml:space="preserve">J E </w:t>
            </w:r>
            <w:proofErr w:type="gramStart"/>
            <w:r w:rsidRPr="005762E6">
              <w:rPr>
                <w:sz w:val="20"/>
                <w:szCs w:val="20"/>
              </w:rPr>
              <w:t>Muscat,​</w:t>
            </w:r>
            <w:proofErr w:type="gramEnd"/>
            <w:r w:rsidRPr="005762E6">
              <w:rPr>
                <w:sz w:val="20"/>
                <w:szCs w:val="20"/>
              </w:rPr>
              <w:t xml:space="preserve"> J P Jr Richie,​ S D Stellman Mentholated cigarettes and smoking habits in whites and blacks</w:t>
            </w:r>
            <w:r w:rsidR="007F2F01">
              <w:rPr>
                <w:sz w:val="20"/>
                <w:szCs w:val="20"/>
              </w:rPr>
              <w:t>.</w:t>
            </w:r>
            <w:r w:rsidRPr="005762E6">
              <w:rPr>
                <w:sz w:val="20"/>
                <w:szCs w:val="20"/>
              </w:rPr>
              <w:t xml:space="preserve"> Tobacco control; 2002;11:368.</w:t>
            </w:r>
            <w:r w:rsidRPr="005762E6">
              <w:rPr>
                <w:sz w:val="20"/>
                <w:szCs w:val="20"/>
              </w:rPr>
              <w:br/>
            </w:r>
            <w:r w:rsidRPr="005762E6">
              <w:rPr>
                <w:sz w:val="20"/>
                <w:szCs w:val="20"/>
              </w:rPr>
              <w:br/>
            </w:r>
            <w:r w:rsidRPr="005762E6">
              <w:rPr>
                <w:b/>
                <w:bCs/>
                <w:sz w:val="20"/>
                <w:szCs w:val="20"/>
              </w:rPr>
              <w:t>Keywords:</w:t>
            </w:r>
            <w:r w:rsidRPr="005762E6">
              <w:rPr>
                <w:sz w:val="20"/>
                <w:szCs w:val="20"/>
              </w:rPr>
              <w:br/>
              <w:t>Adult,​*African Americans/px [Psychology],​Aged,​Cross-Sectional Studies,​*European Continental Ancestry Group/px [Psychology],​Female,​Humans,​Male,​Menthol,​Middle Aged,​Odds Ratio,​*Smoking/px [Psychology]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OBJECTIVE: To determine if cigarette mentholation is associated with the frequency of smoking and with quitting,​ and whether mentholation explains racial differences in these two smoking behaviours.,​ DESIGN: Cross sectional analysis of case-control data on smoking and lung cancer.,​ SUBJECTS: Limited to 19 545 current and former cigarette smokers.,​ MAIN OUTCOME MEASURES: Smoking &gt; 20 cigarettes per day (cpd) versus or = 21 cpd) associated with mentholated cigarettes versus non-mentholated cigarettes was 0.7 (95% confidence interval (CI) 0.5 to 0.9) in current smokers and 0.6 (95% CI 0.4 to 0.9) in former smokers. Among </w:t>
            </w:r>
            <w:proofErr w:type="gramStart"/>
            <w:r w:rsidRPr="005762E6">
              <w:rPr>
                <w:sz w:val="20"/>
                <w:szCs w:val="20"/>
              </w:rPr>
              <w:t>whites,​</w:t>
            </w:r>
            <w:proofErr w:type="gramEnd"/>
            <w:r w:rsidRPr="005762E6">
              <w:rPr>
                <w:sz w:val="20"/>
                <w:szCs w:val="20"/>
              </w:rPr>
              <w:t xml:space="preserve"> the corresponding POR were 0.9 (95% CI 0.8 to 1.0) and 0.9 (95% CI 0.8 to 1.0). Blacks were less likely to have been heavy smokers than </w:t>
            </w:r>
            <w:proofErr w:type="gramStart"/>
            <w:r w:rsidRPr="005762E6">
              <w:rPr>
                <w:sz w:val="20"/>
                <w:szCs w:val="20"/>
              </w:rPr>
              <w:t>whites,​</w:t>
            </w:r>
            <w:proofErr w:type="gramEnd"/>
            <w:r w:rsidRPr="005762E6">
              <w:rPr>
                <w:sz w:val="20"/>
                <w:szCs w:val="20"/>
              </w:rPr>
              <w:t xml:space="preserve"> but the difference was unrelated to cigarette mentholation. The POR of continued smoking versus </w:t>
            </w:r>
            <w:proofErr w:type="gramStart"/>
            <w:r w:rsidRPr="005762E6">
              <w:rPr>
                <w:sz w:val="20"/>
                <w:szCs w:val="20"/>
              </w:rPr>
              <w:t>quitting,​</w:t>
            </w:r>
            <w:proofErr w:type="gramEnd"/>
            <w:r w:rsidRPr="005762E6">
              <w:rPr>
                <w:sz w:val="20"/>
                <w:szCs w:val="20"/>
              </w:rPr>
              <w:t xml:space="preserve"> associated with mentholated cigarettes was 1.1 (95% CI 1.0 to 1.2) for both blacks and whites.,​ CONCLUSION: Smoking &gt; 20 cpd was independently associated with white race. Among </w:t>
            </w:r>
            <w:proofErr w:type="gramStart"/>
            <w:r w:rsidRPr="005762E6">
              <w:rPr>
                <w:sz w:val="20"/>
                <w:szCs w:val="20"/>
              </w:rPr>
              <w:t>blacks,​</w:t>
            </w:r>
            <w:proofErr w:type="gramEnd"/>
            <w:r w:rsidRPr="005762E6">
              <w:rPr>
                <w:sz w:val="20"/>
                <w:szCs w:val="20"/>
              </w:rPr>
              <w:t xml:space="preserve"> smoking &lt; or = 20 cpd was independently associated with mentholated cigarettes. The risk of quitting was not associated with cigarette menthol flavour.</w:t>
            </w:r>
          </w:p>
        </w:tc>
      </w:tr>
      <w:tr w:rsidR="00B44564" w:rsidRPr="005762E6" w14:paraId="2AE0EDE4"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208CA88" w14:textId="77777777" w:rsidR="00B44564" w:rsidRPr="005762E6" w:rsidRDefault="00B44564" w:rsidP="00EA69AA">
            <w:pPr>
              <w:spacing w:after="120" w:line="240" w:lineRule="auto"/>
              <w:contextualSpacing/>
              <w:rPr>
                <w:sz w:val="20"/>
                <w:szCs w:val="20"/>
              </w:rPr>
            </w:pPr>
            <w:r w:rsidRPr="005762E6">
              <w:rPr>
                <w:sz w:val="20"/>
                <w:szCs w:val="20"/>
              </w:rPr>
              <w:t>725</w:t>
            </w:r>
          </w:p>
        </w:tc>
        <w:tc>
          <w:tcPr>
            <w:tcW w:w="0" w:type="auto"/>
            <w:tcBorders>
              <w:top w:val="single" w:sz="6" w:space="0" w:color="auto"/>
              <w:left w:val="single" w:sz="6" w:space="0" w:color="auto"/>
              <w:bottom w:val="single" w:sz="6" w:space="0" w:color="auto"/>
              <w:right w:val="single" w:sz="6" w:space="0" w:color="auto"/>
            </w:tcBorders>
          </w:tcPr>
          <w:p w14:paraId="664EA1AA"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19CE3ED" w14:textId="2C628A84" w:rsidR="00B44564" w:rsidRPr="005762E6" w:rsidRDefault="00B44564" w:rsidP="00EA69AA">
            <w:pPr>
              <w:spacing w:after="120" w:line="240" w:lineRule="auto"/>
              <w:contextualSpacing/>
              <w:rPr>
                <w:sz w:val="20"/>
                <w:szCs w:val="20"/>
              </w:rPr>
            </w:pPr>
            <w:r w:rsidRPr="005762E6">
              <w:rPr>
                <w:sz w:val="20"/>
                <w:szCs w:val="20"/>
              </w:rPr>
              <w:t xml:space="preserve">A </w:t>
            </w:r>
            <w:proofErr w:type="gramStart"/>
            <w:r w:rsidRPr="005762E6">
              <w:rPr>
                <w:sz w:val="20"/>
                <w:szCs w:val="20"/>
              </w:rPr>
              <w:t>Hyland,​</w:t>
            </w:r>
            <w:proofErr w:type="gramEnd"/>
            <w:r w:rsidRPr="005762E6">
              <w:rPr>
                <w:sz w:val="20"/>
                <w:szCs w:val="20"/>
              </w:rPr>
              <w:t xml:space="preserve"> S Garten,​ G A Giovino,​ K M Cummings Mentholated cigarettes and smoking cessation: findings from COMMIT. Community Intervention Trial for Smoking Cessation</w:t>
            </w:r>
            <w:r w:rsidR="007F2F01">
              <w:rPr>
                <w:sz w:val="20"/>
                <w:szCs w:val="20"/>
              </w:rPr>
              <w:t>.</w:t>
            </w:r>
            <w:r w:rsidRPr="005762E6">
              <w:rPr>
                <w:sz w:val="20"/>
                <w:szCs w:val="20"/>
              </w:rPr>
              <w:t xml:space="preserve"> Tobacco control; 2002;11:135.</w:t>
            </w:r>
            <w:r w:rsidRPr="005762E6">
              <w:rPr>
                <w:sz w:val="20"/>
                <w:szCs w:val="20"/>
              </w:rPr>
              <w:br/>
            </w:r>
            <w:r w:rsidRPr="005762E6">
              <w:rPr>
                <w:sz w:val="20"/>
                <w:szCs w:val="20"/>
              </w:rPr>
              <w:br/>
            </w:r>
            <w:r w:rsidRPr="005762E6">
              <w:rPr>
                <w:b/>
                <w:bCs/>
                <w:sz w:val="20"/>
                <w:szCs w:val="20"/>
              </w:rPr>
              <w:t>Keywords:</w:t>
            </w:r>
            <w:r w:rsidRPr="005762E6">
              <w:rPr>
                <w:sz w:val="20"/>
                <w:szCs w:val="20"/>
              </w:rPr>
              <w:br/>
              <w:t xml:space="preserve">Adolescent,​Adult,​African Americans/sn [Statistics &amp; Numerical Data],​Female,​Humans,​Male,​*Menthol,​Middle </w:t>
            </w:r>
            <w:r w:rsidRPr="005762E6">
              <w:rPr>
                <w:sz w:val="20"/>
                <w:szCs w:val="20"/>
              </w:rPr>
              <w:lastRenderedPageBreak/>
              <w:t>Aged,​*Smoking/ep [Epidemiology],​*Smoking Cessation/sn [Statistics &amp; Numerical Data],​Surveys and Questionnaires,​*Tobacco,​United States/ep [Epidemiology]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OBJECTIVE: To examine the association between the use of menthol cigarettes and smoking cessation,​ amount smoked,​ and time to first cigarette in the morning.,​ BACKGROUND: The majority of African American smokers smoke mentholated cigarettes. Some evidence suggests that African Americans may be more nicotine dependent than whites. One theory is that menthol in cigarettes is responsible for enhancing the dependence producing capacity of cigarettes; </w:t>
            </w:r>
            <w:proofErr w:type="gramStart"/>
            <w:r w:rsidRPr="005762E6">
              <w:rPr>
                <w:sz w:val="20"/>
                <w:szCs w:val="20"/>
              </w:rPr>
              <w:t>however,​</w:t>
            </w:r>
            <w:proofErr w:type="gramEnd"/>
            <w:r w:rsidRPr="005762E6">
              <w:rPr>
                <w:sz w:val="20"/>
                <w:szCs w:val="20"/>
              </w:rPr>
              <w:t xml:space="preserve"> few studies have prospectively examined the association between menthol use and indicators of nicotine dependence.,​ METHODS: Baseline smokers from the Community Intervention Trial for Smoking Cessation (COMMIT) completed a telephone tobacco use survey in 1988 and were re-interviewed in 1993. Use of mentholated cigarettes was assessed by self-report at baseline. Indicators of dependence examined were six month cessation in </w:t>
            </w:r>
            <w:proofErr w:type="gramStart"/>
            <w:r w:rsidRPr="005762E6">
              <w:rPr>
                <w:sz w:val="20"/>
                <w:szCs w:val="20"/>
              </w:rPr>
              <w:t>1993,​</w:t>
            </w:r>
            <w:proofErr w:type="gramEnd"/>
            <w:r w:rsidRPr="005762E6">
              <w:rPr>
                <w:sz w:val="20"/>
                <w:szCs w:val="20"/>
              </w:rPr>
              <w:t xml:space="preserve"> amount smoked among continuing smokers in 1993,​ and time to first cigarette in the morning in 1988. Multivariate regression techniques were used to assess the association of baseline menthol use with these outcomes while controlling for other factors related to dependence</w:t>
            </w:r>
            <w:proofErr w:type="gramStart"/>
            <w:r w:rsidRPr="005762E6">
              <w:rPr>
                <w:sz w:val="20"/>
                <w:szCs w:val="20"/>
              </w:rPr>
              <w:t>.,​</w:t>
            </w:r>
            <w:proofErr w:type="gramEnd"/>
            <w:r w:rsidRPr="005762E6">
              <w:rPr>
                <w:sz w:val="20"/>
                <w:szCs w:val="20"/>
              </w:rPr>
              <w:t xml:space="preserve"> RESULTS: Overall,​ 24% of the sample smoked a mentholated brand in 1988. No consistent associations were observed for menthol use and indicators of dependence in both overall and race specific analyses. Factors significantly associated with increased menthol use were female </w:t>
            </w:r>
            <w:proofErr w:type="gramStart"/>
            <w:r w:rsidRPr="005762E6">
              <w:rPr>
                <w:sz w:val="20"/>
                <w:szCs w:val="20"/>
              </w:rPr>
              <w:t>sex,​</w:t>
            </w:r>
            <w:proofErr w:type="gramEnd"/>
            <w:r w:rsidRPr="005762E6">
              <w:rPr>
                <w:sz w:val="20"/>
                <w:szCs w:val="20"/>
              </w:rPr>
              <w:t xml:space="preserve"> age 25-34 years,​ African American and Asian race/ethnicity,​ greater education,​ greater than 60 minutes to the first cigarette in the morning,​ two or more past quit attempts,​ and use of premium brand cigarettes. Canadian respondents and those who smoked 15-24 cigarettes per day had lower rates of menthol use. Use of mentholated cigarettes was not associated with </w:t>
            </w:r>
            <w:proofErr w:type="gramStart"/>
            <w:r w:rsidRPr="005762E6">
              <w:rPr>
                <w:sz w:val="20"/>
                <w:szCs w:val="20"/>
              </w:rPr>
              <w:t>quitting,​</w:t>
            </w:r>
            <w:proofErr w:type="gramEnd"/>
            <w:r w:rsidRPr="005762E6">
              <w:rPr>
                <w:sz w:val="20"/>
                <w:szCs w:val="20"/>
              </w:rPr>
              <w:t xml:space="preserve"> amount smoked,​ or time to first cigarette in the morning.,​ CONCLUSION: Future work is needed to clarify the physiological and sociocultural mechanisms involved in mentholated cigarette smoking.</w:t>
            </w:r>
          </w:p>
        </w:tc>
      </w:tr>
      <w:tr w:rsidR="00B44564" w:rsidRPr="005762E6" w14:paraId="4CC6DC96"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21301CC" w14:textId="77777777" w:rsidR="00B44564" w:rsidRPr="005762E6" w:rsidRDefault="00B44564" w:rsidP="00EA69AA">
            <w:pPr>
              <w:spacing w:after="120" w:line="240" w:lineRule="auto"/>
              <w:contextualSpacing/>
              <w:rPr>
                <w:sz w:val="20"/>
                <w:szCs w:val="20"/>
              </w:rPr>
            </w:pPr>
            <w:r w:rsidRPr="005762E6">
              <w:rPr>
                <w:sz w:val="20"/>
                <w:szCs w:val="20"/>
              </w:rPr>
              <w:lastRenderedPageBreak/>
              <w:t>727</w:t>
            </w:r>
          </w:p>
        </w:tc>
        <w:tc>
          <w:tcPr>
            <w:tcW w:w="0" w:type="auto"/>
            <w:tcBorders>
              <w:top w:val="single" w:sz="6" w:space="0" w:color="auto"/>
              <w:left w:val="single" w:sz="6" w:space="0" w:color="auto"/>
              <w:bottom w:val="single" w:sz="6" w:space="0" w:color="auto"/>
              <w:right w:val="single" w:sz="6" w:space="0" w:color="auto"/>
            </w:tcBorders>
          </w:tcPr>
          <w:p w14:paraId="7E38AAE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F0137CF" w14:textId="5B68B016" w:rsidR="00B44564" w:rsidRPr="005762E6" w:rsidRDefault="00B44564" w:rsidP="00EA69AA">
            <w:pPr>
              <w:spacing w:after="120" w:line="240" w:lineRule="auto"/>
              <w:contextualSpacing/>
              <w:rPr>
                <w:sz w:val="20"/>
                <w:szCs w:val="20"/>
              </w:rPr>
            </w:pPr>
            <w:r w:rsidRPr="005762E6">
              <w:rPr>
                <w:sz w:val="20"/>
                <w:szCs w:val="20"/>
              </w:rPr>
              <w:t xml:space="preserve">Wallace B </w:t>
            </w:r>
            <w:proofErr w:type="gramStart"/>
            <w:r w:rsidRPr="005762E6">
              <w:rPr>
                <w:sz w:val="20"/>
                <w:szCs w:val="20"/>
              </w:rPr>
              <w:t>Pickworth,​</w:t>
            </w:r>
            <w:proofErr w:type="gramEnd"/>
            <w:r w:rsidRPr="005762E6">
              <w:rPr>
                <w:sz w:val="20"/>
                <w:szCs w:val="20"/>
              </w:rPr>
              <w:t xml:space="preserve"> Eric T Moolchan,​ Ivan Berlin,​ Ram Murty Sensory and physiologic effects of menthol and non-menthol cigarettes with differing nicotine delivery</w:t>
            </w:r>
            <w:r w:rsidR="007F2F01">
              <w:rPr>
                <w:sz w:val="20"/>
                <w:szCs w:val="20"/>
              </w:rPr>
              <w:t>.</w:t>
            </w:r>
            <w:r w:rsidRPr="005762E6">
              <w:rPr>
                <w:sz w:val="20"/>
                <w:szCs w:val="20"/>
              </w:rPr>
              <w:t xml:space="preserve"> Pharmacology,​ biochemistry,​ and behavior; 2002;71:55.</w:t>
            </w:r>
            <w:r w:rsidRPr="005762E6">
              <w:rPr>
                <w:sz w:val="20"/>
                <w:szCs w:val="20"/>
              </w:rPr>
              <w:br/>
            </w:r>
            <w:r w:rsidRPr="005762E6">
              <w:rPr>
                <w:sz w:val="20"/>
                <w:szCs w:val="20"/>
              </w:rPr>
              <w:br/>
            </w:r>
            <w:r w:rsidRPr="005762E6">
              <w:rPr>
                <w:b/>
                <w:bCs/>
                <w:sz w:val="20"/>
                <w:szCs w:val="20"/>
              </w:rPr>
              <w:t>Keywords:</w:t>
            </w:r>
            <w:r w:rsidRPr="005762E6">
              <w:rPr>
                <w:sz w:val="20"/>
                <w:szCs w:val="20"/>
              </w:rPr>
              <w:br/>
              <w:t>Adult,​Analysis of Variance,​*Blood Pressure/de [Drug Effects],​Blood Pressure/ph [Physiology],​Chi-Square Distribution,​Double-Blind Method,​Drug Delivery Systems/mt [Methods],​*Drug Delivery Systems/sn [Statistics &amp; Numerical Data],​Female,​*Heart Rate/de [Drug Effects],​Heart Rate/ph [Physiology],​Humans,​Male,​*Menthol/pd [Pharmacology],​*Nicotine/ad [Administration &amp; Dosage],​Nicotinic Agonists/ad [Administration &amp; Dosage],​Personal Satisfaction,​*Sense Organs/de [Drug Effects],​Sense Organs/ph [Physiology],​Smoking/px [Psychology],​*Smoking,​Taste/de [Drug Effects],​Taste/ph [Physiology]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Many smokers choose menthol-flavored cigarettes,​ however,​ the influence of menthol on the effects of smoke-delivered nicotine is unknown. Research and commercial </w:t>
            </w:r>
            <w:proofErr w:type="gramStart"/>
            <w:r w:rsidRPr="005762E6">
              <w:rPr>
                <w:sz w:val="20"/>
                <w:szCs w:val="20"/>
              </w:rPr>
              <w:t>cigarettes,​</w:t>
            </w:r>
            <w:proofErr w:type="gramEnd"/>
            <w:r w:rsidRPr="005762E6">
              <w:rPr>
                <w:sz w:val="20"/>
                <w:szCs w:val="20"/>
              </w:rPr>
              <w:t xml:space="preserve"> menthol and non-menthol,​ that delivered a wide range of nicotine were evaluated. Menthol (n=18) and non-menthol (n=18) cigarette smokers participated in a single session during which three cigarettes were smoked 45 min </w:t>
            </w:r>
            <w:proofErr w:type="gramStart"/>
            <w:r w:rsidRPr="005762E6">
              <w:rPr>
                <w:sz w:val="20"/>
                <w:szCs w:val="20"/>
              </w:rPr>
              <w:t>apart,​</w:t>
            </w:r>
            <w:proofErr w:type="gramEnd"/>
            <w:r w:rsidRPr="005762E6">
              <w:rPr>
                <w:sz w:val="20"/>
                <w:szCs w:val="20"/>
              </w:rPr>
              <w:t xml:space="preserve"> in random order. Federal Trade Commission (FTC) nicotine yields of the three cigarettes were: </w:t>
            </w:r>
            <w:proofErr w:type="gramStart"/>
            <w:r w:rsidRPr="005762E6">
              <w:rPr>
                <w:sz w:val="20"/>
                <w:szCs w:val="20"/>
              </w:rPr>
              <w:t>research,​</w:t>
            </w:r>
            <w:proofErr w:type="gramEnd"/>
            <w:r w:rsidRPr="005762E6">
              <w:rPr>
                <w:sz w:val="20"/>
                <w:szCs w:val="20"/>
              </w:rPr>
              <w:t xml:space="preserve"> low yield,​ 0.2 mg,​ commercial cigarettes (average),​ 1.2 mg; research,​ high yield,​ 2.5 mg. Commercial and high-yield cigarettes increased heart rate (HR) and blood pressure more than low-yield cigarettes; although,​ no differences in exhaled carbon monoxide (CO) occurred. Participants smoked commercial cigarettes faster and with fewer puffs than either of the research cigarette indicating production differences can affect topography. There was a significant group by cigarette interaction on </w:t>
            </w:r>
            <w:proofErr w:type="gramStart"/>
            <w:r w:rsidRPr="005762E6">
              <w:rPr>
                <w:sz w:val="20"/>
                <w:szCs w:val="20"/>
              </w:rPr>
              <w:t>satisfaction,​</w:t>
            </w:r>
            <w:proofErr w:type="gramEnd"/>
            <w:r w:rsidRPr="005762E6">
              <w:rPr>
                <w:sz w:val="20"/>
                <w:szCs w:val="20"/>
              </w:rPr>
              <w:t xml:space="preserve"> and relief from cigarette craving. High-yield non-menthol cigarettes reduced craving and were rated as more satisfying than high-yield menthol cigarettes. No differences between menthol and non-menthol cigarettes on other subjective measures (</w:t>
            </w:r>
            <w:proofErr w:type="gramStart"/>
            <w:r w:rsidRPr="005762E6">
              <w:rPr>
                <w:sz w:val="20"/>
                <w:szCs w:val="20"/>
              </w:rPr>
              <w:t>strength,​</w:t>
            </w:r>
            <w:proofErr w:type="gramEnd"/>
            <w:r w:rsidRPr="005762E6">
              <w:rPr>
                <w:sz w:val="20"/>
                <w:szCs w:val="20"/>
              </w:rPr>
              <w:t xml:space="preserve"> psychological reward,​ negative effects) were observed. Our findings indicate that nicotine </w:t>
            </w:r>
            <w:proofErr w:type="gramStart"/>
            <w:r w:rsidRPr="005762E6">
              <w:rPr>
                <w:sz w:val="20"/>
                <w:szCs w:val="20"/>
              </w:rPr>
              <w:t>delivery,​</w:t>
            </w:r>
            <w:proofErr w:type="gramEnd"/>
            <w:r w:rsidRPr="005762E6">
              <w:rPr>
                <w:sz w:val="20"/>
                <w:szCs w:val="20"/>
              </w:rPr>
              <w:t xml:space="preserve"> but not mentholation,​ influences cardiovascular and most subjective measures. These results illustrate the importance of threshold levels of nicotine on subjective responses to cigarette smoking.</w:t>
            </w:r>
          </w:p>
        </w:tc>
      </w:tr>
      <w:tr w:rsidR="00B44564" w:rsidRPr="005762E6" w14:paraId="6802F18E"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4093EE9" w14:textId="77777777" w:rsidR="00B44564" w:rsidRPr="005762E6" w:rsidRDefault="00B44564" w:rsidP="00EA69AA">
            <w:pPr>
              <w:spacing w:after="120" w:line="240" w:lineRule="auto"/>
              <w:contextualSpacing/>
              <w:rPr>
                <w:sz w:val="20"/>
                <w:szCs w:val="20"/>
              </w:rPr>
            </w:pPr>
            <w:r w:rsidRPr="005762E6">
              <w:rPr>
                <w:sz w:val="20"/>
                <w:szCs w:val="20"/>
              </w:rPr>
              <w:t>728</w:t>
            </w:r>
          </w:p>
        </w:tc>
        <w:tc>
          <w:tcPr>
            <w:tcW w:w="0" w:type="auto"/>
            <w:tcBorders>
              <w:top w:val="single" w:sz="6" w:space="0" w:color="auto"/>
              <w:left w:val="single" w:sz="6" w:space="0" w:color="auto"/>
              <w:bottom w:val="single" w:sz="6" w:space="0" w:color="auto"/>
              <w:right w:val="single" w:sz="6" w:space="0" w:color="auto"/>
            </w:tcBorders>
          </w:tcPr>
          <w:p w14:paraId="71BF310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EC7F4B0" w14:textId="5A38166E" w:rsidR="00B44564" w:rsidRPr="005762E6" w:rsidRDefault="00B44564" w:rsidP="00EA69AA">
            <w:pPr>
              <w:spacing w:after="120" w:line="240" w:lineRule="auto"/>
              <w:contextualSpacing/>
              <w:rPr>
                <w:sz w:val="20"/>
                <w:szCs w:val="20"/>
              </w:rPr>
            </w:pPr>
            <w:r w:rsidRPr="005762E6">
              <w:rPr>
                <w:sz w:val="20"/>
                <w:szCs w:val="20"/>
              </w:rPr>
              <w:t xml:space="preserve">J </w:t>
            </w:r>
            <w:proofErr w:type="gramStart"/>
            <w:r w:rsidRPr="005762E6">
              <w:rPr>
                <w:sz w:val="20"/>
                <w:szCs w:val="20"/>
              </w:rPr>
              <w:t>Appleyard,​</w:t>
            </w:r>
            <w:proofErr w:type="gramEnd"/>
            <w:r w:rsidRPr="005762E6">
              <w:rPr>
                <w:sz w:val="20"/>
                <w:szCs w:val="20"/>
              </w:rPr>
              <w:t xml:space="preserve"> P Messeri,​ M L Haviland Smoking among Asian American and Hawaiian/Pacific Islander youth: data from the 2000 National Youth Tobacco Survey</w:t>
            </w:r>
            <w:r w:rsidR="007F2F01">
              <w:rPr>
                <w:sz w:val="20"/>
                <w:szCs w:val="20"/>
              </w:rPr>
              <w:t>.</w:t>
            </w:r>
            <w:r w:rsidRPr="005762E6">
              <w:rPr>
                <w:sz w:val="20"/>
                <w:szCs w:val="20"/>
              </w:rPr>
              <w:t xml:space="preserve"> Asian American and Pacific Islander journal of health; </w:t>
            </w:r>
            <w:r w:rsidRPr="005762E6">
              <w:rPr>
                <w:sz w:val="20"/>
                <w:szCs w:val="20"/>
              </w:rPr>
              <w:lastRenderedPageBreak/>
              <w:t>2001;9:5.</w:t>
            </w:r>
            <w:r w:rsidRPr="005762E6">
              <w:rPr>
                <w:sz w:val="20"/>
                <w:szCs w:val="20"/>
              </w:rPr>
              <w:br/>
            </w:r>
            <w:r w:rsidRPr="005762E6">
              <w:rPr>
                <w:sz w:val="20"/>
                <w:szCs w:val="20"/>
              </w:rPr>
              <w:br/>
            </w:r>
            <w:r w:rsidRPr="005762E6">
              <w:rPr>
                <w:b/>
                <w:bCs/>
                <w:sz w:val="20"/>
                <w:szCs w:val="20"/>
              </w:rPr>
              <w:t>Keywords:</w:t>
            </w:r>
            <w:r w:rsidRPr="005762E6">
              <w:rPr>
                <w:sz w:val="20"/>
                <w:szCs w:val="20"/>
              </w:rPr>
              <w:br/>
              <w:t>Adolescent,​*Asian Americans/sn [Statistics &amp; Numerical Data],​Child,​Confidence Intervals,​Continental Population Groups,​Female,​Hawaii/ep [Epidemiology],​Humans,​Male,​Pacific Islands/ep [Epidemiology],​*Smoking/eh [Ethnology],​Surveys and Questionnaires,​United States/ep [Epidemiology]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OBJECTIVES: One of the first steps to reducing the disproportionate burden of tobacco on racial and ethnic minorities is to understand how tobacco differentially affects these populations. This </w:t>
            </w:r>
            <w:proofErr w:type="gramStart"/>
            <w:r w:rsidRPr="005762E6">
              <w:rPr>
                <w:sz w:val="20"/>
                <w:szCs w:val="20"/>
              </w:rPr>
              <w:t>paper,​</w:t>
            </w:r>
            <w:proofErr w:type="gramEnd"/>
            <w:r w:rsidRPr="005762E6">
              <w:rPr>
                <w:sz w:val="20"/>
                <w:szCs w:val="20"/>
              </w:rPr>
              <w:t xml:space="preserve"> based on a nationally representative sample of Asian American youth and a smaller sample of Hawaiian/Pacific Islander youth,​ provides the tobacco control community with important information about the smoking behavior of these youth.,​ METHODS: The National Youth Tobacco Survey conducted during the Spring of 2000 (NYTS 2000) provides recent national estimates of smoking behavior among Asian American youth. The data also permit a limited exploration of possible differences between self-described Asians and Hawaiian/Pacific Islander youth,​ two groups that have been combined into a single racial/ethnic category in earlier national studies.,​ FINDINGS: This report provides estimates and 95 percent confidence intervals for current smoking,​ age of smoking initiation,​ use of menthol cigarettes and tobacco brand preferences.,​ CONCLUSIONS: NYTS 2000 data indicate that during the last year of high school,​ one third of Asian American youth are smokers. Of these </w:t>
            </w:r>
            <w:proofErr w:type="gramStart"/>
            <w:r w:rsidRPr="005762E6">
              <w:rPr>
                <w:sz w:val="20"/>
                <w:szCs w:val="20"/>
              </w:rPr>
              <w:t>youth,​</w:t>
            </w:r>
            <w:proofErr w:type="gramEnd"/>
            <w:r w:rsidRPr="005762E6">
              <w:rPr>
                <w:sz w:val="20"/>
                <w:szCs w:val="20"/>
              </w:rPr>
              <w:t xml:space="preserve"> 60% report that their usual brand of cigarettes is a menthol brand. Among female Hawaiian/Pacific Islander youth in middle </w:t>
            </w:r>
            <w:proofErr w:type="gramStart"/>
            <w:r w:rsidRPr="005762E6">
              <w:rPr>
                <w:sz w:val="20"/>
                <w:szCs w:val="20"/>
              </w:rPr>
              <w:t>school,​</w:t>
            </w:r>
            <w:proofErr w:type="gramEnd"/>
            <w:r w:rsidRPr="005762E6">
              <w:rPr>
                <w:sz w:val="20"/>
                <w:szCs w:val="20"/>
              </w:rPr>
              <w:t xml:space="preserve"> more than 25% report having smoked during the past month.</w:t>
            </w:r>
          </w:p>
        </w:tc>
      </w:tr>
      <w:tr w:rsidR="00B44564" w:rsidRPr="005762E6" w14:paraId="4C248894"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3F9CAD2" w14:textId="77777777" w:rsidR="00B44564" w:rsidRPr="005762E6" w:rsidRDefault="00B44564" w:rsidP="00EA69AA">
            <w:pPr>
              <w:spacing w:after="120" w:line="240" w:lineRule="auto"/>
              <w:contextualSpacing/>
              <w:rPr>
                <w:sz w:val="20"/>
                <w:szCs w:val="20"/>
              </w:rPr>
            </w:pPr>
            <w:r w:rsidRPr="005762E6">
              <w:rPr>
                <w:sz w:val="20"/>
                <w:szCs w:val="20"/>
              </w:rPr>
              <w:lastRenderedPageBreak/>
              <w:t>732</w:t>
            </w:r>
          </w:p>
        </w:tc>
        <w:tc>
          <w:tcPr>
            <w:tcW w:w="0" w:type="auto"/>
            <w:tcBorders>
              <w:top w:val="single" w:sz="6" w:space="0" w:color="auto"/>
              <w:left w:val="single" w:sz="6" w:space="0" w:color="auto"/>
              <w:bottom w:val="single" w:sz="6" w:space="0" w:color="auto"/>
              <w:right w:val="single" w:sz="6" w:space="0" w:color="auto"/>
            </w:tcBorders>
          </w:tcPr>
          <w:p w14:paraId="30E6CC42"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136BE05" w14:textId="34C15D04" w:rsidR="00B44564" w:rsidRPr="005762E6" w:rsidRDefault="00B44564" w:rsidP="00EA69AA">
            <w:pPr>
              <w:spacing w:after="120" w:line="240" w:lineRule="auto"/>
              <w:contextualSpacing/>
              <w:rPr>
                <w:sz w:val="20"/>
                <w:szCs w:val="20"/>
              </w:rPr>
            </w:pPr>
            <w:r w:rsidRPr="005762E6">
              <w:rPr>
                <w:sz w:val="20"/>
                <w:szCs w:val="20"/>
              </w:rPr>
              <w:t>Anonymous Women who smoke menthol cigarettes have greater nicotine exposure</w:t>
            </w:r>
            <w:r w:rsidR="007F2F01">
              <w:rPr>
                <w:sz w:val="20"/>
                <w:szCs w:val="20"/>
              </w:rPr>
              <w:t>.</w:t>
            </w:r>
            <w:r w:rsidRPr="005762E6">
              <w:rPr>
                <w:sz w:val="20"/>
                <w:szCs w:val="20"/>
              </w:rPr>
              <w:t xml:space="preserve"> Oncology (Williston </w:t>
            </w:r>
            <w:proofErr w:type="gramStart"/>
            <w:r w:rsidRPr="005762E6">
              <w:rPr>
                <w:sz w:val="20"/>
                <w:szCs w:val="20"/>
              </w:rPr>
              <w:t>Park,​</w:t>
            </w:r>
            <w:proofErr w:type="gramEnd"/>
            <w:r w:rsidRPr="005762E6">
              <w:rPr>
                <w:sz w:val="20"/>
                <w:szCs w:val="20"/>
              </w:rPr>
              <w:t xml:space="preserve"> N.Y.); 1999;13:915.</w:t>
            </w:r>
            <w:r w:rsidRPr="005762E6">
              <w:rPr>
                <w:sz w:val="20"/>
                <w:szCs w:val="20"/>
              </w:rPr>
              <w:br/>
            </w:r>
            <w:r w:rsidRPr="005762E6">
              <w:rPr>
                <w:sz w:val="20"/>
                <w:szCs w:val="20"/>
              </w:rPr>
              <w:br/>
            </w:r>
            <w:r w:rsidRPr="005762E6">
              <w:rPr>
                <w:b/>
                <w:bCs/>
                <w:sz w:val="20"/>
                <w:szCs w:val="20"/>
              </w:rPr>
              <w:t>Keywords:</w:t>
            </w:r>
            <w:r w:rsidRPr="005762E6">
              <w:rPr>
                <w:sz w:val="20"/>
                <w:szCs w:val="20"/>
              </w:rPr>
              <w:br/>
              <w:t>African Continental Ancestry Group,​European Continental Ancestry Group,​Female,​Humans,​*Menthol/ae [Adverse Effects],​*Nicotine/ae [Adverse Effects],​*Plants,​ Toxic,​*Smoking/ae [Adverse Effects],​*Tobacco,​Tobacco Use Disorder/eh [Ethnology],​*Tobacco Use Disorder/et [Etiology],​United States/ep [Epidemiology],​*Women's Health</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15F42135"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0986989" w14:textId="77777777" w:rsidR="00B44564" w:rsidRPr="005762E6" w:rsidRDefault="00B44564" w:rsidP="00EA69AA">
            <w:pPr>
              <w:spacing w:after="120" w:line="240" w:lineRule="auto"/>
              <w:contextualSpacing/>
              <w:rPr>
                <w:sz w:val="20"/>
                <w:szCs w:val="20"/>
              </w:rPr>
            </w:pPr>
            <w:r w:rsidRPr="005762E6">
              <w:rPr>
                <w:sz w:val="20"/>
                <w:szCs w:val="20"/>
              </w:rPr>
              <w:t>733</w:t>
            </w:r>
          </w:p>
        </w:tc>
        <w:tc>
          <w:tcPr>
            <w:tcW w:w="0" w:type="auto"/>
            <w:tcBorders>
              <w:top w:val="single" w:sz="6" w:space="0" w:color="auto"/>
              <w:left w:val="single" w:sz="6" w:space="0" w:color="auto"/>
              <w:bottom w:val="single" w:sz="6" w:space="0" w:color="auto"/>
              <w:right w:val="single" w:sz="6" w:space="0" w:color="auto"/>
            </w:tcBorders>
          </w:tcPr>
          <w:p w14:paraId="62158974"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F471B6D" w14:textId="791A413C" w:rsidR="00B44564" w:rsidRPr="005762E6" w:rsidRDefault="00B44564" w:rsidP="00EA69AA">
            <w:pPr>
              <w:spacing w:after="120" w:line="240" w:lineRule="auto"/>
              <w:contextualSpacing/>
              <w:rPr>
                <w:sz w:val="20"/>
                <w:szCs w:val="20"/>
              </w:rPr>
            </w:pPr>
            <w:r w:rsidRPr="005762E6">
              <w:rPr>
                <w:sz w:val="20"/>
                <w:szCs w:val="20"/>
              </w:rPr>
              <w:t xml:space="preserve">W S </w:t>
            </w:r>
            <w:proofErr w:type="gramStart"/>
            <w:r w:rsidRPr="005762E6">
              <w:rPr>
                <w:sz w:val="20"/>
                <w:szCs w:val="20"/>
              </w:rPr>
              <w:t>Pritchard,​</w:t>
            </w:r>
            <w:proofErr w:type="gramEnd"/>
            <w:r w:rsidRPr="005762E6">
              <w:rPr>
                <w:sz w:val="20"/>
                <w:szCs w:val="20"/>
              </w:rPr>
              <w:t xml:space="preserve"> M E Houlihan,​ T D Guy,​ J H Robinson Little evidence that "denicotinized" menthol cigarettes have pharmacological effects: an EEG/heart-rate/sujective-response study</w:t>
            </w:r>
            <w:r w:rsidR="007F2F01">
              <w:rPr>
                <w:sz w:val="20"/>
                <w:szCs w:val="20"/>
              </w:rPr>
              <w:t>.</w:t>
            </w:r>
            <w:r w:rsidRPr="005762E6">
              <w:rPr>
                <w:sz w:val="20"/>
                <w:szCs w:val="20"/>
              </w:rPr>
              <w:t xml:space="preserve"> Psychopharmacology; </w:t>
            </w:r>
            <w:proofErr w:type="gramStart"/>
            <w:r w:rsidRPr="005762E6">
              <w:rPr>
                <w:sz w:val="20"/>
                <w:szCs w:val="20"/>
              </w:rPr>
              <w:t>1999;143:273</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Adolescent,​Adult,​Analysis of Variance,​Carbon Monoxide/an [Analysis],​*Electroencephalography/de [Drug Effects],​Electroencephalography/px [Psychology],​*Flavoring Agents/pd [Pharmacology],​*Heart Rate/de [Drug Effects],​Humans,​Male,​*Menthol/pd [Pharmacology],​*Psychotropic Drugs/pd [Pharmacology],​*Smoking/px [Psychology]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RATIONALE: A substantial portion of cigarette smokers prefer menthol-flavored cigarettes. To </w:t>
            </w:r>
            <w:proofErr w:type="gramStart"/>
            <w:r w:rsidRPr="005762E6">
              <w:rPr>
                <w:sz w:val="20"/>
                <w:szCs w:val="20"/>
              </w:rPr>
              <w:t>date,​</w:t>
            </w:r>
            <w:proofErr w:type="gramEnd"/>
            <w:r w:rsidRPr="005762E6">
              <w:rPr>
                <w:sz w:val="20"/>
                <w:szCs w:val="20"/>
              </w:rPr>
              <w:t xml:space="preserve"> however,​ no studies have examined whether menthol in cigarettes has central pharmacological effects.,​ OBJECTIVE: We investigated psychophysiological and subjective effects of smoking menthol versus non-menthol cigarettes in both menthol and non-menthol smokers. To assess these effects independently of the immediate effects of </w:t>
            </w:r>
            <w:proofErr w:type="gramStart"/>
            <w:r w:rsidRPr="005762E6">
              <w:rPr>
                <w:sz w:val="20"/>
                <w:szCs w:val="20"/>
              </w:rPr>
              <w:t>nicotine,​</w:t>
            </w:r>
            <w:proofErr w:type="gramEnd"/>
            <w:r w:rsidRPr="005762E6">
              <w:rPr>
                <w:sz w:val="20"/>
                <w:szCs w:val="20"/>
              </w:rPr>
              <w:t xml:space="preserve"> all cigarettes employed were "denicotinized" (FTC nicotine yield = 0.06 mg).,​ METHODS: The psychophysiological measures were EEG and heart rate (HR). The subjective measures assessed mental </w:t>
            </w:r>
            <w:proofErr w:type="gramStart"/>
            <w:r w:rsidRPr="005762E6">
              <w:rPr>
                <w:sz w:val="20"/>
                <w:szCs w:val="20"/>
              </w:rPr>
              <w:t>alertness,​</w:t>
            </w:r>
            <w:proofErr w:type="gramEnd"/>
            <w:r w:rsidRPr="005762E6">
              <w:rPr>
                <w:sz w:val="20"/>
                <w:szCs w:val="20"/>
              </w:rPr>
              <w:t xml:space="preserve"> muscular relaxation,​ anxiety/nervousness,​ and how much a participant wanted to smoke one of his usual brand of cigarettes. Menthol and non-menthol smokers participated in a single session in which each participant smoked both a menthol and a non-menthol denicotinized cigarette (order balanced across participants). The psychophysiological and subjective measures were recorded before and after smoking each cigarette</w:t>
            </w:r>
            <w:proofErr w:type="gramStart"/>
            <w:r w:rsidRPr="005762E6">
              <w:rPr>
                <w:sz w:val="20"/>
                <w:szCs w:val="20"/>
              </w:rPr>
              <w:t>.,​</w:t>
            </w:r>
            <w:proofErr w:type="gramEnd"/>
            <w:r w:rsidRPr="005762E6">
              <w:rPr>
                <w:sz w:val="20"/>
                <w:szCs w:val="20"/>
              </w:rPr>
              <w:t xml:space="preserve"> RESULTS: Out of 48 F-ratios spanning 22 analyses of variance involving the critical </w:t>
            </w:r>
            <w:r w:rsidRPr="005762E6">
              <w:rPr>
                <w:sz w:val="20"/>
                <w:szCs w:val="20"/>
              </w:rPr>
              <w:lastRenderedPageBreak/>
              <w:t>interaction between pre-/post-smoking and menthol/non-menthol cigarette,​ only one unambiguously fit a "pharmacological" pattern,​ a result indistinguishable from a type-I statistical error. We report evidence that menthol smokers may be chronically less aroused and more sensitive to the effects of nicotine than non-menthol smokers</w:t>
            </w:r>
            <w:proofErr w:type="gramStart"/>
            <w:r w:rsidRPr="005762E6">
              <w:rPr>
                <w:sz w:val="20"/>
                <w:szCs w:val="20"/>
              </w:rPr>
              <w:t>.,​</w:t>
            </w:r>
            <w:proofErr w:type="gramEnd"/>
            <w:r w:rsidRPr="005762E6">
              <w:rPr>
                <w:sz w:val="20"/>
                <w:szCs w:val="20"/>
              </w:rPr>
              <w:t xml:space="preserve"> CONCLUSIONS: We found little evidence that menthol in cigarettes has central pharmacological effects.</w:t>
            </w:r>
          </w:p>
        </w:tc>
      </w:tr>
      <w:tr w:rsidR="00B44564" w:rsidRPr="005762E6" w14:paraId="44B8C38D"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1AAA46D" w14:textId="77777777" w:rsidR="00B44564" w:rsidRPr="005762E6" w:rsidRDefault="00B44564" w:rsidP="00EA69AA">
            <w:pPr>
              <w:spacing w:after="120" w:line="240" w:lineRule="auto"/>
              <w:contextualSpacing/>
              <w:rPr>
                <w:sz w:val="20"/>
                <w:szCs w:val="20"/>
              </w:rPr>
            </w:pPr>
            <w:r w:rsidRPr="005762E6">
              <w:rPr>
                <w:sz w:val="20"/>
                <w:szCs w:val="20"/>
              </w:rPr>
              <w:lastRenderedPageBreak/>
              <w:t>734</w:t>
            </w:r>
          </w:p>
        </w:tc>
        <w:tc>
          <w:tcPr>
            <w:tcW w:w="0" w:type="auto"/>
            <w:tcBorders>
              <w:top w:val="single" w:sz="6" w:space="0" w:color="auto"/>
              <w:left w:val="single" w:sz="6" w:space="0" w:color="auto"/>
              <w:bottom w:val="single" w:sz="6" w:space="0" w:color="auto"/>
              <w:right w:val="single" w:sz="6" w:space="0" w:color="auto"/>
            </w:tcBorders>
          </w:tcPr>
          <w:p w14:paraId="1A72CFF4"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1A07BC3" w14:textId="7F459261" w:rsidR="00B44564" w:rsidRPr="005762E6" w:rsidRDefault="00B44564" w:rsidP="00EA69AA">
            <w:pPr>
              <w:spacing w:after="120" w:line="240" w:lineRule="auto"/>
              <w:contextualSpacing/>
              <w:rPr>
                <w:sz w:val="20"/>
                <w:szCs w:val="20"/>
              </w:rPr>
            </w:pPr>
            <w:r w:rsidRPr="005762E6">
              <w:rPr>
                <w:sz w:val="20"/>
                <w:szCs w:val="20"/>
              </w:rPr>
              <w:t xml:space="preserve">K </w:t>
            </w:r>
            <w:proofErr w:type="gramStart"/>
            <w:r w:rsidRPr="005762E6">
              <w:rPr>
                <w:sz w:val="20"/>
                <w:szCs w:val="20"/>
              </w:rPr>
              <w:t>Ahijevych,​</w:t>
            </w:r>
            <w:proofErr w:type="gramEnd"/>
            <w:r w:rsidRPr="005762E6">
              <w:rPr>
                <w:sz w:val="20"/>
                <w:szCs w:val="20"/>
              </w:rPr>
              <w:t xml:space="preserve"> L A Parsley Smoke constituent exposure and stage of change in black and white women cigarette smokers</w:t>
            </w:r>
            <w:r w:rsidR="007F2F01">
              <w:rPr>
                <w:sz w:val="20"/>
                <w:szCs w:val="20"/>
              </w:rPr>
              <w:t>.</w:t>
            </w:r>
            <w:r w:rsidRPr="005762E6">
              <w:rPr>
                <w:sz w:val="20"/>
                <w:szCs w:val="20"/>
              </w:rPr>
              <w:t xml:space="preserve"> Addictive behaviors; 1999;24:115.</w:t>
            </w:r>
            <w:r w:rsidRPr="005762E6">
              <w:rPr>
                <w:sz w:val="20"/>
                <w:szCs w:val="20"/>
              </w:rPr>
              <w:br/>
            </w:r>
            <w:r w:rsidRPr="005762E6">
              <w:rPr>
                <w:sz w:val="20"/>
                <w:szCs w:val="20"/>
              </w:rPr>
              <w:br/>
            </w:r>
            <w:r w:rsidRPr="005762E6">
              <w:rPr>
                <w:b/>
                <w:bCs/>
                <w:sz w:val="20"/>
                <w:szCs w:val="20"/>
              </w:rPr>
              <w:t>Keywords:</w:t>
            </w:r>
            <w:r w:rsidRPr="005762E6">
              <w:rPr>
                <w:sz w:val="20"/>
                <w:szCs w:val="20"/>
              </w:rPr>
              <w:br/>
              <w:t>Adult,​*African Americans/px [Psychology],​*Attitude to Health/eh [Ethnology],​Behavior,​ Addictive/cl [Classification],​Behavior,​ Addictive/me [Metabolism],​Behavior,​ Addictive/px [Psychology],​*Behavior,​ Addictive,​Decision Making,​*European Continental Ancestry Group/px [Psychology],​Female,​Humans,​Linear Models,​Menthol,​Motivation,​Sampling Studies,​Severity of Illness Index,​*Smoke/an [Analysis],​*Smoking/eh [Ethnology],​Smoking/me [Metabolism],​Smoking/px [Psychology],​Smoking Cessation/px [Psychology],​Time Factors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Differences in smoke constituent exposure by ethnicity and menthol preference and differences in decisional balance and habit strength by stage of change,​ ethnicity,​ and menthol preference were examined in this 2-factor study design. Ninety-five </w:t>
            </w:r>
            <w:proofErr w:type="gramStart"/>
            <w:r w:rsidRPr="005762E6">
              <w:rPr>
                <w:sz w:val="20"/>
                <w:szCs w:val="20"/>
              </w:rPr>
              <w:t>women,​</w:t>
            </w:r>
            <w:proofErr w:type="gramEnd"/>
            <w:r w:rsidRPr="005762E6">
              <w:rPr>
                <w:sz w:val="20"/>
                <w:szCs w:val="20"/>
              </w:rPr>
              <w:t xml:space="preserve"> half of whom were Black and half of who smoked menthol cigarettes,​ participated in a cigarette smoking bout in the Clinical Research Center. Measures of smoking </w:t>
            </w:r>
            <w:proofErr w:type="gramStart"/>
            <w:r w:rsidRPr="005762E6">
              <w:rPr>
                <w:sz w:val="20"/>
                <w:szCs w:val="20"/>
              </w:rPr>
              <w:t>topography,​</w:t>
            </w:r>
            <w:proofErr w:type="gramEnd"/>
            <w:r w:rsidRPr="005762E6">
              <w:rPr>
                <w:sz w:val="20"/>
                <w:szCs w:val="20"/>
              </w:rPr>
              <w:t xml:space="preserve"> plasma cotinine and nicotine,​ and expired carbon monoxide were obtained in addition to self-report of the pros and cons of smoking,​ time to first cigarette,​ and smoking history. Black women smoked significantly fewer cigarettes per </w:t>
            </w:r>
            <w:proofErr w:type="gramStart"/>
            <w:r w:rsidRPr="005762E6">
              <w:rPr>
                <w:sz w:val="20"/>
                <w:szCs w:val="20"/>
              </w:rPr>
              <w:t>day,​</w:t>
            </w:r>
            <w:proofErr w:type="gramEnd"/>
            <w:r w:rsidRPr="005762E6">
              <w:rPr>
                <w:sz w:val="20"/>
                <w:szCs w:val="20"/>
              </w:rPr>
              <w:t xml:space="preserve"> but had higher cotinine levels compared to White women. Menthol smokers (n = 49) had significantly larger puff </w:t>
            </w:r>
            <w:proofErr w:type="gramStart"/>
            <w:r w:rsidRPr="005762E6">
              <w:rPr>
                <w:sz w:val="20"/>
                <w:szCs w:val="20"/>
              </w:rPr>
              <w:t>volumes,​</w:t>
            </w:r>
            <w:proofErr w:type="gramEnd"/>
            <w:r w:rsidRPr="005762E6">
              <w:rPr>
                <w:sz w:val="20"/>
                <w:szCs w:val="20"/>
              </w:rPr>
              <w:t xml:space="preserve"> higher cotinine levels,​ and shorter time to first cigarette compared to nonmenthol smokers (n = 46). Precontemplators (n = 44) were significantly lower on beliefs about the negative aspects of smoking compared to contemplators and those in preparation stage. Black </w:t>
            </w:r>
            <w:proofErr w:type="gramStart"/>
            <w:r w:rsidRPr="005762E6">
              <w:rPr>
                <w:sz w:val="20"/>
                <w:szCs w:val="20"/>
              </w:rPr>
              <w:t>women,​</w:t>
            </w:r>
            <w:proofErr w:type="gramEnd"/>
            <w:r w:rsidRPr="005762E6">
              <w:rPr>
                <w:sz w:val="20"/>
                <w:szCs w:val="20"/>
              </w:rPr>
              <w:t xml:space="preserve"> all stages combined,​ had higher negative beliefs about smoking than did White women. Implications for assessment of smoking patterns and intervention are discussed.</w:t>
            </w:r>
          </w:p>
        </w:tc>
      </w:tr>
      <w:tr w:rsidR="00B44564" w:rsidRPr="005762E6" w14:paraId="139237B9"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F32DEA5" w14:textId="77777777" w:rsidR="00B44564" w:rsidRPr="005762E6" w:rsidRDefault="00B44564" w:rsidP="00EA69AA">
            <w:pPr>
              <w:spacing w:after="120" w:line="240" w:lineRule="auto"/>
              <w:contextualSpacing/>
              <w:rPr>
                <w:sz w:val="20"/>
                <w:szCs w:val="20"/>
              </w:rPr>
            </w:pPr>
            <w:r w:rsidRPr="005762E6">
              <w:rPr>
                <w:sz w:val="20"/>
                <w:szCs w:val="20"/>
              </w:rPr>
              <w:t>738</w:t>
            </w:r>
          </w:p>
        </w:tc>
        <w:tc>
          <w:tcPr>
            <w:tcW w:w="0" w:type="auto"/>
            <w:tcBorders>
              <w:top w:val="single" w:sz="6" w:space="0" w:color="auto"/>
              <w:left w:val="single" w:sz="6" w:space="0" w:color="auto"/>
              <w:bottom w:val="single" w:sz="6" w:space="0" w:color="auto"/>
              <w:right w:val="single" w:sz="6" w:space="0" w:color="auto"/>
            </w:tcBorders>
          </w:tcPr>
          <w:p w14:paraId="5D946BC2"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1F6C938" w14:textId="2B0D8F8C" w:rsidR="00B44564" w:rsidRPr="005762E6" w:rsidRDefault="00B44564" w:rsidP="00EA69AA">
            <w:pPr>
              <w:spacing w:after="120" w:line="240" w:lineRule="auto"/>
              <w:contextualSpacing/>
              <w:rPr>
                <w:sz w:val="20"/>
                <w:szCs w:val="20"/>
              </w:rPr>
            </w:pPr>
            <w:r w:rsidRPr="005762E6">
              <w:rPr>
                <w:sz w:val="20"/>
                <w:szCs w:val="20"/>
              </w:rPr>
              <w:t xml:space="preserve">G D </w:t>
            </w:r>
            <w:proofErr w:type="gramStart"/>
            <w:r w:rsidRPr="005762E6">
              <w:rPr>
                <w:sz w:val="20"/>
                <w:szCs w:val="20"/>
              </w:rPr>
              <w:t>Friedman,​</w:t>
            </w:r>
            <w:proofErr w:type="gramEnd"/>
            <w:r w:rsidRPr="005762E6">
              <w:rPr>
                <w:sz w:val="20"/>
                <w:szCs w:val="20"/>
              </w:rPr>
              <w:t xml:space="preserve"> M Sadler,​ I S Tekawa,​ S Sidney Mentholated cigarettes and non-lung smoking related cancers in California,​ USA</w:t>
            </w:r>
            <w:r w:rsidR="007F2F01">
              <w:rPr>
                <w:sz w:val="20"/>
                <w:szCs w:val="20"/>
              </w:rPr>
              <w:t>.</w:t>
            </w:r>
            <w:r w:rsidRPr="005762E6">
              <w:rPr>
                <w:sz w:val="20"/>
                <w:szCs w:val="20"/>
              </w:rPr>
              <w:t xml:space="preserve"> Journal of epidemiology and community health; </w:t>
            </w:r>
            <w:proofErr w:type="gramStart"/>
            <w:r w:rsidRPr="005762E6">
              <w:rPr>
                <w:sz w:val="20"/>
                <w:szCs w:val="20"/>
              </w:rPr>
              <w:t>1998;52:202</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Adult,​Aged,​California/ep [Epidemiology],​Female,​Follow-Up Studies,​Humans,​Male,​*Menthol,​Middle Aged,​Neoplasms/ep [Epidemiology],​*Neoplasms/et [Etiology],​*Smoking/ae [Adverse Effects]</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6304599C"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B706788" w14:textId="77777777" w:rsidR="00B44564" w:rsidRPr="005762E6" w:rsidRDefault="00B44564" w:rsidP="00EA69AA">
            <w:pPr>
              <w:spacing w:after="120" w:line="240" w:lineRule="auto"/>
              <w:contextualSpacing/>
              <w:rPr>
                <w:sz w:val="20"/>
                <w:szCs w:val="20"/>
              </w:rPr>
            </w:pPr>
            <w:r w:rsidRPr="005762E6">
              <w:rPr>
                <w:sz w:val="20"/>
                <w:szCs w:val="20"/>
              </w:rPr>
              <w:t>739</w:t>
            </w:r>
          </w:p>
        </w:tc>
        <w:tc>
          <w:tcPr>
            <w:tcW w:w="0" w:type="auto"/>
            <w:tcBorders>
              <w:top w:val="single" w:sz="6" w:space="0" w:color="auto"/>
              <w:left w:val="single" w:sz="6" w:space="0" w:color="auto"/>
              <w:bottom w:val="single" w:sz="6" w:space="0" w:color="auto"/>
              <w:right w:val="single" w:sz="6" w:space="0" w:color="auto"/>
            </w:tcBorders>
          </w:tcPr>
          <w:p w14:paraId="5240B68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7A6547F" w14:textId="4248AE86" w:rsidR="00B44564" w:rsidRPr="005762E6" w:rsidRDefault="00B44564" w:rsidP="00EA69AA">
            <w:pPr>
              <w:spacing w:after="120" w:line="240" w:lineRule="auto"/>
              <w:contextualSpacing/>
              <w:rPr>
                <w:sz w:val="20"/>
                <w:szCs w:val="20"/>
              </w:rPr>
            </w:pPr>
            <w:r w:rsidRPr="005762E6">
              <w:rPr>
                <w:sz w:val="20"/>
                <w:szCs w:val="20"/>
              </w:rPr>
              <w:t xml:space="preserve">J P Jr </w:t>
            </w:r>
            <w:proofErr w:type="gramStart"/>
            <w:r w:rsidRPr="005762E6">
              <w:rPr>
                <w:sz w:val="20"/>
                <w:szCs w:val="20"/>
              </w:rPr>
              <w:t>Richie,​</w:t>
            </w:r>
            <w:proofErr w:type="gramEnd"/>
            <w:r w:rsidRPr="005762E6">
              <w:rPr>
                <w:sz w:val="20"/>
                <w:szCs w:val="20"/>
              </w:rPr>
              <w:t xml:space="preserve"> S G Carmella,​ J E Muscat,​ D G Scott,​ S A Akerkar,​ S </w:t>
            </w:r>
            <w:proofErr w:type="spellStart"/>
            <w:r w:rsidRPr="005762E6">
              <w:rPr>
                <w:sz w:val="20"/>
                <w:szCs w:val="20"/>
              </w:rPr>
              <w:t>S</w:t>
            </w:r>
            <w:proofErr w:type="spellEnd"/>
            <w:r w:rsidRPr="005762E6">
              <w:rPr>
                <w:sz w:val="20"/>
                <w:szCs w:val="20"/>
              </w:rPr>
              <w:t xml:space="preserve"> Hecht Differences in the urinary metabolites of the tobacco-specific lung carcinogen 4-(methylnitrosamino)-1-(3-pyridyl)-1-butanone in black and white smokers</w:t>
            </w:r>
            <w:r w:rsidR="007F2F01">
              <w:rPr>
                <w:sz w:val="20"/>
                <w:szCs w:val="20"/>
              </w:rPr>
              <w:t>.</w:t>
            </w:r>
            <w:r w:rsidRPr="005762E6">
              <w:rPr>
                <w:sz w:val="20"/>
                <w:szCs w:val="20"/>
              </w:rPr>
              <w:t xml:space="preserve"> Cancer epidemiology,​ biomarkers &amp; prevention : a publication of the American Association for Cancer Research,​ cosponsored by the American Society of Preventive Oncology; 1997;6:783.</w:t>
            </w:r>
            <w:r w:rsidRPr="005762E6">
              <w:rPr>
                <w:sz w:val="20"/>
                <w:szCs w:val="20"/>
              </w:rPr>
              <w:br/>
            </w:r>
            <w:r w:rsidRPr="005762E6">
              <w:rPr>
                <w:sz w:val="20"/>
                <w:szCs w:val="20"/>
              </w:rPr>
              <w:br/>
            </w:r>
            <w:r w:rsidRPr="005762E6">
              <w:rPr>
                <w:b/>
                <w:bCs/>
                <w:sz w:val="20"/>
                <w:szCs w:val="20"/>
              </w:rPr>
              <w:t>Keywords:</w:t>
            </w:r>
            <w:r w:rsidRPr="005762E6">
              <w:rPr>
                <w:sz w:val="20"/>
                <w:szCs w:val="20"/>
              </w:rPr>
              <w:br/>
              <w:t>Adult,​*African Continental Ancestry Group,​Analysis of Variance,​Animals,​Biomarkers/ur [Urine],​Carcinogens/me [Metabolism],​Cotinine/ur [Urine],​Creatinine/ur [Urine],​*European Continental Ancestry Group,​Female,​*Glucuronates/ur [Urine],​Humans,​Incidence,​*Lung Neoplasms/ep [Epidemiology],​Male,​Menthol,​Middle Aged,​*Nitrosamines/me [Metabolism],​*Nitrosamines/ur [Urine],​Plants,​ Toxic,​Rats,​Smoking/ae [Adverse Effects],​Smoking/eh [Ethnology],​*Smoking/me [Metabolism],​Tobacco/me [Metabolism]</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Incidence and mortality rates for lung cancer in the United States are significantly greater in blacks than in whites. This disparity cannot be explained by differences in smoking behavior. We hypothesize that the observed racial differences in risk may be due to differences in the metabolic activation or detoxification of the tobacco-specific lung carcinogen 4-(methylnitrosamino)-1-(3-pyridyl)-1-butanone (NNK). To test </w:t>
            </w:r>
            <w:proofErr w:type="gramStart"/>
            <w:r w:rsidRPr="005762E6">
              <w:rPr>
                <w:sz w:val="20"/>
                <w:szCs w:val="20"/>
              </w:rPr>
              <w:t>this,​</w:t>
            </w:r>
            <w:proofErr w:type="gramEnd"/>
            <w:r w:rsidRPr="005762E6">
              <w:rPr>
                <w:sz w:val="20"/>
                <w:szCs w:val="20"/>
              </w:rPr>
              <w:t xml:space="preserve"> </w:t>
            </w:r>
            <w:r w:rsidRPr="005762E6">
              <w:rPr>
                <w:sz w:val="20"/>
                <w:szCs w:val="20"/>
              </w:rPr>
              <w:lastRenderedPageBreak/>
              <w:t xml:space="preserve">different biomarkers of NNK exposure and metabolism,​ including the urinary metabolite 4-(methylnitrosamino)-1-(3-pyridyl)-1-butanol (NNAL) and the presumed detoxification product [4-(methylnitrosamino)-1-(3-pyridyl)but-1-yl]-beta-O-D-glucosiduronic acid (NNAL-Gluc),​ were examined along with questionnaire data on lifestyle habits and diet in a metabolic epidemiological study of 34 black and 27 white healthy smokers. Results demonstrated that urinary NNAL-Gluc:NNAL </w:t>
            </w:r>
            <w:proofErr w:type="gramStart"/>
            <w:r w:rsidRPr="005762E6">
              <w:rPr>
                <w:sz w:val="20"/>
                <w:szCs w:val="20"/>
              </w:rPr>
              <w:t>ratios,​</w:t>
            </w:r>
            <w:proofErr w:type="gramEnd"/>
            <w:r w:rsidRPr="005762E6">
              <w:rPr>
                <w:sz w:val="20"/>
                <w:szCs w:val="20"/>
              </w:rPr>
              <w:t xml:space="preserve"> a likely indicator of NNAL glucuronidation and detoxification,​ were significantly greater in whites than in blacks (P &lt; 0.02). In </w:t>
            </w:r>
            <w:proofErr w:type="gramStart"/>
            <w:r w:rsidRPr="005762E6">
              <w:rPr>
                <w:sz w:val="20"/>
                <w:szCs w:val="20"/>
              </w:rPr>
              <w:t>addition,​</w:t>
            </w:r>
            <w:proofErr w:type="gramEnd"/>
            <w:r w:rsidRPr="005762E6">
              <w:rPr>
                <w:sz w:val="20"/>
                <w:szCs w:val="20"/>
              </w:rPr>
              <w:t xml:space="preserve"> two phenotypes were apparent by probit analysis representing poor (ratio &lt; 6) and extensive (ratio &gt; or = 6) glucuronidation groups. The proportion of blacks falling into the </w:t>
            </w:r>
            <w:proofErr w:type="gramStart"/>
            <w:r w:rsidRPr="005762E6">
              <w:rPr>
                <w:sz w:val="20"/>
                <w:szCs w:val="20"/>
              </w:rPr>
              <w:t>former,​</w:t>
            </w:r>
            <w:proofErr w:type="gramEnd"/>
            <w:r w:rsidRPr="005762E6">
              <w:rPr>
                <w:sz w:val="20"/>
                <w:szCs w:val="20"/>
              </w:rPr>
              <w:t xml:space="preserve"> potentially high-risk group was significantly greater than that of whites (P &lt; 0.05). The absolute levels of urinary </w:t>
            </w:r>
            <w:proofErr w:type="gramStart"/>
            <w:r w:rsidRPr="005762E6">
              <w:rPr>
                <w:sz w:val="20"/>
                <w:szCs w:val="20"/>
              </w:rPr>
              <w:t>NNAL,​</w:t>
            </w:r>
            <w:proofErr w:type="gramEnd"/>
            <w:r w:rsidRPr="005762E6">
              <w:rPr>
                <w:sz w:val="20"/>
                <w:szCs w:val="20"/>
              </w:rPr>
              <w:t xml:space="preserve"> NNAL-Gluc,​ and cotinine were also greater in blacks than in whites when adjusted for the number of cigarettes smoked. None of the observed racial differences could be explained by dissimilarities in exposure or other sociodemographic or dietary factors. </w:t>
            </w:r>
            <w:proofErr w:type="gramStart"/>
            <w:r w:rsidRPr="005762E6">
              <w:rPr>
                <w:sz w:val="20"/>
                <w:szCs w:val="20"/>
              </w:rPr>
              <w:t>Also,​</w:t>
            </w:r>
            <w:proofErr w:type="gramEnd"/>
            <w:r w:rsidRPr="005762E6">
              <w:rPr>
                <w:sz w:val="20"/>
                <w:szCs w:val="20"/>
              </w:rPr>
              <w:t xml:space="preserve"> it is unlikely that the dissimilarities are due to racial differences in preference for mentholated cigarettes,​ because chronic administration of menthol to NNK-treated rats did not result in either increases in urinary total NNAL or decreases in NNAL-Gluc:NNAL ratios. </w:t>
            </w:r>
            <w:proofErr w:type="gramStart"/>
            <w:r w:rsidRPr="005762E6">
              <w:rPr>
                <w:sz w:val="20"/>
                <w:szCs w:val="20"/>
              </w:rPr>
              <w:t>Altogether,​</w:t>
            </w:r>
            <w:proofErr w:type="gramEnd"/>
            <w:r w:rsidRPr="005762E6">
              <w:rPr>
                <w:sz w:val="20"/>
                <w:szCs w:val="20"/>
              </w:rPr>
              <w:t xml:space="preserve"> these results suggest that racial differences in NNAL glucuronidation,​ a putative detoxification pathway for NNK,​ may explain in part the observed differences in cancer risk.</w:t>
            </w:r>
          </w:p>
        </w:tc>
      </w:tr>
      <w:tr w:rsidR="00B44564" w:rsidRPr="005762E6" w14:paraId="228855EB"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8EEAED5" w14:textId="77777777" w:rsidR="00B44564" w:rsidRPr="005762E6" w:rsidRDefault="00B44564" w:rsidP="00EA69AA">
            <w:pPr>
              <w:spacing w:after="120" w:line="240" w:lineRule="auto"/>
              <w:contextualSpacing/>
              <w:rPr>
                <w:sz w:val="20"/>
                <w:szCs w:val="20"/>
              </w:rPr>
            </w:pPr>
            <w:r w:rsidRPr="005762E6">
              <w:rPr>
                <w:sz w:val="20"/>
                <w:szCs w:val="20"/>
              </w:rPr>
              <w:lastRenderedPageBreak/>
              <w:t>741</w:t>
            </w:r>
          </w:p>
        </w:tc>
        <w:tc>
          <w:tcPr>
            <w:tcW w:w="0" w:type="auto"/>
            <w:tcBorders>
              <w:top w:val="single" w:sz="6" w:space="0" w:color="auto"/>
              <w:left w:val="single" w:sz="6" w:space="0" w:color="auto"/>
              <w:bottom w:val="single" w:sz="6" w:space="0" w:color="auto"/>
              <w:right w:val="single" w:sz="6" w:space="0" w:color="auto"/>
            </w:tcBorders>
          </w:tcPr>
          <w:p w14:paraId="37B5F034"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9CCD806" w14:textId="795C1B26" w:rsidR="00B44564" w:rsidRPr="005762E6" w:rsidRDefault="00B44564" w:rsidP="00EA69AA">
            <w:pPr>
              <w:spacing w:after="120" w:line="240" w:lineRule="auto"/>
              <w:contextualSpacing/>
              <w:rPr>
                <w:sz w:val="20"/>
                <w:szCs w:val="20"/>
              </w:rPr>
            </w:pPr>
            <w:r w:rsidRPr="005762E6">
              <w:rPr>
                <w:sz w:val="20"/>
                <w:szCs w:val="20"/>
              </w:rPr>
              <w:t>T L Richardson African-American smokers and cancers of the lung and of the upper respiratory and digestive tracts. Is menthol part of the puzzle?</w:t>
            </w:r>
            <w:r w:rsidR="007F2F01">
              <w:rPr>
                <w:sz w:val="20"/>
                <w:szCs w:val="20"/>
              </w:rPr>
              <w:t>.</w:t>
            </w:r>
            <w:r w:rsidRPr="005762E6">
              <w:rPr>
                <w:sz w:val="20"/>
                <w:szCs w:val="20"/>
              </w:rPr>
              <w:t xml:space="preserve"> The Western journal of medicine; 1997;166:189.</w:t>
            </w:r>
            <w:r w:rsidRPr="005762E6">
              <w:rPr>
                <w:sz w:val="20"/>
                <w:szCs w:val="20"/>
              </w:rPr>
              <w:br/>
            </w:r>
            <w:r w:rsidRPr="005762E6">
              <w:rPr>
                <w:sz w:val="20"/>
                <w:szCs w:val="20"/>
              </w:rPr>
              <w:br/>
            </w:r>
            <w:r w:rsidRPr="005762E6">
              <w:rPr>
                <w:b/>
                <w:bCs/>
                <w:sz w:val="20"/>
                <w:szCs w:val="20"/>
              </w:rPr>
              <w:t>Keywords:</w:t>
            </w:r>
            <w:r w:rsidRPr="005762E6">
              <w:rPr>
                <w:sz w:val="20"/>
                <w:szCs w:val="20"/>
              </w:rPr>
              <w:br/>
              <w:t>*African Americans,​Digestive System Neoplasms/ci [Chemically Induced],​European Continental Ancestry Group,​Female,​Humans,​*Lung Neoplasms/ci [Chemically Induced],​Male,​*Menthol/ae [Adverse Effects],​Respiratory Tract Neoplasms/ci [Chemically Induced],​Risk Factors,​*Smoking/ae [Adverse Effects],​Smoking/eh [Ethnology],​Smoking Cessation,​United States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The prevalence of cigarette smoking is higher among African Americans than among whites. African Americans have higher rates of lung cancer than </w:t>
            </w:r>
            <w:proofErr w:type="gramStart"/>
            <w:r w:rsidRPr="005762E6">
              <w:rPr>
                <w:sz w:val="20"/>
                <w:szCs w:val="20"/>
              </w:rPr>
              <w:t>whites,​</w:t>
            </w:r>
            <w:proofErr w:type="gramEnd"/>
            <w:r w:rsidRPr="005762E6">
              <w:rPr>
                <w:sz w:val="20"/>
                <w:szCs w:val="20"/>
              </w:rPr>
              <w:t xml:space="preserve"> although they smoke fewer cigarettes. To explore this black-white difference in lung cancer </w:t>
            </w:r>
            <w:proofErr w:type="gramStart"/>
            <w:r w:rsidRPr="005762E6">
              <w:rPr>
                <w:sz w:val="20"/>
                <w:szCs w:val="20"/>
              </w:rPr>
              <w:t>rates,​</w:t>
            </w:r>
            <w:proofErr w:type="gramEnd"/>
            <w:r w:rsidRPr="005762E6">
              <w:rPr>
                <w:sz w:val="20"/>
                <w:szCs w:val="20"/>
              </w:rPr>
              <w:t xml:space="preserve"> I examine various aspects of tobacco use in African-American smokers,​ including the age of initiation of smoking,​ quantity of cigarettes smoked,​ quit rates,​ level of nicotine dependence,​ biochemical differences,​ and brand preferences,​ specifically menthol brand cigarettes. I also review briefly the sequelae of patterns of tobacco </w:t>
            </w:r>
            <w:proofErr w:type="gramStart"/>
            <w:r w:rsidRPr="005762E6">
              <w:rPr>
                <w:sz w:val="20"/>
                <w:szCs w:val="20"/>
              </w:rPr>
              <w:t>use,​</w:t>
            </w:r>
            <w:proofErr w:type="gramEnd"/>
            <w:r w:rsidRPr="005762E6">
              <w:rPr>
                <w:sz w:val="20"/>
                <w:szCs w:val="20"/>
              </w:rPr>
              <w:t xml:space="preserve"> including rates of lung and other tobacco-related cancers. A preference for mentholated cigarettes by African Americans is well documented and is one of the most striking differences between African-American and white smokers. Menthol brand preference has been investigated in an attempt to explain the black-white differences in rates of cancers of the lungs and the upper respiratory and digestive tracts. </w:t>
            </w:r>
            <w:proofErr w:type="gramStart"/>
            <w:r w:rsidRPr="005762E6">
              <w:rPr>
                <w:sz w:val="20"/>
                <w:szCs w:val="20"/>
              </w:rPr>
              <w:t>Also,​</w:t>
            </w:r>
            <w:proofErr w:type="gramEnd"/>
            <w:r w:rsidRPr="005762E6">
              <w:rPr>
                <w:sz w:val="20"/>
                <w:szCs w:val="20"/>
              </w:rPr>
              <w:t xml:space="preserve"> studies have evaluated smoking behavior both with and without menthol and have explicitly examined the question of whether menthol use helps explain the black-white difference in lung cancer rates. The results of these studies are so far inconclusive with regard to the use of menthol and the risk of lung cancer developing. I provide practical suggestions for clinicians in counseling African-American smokers to quit smoking and to maintain a nonsmoking status.</w:t>
            </w:r>
          </w:p>
        </w:tc>
      </w:tr>
      <w:tr w:rsidR="00B44564" w:rsidRPr="005762E6" w14:paraId="6FE3BA02"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354D5E3" w14:textId="77777777" w:rsidR="00B44564" w:rsidRPr="005762E6" w:rsidRDefault="00B44564" w:rsidP="00EA69AA">
            <w:pPr>
              <w:spacing w:after="120" w:line="240" w:lineRule="auto"/>
              <w:contextualSpacing/>
              <w:rPr>
                <w:sz w:val="20"/>
                <w:szCs w:val="20"/>
              </w:rPr>
            </w:pPr>
            <w:r w:rsidRPr="005762E6">
              <w:rPr>
                <w:sz w:val="20"/>
                <w:szCs w:val="20"/>
              </w:rPr>
              <w:t>742</w:t>
            </w:r>
          </w:p>
        </w:tc>
        <w:tc>
          <w:tcPr>
            <w:tcW w:w="0" w:type="auto"/>
            <w:tcBorders>
              <w:top w:val="single" w:sz="6" w:space="0" w:color="auto"/>
              <w:left w:val="single" w:sz="6" w:space="0" w:color="auto"/>
              <w:bottom w:val="single" w:sz="6" w:space="0" w:color="auto"/>
              <w:right w:val="single" w:sz="6" w:space="0" w:color="auto"/>
            </w:tcBorders>
          </w:tcPr>
          <w:p w14:paraId="489E442D"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AAA3C99" w14:textId="5D8A8427" w:rsidR="00B44564" w:rsidRPr="005762E6" w:rsidRDefault="00B44564" w:rsidP="00EA69AA">
            <w:pPr>
              <w:spacing w:after="120" w:line="240" w:lineRule="auto"/>
              <w:contextualSpacing/>
              <w:rPr>
                <w:sz w:val="20"/>
                <w:szCs w:val="20"/>
              </w:rPr>
            </w:pPr>
            <w:r w:rsidRPr="005762E6">
              <w:rPr>
                <w:sz w:val="20"/>
                <w:szCs w:val="20"/>
              </w:rPr>
              <w:t>T Richardson Menthol cigarette use in African Americans</w:t>
            </w:r>
            <w:r w:rsidR="007F2F01">
              <w:rPr>
                <w:sz w:val="20"/>
                <w:szCs w:val="20"/>
              </w:rPr>
              <w:t>.</w:t>
            </w:r>
            <w:r w:rsidRPr="005762E6">
              <w:rPr>
                <w:sz w:val="20"/>
                <w:szCs w:val="20"/>
              </w:rPr>
              <w:t xml:space="preserve"> Hospital practice (1995); </w:t>
            </w:r>
            <w:proofErr w:type="gramStart"/>
            <w:r w:rsidRPr="005762E6">
              <w:rPr>
                <w:sz w:val="20"/>
                <w:szCs w:val="20"/>
              </w:rPr>
              <w:t>1996;31:22</w:t>
            </w:r>
            <w:proofErr w:type="gramEnd"/>
            <w:r w:rsidRPr="005762E6">
              <w:rPr>
                <w:sz w:val="20"/>
                <w:szCs w:val="20"/>
              </w:rPr>
              <w:t>H.</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Adolescent,​Adult,​*African Americans,​*Choice Behavior,​Female,​Humans,​Lung Neoplasms/eh [Ethnology],​Male,​*Menthol/ae [Adverse Effects],​*Smoking/ae [Adverse Effects],​*Smoking/eh [Ethnology],​United States/ep [Epidemiology]</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17606B34"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E63C575" w14:textId="77777777" w:rsidR="00B44564" w:rsidRPr="005762E6" w:rsidRDefault="00B44564" w:rsidP="00EA69AA">
            <w:pPr>
              <w:spacing w:after="120" w:line="240" w:lineRule="auto"/>
              <w:contextualSpacing/>
              <w:rPr>
                <w:sz w:val="20"/>
                <w:szCs w:val="20"/>
              </w:rPr>
            </w:pPr>
            <w:r w:rsidRPr="005762E6">
              <w:rPr>
                <w:sz w:val="20"/>
                <w:szCs w:val="20"/>
              </w:rPr>
              <w:t>743</w:t>
            </w:r>
          </w:p>
        </w:tc>
        <w:tc>
          <w:tcPr>
            <w:tcW w:w="0" w:type="auto"/>
            <w:tcBorders>
              <w:top w:val="single" w:sz="6" w:space="0" w:color="auto"/>
              <w:left w:val="single" w:sz="6" w:space="0" w:color="auto"/>
              <w:bottom w:val="single" w:sz="6" w:space="0" w:color="auto"/>
              <w:right w:val="single" w:sz="6" w:space="0" w:color="auto"/>
            </w:tcBorders>
          </w:tcPr>
          <w:p w14:paraId="249ACE2E"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1E488C9" w14:textId="25FCB60B" w:rsidR="00B44564" w:rsidRPr="005762E6" w:rsidRDefault="00B44564" w:rsidP="00EA69AA">
            <w:pPr>
              <w:spacing w:after="120" w:line="240" w:lineRule="auto"/>
              <w:contextualSpacing/>
              <w:rPr>
                <w:sz w:val="20"/>
                <w:szCs w:val="20"/>
              </w:rPr>
            </w:pPr>
            <w:r w:rsidRPr="005762E6">
              <w:rPr>
                <w:sz w:val="20"/>
                <w:szCs w:val="20"/>
              </w:rPr>
              <w:t xml:space="preserve">P I </w:t>
            </w:r>
            <w:proofErr w:type="gramStart"/>
            <w:r w:rsidRPr="005762E6">
              <w:rPr>
                <w:sz w:val="20"/>
                <w:szCs w:val="20"/>
              </w:rPr>
              <w:t>Clark,​</w:t>
            </w:r>
            <w:proofErr w:type="gramEnd"/>
            <w:r w:rsidRPr="005762E6">
              <w:rPr>
                <w:sz w:val="20"/>
                <w:szCs w:val="20"/>
              </w:rPr>
              <w:t xml:space="preserve"> S Gautam,​ L W Gerson Effect of menthol cigarettes on biochemical markers of smoke exposure among black and white smokers</w:t>
            </w:r>
            <w:r w:rsidR="007F2F01">
              <w:rPr>
                <w:sz w:val="20"/>
                <w:szCs w:val="20"/>
              </w:rPr>
              <w:t>.</w:t>
            </w:r>
            <w:r w:rsidRPr="005762E6">
              <w:rPr>
                <w:sz w:val="20"/>
                <w:szCs w:val="20"/>
              </w:rPr>
              <w:t xml:space="preserve"> Chest; 1996;110:1194.</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Adolescent,​Adult,​*African Continental Ancestry Group,​*Biomarkers/an [Analysis],​Biomarkers/bl [Blood],​</w:t>
            </w:r>
            <w:r w:rsidRPr="005762E6">
              <w:rPr>
                <w:sz w:val="20"/>
                <w:szCs w:val="20"/>
              </w:rPr>
              <w:lastRenderedPageBreak/>
              <w:t>*Carbon Monoxide/an [Analysis],​*Cotinine/bl [Blood],​Cross-Sectional Studies,​*European Continental Ancestry Group,​Female,​Humans,​Interviews as Topic,​Male,​*Menthol/ae [Adverse Effects],​Menthol/an [Analysis],​Middle Aged,​Nicotine/an [Analysis],​Plants,​ Toxic,​Respiration,​Risk Factors,​Self-Assessment,​*Smoke/ae [Adverse Effects],​Smoking/bl [Blood],​*Smoking/me [Metabolism],​Surveys and Questionnaires,​Tobacco/ch [Chemistry]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STUDY OBJECTIVES: Black smokers have been reported to have higher serum cotinine levels than do white smokers,​ and have higher rates of most smoking-related diseases,​ despite smoking fewer cigarettes per day. Another striking racial difference is the preference for mentholated cigarettes among black smokers. The contribution of menthol to variability in biochemical markers of cigarette smoke exposure (end-expiratory carbon monoxide and serum cotinine) was evaluated in a biracial sample.,​ DESIGN: Descriptive cross-sectional.,​ SETTING: A university smoking research laboratory.,​ PARTICIPANTS: Sixty-five black and 96 white adult established smokers who were paid for their participation.,​ MEASUREMENTS: Information was obtained through direct observation,​ self-report (interview and self-administered questionnaires),​ measurement of butts collected for a week,​ and laboratory analyses of the biochemical markers of exposure.,​ RESULTS: Compared with the white smokers,​ the black smokers had significantly higher cotinine and carbon monoxide levels per cigarette smoked and per millimeter of smoked tobacco rod (both p &lt; 0.001). After adjusting for </w:t>
            </w:r>
            <w:proofErr w:type="gramStart"/>
            <w:r w:rsidRPr="005762E6">
              <w:rPr>
                <w:sz w:val="20"/>
                <w:szCs w:val="20"/>
              </w:rPr>
              <w:t>race,​</w:t>
            </w:r>
            <w:proofErr w:type="gramEnd"/>
            <w:r w:rsidRPr="005762E6">
              <w:rPr>
                <w:sz w:val="20"/>
                <w:szCs w:val="20"/>
              </w:rPr>
              <w:t xml:space="preserve"> cigarettes per day,​ and mean amount of each cigarette smoked,​ menthol was associated with higher cotinine levels (p = 0.03) and carbon monoxide concentrations (p = 0.02).,​ CONCLUSIONS: The use of menthol may be associated with increased health risks of smoking. Menthol use should be considered when biochemical markers of smoke exposure are used as quantitative measures of smoking intensity or as indicators of compliance with smoking reduction programs. In </w:t>
            </w:r>
            <w:proofErr w:type="gramStart"/>
            <w:r w:rsidRPr="005762E6">
              <w:rPr>
                <w:sz w:val="20"/>
                <w:szCs w:val="20"/>
              </w:rPr>
              <w:t>addition,​</w:t>
            </w:r>
            <w:proofErr w:type="gramEnd"/>
            <w:r w:rsidRPr="005762E6">
              <w:rPr>
                <w:sz w:val="20"/>
                <w:szCs w:val="20"/>
              </w:rPr>
              <w:t xml:space="preserve"> the effect of menthol on total "dose" should be considered in any efforts to regulate the amount of nicotine in cigarettes.</w:t>
            </w:r>
          </w:p>
        </w:tc>
      </w:tr>
      <w:tr w:rsidR="00B44564" w:rsidRPr="005762E6" w14:paraId="392FFF3B"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8FD57BF" w14:textId="77777777" w:rsidR="00B44564" w:rsidRPr="005762E6" w:rsidRDefault="00B44564" w:rsidP="00EA69AA">
            <w:pPr>
              <w:spacing w:after="120" w:line="240" w:lineRule="auto"/>
              <w:contextualSpacing/>
              <w:rPr>
                <w:sz w:val="20"/>
                <w:szCs w:val="20"/>
              </w:rPr>
            </w:pPr>
            <w:r w:rsidRPr="005762E6">
              <w:rPr>
                <w:sz w:val="20"/>
                <w:szCs w:val="20"/>
              </w:rPr>
              <w:lastRenderedPageBreak/>
              <w:t>744</w:t>
            </w:r>
          </w:p>
        </w:tc>
        <w:tc>
          <w:tcPr>
            <w:tcW w:w="0" w:type="auto"/>
            <w:tcBorders>
              <w:top w:val="single" w:sz="6" w:space="0" w:color="auto"/>
              <w:left w:val="single" w:sz="6" w:space="0" w:color="auto"/>
              <w:bottom w:val="single" w:sz="6" w:space="0" w:color="auto"/>
              <w:right w:val="single" w:sz="6" w:space="0" w:color="auto"/>
            </w:tcBorders>
          </w:tcPr>
          <w:p w14:paraId="5A1C1A85"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3323BE2" w14:textId="6AE090B8" w:rsidR="00B44564" w:rsidRPr="005762E6" w:rsidRDefault="00B44564" w:rsidP="00EA69AA">
            <w:pPr>
              <w:spacing w:after="120" w:line="240" w:lineRule="auto"/>
              <w:contextualSpacing/>
              <w:rPr>
                <w:sz w:val="20"/>
                <w:szCs w:val="20"/>
              </w:rPr>
            </w:pPr>
            <w:r w:rsidRPr="005762E6">
              <w:rPr>
                <w:sz w:val="20"/>
                <w:szCs w:val="20"/>
              </w:rPr>
              <w:t>G C Kabat Aspects of the epidemiology of lung cancer in smokers and nonsmokers in the United States</w:t>
            </w:r>
            <w:r w:rsidR="007F2F01">
              <w:rPr>
                <w:sz w:val="20"/>
                <w:szCs w:val="20"/>
              </w:rPr>
              <w:t>.</w:t>
            </w:r>
            <w:r w:rsidRPr="005762E6">
              <w:rPr>
                <w:sz w:val="20"/>
                <w:szCs w:val="20"/>
              </w:rPr>
              <w:t xml:space="preserve"> Lung cancer (Amsterdam,​ Netherlands); 1996;15:1.</w:t>
            </w:r>
            <w:r w:rsidRPr="005762E6">
              <w:rPr>
                <w:sz w:val="20"/>
                <w:szCs w:val="20"/>
              </w:rPr>
              <w:br/>
            </w:r>
            <w:r w:rsidRPr="005762E6">
              <w:rPr>
                <w:sz w:val="20"/>
                <w:szCs w:val="20"/>
              </w:rPr>
              <w:br/>
            </w:r>
            <w:r w:rsidRPr="005762E6">
              <w:rPr>
                <w:b/>
                <w:bCs/>
                <w:sz w:val="20"/>
                <w:szCs w:val="20"/>
              </w:rPr>
              <w:t>Keywords:</w:t>
            </w:r>
            <w:r w:rsidRPr="005762E6">
              <w:rPr>
                <w:sz w:val="20"/>
                <w:szCs w:val="20"/>
              </w:rPr>
              <w:br/>
              <w:t>Adult,​Aged,​Aged,​ 80 and over,​Case-Control Studies,​Female,​Humans,​*Lung Neoplasms/ep [Epidemiology],​Lung Neoplasms/et [Etiology],​Male,​Middle Aged,​*Smoking/ae [Adverse Effects],​United States/ep [Epidemiology]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While it is well-established that smoking is the predominant risk factor for lung cancer,​ it is clear that factors other than smoking and occupational exposure play a role in some lung cancers,​ and particularly adenocarcinoma. Data from a </w:t>
            </w:r>
            <w:proofErr w:type="gramStart"/>
            <w:r w:rsidRPr="005762E6">
              <w:rPr>
                <w:sz w:val="20"/>
                <w:szCs w:val="20"/>
              </w:rPr>
              <w:t>large,​</w:t>
            </w:r>
            <w:proofErr w:type="gramEnd"/>
            <w:r w:rsidRPr="005762E6">
              <w:rPr>
                <w:sz w:val="20"/>
                <w:szCs w:val="20"/>
              </w:rPr>
              <w:t xml:space="preserve"> hospital-based case-control study are used to examine the association of smoking-related risk factors (amount smoked,​ filter status,​ mentholation,​ and differences in smoking habits between blacks and whites) and selected factors other than smoking (environmental tobacco smoke,​ previous primary cancer and radiotherapy,​ reproductive and endocrine factors,​ and body mass index) with lung cancer. Although smoking shows a dose-response relationship with all major lung cancer cell </w:t>
            </w:r>
            <w:proofErr w:type="gramStart"/>
            <w:r w:rsidRPr="005762E6">
              <w:rPr>
                <w:sz w:val="20"/>
                <w:szCs w:val="20"/>
              </w:rPr>
              <w:t>types,​</w:t>
            </w:r>
            <w:proofErr w:type="gramEnd"/>
            <w:r w:rsidRPr="005762E6">
              <w:rPr>
                <w:sz w:val="20"/>
                <w:szCs w:val="20"/>
              </w:rPr>
              <w:t xml:space="preserve"> the strength of the relationship is weaker for adenocarcinoma,​ suggesting that other risk factors must play an important role for this cell type. In blacks and whites of both </w:t>
            </w:r>
            <w:proofErr w:type="gramStart"/>
            <w:r w:rsidRPr="005762E6">
              <w:rPr>
                <w:sz w:val="20"/>
                <w:szCs w:val="20"/>
              </w:rPr>
              <w:t>sexes,​</w:t>
            </w:r>
            <w:proofErr w:type="gramEnd"/>
            <w:r w:rsidRPr="005762E6">
              <w:rPr>
                <w:sz w:val="20"/>
                <w:szCs w:val="20"/>
              </w:rPr>
              <w:t xml:space="preserve"> odds ratios for lung cancer increased with increasing cumulative tobacco tar intake and decreased with years since quitting smoking. Use of mentholated cigarettes was associated with no greater risk for lung cancer than that associated with the use of nonmentholated cigarettes. Exposure to environmental tobacco smoke generally showed little relation to lung cancer risk. In </w:t>
            </w:r>
            <w:proofErr w:type="gramStart"/>
            <w:r w:rsidRPr="005762E6">
              <w:rPr>
                <w:sz w:val="20"/>
                <w:szCs w:val="20"/>
              </w:rPr>
              <w:t>particular,​</w:t>
            </w:r>
            <w:proofErr w:type="gramEnd"/>
            <w:r w:rsidRPr="005762E6">
              <w:rPr>
                <w:sz w:val="20"/>
                <w:szCs w:val="20"/>
              </w:rPr>
              <w:t xml:space="preserve"> exposure of nonsmoking wives to a husband's smoking showed no increase in risk. A history of a reproductive primary cancer and a history of radiotherapy were each associated with a fourfold increase in risk in female nonsmokers. An association of lean body mass with lung cancer was observed in current </w:t>
            </w:r>
            <w:proofErr w:type="gramStart"/>
            <w:r w:rsidRPr="005762E6">
              <w:rPr>
                <w:sz w:val="20"/>
                <w:szCs w:val="20"/>
              </w:rPr>
              <w:t>smokers,​</w:t>
            </w:r>
            <w:proofErr w:type="gramEnd"/>
            <w:r w:rsidRPr="005762E6">
              <w:rPr>
                <w:sz w:val="20"/>
                <w:szCs w:val="20"/>
              </w:rPr>
              <w:t xml:space="preserve"> ex-smokers,​ and female never smokers. These results are discussed in the context of existing studies. In </w:t>
            </w:r>
            <w:proofErr w:type="gramStart"/>
            <w:r w:rsidRPr="005762E6">
              <w:rPr>
                <w:sz w:val="20"/>
                <w:szCs w:val="20"/>
              </w:rPr>
              <w:t>conclusion,​</w:t>
            </w:r>
            <w:proofErr w:type="gramEnd"/>
            <w:r w:rsidRPr="005762E6">
              <w:rPr>
                <w:sz w:val="20"/>
                <w:szCs w:val="20"/>
              </w:rPr>
              <w:t xml:space="preserve"> variation in lung cancer rates between populations may be due to: (1) differences in effective exposure to tobacco smoke carcinogens; (2) differences in factors which modify the effect of tobacco smoke,​ including differences in host susceptibility and metabolism of carcinogens,​ or (3) differences in exposure to other independent risk factors for lung cancer.</w:t>
            </w:r>
          </w:p>
        </w:tc>
      </w:tr>
      <w:tr w:rsidR="00B44564" w:rsidRPr="005762E6" w14:paraId="246236C9"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15F41C6" w14:textId="77777777" w:rsidR="00B44564" w:rsidRPr="005762E6" w:rsidRDefault="00B44564" w:rsidP="00EA69AA">
            <w:pPr>
              <w:spacing w:after="120" w:line="240" w:lineRule="auto"/>
              <w:contextualSpacing/>
              <w:rPr>
                <w:sz w:val="20"/>
                <w:szCs w:val="20"/>
              </w:rPr>
            </w:pPr>
            <w:r w:rsidRPr="005762E6">
              <w:rPr>
                <w:sz w:val="20"/>
                <w:szCs w:val="20"/>
              </w:rPr>
              <w:lastRenderedPageBreak/>
              <w:t>746</w:t>
            </w:r>
          </w:p>
        </w:tc>
        <w:tc>
          <w:tcPr>
            <w:tcW w:w="0" w:type="auto"/>
            <w:tcBorders>
              <w:top w:val="single" w:sz="6" w:space="0" w:color="auto"/>
              <w:left w:val="single" w:sz="6" w:space="0" w:color="auto"/>
              <w:bottom w:val="single" w:sz="6" w:space="0" w:color="auto"/>
              <w:right w:val="single" w:sz="6" w:space="0" w:color="auto"/>
            </w:tcBorders>
          </w:tcPr>
          <w:p w14:paraId="3E6AEA0C"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6A1B324" w14:textId="441CE30C" w:rsidR="00B44564" w:rsidRPr="005762E6" w:rsidRDefault="00B44564" w:rsidP="00EA69AA">
            <w:pPr>
              <w:spacing w:after="120" w:line="240" w:lineRule="auto"/>
              <w:contextualSpacing/>
              <w:rPr>
                <w:sz w:val="20"/>
                <w:szCs w:val="20"/>
              </w:rPr>
            </w:pPr>
            <w:r w:rsidRPr="005762E6">
              <w:rPr>
                <w:sz w:val="20"/>
                <w:szCs w:val="20"/>
              </w:rPr>
              <w:t xml:space="preserve">N </w:t>
            </w:r>
            <w:proofErr w:type="gramStart"/>
            <w:r w:rsidRPr="005762E6">
              <w:rPr>
                <w:sz w:val="20"/>
                <w:szCs w:val="20"/>
              </w:rPr>
              <w:t>Hymowitz,​</w:t>
            </w:r>
            <w:proofErr w:type="gramEnd"/>
            <w:r w:rsidRPr="005762E6">
              <w:rPr>
                <w:sz w:val="20"/>
                <w:szCs w:val="20"/>
              </w:rPr>
              <w:t xml:space="preserve"> D Corle,​ J Royce,​ T Hartwell,​ K Corbett,​ M Orlandi,​ N Piland Smokers' baseline characteristics in the COMMIT trial</w:t>
            </w:r>
            <w:r w:rsidR="007F2F01">
              <w:rPr>
                <w:sz w:val="20"/>
                <w:szCs w:val="20"/>
              </w:rPr>
              <w:t>.</w:t>
            </w:r>
            <w:r w:rsidRPr="005762E6">
              <w:rPr>
                <w:sz w:val="20"/>
                <w:szCs w:val="20"/>
              </w:rPr>
              <w:t xml:space="preserve"> Preventive medicine; 1995;24:503.</w:t>
            </w:r>
            <w:r w:rsidRPr="005762E6">
              <w:rPr>
                <w:sz w:val="20"/>
                <w:szCs w:val="20"/>
              </w:rPr>
              <w:br/>
            </w:r>
            <w:r w:rsidRPr="005762E6">
              <w:rPr>
                <w:sz w:val="20"/>
                <w:szCs w:val="20"/>
              </w:rPr>
              <w:br/>
            </w:r>
            <w:r w:rsidRPr="005762E6">
              <w:rPr>
                <w:b/>
                <w:bCs/>
                <w:sz w:val="20"/>
                <w:szCs w:val="20"/>
              </w:rPr>
              <w:t>Keywords:</w:t>
            </w:r>
            <w:r w:rsidRPr="005762E6">
              <w:rPr>
                <w:sz w:val="20"/>
                <w:szCs w:val="20"/>
              </w:rPr>
              <w:br/>
              <w:t>Adult,​Canada/ep [Epidemiology],​*Ethnic Groups,​Female,​Humans,​Logistic Models,​Male,​Mexico/eh [Ethnology],​Middle Aged,​Odds Ratio,​Puerto Rico/eh [Ethnology],​Risk Factors,​*Smoking/eh [Ethnology],​*Smoking Prevention,​*Tobacco Use Disorder/eh [Ethnology],​*Tobacco Use Disorder/pc [Prevention &amp; Control],​United States/ep [Epidemiology]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BACKGROUND: Baseline telephone survey data from 10 COMMIT sites were submitted to statistical analyses to compare the smoking characteristics of non-Hispanic white (white),​ non-Hispanic black (black),​ Mexican-origin (Mexican),​ and Puerto Rican-origin (Puerto Rican) smokers.,​ RESULTS: White men and women were more likely to be classified as "heavy smokers" than members of other racial/ethnic groups,​ although black and Puerto Rican smokers were more likely than whites to increase their smoking rates on weekends. Whites were less likely to report stopping smoking in the past. White and Mexican smokers were most likely to smoke light or ultralight brands and least likely to smoke menthol cigarettes. Blacks were most likely to report smoking their first cigarette of the day within 10 min of waking</w:t>
            </w:r>
            <w:proofErr w:type="gramStart"/>
            <w:r w:rsidRPr="005762E6">
              <w:rPr>
                <w:sz w:val="20"/>
                <w:szCs w:val="20"/>
              </w:rPr>
              <w:t>.,​</w:t>
            </w:r>
            <w:proofErr w:type="gramEnd"/>
            <w:r w:rsidRPr="005762E6">
              <w:rPr>
                <w:sz w:val="20"/>
                <w:szCs w:val="20"/>
              </w:rPr>
              <w:t xml:space="preserve"> CONCLUSION: The differences and similarities among different groups of smokers may have important implications for understanding patterns of tobacco-related disease in smokers from different racial/ethnic and sex groups.</w:t>
            </w:r>
          </w:p>
        </w:tc>
      </w:tr>
      <w:tr w:rsidR="00B44564" w:rsidRPr="005762E6" w14:paraId="5EA70004"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6DC742A" w14:textId="77777777" w:rsidR="00B44564" w:rsidRPr="005762E6" w:rsidRDefault="00B44564" w:rsidP="00EA69AA">
            <w:pPr>
              <w:spacing w:after="120" w:line="240" w:lineRule="auto"/>
              <w:contextualSpacing/>
              <w:rPr>
                <w:sz w:val="20"/>
                <w:szCs w:val="20"/>
              </w:rPr>
            </w:pPr>
            <w:r w:rsidRPr="005762E6">
              <w:rPr>
                <w:sz w:val="20"/>
                <w:szCs w:val="20"/>
              </w:rPr>
              <w:t>748</w:t>
            </w:r>
          </w:p>
        </w:tc>
        <w:tc>
          <w:tcPr>
            <w:tcW w:w="0" w:type="auto"/>
            <w:tcBorders>
              <w:top w:val="single" w:sz="6" w:space="0" w:color="auto"/>
              <w:left w:val="single" w:sz="6" w:space="0" w:color="auto"/>
              <w:bottom w:val="single" w:sz="6" w:space="0" w:color="auto"/>
              <w:right w:val="single" w:sz="6" w:space="0" w:color="auto"/>
            </w:tcBorders>
          </w:tcPr>
          <w:p w14:paraId="32616379"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D31E83B" w14:textId="233F151C" w:rsidR="00B44564" w:rsidRPr="005762E6" w:rsidRDefault="00B44564" w:rsidP="00EA69AA">
            <w:pPr>
              <w:spacing w:after="120" w:line="240" w:lineRule="auto"/>
              <w:contextualSpacing/>
              <w:rPr>
                <w:sz w:val="20"/>
                <w:szCs w:val="20"/>
              </w:rPr>
            </w:pPr>
            <w:r w:rsidRPr="005762E6">
              <w:rPr>
                <w:sz w:val="20"/>
                <w:szCs w:val="20"/>
              </w:rPr>
              <w:t xml:space="preserve">S </w:t>
            </w:r>
            <w:proofErr w:type="gramStart"/>
            <w:r w:rsidRPr="005762E6">
              <w:rPr>
                <w:sz w:val="20"/>
                <w:szCs w:val="20"/>
              </w:rPr>
              <w:t>Sidney,​</w:t>
            </w:r>
            <w:proofErr w:type="gramEnd"/>
            <w:r w:rsidRPr="005762E6">
              <w:rPr>
                <w:sz w:val="20"/>
                <w:szCs w:val="20"/>
              </w:rPr>
              <w:t xml:space="preserve"> I S Tekawa,​ G D Friedman,​ M C Sadler,​ D P Tashkin Mentholated cigarette use and lung cancer</w:t>
            </w:r>
            <w:r w:rsidR="007F2F01">
              <w:rPr>
                <w:sz w:val="20"/>
                <w:szCs w:val="20"/>
              </w:rPr>
              <w:t>.</w:t>
            </w:r>
            <w:r w:rsidRPr="005762E6">
              <w:rPr>
                <w:sz w:val="20"/>
                <w:szCs w:val="20"/>
              </w:rPr>
              <w:t xml:space="preserve"> Archives of internal medicine; 1995;155:727.</w:t>
            </w:r>
            <w:r w:rsidRPr="005762E6">
              <w:rPr>
                <w:sz w:val="20"/>
                <w:szCs w:val="20"/>
              </w:rPr>
              <w:br/>
            </w:r>
            <w:r w:rsidRPr="005762E6">
              <w:rPr>
                <w:sz w:val="20"/>
                <w:szCs w:val="20"/>
              </w:rPr>
              <w:br/>
            </w:r>
            <w:r w:rsidRPr="005762E6">
              <w:rPr>
                <w:b/>
                <w:bCs/>
                <w:sz w:val="20"/>
                <w:szCs w:val="20"/>
              </w:rPr>
              <w:t>Keywords:</w:t>
            </w:r>
            <w:r w:rsidRPr="005762E6">
              <w:rPr>
                <w:sz w:val="20"/>
                <w:szCs w:val="20"/>
              </w:rPr>
              <w:br/>
              <w:t>Adult,​African Americans/sn [Statistics &amp; Numerical Data],​Aged,​Aged,​ 80 and over,​European Continental Ancestry Group/sn [Statistics &amp; Numerical Data],​Female,​Humans,​*Lung Neoplasms/eh [Ethnology],​*Lung Neoplasms/et [Etiology],​Lung Neoplasms/mo [Mortality],​Male,​*Menthol/ae [Adverse Effects],​Middle Aged,​Risk Factors,​*Smoking/ae [Adverse Effects]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Menthol combustion produces carcinogenic compounds such as benzo[a]pyrenes. Mentholated cigarettes are much more commonly smoked by black individuals than by white individuals. The incidence of lung cancer is much higher (60%) in black men than in white </w:t>
            </w:r>
            <w:proofErr w:type="gramStart"/>
            <w:r w:rsidRPr="005762E6">
              <w:rPr>
                <w:sz w:val="20"/>
                <w:szCs w:val="20"/>
              </w:rPr>
              <w:t>men,​</w:t>
            </w:r>
            <w:proofErr w:type="gramEnd"/>
            <w:r w:rsidRPr="005762E6">
              <w:rPr>
                <w:sz w:val="20"/>
                <w:szCs w:val="20"/>
              </w:rPr>
              <w:t xml:space="preserve"> but it differs little by race in women. We examined the association of mentholated cigarette use with lung cancer in men and women because mentholated cigarette use could help to explain the higher incidence rate of lung cancer in black men than in white men.,​ METHODS: The study population consisted of 11,​761 members of the Northern California Kaiser Permanente Medical Care Program,​ Oakland (5771 men and 3990 women),​ aged 30 to 89 years,​ who underwent a multiphasic health checkup in 1979 through 1985 and reported that they were current cigarette smokers who had smoked for at least 20 years. Data were collected about current cigarette </w:t>
            </w:r>
            <w:proofErr w:type="gramStart"/>
            <w:r w:rsidRPr="005762E6">
              <w:rPr>
                <w:sz w:val="20"/>
                <w:szCs w:val="20"/>
              </w:rPr>
              <w:t>brand,​</w:t>
            </w:r>
            <w:proofErr w:type="gramEnd"/>
            <w:r w:rsidRPr="005762E6">
              <w:rPr>
                <w:sz w:val="20"/>
                <w:szCs w:val="20"/>
              </w:rPr>
              <w:t xml:space="preserve"> duration of mentholated cigarette use,​ and other smoking characteristics. Follow-up for incident lung cancer cases (n = 318) was carried out through 1991</w:t>
            </w:r>
            <w:proofErr w:type="gramStart"/>
            <w:r w:rsidRPr="005762E6">
              <w:rPr>
                <w:sz w:val="20"/>
                <w:szCs w:val="20"/>
              </w:rPr>
              <w:t>.,​</w:t>
            </w:r>
            <w:proofErr w:type="gramEnd"/>
            <w:r w:rsidRPr="005762E6">
              <w:rPr>
                <w:sz w:val="20"/>
                <w:szCs w:val="20"/>
              </w:rPr>
              <w:t xml:space="preserve"> RESULTS: The relative risk of lung cancer associated with mentholation compared with nonmentholated cigarettes was 1.45 in men (95% confidence interval,​ 1.03 to 2.02) and it was 0.75 in women (95% confidence interval,​ 0.51 to 1.11),​ adjusted for age,​ race,​ education,​ number of cigarettes smoked per day,​ and duration of smoking. Further adjustment for tar content and self-reported smoking intensity characteristics did not substantially alter the estimate of relative risk. A graded increase in risk of lung cancer with increasing duration of mentholated cigarette use was present in men</w:t>
            </w:r>
            <w:proofErr w:type="gramStart"/>
            <w:r w:rsidRPr="005762E6">
              <w:rPr>
                <w:sz w:val="20"/>
                <w:szCs w:val="20"/>
              </w:rPr>
              <w:t>.,​</w:t>
            </w:r>
            <w:proofErr w:type="gramEnd"/>
            <w:r w:rsidRPr="005762E6">
              <w:rPr>
                <w:sz w:val="20"/>
                <w:szCs w:val="20"/>
              </w:rPr>
              <w:t xml:space="preserve"> CONCLUSION: This study suggests that there is an increased risk of lung cancer associated with mentholated cigarette use in male smokers but not in female smokers.</w:t>
            </w:r>
          </w:p>
        </w:tc>
      </w:tr>
      <w:tr w:rsidR="00B44564" w:rsidRPr="005762E6" w14:paraId="453CB20E"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7B87876" w14:textId="77777777" w:rsidR="00B44564" w:rsidRPr="005762E6" w:rsidRDefault="00B44564" w:rsidP="00EA69AA">
            <w:pPr>
              <w:spacing w:after="120" w:line="240" w:lineRule="auto"/>
              <w:contextualSpacing/>
              <w:rPr>
                <w:sz w:val="20"/>
                <w:szCs w:val="20"/>
              </w:rPr>
            </w:pPr>
            <w:r w:rsidRPr="005762E6">
              <w:rPr>
                <w:sz w:val="20"/>
                <w:szCs w:val="20"/>
              </w:rPr>
              <w:t>751</w:t>
            </w:r>
          </w:p>
        </w:tc>
        <w:tc>
          <w:tcPr>
            <w:tcW w:w="0" w:type="auto"/>
            <w:tcBorders>
              <w:top w:val="single" w:sz="6" w:space="0" w:color="auto"/>
              <w:left w:val="single" w:sz="6" w:space="0" w:color="auto"/>
              <w:bottom w:val="single" w:sz="6" w:space="0" w:color="auto"/>
              <w:right w:val="single" w:sz="6" w:space="0" w:color="auto"/>
            </w:tcBorders>
          </w:tcPr>
          <w:p w14:paraId="0AF22CFF"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7B4FC38" w14:textId="46198D2B" w:rsidR="00B44564" w:rsidRPr="005762E6" w:rsidRDefault="00B44564" w:rsidP="00EA69AA">
            <w:pPr>
              <w:spacing w:after="120" w:line="240" w:lineRule="auto"/>
              <w:contextualSpacing/>
              <w:rPr>
                <w:sz w:val="20"/>
                <w:szCs w:val="20"/>
              </w:rPr>
            </w:pPr>
            <w:r w:rsidRPr="005762E6">
              <w:rPr>
                <w:sz w:val="20"/>
                <w:szCs w:val="20"/>
              </w:rPr>
              <w:t xml:space="preserve">M E </w:t>
            </w:r>
            <w:proofErr w:type="gramStart"/>
            <w:r w:rsidRPr="005762E6">
              <w:rPr>
                <w:sz w:val="20"/>
                <w:szCs w:val="20"/>
              </w:rPr>
              <w:t>Jarvik,​</w:t>
            </w:r>
            <w:proofErr w:type="gramEnd"/>
            <w:r w:rsidRPr="005762E6">
              <w:rPr>
                <w:sz w:val="20"/>
                <w:szCs w:val="20"/>
              </w:rPr>
              <w:t xml:space="preserve"> D P Tashkin,​ N H Caskey,​ W J McCarthy,​ M R Rosenblatt Mentholated cigarettes decrease puff volume of smoke and increase carbon monoxide absorption</w:t>
            </w:r>
            <w:r w:rsidR="007F2F01">
              <w:rPr>
                <w:sz w:val="20"/>
                <w:szCs w:val="20"/>
              </w:rPr>
              <w:t>.</w:t>
            </w:r>
            <w:r w:rsidRPr="005762E6">
              <w:rPr>
                <w:sz w:val="20"/>
                <w:szCs w:val="20"/>
              </w:rPr>
              <w:t xml:space="preserve"> Physiology &amp; behavior; </w:t>
            </w:r>
            <w:proofErr w:type="gramStart"/>
            <w:r w:rsidRPr="005762E6">
              <w:rPr>
                <w:sz w:val="20"/>
                <w:szCs w:val="20"/>
              </w:rPr>
              <w:t>1994;56:563</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Adult,​*Carbon Monoxide/pk [Pharmacokinetics],​Carboxyhemoglobin/me [Metabolism],​Humans,​Male,​*Menthol/pd [Pharmacology],​Middle Aged,​*Smoking/pp [Physiopathology]</w:t>
            </w:r>
            <w:r w:rsidRPr="005762E6">
              <w:rPr>
                <w:sz w:val="20"/>
                <w:szCs w:val="20"/>
              </w:rPr>
              <w:br/>
            </w:r>
            <w:r w:rsidRPr="005762E6">
              <w:rPr>
                <w:sz w:val="20"/>
                <w:szCs w:val="20"/>
              </w:rPr>
              <w:lastRenderedPageBreak/>
              <w:br/>
            </w:r>
            <w:r w:rsidRPr="005762E6">
              <w:rPr>
                <w:b/>
                <w:bCs/>
                <w:sz w:val="20"/>
                <w:szCs w:val="20"/>
              </w:rPr>
              <w:t xml:space="preserve">Abstract: </w:t>
            </w:r>
            <w:r w:rsidRPr="005762E6">
              <w:rPr>
                <w:sz w:val="20"/>
                <w:szCs w:val="20"/>
              </w:rPr>
              <w:t xml:space="preserve">The influence of mentholated vs. regular cigarettes on selected chemical and topographic parameters was measured in 20 smokers in a pulmonary function laboratory. Half the subjects were black and half were white; half were menthol and half regular smokers. All subjects smoked both types of </w:t>
            </w:r>
            <w:proofErr w:type="gramStart"/>
            <w:r w:rsidRPr="005762E6">
              <w:rPr>
                <w:sz w:val="20"/>
                <w:szCs w:val="20"/>
              </w:rPr>
              <w:t>cigarettes,​</w:t>
            </w:r>
            <w:proofErr w:type="gramEnd"/>
            <w:r w:rsidRPr="005762E6">
              <w:rPr>
                <w:sz w:val="20"/>
                <w:szCs w:val="20"/>
              </w:rPr>
              <w:t xml:space="preserve"> one on each of 2 days. Compared to regular </w:t>
            </w:r>
            <w:proofErr w:type="gramStart"/>
            <w:r w:rsidRPr="005762E6">
              <w:rPr>
                <w:sz w:val="20"/>
                <w:szCs w:val="20"/>
              </w:rPr>
              <w:t>cigarettes,​</w:t>
            </w:r>
            <w:proofErr w:type="gramEnd"/>
            <w:r w:rsidRPr="005762E6">
              <w:rPr>
                <w:sz w:val="20"/>
                <w:szCs w:val="20"/>
              </w:rPr>
              <w:t xml:space="preserve"> mentholated cigarettes produced a significantly greater boost in carbon monoxide measured as both blood carboxyhemoglobin and end-expired carbon monoxide,​ despite the fact that mentholated cigarettes decreased average and total cumulative puff volumes and increased mean puff flow rates of inhaled smoke. These chemical and topographic differences were independent of race. No significant differences in depth of inhalation of the smoke or in the amount of insoluble smoke particulates delivered to or retained in the respiratory tract were noted between the two types of cigarettes. Mentholation of cigarettes may decrease volume of smoke inhaled but appears to increase exposure of smokers to toxic effects of carbon monoxide.</w:t>
            </w:r>
          </w:p>
        </w:tc>
      </w:tr>
      <w:tr w:rsidR="00B44564" w:rsidRPr="005762E6" w14:paraId="0B5F6341"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487A864" w14:textId="77777777" w:rsidR="00B44564" w:rsidRPr="005762E6" w:rsidRDefault="00B44564" w:rsidP="00EA69AA">
            <w:pPr>
              <w:spacing w:after="120" w:line="240" w:lineRule="auto"/>
              <w:contextualSpacing/>
              <w:rPr>
                <w:sz w:val="20"/>
                <w:szCs w:val="20"/>
              </w:rPr>
            </w:pPr>
            <w:r w:rsidRPr="005762E6">
              <w:rPr>
                <w:sz w:val="20"/>
                <w:szCs w:val="20"/>
              </w:rPr>
              <w:lastRenderedPageBreak/>
              <w:t>752</w:t>
            </w:r>
          </w:p>
        </w:tc>
        <w:tc>
          <w:tcPr>
            <w:tcW w:w="0" w:type="auto"/>
            <w:tcBorders>
              <w:top w:val="single" w:sz="6" w:space="0" w:color="auto"/>
              <w:left w:val="single" w:sz="6" w:space="0" w:color="auto"/>
              <w:bottom w:val="single" w:sz="6" w:space="0" w:color="auto"/>
              <w:right w:val="single" w:sz="6" w:space="0" w:color="auto"/>
            </w:tcBorders>
          </w:tcPr>
          <w:p w14:paraId="2353CDFC"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112053A" w14:textId="5D4974B9" w:rsidR="00B44564" w:rsidRPr="005762E6" w:rsidRDefault="00B44564" w:rsidP="00EA69AA">
            <w:pPr>
              <w:spacing w:after="120" w:line="240" w:lineRule="auto"/>
              <w:contextualSpacing/>
              <w:rPr>
                <w:sz w:val="20"/>
                <w:szCs w:val="20"/>
              </w:rPr>
            </w:pPr>
            <w:r w:rsidRPr="005762E6">
              <w:rPr>
                <w:sz w:val="20"/>
                <w:szCs w:val="20"/>
              </w:rPr>
              <w:t xml:space="preserve">J M </w:t>
            </w:r>
            <w:proofErr w:type="gramStart"/>
            <w:r w:rsidRPr="005762E6">
              <w:rPr>
                <w:sz w:val="20"/>
                <w:szCs w:val="20"/>
              </w:rPr>
              <w:t>Royce,​</w:t>
            </w:r>
            <w:proofErr w:type="gramEnd"/>
            <w:r w:rsidRPr="005762E6">
              <w:rPr>
                <w:sz w:val="20"/>
                <w:szCs w:val="20"/>
              </w:rPr>
              <w:t xml:space="preserve"> N Hymowitz,​ K Corbett,​ T D Hartwell,​ M A Orlandi Smoking cessation factors among African Americans and whites. COMMIT Research Group</w:t>
            </w:r>
            <w:r w:rsidR="007F2F01">
              <w:rPr>
                <w:sz w:val="20"/>
                <w:szCs w:val="20"/>
              </w:rPr>
              <w:t>.</w:t>
            </w:r>
            <w:r w:rsidRPr="005762E6">
              <w:rPr>
                <w:sz w:val="20"/>
                <w:szCs w:val="20"/>
              </w:rPr>
              <w:t xml:space="preserve"> American journal of public health; 1993;83:220.</w:t>
            </w:r>
            <w:r w:rsidRPr="005762E6">
              <w:rPr>
                <w:sz w:val="20"/>
                <w:szCs w:val="20"/>
              </w:rPr>
              <w:br/>
            </w:r>
            <w:r w:rsidRPr="005762E6">
              <w:rPr>
                <w:sz w:val="20"/>
                <w:szCs w:val="20"/>
              </w:rPr>
              <w:br/>
            </w:r>
            <w:r w:rsidRPr="005762E6">
              <w:rPr>
                <w:b/>
                <w:bCs/>
                <w:sz w:val="20"/>
                <w:szCs w:val="20"/>
              </w:rPr>
              <w:t>Keywords:</w:t>
            </w:r>
            <w:r w:rsidRPr="005762E6">
              <w:rPr>
                <w:sz w:val="20"/>
                <w:szCs w:val="20"/>
              </w:rPr>
              <w:br/>
              <w:t>Adult,​*African Americans/px [Psychology],​Attitude,​European Continental Ancestry Group/px [Psychology],​Female,​Humans,​Logistic Models,​Male,​Middle Aged,​Regression Analysis,​Smoking/eh [Ethnology],​Smoking/px [Psychology],​*Smoking Cessation/eh [Ethnology],​Smoking Cessation/px [Psychology],​Socioeconomic Factors,​Tobacco Use Disorder/eh [Ethnology]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OBJECTIVES: This study was undertaken to explore smoking patterns and attitudes that influence smoking cessation and relapse among African Americans.,​ METHODS: Baseline data from eight Community Intervention Trial for Smoking Cessation (COMMIT) sites were analyzed.,​ RESULTS: Compared with Whites,​ African Americans who smoke less than 25 cigarettes per day were 1.6 times more likely to smoke within 10 minutes of awakening (a behavioral indicator of nicotine dependence),​ adjusting for education,​ age,​ and gender (OR = 1.2 for heavier smokers). African Americans reported a stronger desire to quit smoking and reported serious quit attempts in the past year. African Americans favored tobacco restrictions (they were 1.8 times more likely than Whites to view smoking as a serious community </w:t>
            </w:r>
            <w:proofErr w:type="gramStart"/>
            <w:r w:rsidRPr="005762E6">
              <w:rPr>
                <w:sz w:val="20"/>
                <w:szCs w:val="20"/>
              </w:rPr>
              <w:t>problem,​</w:t>
            </w:r>
            <w:proofErr w:type="gramEnd"/>
            <w:r w:rsidRPr="005762E6">
              <w:rPr>
                <w:sz w:val="20"/>
                <w:szCs w:val="20"/>
              </w:rPr>
              <w:t xml:space="preserve"> 1.7 times more likely to favor restrictions on cigarette vending machines,​ and 2.1 times more likely to prohibit smoking in their car). African Americans were lighter/</w:t>
            </w:r>
            <w:proofErr w:type="gramStart"/>
            <w:r w:rsidRPr="005762E6">
              <w:rPr>
                <w:sz w:val="20"/>
                <w:szCs w:val="20"/>
              </w:rPr>
              <w:t>moderate,​</w:t>
            </w:r>
            <w:proofErr w:type="gramEnd"/>
            <w:r w:rsidRPr="005762E6">
              <w:rPr>
                <w:sz w:val="20"/>
                <w:szCs w:val="20"/>
              </w:rPr>
              <w:t xml:space="preserve"> menthol smokers.,​ CONCLUSIONS: African Americans find smoking socially unacceptable and are strongly motivated to quit,​ but their "wake-up" smoking may indicate high nicotine dependence,​ making abstinence difficult even for lighter smokers.</w:t>
            </w:r>
          </w:p>
        </w:tc>
      </w:tr>
      <w:tr w:rsidR="00B44564" w:rsidRPr="005762E6" w14:paraId="1A5B8916"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56F7EA4" w14:textId="77777777" w:rsidR="00B44564" w:rsidRPr="005762E6" w:rsidRDefault="00B44564" w:rsidP="00EA69AA">
            <w:pPr>
              <w:spacing w:after="120" w:line="240" w:lineRule="auto"/>
              <w:contextualSpacing/>
              <w:rPr>
                <w:sz w:val="20"/>
                <w:szCs w:val="20"/>
              </w:rPr>
            </w:pPr>
            <w:r w:rsidRPr="005762E6">
              <w:rPr>
                <w:sz w:val="20"/>
                <w:szCs w:val="20"/>
              </w:rPr>
              <w:t>753</w:t>
            </w:r>
          </w:p>
        </w:tc>
        <w:tc>
          <w:tcPr>
            <w:tcW w:w="0" w:type="auto"/>
            <w:tcBorders>
              <w:top w:val="single" w:sz="6" w:space="0" w:color="auto"/>
              <w:left w:val="single" w:sz="6" w:space="0" w:color="auto"/>
              <w:bottom w:val="single" w:sz="6" w:space="0" w:color="auto"/>
              <w:right w:val="single" w:sz="6" w:space="0" w:color="auto"/>
            </w:tcBorders>
          </w:tcPr>
          <w:p w14:paraId="015A451B"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F19C305" w14:textId="660FCFB2" w:rsidR="00B44564" w:rsidRPr="005762E6" w:rsidRDefault="00B44564" w:rsidP="00EA69AA">
            <w:pPr>
              <w:spacing w:after="120" w:line="240" w:lineRule="auto"/>
              <w:contextualSpacing/>
              <w:rPr>
                <w:sz w:val="20"/>
                <w:szCs w:val="20"/>
              </w:rPr>
            </w:pPr>
            <w:r w:rsidRPr="005762E6">
              <w:rPr>
                <w:sz w:val="20"/>
                <w:szCs w:val="20"/>
              </w:rPr>
              <w:t xml:space="preserve">K </w:t>
            </w:r>
            <w:proofErr w:type="gramStart"/>
            <w:r w:rsidRPr="005762E6">
              <w:rPr>
                <w:sz w:val="20"/>
                <w:szCs w:val="20"/>
              </w:rPr>
              <w:t>Ahijevych,​</w:t>
            </w:r>
            <w:proofErr w:type="gramEnd"/>
            <w:r w:rsidRPr="005762E6">
              <w:rPr>
                <w:sz w:val="20"/>
                <w:szCs w:val="20"/>
              </w:rPr>
              <w:t xml:space="preserve"> M E Wewers Factors associated with nicotine dependence among African American women cigarette smokers</w:t>
            </w:r>
            <w:r w:rsidR="007F2F01">
              <w:rPr>
                <w:sz w:val="20"/>
                <w:szCs w:val="20"/>
              </w:rPr>
              <w:t>.</w:t>
            </w:r>
            <w:r w:rsidRPr="005762E6">
              <w:rPr>
                <w:sz w:val="20"/>
                <w:szCs w:val="20"/>
              </w:rPr>
              <w:t xml:space="preserve"> Research in nursing &amp; health; 1993;16:283.</w:t>
            </w:r>
            <w:r w:rsidRPr="005762E6">
              <w:rPr>
                <w:sz w:val="20"/>
                <w:szCs w:val="20"/>
              </w:rPr>
              <w:br/>
            </w:r>
            <w:r w:rsidRPr="005762E6">
              <w:rPr>
                <w:sz w:val="20"/>
                <w:szCs w:val="20"/>
              </w:rPr>
              <w:br/>
            </w:r>
            <w:r w:rsidRPr="005762E6">
              <w:rPr>
                <w:b/>
                <w:bCs/>
                <w:sz w:val="20"/>
                <w:szCs w:val="20"/>
              </w:rPr>
              <w:t>Keywords:</w:t>
            </w:r>
            <w:r w:rsidRPr="005762E6">
              <w:rPr>
                <w:sz w:val="20"/>
                <w:szCs w:val="20"/>
              </w:rPr>
              <w:br/>
              <w:t>Adaptation,​ Psychological,​Adolescent,​Adult,​*African Americans/px [Psychology],​Aged,​Analysis of Variance,​Cognitive Therapy,​Cotinine/an [Analysis],​Educational Status,​Female,​Humans,​Middle Aged,​Models,​ Psychological,​Motivation,​*Nicotine,​Peer Group,​Poverty,​Predictive Value of Tests,​Regression Analysis,​Risk Factors,​Saliva/ch [Chemistry],​*Smoking/eh [Ethnology],​Smoking/mo [Mortality],​Smoking/px [Psychology],​Smoking Cessation/eh [Ethnology],​Smoking Cessation/mt [Methods],​Smoking Cessation/px [Psychology],​Smoking Prevention,​Socioeconomic Factors,​Substance-Related Disorders/di [Diagnosis],​*Substance-Related Disorders/eh [Ethnology],​Substance-Related Disorders/mo [Mortality],​Substance-Related Disorders/pc [Prevention &amp; Control],​Substance-Related Disorders/px [Psychology],​Surveys and Questionnaires,​*Women/px [Psychology]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Cigarette smoking contributes to disproportionate morbidity and mortality among African Americans. Purposes of the study were to describe smoking behavior and test a model of nicotine dependence among African American women. Participants (n = 187) smoked a low rate of high nicotine mentholated cigarettes and had a mean salivary cotinine of 402 ng/mL. The proposed model predicted 48% of variance in nicotine dependence with smoking to </w:t>
            </w:r>
            <w:proofErr w:type="gramStart"/>
            <w:r w:rsidRPr="005762E6">
              <w:rPr>
                <w:sz w:val="20"/>
                <w:szCs w:val="20"/>
              </w:rPr>
              <w:t>cope,​</w:t>
            </w:r>
            <w:proofErr w:type="gramEnd"/>
            <w:r w:rsidRPr="005762E6">
              <w:rPr>
                <w:sz w:val="20"/>
                <w:szCs w:val="20"/>
              </w:rPr>
              <w:t xml:space="preserve"> number of cigarettes/day,​ positive outcome </w:t>
            </w:r>
            <w:r w:rsidRPr="005762E6">
              <w:rPr>
                <w:sz w:val="20"/>
                <w:szCs w:val="20"/>
              </w:rPr>
              <w:lastRenderedPageBreak/>
              <w:t xml:space="preserve">expectancies about smoking,​ and interest in quitting,​ as significant contributors. Suggested interventions include developing alternative coping </w:t>
            </w:r>
            <w:proofErr w:type="gramStart"/>
            <w:r w:rsidRPr="005762E6">
              <w:rPr>
                <w:sz w:val="20"/>
                <w:szCs w:val="20"/>
              </w:rPr>
              <w:t>skills,​</w:t>
            </w:r>
            <w:proofErr w:type="gramEnd"/>
            <w:r w:rsidRPr="005762E6">
              <w:rPr>
                <w:sz w:val="20"/>
                <w:szCs w:val="20"/>
              </w:rPr>
              <w:t xml:space="preserve"> cognitive restructuring,​ and techniques focused on the precontemplation stage of smoking cessation.</w:t>
            </w:r>
          </w:p>
        </w:tc>
      </w:tr>
      <w:tr w:rsidR="00B44564" w:rsidRPr="005762E6" w14:paraId="0855B194"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4A6D028" w14:textId="77777777" w:rsidR="00B44564" w:rsidRPr="005762E6" w:rsidRDefault="00B44564" w:rsidP="00EA69AA">
            <w:pPr>
              <w:spacing w:after="120" w:line="240" w:lineRule="auto"/>
              <w:contextualSpacing/>
              <w:rPr>
                <w:sz w:val="20"/>
                <w:szCs w:val="20"/>
              </w:rPr>
            </w:pPr>
            <w:r w:rsidRPr="005762E6">
              <w:rPr>
                <w:sz w:val="20"/>
                <w:szCs w:val="20"/>
              </w:rPr>
              <w:lastRenderedPageBreak/>
              <w:t>755</w:t>
            </w:r>
          </w:p>
        </w:tc>
        <w:tc>
          <w:tcPr>
            <w:tcW w:w="0" w:type="auto"/>
            <w:tcBorders>
              <w:top w:val="single" w:sz="6" w:space="0" w:color="auto"/>
              <w:left w:val="single" w:sz="6" w:space="0" w:color="auto"/>
              <w:bottom w:val="single" w:sz="6" w:space="0" w:color="auto"/>
              <w:right w:val="single" w:sz="6" w:space="0" w:color="auto"/>
            </w:tcBorders>
          </w:tcPr>
          <w:p w14:paraId="4E8C6D17"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C41EE08" w14:textId="079FCE7D" w:rsidR="00B44564" w:rsidRPr="005762E6" w:rsidRDefault="00B44564" w:rsidP="00EA69AA">
            <w:pPr>
              <w:spacing w:after="120" w:line="240" w:lineRule="auto"/>
              <w:contextualSpacing/>
              <w:rPr>
                <w:sz w:val="20"/>
                <w:szCs w:val="20"/>
              </w:rPr>
            </w:pPr>
            <w:r w:rsidRPr="005762E6">
              <w:rPr>
                <w:sz w:val="20"/>
                <w:szCs w:val="20"/>
              </w:rPr>
              <w:t xml:space="preserve">G C </w:t>
            </w:r>
            <w:proofErr w:type="gramStart"/>
            <w:r w:rsidRPr="005762E6">
              <w:rPr>
                <w:sz w:val="20"/>
                <w:szCs w:val="20"/>
              </w:rPr>
              <w:t>Kabat,​</w:t>
            </w:r>
            <w:proofErr w:type="gramEnd"/>
            <w:r w:rsidRPr="005762E6">
              <w:rPr>
                <w:sz w:val="20"/>
                <w:szCs w:val="20"/>
              </w:rPr>
              <w:t xml:space="preserve"> J R Hebert Use of mentholated cigarettes and lung cancer risk</w:t>
            </w:r>
            <w:r w:rsidR="007F2F01">
              <w:rPr>
                <w:sz w:val="20"/>
                <w:szCs w:val="20"/>
              </w:rPr>
              <w:t>.</w:t>
            </w:r>
            <w:r w:rsidRPr="005762E6">
              <w:rPr>
                <w:sz w:val="20"/>
                <w:szCs w:val="20"/>
              </w:rPr>
              <w:t xml:space="preserve"> Cancer research; </w:t>
            </w:r>
            <w:proofErr w:type="gramStart"/>
            <w:r w:rsidRPr="005762E6">
              <w:rPr>
                <w:sz w:val="20"/>
                <w:szCs w:val="20"/>
              </w:rPr>
              <w:t>1991;51:6510</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Adult,​Case-Control Studies,​Continental Population Groups,​Female,​Humans,​*Lung Neoplasms/et [Etiology],​Male,​Menthol,​Middle Aged,​Risk Factors,​*Smoking/ae [Adverse Effects]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Black males have higher age-adjusted lung cancer incidence rates compared to white males,​ and blacks of both sexes have higher rates of increase in lung cancer incidence over past decades. The majority of black smokers smoke mentholated cigarettes. These observations prompted us to assess the effect of smoking mentholated cigarettes on lung cancer </w:t>
            </w:r>
            <w:proofErr w:type="gramStart"/>
            <w:r w:rsidRPr="005762E6">
              <w:rPr>
                <w:sz w:val="20"/>
                <w:szCs w:val="20"/>
              </w:rPr>
              <w:t>risk,​</w:t>
            </w:r>
            <w:proofErr w:type="gramEnd"/>
            <w:r w:rsidRPr="005762E6">
              <w:rPr>
                <w:sz w:val="20"/>
                <w:szCs w:val="20"/>
              </w:rPr>
              <w:t xml:space="preserve"> using data from a hospital-based case-control study of tobacco-related cancers. Analysis was restricted to current cigarette smokers and was carried out on 588 male lung cancer cases and 914 male control patients and on 456 female lung cancer cases and 410 female controls interviewed between 1985 and 1990. The prevalence of menthol usage did not differ between cases and controls of either sex. No significant association was observed between either short-term (1-14 years) or long-term (15+ years) menthol use and lung cancer in logistic regression analyses adjusting for covariates. For specific histological types of lung cancer there was no indication of an association with menthol usage.</w:t>
            </w:r>
          </w:p>
        </w:tc>
      </w:tr>
      <w:tr w:rsidR="00B44564" w:rsidRPr="005762E6" w14:paraId="23CCB341"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A8A3A3B" w14:textId="77777777" w:rsidR="00B44564" w:rsidRPr="005762E6" w:rsidRDefault="00B44564" w:rsidP="00EA69AA">
            <w:pPr>
              <w:spacing w:after="120" w:line="240" w:lineRule="auto"/>
              <w:contextualSpacing/>
              <w:rPr>
                <w:sz w:val="20"/>
                <w:szCs w:val="20"/>
              </w:rPr>
            </w:pPr>
            <w:r w:rsidRPr="005762E6">
              <w:rPr>
                <w:sz w:val="20"/>
                <w:szCs w:val="20"/>
              </w:rPr>
              <w:t>761</w:t>
            </w:r>
          </w:p>
        </w:tc>
        <w:tc>
          <w:tcPr>
            <w:tcW w:w="0" w:type="auto"/>
            <w:tcBorders>
              <w:top w:val="single" w:sz="6" w:space="0" w:color="auto"/>
              <w:left w:val="single" w:sz="6" w:space="0" w:color="auto"/>
              <w:bottom w:val="single" w:sz="6" w:space="0" w:color="auto"/>
              <w:right w:val="single" w:sz="6" w:space="0" w:color="auto"/>
            </w:tcBorders>
          </w:tcPr>
          <w:p w14:paraId="03E8BD82"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2BAD010" w14:textId="18C13754" w:rsidR="00B44564" w:rsidRPr="005762E6" w:rsidRDefault="00B44564" w:rsidP="00EA69AA">
            <w:pPr>
              <w:spacing w:after="120" w:line="240" w:lineRule="auto"/>
              <w:contextualSpacing/>
              <w:rPr>
                <w:sz w:val="20"/>
                <w:szCs w:val="20"/>
              </w:rPr>
            </w:pPr>
            <w:r w:rsidRPr="005762E6">
              <w:rPr>
                <w:sz w:val="20"/>
                <w:szCs w:val="20"/>
              </w:rPr>
              <w:t xml:space="preserve">C T </w:t>
            </w:r>
            <w:proofErr w:type="gramStart"/>
            <w:r w:rsidRPr="005762E6">
              <w:rPr>
                <w:sz w:val="20"/>
                <w:szCs w:val="20"/>
              </w:rPr>
              <w:t>Orleans,​</w:t>
            </w:r>
            <w:proofErr w:type="gramEnd"/>
            <w:r w:rsidRPr="005762E6">
              <w:rPr>
                <w:sz w:val="20"/>
                <w:szCs w:val="20"/>
              </w:rPr>
              <w:t xml:space="preserve"> V J Schoenbach,​ M A Salmon,​ V J Strecher,​ W Kalsbeek,​ D Quade,​ E F Brooks,​ T R Konrad,​ C Blackmon,​ C D Watts A survey of smoking and quitting patterns among black Americans</w:t>
            </w:r>
            <w:r w:rsidR="007F2F01">
              <w:rPr>
                <w:sz w:val="20"/>
                <w:szCs w:val="20"/>
              </w:rPr>
              <w:t>.</w:t>
            </w:r>
            <w:r w:rsidRPr="005762E6">
              <w:rPr>
                <w:sz w:val="20"/>
                <w:szCs w:val="20"/>
              </w:rPr>
              <w:t xml:space="preserve"> American journal of public health; 1989;79:176.</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Adolescent,​Adult,​*African Americans,​Female,​Humans,​Male,​Smoking/ep [Epidemiology],​*Smoking/eh [Ethnology],​Smoking Prevention,​United States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A sample of adult Black policyholders of the nation's largest Black-owned life insurance company was surveyed in 1986 to add to limited data on smoking and quitting patterns among Black Americans,​ and to provide direction for cessation initiatives targeted to Black smokers. Forty per cent of </w:t>
            </w:r>
            <w:proofErr w:type="gramStart"/>
            <w:r w:rsidRPr="005762E6">
              <w:rPr>
                <w:sz w:val="20"/>
                <w:szCs w:val="20"/>
              </w:rPr>
              <w:t>2,​</w:t>
            </w:r>
            <w:proofErr w:type="gramEnd"/>
            <w:r w:rsidRPr="005762E6">
              <w:rPr>
                <w:sz w:val="20"/>
                <w:szCs w:val="20"/>
              </w:rPr>
              <w:t xml:space="preserve">958 age-eligible policyholders for whom current addresses were available returned a completed questionnaire. Population estimates for smoking status agree closely with national estimates for Blacks age 21-60 years: 50 per cent never-smokers; 36 per cent current smokers; 14 per cent ex-smokers. Current and ex-smokers reported a modal low-rate/high nicotine menthol smoking pattern. Current smokers reported a mean of 3.8 serious quit </w:t>
            </w:r>
            <w:proofErr w:type="gramStart"/>
            <w:r w:rsidRPr="005762E6">
              <w:rPr>
                <w:sz w:val="20"/>
                <w:szCs w:val="20"/>
              </w:rPr>
              <w:t>attempts,​</w:t>
            </w:r>
            <w:proofErr w:type="gramEnd"/>
            <w:r w:rsidRPr="005762E6">
              <w:rPr>
                <w:sz w:val="20"/>
                <w:szCs w:val="20"/>
              </w:rPr>
              <w:t xml:space="preserve"> a strong desire and intention to quit smoking,​ and limited past use of effective quit smoking treatments and self-help resources. Correlates of motivation to quit smoking were similar to those found among smokers in the general </w:t>
            </w:r>
            <w:proofErr w:type="gramStart"/>
            <w:r w:rsidRPr="005762E6">
              <w:rPr>
                <w:sz w:val="20"/>
                <w:szCs w:val="20"/>
              </w:rPr>
              <w:t>population,​</w:t>
            </w:r>
            <w:proofErr w:type="gramEnd"/>
            <w:r w:rsidRPr="005762E6">
              <w:rPr>
                <w:sz w:val="20"/>
                <w:szCs w:val="20"/>
              </w:rPr>
              <w:t xml:space="preserve"> including smoking-related illnesses and medical advice to quit smoking,​ previous quit attempts,​ beliefs in smoking-related health harms/quitting benefits,​ and expected social support for quitting. Methodological limitations and implications for the design of needed Black-focused quit smoking initiatives are discussed.</w:t>
            </w:r>
          </w:p>
        </w:tc>
      </w:tr>
      <w:tr w:rsidR="00B44564" w:rsidRPr="005762E6" w14:paraId="625CEDEE"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F059C5A" w14:textId="77777777" w:rsidR="00B44564" w:rsidRPr="005762E6" w:rsidRDefault="00B44564" w:rsidP="00EA69AA">
            <w:pPr>
              <w:spacing w:after="120" w:line="240" w:lineRule="auto"/>
              <w:contextualSpacing/>
              <w:rPr>
                <w:sz w:val="20"/>
                <w:szCs w:val="20"/>
              </w:rPr>
            </w:pPr>
            <w:r w:rsidRPr="005762E6">
              <w:rPr>
                <w:sz w:val="20"/>
                <w:szCs w:val="20"/>
              </w:rPr>
              <w:t>762</w:t>
            </w:r>
          </w:p>
        </w:tc>
        <w:tc>
          <w:tcPr>
            <w:tcW w:w="0" w:type="auto"/>
            <w:tcBorders>
              <w:top w:val="single" w:sz="6" w:space="0" w:color="auto"/>
              <w:left w:val="single" w:sz="6" w:space="0" w:color="auto"/>
              <w:bottom w:val="single" w:sz="6" w:space="0" w:color="auto"/>
              <w:right w:val="single" w:sz="6" w:space="0" w:color="auto"/>
            </w:tcBorders>
          </w:tcPr>
          <w:p w14:paraId="154C1D70"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412052A" w14:textId="4774418B" w:rsidR="00B44564" w:rsidRPr="005762E6" w:rsidRDefault="00B44564" w:rsidP="00EA69AA">
            <w:pPr>
              <w:spacing w:after="120" w:line="240" w:lineRule="auto"/>
              <w:contextualSpacing/>
              <w:rPr>
                <w:sz w:val="20"/>
                <w:szCs w:val="20"/>
              </w:rPr>
            </w:pPr>
            <w:r w:rsidRPr="005762E6">
              <w:rPr>
                <w:sz w:val="20"/>
                <w:szCs w:val="20"/>
              </w:rPr>
              <w:t xml:space="preserve">S </w:t>
            </w:r>
            <w:proofErr w:type="gramStart"/>
            <w:r w:rsidRPr="005762E6">
              <w:rPr>
                <w:sz w:val="20"/>
                <w:szCs w:val="20"/>
              </w:rPr>
              <w:t>Sidney,​</w:t>
            </w:r>
            <w:proofErr w:type="gramEnd"/>
            <w:r w:rsidRPr="005762E6">
              <w:rPr>
                <w:sz w:val="20"/>
                <w:szCs w:val="20"/>
              </w:rPr>
              <w:t xml:space="preserve"> I Tekawa,​ G D Friedman Mentholated cigarette use among multiphasic examinees,​ 1979-86</w:t>
            </w:r>
            <w:r w:rsidR="007F2F01">
              <w:rPr>
                <w:sz w:val="20"/>
                <w:szCs w:val="20"/>
              </w:rPr>
              <w:t>.</w:t>
            </w:r>
            <w:r w:rsidRPr="005762E6">
              <w:rPr>
                <w:sz w:val="20"/>
                <w:szCs w:val="20"/>
              </w:rPr>
              <w:t xml:space="preserve"> American journal of public health; </w:t>
            </w:r>
            <w:proofErr w:type="gramStart"/>
            <w:r w:rsidRPr="005762E6">
              <w:rPr>
                <w:sz w:val="20"/>
                <w:szCs w:val="20"/>
              </w:rPr>
              <w:t>1989;79:1415</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Adolescent,​Adult,​African Americans,​Age Factors,​Aged,​Asian Americans,​California,​European Continental Ancestry Group,​Female,​Humans,​Male,​*Menthol,​Middle Aged,​Prospective Studies,​Sex Factors,​Smoking/ep [Epidemiology],​*Smoking/eh [Ethnology]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Mentholated cigarette use was studied in relation to age and race in 29,​037 current smokers who were Kaiser Permanente Medical Care Program members. The percentages of mentholated cigarette users were much higher in Blacks and Asians than in </w:t>
            </w:r>
            <w:proofErr w:type="gramStart"/>
            <w:r w:rsidRPr="005762E6">
              <w:rPr>
                <w:sz w:val="20"/>
                <w:szCs w:val="20"/>
              </w:rPr>
              <w:t>Whites,​</w:t>
            </w:r>
            <w:proofErr w:type="gramEnd"/>
            <w:r w:rsidRPr="005762E6">
              <w:rPr>
                <w:sz w:val="20"/>
                <w:szCs w:val="20"/>
              </w:rPr>
              <w:t xml:space="preserve"> especially in the younger age groups. A marked inverse </w:t>
            </w:r>
            <w:r w:rsidRPr="005762E6">
              <w:rPr>
                <w:sz w:val="20"/>
                <w:szCs w:val="20"/>
              </w:rPr>
              <w:lastRenderedPageBreak/>
              <w:t>relationship between mentholated cigarette use and age was present in Blacks and Asians; mentholated cigarette use showed little difference with age in Whites.</w:t>
            </w:r>
          </w:p>
        </w:tc>
      </w:tr>
      <w:tr w:rsidR="00B44564" w:rsidRPr="005762E6" w14:paraId="2A6194E4"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2209CDA" w14:textId="77777777" w:rsidR="00B44564" w:rsidRPr="005762E6" w:rsidRDefault="00B44564" w:rsidP="00EA69AA">
            <w:pPr>
              <w:spacing w:after="120" w:line="240" w:lineRule="auto"/>
              <w:contextualSpacing/>
              <w:rPr>
                <w:sz w:val="20"/>
                <w:szCs w:val="20"/>
              </w:rPr>
            </w:pPr>
            <w:r w:rsidRPr="005762E6">
              <w:rPr>
                <w:sz w:val="20"/>
                <w:szCs w:val="20"/>
              </w:rPr>
              <w:lastRenderedPageBreak/>
              <w:t>765</w:t>
            </w:r>
          </w:p>
        </w:tc>
        <w:tc>
          <w:tcPr>
            <w:tcW w:w="0" w:type="auto"/>
            <w:tcBorders>
              <w:top w:val="single" w:sz="6" w:space="0" w:color="auto"/>
              <w:left w:val="single" w:sz="6" w:space="0" w:color="auto"/>
              <w:bottom w:val="single" w:sz="6" w:space="0" w:color="auto"/>
              <w:right w:val="single" w:sz="6" w:space="0" w:color="auto"/>
            </w:tcBorders>
          </w:tcPr>
          <w:p w14:paraId="582E256B"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D5E6BFC" w14:textId="52035BE5" w:rsidR="00B44564" w:rsidRPr="005762E6" w:rsidRDefault="00B44564" w:rsidP="00EA69AA">
            <w:pPr>
              <w:spacing w:after="120" w:line="240" w:lineRule="auto"/>
              <w:contextualSpacing/>
              <w:rPr>
                <w:sz w:val="20"/>
                <w:szCs w:val="20"/>
              </w:rPr>
            </w:pPr>
            <w:r w:rsidRPr="005762E6">
              <w:rPr>
                <w:sz w:val="20"/>
                <w:szCs w:val="20"/>
              </w:rPr>
              <w:t xml:space="preserve">J R </w:t>
            </w:r>
            <w:proofErr w:type="gramStart"/>
            <w:r w:rsidRPr="005762E6">
              <w:rPr>
                <w:sz w:val="20"/>
                <w:szCs w:val="20"/>
              </w:rPr>
              <w:t>Hebert,​</w:t>
            </w:r>
            <w:proofErr w:type="gramEnd"/>
            <w:r w:rsidRPr="005762E6">
              <w:rPr>
                <w:sz w:val="20"/>
                <w:szCs w:val="20"/>
              </w:rPr>
              <w:t xml:space="preserve"> G C Kabat Menthol cigarettes and esophageal cancer</w:t>
            </w:r>
            <w:r w:rsidR="007F2F01">
              <w:rPr>
                <w:sz w:val="20"/>
                <w:szCs w:val="20"/>
              </w:rPr>
              <w:t>.</w:t>
            </w:r>
            <w:r w:rsidRPr="005762E6">
              <w:rPr>
                <w:sz w:val="20"/>
                <w:szCs w:val="20"/>
              </w:rPr>
              <w:t xml:space="preserve"> American journal of public health; </w:t>
            </w:r>
            <w:proofErr w:type="gramStart"/>
            <w:r w:rsidRPr="005762E6">
              <w:rPr>
                <w:sz w:val="20"/>
                <w:szCs w:val="20"/>
              </w:rPr>
              <w:t>1988;78:986</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African Americans,​African Continental Ancestry Group,​*Esophageal Neoplasms/mo [Mortality],​European Continental Ancestry Group,​Female,​Humans,​Male,​*Menthol/ae [Adverse Effects],​*Smoking/ae [Adverse Effects],​United States</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76E82A54"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C99A97E" w14:textId="77777777" w:rsidR="00B44564" w:rsidRPr="005762E6" w:rsidRDefault="00B44564" w:rsidP="00EA69AA">
            <w:pPr>
              <w:spacing w:after="120" w:line="240" w:lineRule="auto"/>
              <w:contextualSpacing/>
              <w:rPr>
                <w:sz w:val="20"/>
                <w:szCs w:val="20"/>
              </w:rPr>
            </w:pPr>
            <w:r w:rsidRPr="005762E6">
              <w:rPr>
                <w:sz w:val="20"/>
                <w:szCs w:val="20"/>
              </w:rPr>
              <w:t>768</w:t>
            </w:r>
          </w:p>
        </w:tc>
        <w:tc>
          <w:tcPr>
            <w:tcW w:w="0" w:type="auto"/>
            <w:tcBorders>
              <w:top w:val="single" w:sz="6" w:space="0" w:color="auto"/>
              <w:left w:val="single" w:sz="6" w:space="0" w:color="auto"/>
              <w:bottom w:val="single" w:sz="6" w:space="0" w:color="auto"/>
              <w:right w:val="single" w:sz="6" w:space="0" w:color="auto"/>
            </w:tcBorders>
          </w:tcPr>
          <w:p w14:paraId="2E084F98"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FE247C6" w14:textId="65E93755" w:rsidR="00B44564" w:rsidRPr="005762E6" w:rsidRDefault="00B44564" w:rsidP="00EA69AA">
            <w:pPr>
              <w:spacing w:after="120" w:line="240" w:lineRule="auto"/>
              <w:contextualSpacing/>
              <w:rPr>
                <w:sz w:val="20"/>
                <w:szCs w:val="20"/>
              </w:rPr>
            </w:pPr>
            <w:r w:rsidRPr="005762E6">
              <w:rPr>
                <w:sz w:val="20"/>
                <w:szCs w:val="20"/>
              </w:rPr>
              <w:t xml:space="preserve">G </w:t>
            </w:r>
            <w:proofErr w:type="gramStart"/>
            <w:r w:rsidRPr="005762E6">
              <w:rPr>
                <w:sz w:val="20"/>
                <w:szCs w:val="20"/>
              </w:rPr>
              <w:t>Camarasa,​</w:t>
            </w:r>
            <w:proofErr w:type="gramEnd"/>
            <w:r w:rsidRPr="005762E6">
              <w:rPr>
                <w:sz w:val="20"/>
                <w:szCs w:val="20"/>
              </w:rPr>
              <w:t xml:space="preserve"> A Alomar Menthol dermatitis from cigarettes</w:t>
            </w:r>
            <w:r w:rsidR="007F2F01">
              <w:rPr>
                <w:sz w:val="20"/>
                <w:szCs w:val="20"/>
              </w:rPr>
              <w:t>.</w:t>
            </w:r>
            <w:r w:rsidRPr="005762E6">
              <w:rPr>
                <w:sz w:val="20"/>
                <w:szCs w:val="20"/>
              </w:rPr>
              <w:t xml:space="preserve"> Contact dermatitis; </w:t>
            </w:r>
            <w:proofErr w:type="gramStart"/>
            <w:r w:rsidRPr="005762E6">
              <w:rPr>
                <w:sz w:val="20"/>
                <w:szCs w:val="20"/>
              </w:rPr>
              <w:t>1978;4:169</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Adult,​*Dermatitis,​ Contact/et [Etiology],​Female,​Humans,​*Menthol/ae [Adverse Effects],​*Smoking/co [Complications]</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45945820"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3ACC995" w14:textId="77777777" w:rsidR="00B44564" w:rsidRPr="005762E6" w:rsidRDefault="00B44564" w:rsidP="00EA69AA">
            <w:pPr>
              <w:spacing w:after="120" w:line="240" w:lineRule="auto"/>
              <w:contextualSpacing/>
              <w:rPr>
                <w:sz w:val="20"/>
                <w:szCs w:val="20"/>
              </w:rPr>
            </w:pPr>
            <w:r w:rsidRPr="005762E6">
              <w:rPr>
                <w:sz w:val="20"/>
                <w:szCs w:val="20"/>
              </w:rPr>
              <w:t>769</w:t>
            </w:r>
          </w:p>
        </w:tc>
        <w:tc>
          <w:tcPr>
            <w:tcW w:w="0" w:type="auto"/>
            <w:tcBorders>
              <w:top w:val="single" w:sz="6" w:space="0" w:color="auto"/>
              <w:left w:val="single" w:sz="6" w:space="0" w:color="auto"/>
              <w:bottom w:val="single" w:sz="6" w:space="0" w:color="auto"/>
              <w:right w:val="single" w:sz="6" w:space="0" w:color="auto"/>
            </w:tcBorders>
          </w:tcPr>
          <w:p w14:paraId="56BE36B7"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A45DF4C" w14:textId="3EFC9B3C" w:rsidR="00B44564" w:rsidRPr="005762E6" w:rsidRDefault="00B44564" w:rsidP="00EA69AA">
            <w:pPr>
              <w:spacing w:after="120" w:line="240" w:lineRule="auto"/>
              <w:contextualSpacing/>
              <w:rPr>
                <w:sz w:val="20"/>
                <w:szCs w:val="20"/>
              </w:rPr>
            </w:pPr>
            <w:r w:rsidRPr="005762E6">
              <w:rPr>
                <w:sz w:val="20"/>
                <w:szCs w:val="20"/>
              </w:rPr>
              <w:t xml:space="preserve">B </w:t>
            </w:r>
            <w:proofErr w:type="spellStart"/>
            <w:r w:rsidRPr="005762E6">
              <w:rPr>
                <w:sz w:val="20"/>
                <w:szCs w:val="20"/>
              </w:rPr>
              <w:t>B</w:t>
            </w:r>
            <w:proofErr w:type="spellEnd"/>
            <w:r w:rsidRPr="005762E6">
              <w:rPr>
                <w:sz w:val="20"/>
                <w:szCs w:val="20"/>
              </w:rPr>
              <w:t xml:space="preserve"> Chrisman Menthol and dermatitis</w:t>
            </w:r>
            <w:r w:rsidR="007F2F01">
              <w:rPr>
                <w:sz w:val="20"/>
                <w:szCs w:val="20"/>
              </w:rPr>
              <w:t>.</w:t>
            </w:r>
            <w:r w:rsidRPr="005762E6">
              <w:rPr>
                <w:sz w:val="20"/>
                <w:szCs w:val="20"/>
              </w:rPr>
              <w:t xml:space="preserve"> Archives of dermatology; </w:t>
            </w:r>
            <w:proofErr w:type="gramStart"/>
            <w:r w:rsidRPr="005762E6">
              <w:rPr>
                <w:sz w:val="20"/>
                <w:szCs w:val="20"/>
              </w:rPr>
              <w:t>1978;114:286</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Adult,​*Dermatitis,​ Contact/et [Etiology],​Female,​Humans,​*Lip Diseases/ci [Chemically Induced],​*Menthol/ae [Adverse Effects],​*Smoking</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52B50A30"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705A495" w14:textId="77777777" w:rsidR="00B44564" w:rsidRPr="005762E6" w:rsidRDefault="00B44564" w:rsidP="00EA69AA">
            <w:pPr>
              <w:spacing w:after="120" w:line="240" w:lineRule="auto"/>
              <w:contextualSpacing/>
              <w:rPr>
                <w:sz w:val="20"/>
                <w:szCs w:val="20"/>
              </w:rPr>
            </w:pPr>
            <w:r w:rsidRPr="005762E6">
              <w:rPr>
                <w:sz w:val="20"/>
                <w:szCs w:val="20"/>
              </w:rPr>
              <w:t>770</w:t>
            </w:r>
          </w:p>
        </w:tc>
        <w:tc>
          <w:tcPr>
            <w:tcW w:w="0" w:type="auto"/>
            <w:tcBorders>
              <w:top w:val="single" w:sz="6" w:space="0" w:color="auto"/>
              <w:left w:val="single" w:sz="6" w:space="0" w:color="auto"/>
              <w:bottom w:val="single" w:sz="6" w:space="0" w:color="auto"/>
              <w:right w:val="single" w:sz="6" w:space="0" w:color="auto"/>
            </w:tcBorders>
          </w:tcPr>
          <w:p w14:paraId="5E87C39D"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96855EC" w14:textId="7BDC2116" w:rsidR="00B44564" w:rsidRPr="005762E6" w:rsidRDefault="00B44564" w:rsidP="00EA69AA">
            <w:pPr>
              <w:spacing w:after="120" w:line="240" w:lineRule="auto"/>
              <w:contextualSpacing/>
              <w:rPr>
                <w:sz w:val="20"/>
                <w:szCs w:val="20"/>
              </w:rPr>
            </w:pPr>
            <w:r w:rsidRPr="005762E6">
              <w:rPr>
                <w:sz w:val="20"/>
                <w:szCs w:val="20"/>
              </w:rPr>
              <w:t xml:space="preserve">P K </w:t>
            </w:r>
            <w:proofErr w:type="gramStart"/>
            <w:r w:rsidRPr="005762E6">
              <w:rPr>
                <w:sz w:val="20"/>
                <w:szCs w:val="20"/>
              </w:rPr>
              <w:t>Das,​</w:t>
            </w:r>
            <w:proofErr w:type="gramEnd"/>
            <w:r w:rsidRPr="005762E6">
              <w:rPr>
                <w:sz w:val="20"/>
                <w:szCs w:val="20"/>
              </w:rPr>
              <w:t xml:space="preserve"> R S Rathor,​ P S Sinha,​ A K Sanyal Effect on ciliary movements of some agents which come in contact with the respiratory tract</w:t>
            </w:r>
            <w:r w:rsidR="007F2F01">
              <w:rPr>
                <w:sz w:val="20"/>
                <w:szCs w:val="20"/>
              </w:rPr>
              <w:t>.</w:t>
            </w:r>
            <w:r w:rsidRPr="005762E6">
              <w:rPr>
                <w:sz w:val="20"/>
                <w:szCs w:val="20"/>
              </w:rPr>
              <w:t xml:space="preserve"> Indian journal of physiology and pharmacology; </w:t>
            </w:r>
            <w:proofErr w:type="gramStart"/>
            <w:r w:rsidRPr="005762E6">
              <w:rPr>
                <w:sz w:val="20"/>
                <w:szCs w:val="20"/>
              </w:rPr>
              <w:t>1970;14:297</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Acetylcholine,​Animals,​Anura,​Bromides,​Carbon Dioxide,​Chloroform,​*Cilia/ph [Physiology],​Cresols,​Ethanol,​Ethyl Ethers,​Guaiacol,​In Vitro Techniques,​Menthol,​Oils,​Oxygen Consumption,​Paraldehyde,​Petroleum,​Plants,​ Toxic,​Potassium Chloride,​Potassium Iodide,​Respiratory Physiological Phenomena,​Smoke,​Thymol,​Tobacco</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2E4EFCDD"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654A9E9" w14:textId="77777777" w:rsidR="00B44564" w:rsidRPr="005762E6" w:rsidRDefault="00B44564" w:rsidP="00EA69AA">
            <w:pPr>
              <w:spacing w:after="120" w:line="240" w:lineRule="auto"/>
              <w:contextualSpacing/>
              <w:rPr>
                <w:sz w:val="20"/>
                <w:szCs w:val="20"/>
              </w:rPr>
            </w:pPr>
            <w:r w:rsidRPr="005762E6">
              <w:rPr>
                <w:sz w:val="20"/>
                <w:szCs w:val="20"/>
              </w:rPr>
              <w:t>771</w:t>
            </w:r>
          </w:p>
        </w:tc>
        <w:tc>
          <w:tcPr>
            <w:tcW w:w="0" w:type="auto"/>
            <w:tcBorders>
              <w:top w:val="single" w:sz="6" w:space="0" w:color="auto"/>
              <w:left w:val="single" w:sz="6" w:space="0" w:color="auto"/>
              <w:bottom w:val="single" w:sz="6" w:space="0" w:color="auto"/>
              <w:right w:val="single" w:sz="6" w:space="0" w:color="auto"/>
            </w:tcBorders>
          </w:tcPr>
          <w:p w14:paraId="7906F448"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AD6678B" w14:textId="46EE5675" w:rsidR="00B44564" w:rsidRPr="005762E6" w:rsidRDefault="00B44564" w:rsidP="00EA69AA">
            <w:pPr>
              <w:spacing w:after="120" w:line="240" w:lineRule="auto"/>
              <w:contextualSpacing/>
              <w:rPr>
                <w:sz w:val="20"/>
                <w:szCs w:val="20"/>
              </w:rPr>
            </w:pPr>
            <w:r w:rsidRPr="005762E6">
              <w:rPr>
                <w:sz w:val="20"/>
                <w:szCs w:val="20"/>
              </w:rPr>
              <w:t xml:space="preserve">I </w:t>
            </w:r>
            <w:proofErr w:type="gramStart"/>
            <w:r w:rsidRPr="005762E6">
              <w:rPr>
                <w:sz w:val="20"/>
                <w:szCs w:val="20"/>
              </w:rPr>
              <w:t>Schmeltz,​</w:t>
            </w:r>
            <w:proofErr w:type="gramEnd"/>
            <w:r w:rsidRPr="005762E6">
              <w:rPr>
                <w:sz w:val="20"/>
                <w:szCs w:val="20"/>
              </w:rPr>
              <w:t xml:space="preserve"> W S Schlotzhauer Benzo(a)pyrene,​ phenols and other products from pyrolysis of the cigarette additive,​ (d,​1)-menthol</w:t>
            </w:r>
            <w:r w:rsidR="007F2F01">
              <w:rPr>
                <w:sz w:val="20"/>
                <w:szCs w:val="20"/>
              </w:rPr>
              <w:t>.</w:t>
            </w:r>
            <w:r w:rsidRPr="005762E6">
              <w:rPr>
                <w:sz w:val="20"/>
                <w:szCs w:val="20"/>
              </w:rPr>
              <w:t xml:space="preserve"> Nature; 1968;219:370.</w:t>
            </w:r>
            <w:r w:rsidRPr="005762E6">
              <w:rPr>
                <w:sz w:val="20"/>
                <w:szCs w:val="20"/>
              </w:rPr>
              <w:br/>
            </w:r>
            <w:r w:rsidRPr="005762E6">
              <w:rPr>
                <w:sz w:val="20"/>
                <w:szCs w:val="20"/>
              </w:rPr>
              <w:br/>
            </w:r>
            <w:r w:rsidRPr="005762E6">
              <w:rPr>
                <w:b/>
                <w:bCs/>
                <w:sz w:val="20"/>
                <w:szCs w:val="20"/>
              </w:rPr>
              <w:t>Keywords:</w:t>
            </w:r>
            <w:r w:rsidRPr="005762E6">
              <w:rPr>
                <w:sz w:val="20"/>
                <w:szCs w:val="20"/>
              </w:rPr>
              <w:br/>
              <w:t>Anthracenes/an [Analysis],​Benzene/an [Analysis],​Benzene Derivatives/an [Analysis],​*Benzopyrenes/an [Analysis],​Biphenyl Compounds/an [Analysis],​Carcinogens,​Chromatography,​ Gas,​Chromatography,​ Paper,​*Hot Temperature,​Ketones/an [Analysis],​*Menthol/an [Analysis],​Naphthalenes/an [Analysis],​Phenanthrenes/an [Analysis],​*Phenols/an [Analysis],​Smoking,​Styrenes/an [Analysis],​Toluene/an [Analysis]</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5119E7B1"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7477B0F" w14:textId="77777777" w:rsidR="00B44564" w:rsidRPr="005762E6" w:rsidRDefault="00B44564" w:rsidP="00EA69AA">
            <w:pPr>
              <w:spacing w:after="120" w:line="240" w:lineRule="auto"/>
              <w:contextualSpacing/>
              <w:rPr>
                <w:sz w:val="20"/>
                <w:szCs w:val="20"/>
              </w:rPr>
            </w:pPr>
            <w:r w:rsidRPr="005762E6">
              <w:rPr>
                <w:sz w:val="20"/>
                <w:szCs w:val="20"/>
              </w:rPr>
              <w:t>772</w:t>
            </w:r>
          </w:p>
        </w:tc>
        <w:tc>
          <w:tcPr>
            <w:tcW w:w="0" w:type="auto"/>
            <w:tcBorders>
              <w:top w:val="single" w:sz="6" w:space="0" w:color="auto"/>
              <w:left w:val="single" w:sz="6" w:space="0" w:color="auto"/>
              <w:bottom w:val="single" w:sz="6" w:space="0" w:color="auto"/>
              <w:right w:val="single" w:sz="6" w:space="0" w:color="auto"/>
            </w:tcBorders>
          </w:tcPr>
          <w:p w14:paraId="7C48C0F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E1EDD3B" w14:textId="40779DF2" w:rsidR="00B44564" w:rsidRPr="005762E6" w:rsidRDefault="00B44564" w:rsidP="00EA69AA">
            <w:pPr>
              <w:spacing w:after="120" w:line="240" w:lineRule="auto"/>
              <w:contextualSpacing/>
              <w:rPr>
                <w:sz w:val="20"/>
                <w:szCs w:val="20"/>
              </w:rPr>
            </w:pPr>
            <w:r w:rsidRPr="005762E6">
              <w:rPr>
                <w:sz w:val="20"/>
                <w:szCs w:val="20"/>
              </w:rPr>
              <w:t>E M McGowan Menthol urticaria</w:t>
            </w:r>
            <w:r w:rsidR="007F2F01">
              <w:rPr>
                <w:sz w:val="20"/>
                <w:szCs w:val="20"/>
              </w:rPr>
              <w:t>.</w:t>
            </w:r>
            <w:r w:rsidRPr="005762E6">
              <w:rPr>
                <w:sz w:val="20"/>
                <w:szCs w:val="20"/>
              </w:rPr>
              <w:t xml:space="preserve"> Archives of dermatology; </w:t>
            </w:r>
            <w:proofErr w:type="gramStart"/>
            <w:r w:rsidRPr="005762E6">
              <w:rPr>
                <w:sz w:val="20"/>
                <w:szCs w:val="20"/>
              </w:rPr>
              <w:t>1966;94:62</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Adolescent,​Basophils,​*Expectorants/ae [Adverse Effects],​Female,​Humans,​Hypersensitivity,​*Menthol/ae [Adverse Effects],​Skin Tests,​*Smoking,​*Urticaria/et [Etiology]</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5A2B2856"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9DA412C" w14:textId="77777777" w:rsidR="00B44564" w:rsidRPr="005762E6" w:rsidRDefault="00B44564" w:rsidP="00EA69AA">
            <w:pPr>
              <w:spacing w:after="120" w:line="240" w:lineRule="auto"/>
              <w:contextualSpacing/>
              <w:rPr>
                <w:sz w:val="20"/>
                <w:szCs w:val="20"/>
              </w:rPr>
            </w:pPr>
            <w:r w:rsidRPr="005762E6">
              <w:rPr>
                <w:sz w:val="20"/>
                <w:szCs w:val="20"/>
              </w:rPr>
              <w:lastRenderedPageBreak/>
              <w:t>773</w:t>
            </w:r>
          </w:p>
        </w:tc>
        <w:tc>
          <w:tcPr>
            <w:tcW w:w="0" w:type="auto"/>
            <w:tcBorders>
              <w:top w:val="single" w:sz="6" w:space="0" w:color="auto"/>
              <w:left w:val="single" w:sz="6" w:space="0" w:color="auto"/>
              <w:bottom w:val="single" w:sz="6" w:space="0" w:color="auto"/>
              <w:right w:val="single" w:sz="6" w:space="0" w:color="auto"/>
            </w:tcBorders>
          </w:tcPr>
          <w:p w14:paraId="750326F3"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4FA1CAF" w14:textId="47F325C7" w:rsidR="00B44564" w:rsidRPr="005762E6" w:rsidRDefault="00B44564" w:rsidP="00EA69AA">
            <w:pPr>
              <w:spacing w:after="120" w:line="240" w:lineRule="auto"/>
              <w:contextualSpacing/>
              <w:rPr>
                <w:sz w:val="20"/>
                <w:szCs w:val="20"/>
              </w:rPr>
            </w:pPr>
            <w:r w:rsidRPr="005762E6">
              <w:rPr>
                <w:sz w:val="20"/>
                <w:szCs w:val="20"/>
              </w:rPr>
              <w:t xml:space="preserve">W </w:t>
            </w:r>
            <w:proofErr w:type="gramStart"/>
            <w:r w:rsidRPr="005762E6">
              <w:rPr>
                <w:sz w:val="20"/>
                <w:szCs w:val="20"/>
              </w:rPr>
              <w:t>SIMON,​</w:t>
            </w:r>
            <w:proofErr w:type="gramEnd"/>
            <w:r w:rsidRPr="005762E6">
              <w:rPr>
                <w:sz w:val="20"/>
                <w:szCs w:val="20"/>
              </w:rPr>
              <w:t xml:space="preserve"> R J LUCERO Consumption of mentholated cigarettes by alcoholics</w:t>
            </w:r>
            <w:r w:rsidR="007F2F01">
              <w:rPr>
                <w:sz w:val="20"/>
                <w:szCs w:val="20"/>
              </w:rPr>
              <w:t>.</w:t>
            </w:r>
            <w:r w:rsidRPr="005762E6">
              <w:rPr>
                <w:sz w:val="20"/>
                <w:szCs w:val="20"/>
              </w:rPr>
              <w:t xml:space="preserve"> Diseases of the nervous system; </w:t>
            </w:r>
            <w:proofErr w:type="gramStart"/>
            <w:r w:rsidRPr="005762E6">
              <w:rPr>
                <w:sz w:val="20"/>
                <w:szCs w:val="20"/>
              </w:rPr>
              <w:t>1960;21:213</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*Alcoholics,​*Alcoholism/px [Psychology],​Humans,​*Smoking</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3CE39C96"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4B73F03" w14:textId="77777777" w:rsidR="00B44564" w:rsidRPr="005762E6" w:rsidRDefault="00B44564" w:rsidP="00EA69AA">
            <w:pPr>
              <w:spacing w:after="120" w:line="240" w:lineRule="auto"/>
              <w:contextualSpacing/>
              <w:rPr>
                <w:sz w:val="20"/>
                <w:szCs w:val="20"/>
              </w:rPr>
            </w:pPr>
            <w:r w:rsidRPr="005762E6">
              <w:rPr>
                <w:sz w:val="20"/>
                <w:szCs w:val="20"/>
              </w:rPr>
              <w:t>774</w:t>
            </w:r>
          </w:p>
        </w:tc>
        <w:tc>
          <w:tcPr>
            <w:tcW w:w="0" w:type="auto"/>
            <w:tcBorders>
              <w:top w:val="single" w:sz="6" w:space="0" w:color="auto"/>
              <w:left w:val="single" w:sz="6" w:space="0" w:color="auto"/>
              <w:bottom w:val="single" w:sz="6" w:space="0" w:color="auto"/>
              <w:right w:val="single" w:sz="6" w:space="0" w:color="auto"/>
            </w:tcBorders>
          </w:tcPr>
          <w:p w14:paraId="44F932C7"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71DCA38" w14:textId="55FD2D77" w:rsidR="00B44564" w:rsidRPr="005762E6" w:rsidRDefault="00B44564" w:rsidP="00EA69AA">
            <w:pPr>
              <w:spacing w:after="120" w:line="240" w:lineRule="auto"/>
              <w:contextualSpacing/>
              <w:rPr>
                <w:sz w:val="20"/>
                <w:szCs w:val="20"/>
              </w:rPr>
            </w:pPr>
            <w:r w:rsidRPr="005762E6">
              <w:rPr>
                <w:sz w:val="20"/>
                <w:szCs w:val="20"/>
              </w:rPr>
              <w:t xml:space="preserve">N </w:t>
            </w:r>
            <w:proofErr w:type="gramStart"/>
            <w:r w:rsidRPr="005762E6">
              <w:rPr>
                <w:sz w:val="20"/>
                <w:szCs w:val="20"/>
              </w:rPr>
              <w:t>RAKIETEN,​</w:t>
            </w:r>
            <w:proofErr w:type="gramEnd"/>
            <w:r w:rsidRPr="005762E6">
              <w:rPr>
                <w:sz w:val="20"/>
                <w:szCs w:val="20"/>
              </w:rPr>
              <w:t xml:space="preserve"> M L RAKIETEN,​ D FELDMAN,​ M J Jr BOYKIN Mammalian ciliated respiratory epithelium; studies with particular reference to effects of menthol,​ nicotine,​ and smoke of mentholated and nonmentholated cigarettes</w:t>
            </w:r>
            <w:r w:rsidR="007F2F01">
              <w:rPr>
                <w:sz w:val="20"/>
                <w:szCs w:val="20"/>
              </w:rPr>
              <w:t>.</w:t>
            </w:r>
            <w:r w:rsidRPr="005762E6">
              <w:rPr>
                <w:sz w:val="20"/>
                <w:szCs w:val="20"/>
              </w:rPr>
              <w:t xml:space="preserve"> A.M.A. archives of otolaryngology; </w:t>
            </w:r>
            <w:proofErr w:type="gramStart"/>
            <w:r w:rsidRPr="005762E6">
              <w:rPr>
                <w:sz w:val="20"/>
                <w:szCs w:val="20"/>
              </w:rPr>
              <w:t>1952;56:494</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Humans,​*Menthol,​*Nicotine/pd [Pharmacology],​*Respiratory Mucosa,​*Respiratory System,​*Smoke,​*Tobacco</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32D4B370"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2FB02F5" w14:textId="77777777" w:rsidR="00B44564" w:rsidRPr="005762E6" w:rsidRDefault="00B44564" w:rsidP="00EA69AA">
            <w:pPr>
              <w:spacing w:after="120" w:line="240" w:lineRule="auto"/>
              <w:contextualSpacing/>
              <w:rPr>
                <w:sz w:val="20"/>
                <w:szCs w:val="20"/>
              </w:rPr>
            </w:pPr>
            <w:r w:rsidRPr="005762E6">
              <w:rPr>
                <w:sz w:val="20"/>
                <w:szCs w:val="20"/>
              </w:rPr>
              <w:t>775</w:t>
            </w:r>
          </w:p>
        </w:tc>
        <w:tc>
          <w:tcPr>
            <w:tcW w:w="0" w:type="auto"/>
            <w:tcBorders>
              <w:top w:val="single" w:sz="6" w:space="0" w:color="auto"/>
              <w:left w:val="single" w:sz="6" w:space="0" w:color="auto"/>
              <w:bottom w:val="single" w:sz="6" w:space="0" w:color="auto"/>
              <w:right w:val="single" w:sz="6" w:space="0" w:color="auto"/>
            </w:tcBorders>
          </w:tcPr>
          <w:p w14:paraId="72AD2A0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8320AC9" w14:textId="6CC616D4" w:rsidR="00B44564" w:rsidRPr="005762E6" w:rsidRDefault="00B44564" w:rsidP="00EA69AA">
            <w:pPr>
              <w:spacing w:after="120" w:line="240" w:lineRule="auto"/>
              <w:contextualSpacing/>
              <w:rPr>
                <w:sz w:val="20"/>
                <w:szCs w:val="20"/>
              </w:rPr>
            </w:pPr>
            <w:r w:rsidRPr="005762E6">
              <w:rPr>
                <w:sz w:val="20"/>
                <w:szCs w:val="20"/>
              </w:rPr>
              <w:t xml:space="preserve">B </w:t>
            </w:r>
            <w:proofErr w:type="gramStart"/>
            <w:r w:rsidRPr="005762E6">
              <w:rPr>
                <w:sz w:val="20"/>
                <w:szCs w:val="20"/>
              </w:rPr>
              <w:t>HIGHSTEIN,​</w:t>
            </w:r>
            <w:proofErr w:type="gramEnd"/>
            <w:r w:rsidRPr="005762E6">
              <w:rPr>
                <w:sz w:val="20"/>
                <w:szCs w:val="20"/>
              </w:rPr>
              <w:t xml:space="preserve"> I ZELIGMAN Nonthrombocytopenic purpura caused by mentholated cigarettes</w:t>
            </w:r>
            <w:r w:rsidR="007F2F01">
              <w:rPr>
                <w:sz w:val="20"/>
                <w:szCs w:val="20"/>
              </w:rPr>
              <w:t>.</w:t>
            </w:r>
            <w:r w:rsidRPr="005762E6">
              <w:rPr>
                <w:sz w:val="20"/>
                <w:szCs w:val="20"/>
              </w:rPr>
              <w:t xml:space="preserve"> Journal of the American Medical Association; </w:t>
            </w:r>
            <w:proofErr w:type="gramStart"/>
            <w:r w:rsidRPr="005762E6">
              <w:rPr>
                <w:sz w:val="20"/>
                <w:szCs w:val="20"/>
              </w:rPr>
              <w:t>1951;146:816</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Humans,​*Menthol,​*Purpura,​*Purpura,​ Schoenlein-Henoch,​*Tobacco</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1515818B"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4F49140" w14:textId="77777777" w:rsidR="00B44564" w:rsidRPr="005762E6" w:rsidRDefault="00B44564" w:rsidP="00EA69AA">
            <w:pPr>
              <w:spacing w:after="120" w:line="240" w:lineRule="auto"/>
              <w:contextualSpacing/>
              <w:rPr>
                <w:sz w:val="20"/>
                <w:szCs w:val="20"/>
              </w:rPr>
            </w:pPr>
            <w:r w:rsidRPr="005762E6">
              <w:rPr>
                <w:sz w:val="20"/>
                <w:szCs w:val="20"/>
              </w:rPr>
              <w:t>776</w:t>
            </w:r>
          </w:p>
        </w:tc>
        <w:tc>
          <w:tcPr>
            <w:tcW w:w="0" w:type="auto"/>
            <w:tcBorders>
              <w:top w:val="single" w:sz="6" w:space="0" w:color="auto"/>
              <w:left w:val="single" w:sz="6" w:space="0" w:color="auto"/>
              <w:bottom w:val="single" w:sz="6" w:space="0" w:color="auto"/>
              <w:right w:val="single" w:sz="6" w:space="0" w:color="auto"/>
            </w:tcBorders>
          </w:tcPr>
          <w:p w14:paraId="55751B9E"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8B14E4C" w14:textId="0666B2BD" w:rsidR="00B44564" w:rsidRPr="005762E6" w:rsidRDefault="00B44564" w:rsidP="00EA69AA">
            <w:pPr>
              <w:spacing w:after="120" w:line="240" w:lineRule="auto"/>
              <w:contextualSpacing/>
              <w:rPr>
                <w:sz w:val="20"/>
                <w:szCs w:val="20"/>
              </w:rPr>
            </w:pPr>
            <w:r w:rsidRPr="005762E6">
              <w:rPr>
                <w:sz w:val="20"/>
                <w:szCs w:val="20"/>
              </w:rPr>
              <w:t xml:space="preserve">Valeria </w:t>
            </w:r>
            <w:proofErr w:type="gramStart"/>
            <w:r w:rsidRPr="005762E6">
              <w:rPr>
                <w:sz w:val="20"/>
                <w:szCs w:val="20"/>
              </w:rPr>
              <w:t>Lallai,​</w:t>
            </w:r>
            <w:proofErr w:type="gramEnd"/>
            <w:r w:rsidRPr="005762E6">
              <w:rPr>
                <w:sz w:val="20"/>
                <w:szCs w:val="20"/>
              </w:rPr>
              <w:t xml:space="preserve"> Christie D Fowler More than just chillin': Interactive effects of menthol and nicotine in drug reward</w:t>
            </w:r>
            <w:r w:rsidR="007F2F01">
              <w:rPr>
                <w:sz w:val="20"/>
                <w:szCs w:val="20"/>
              </w:rPr>
              <w:t>.</w:t>
            </w:r>
            <w:r w:rsidRPr="005762E6">
              <w:rPr>
                <w:sz w:val="20"/>
                <w:szCs w:val="20"/>
              </w:rPr>
              <w:t xml:space="preserve"> Neuropsychopharmacology; </w:t>
            </w:r>
            <w:proofErr w:type="gramStart"/>
            <w:r w:rsidRPr="005762E6">
              <w:rPr>
                <w:sz w:val="20"/>
                <w:szCs w:val="20"/>
              </w:rPr>
              <w:t>2017;42:2283</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*Behavior Analysis,​*Nicotine,​*Rewards,​*Tobacco Smoking,​Mice,​Neurons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Comments on an article by B. J. Henderson et al. (see record 2018-56499-002). Henderson et al. provided evidence to support the hypothesis that menthol and nicotine act synergistically to upregulate nAChR expression in dopaminergic neurons; effects that are proposed to mediate a functional enhancement in neuronal excitability. These findings represent a significant advance in our understanding of how both nicotine and menthol may act together to mediate nicotine addiction. In these </w:t>
            </w:r>
            <w:proofErr w:type="gramStart"/>
            <w:r w:rsidRPr="005762E6">
              <w:rPr>
                <w:sz w:val="20"/>
                <w:szCs w:val="20"/>
              </w:rPr>
              <w:t>studies,​</w:t>
            </w:r>
            <w:proofErr w:type="gramEnd"/>
            <w:r w:rsidRPr="005762E6">
              <w:rPr>
                <w:sz w:val="20"/>
                <w:szCs w:val="20"/>
              </w:rPr>
              <w:t xml:space="preserve"> menthol and nicotine co-administration induced a conditioned place preference (CPP) for a subthreshold dose of nicotine and potentiated CPP expression for a rewarding dose of the drug. </w:t>
            </w:r>
            <w:proofErr w:type="gramStart"/>
            <w:r w:rsidRPr="005762E6">
              <w:rPr>
                <w:sz w:val="20"/>
                <w:szCs w:val="20"/>
              </w:rPr>
              <w:t>However,​</w:t>
            </w:r>
            <w:proofErr w:type="gramEnd"/>
            <w:r w:rsidRPr="005762E6">
              <w:rPr>
                <w:sz w:val="20"/>
                <w:szCs w:val="20"/>
              </w:rPr>
              <w:t xml:space="preserve"> administration of menthol alone did not result in the development of a CPP. </w:t>
            </w:r>
            <w:proofErr w:type="gramStart"/>
            <w:r w:rsidRPr="005762E6">
              <w:rPr>
                <w:sz w:val="20"/>
                <w:szCs w:val="20"/>
              </w:rPr>
              <w:t>Thus,​</w:t>
            </w:r>
            <w:proofErr w:type="gramEnd"/>
            <w:r w:rsidRPr="005762E6">
              <w:rPr>
                <w:sz w:val="20"/>
                <w:szCs w:val="20"/>
              </w:rPr>
              <w:t xml:space="preserve"> these data suggest that nicotine and menthol interact synergistically to drive reward-related behaviors. In the prior </w:t>
            </w:r>
            <w:proofErr w:type="gramStart"/>
            <w:r w:rsidRPr="005762E6">
              <w:rPr>
                <w:sz w:val="20"/>
                <w:szCs w:val="20"/>
              </w:rPr>
              <w:t>study,​</w:t>
            </w:r>
            <w:proofErr w:type="gramEnd"/>
            <w:r w:rsidRPr="005762E6">
              <w:rPr>
                <w:sz w:val="20"/>
                <w:szCs w:val="20"/>
              </w:rPr>
              <w:t xml:space="preserve"> menthol was administered continuously in a minipump for 11 days and during CPP training. </w:t>
            </w:r>
            <w:proofErr w:type="gramStart"/>
            <w:r w:rsidRPr="005762E6">
              <w:rPr>
                <w:sz w:val="20"/>
                <w:szCs w:val="20"/>
              </w:rPr>
              <w:t>Thus,​</w:t>
            </w:r>
            <w:proofErr w:type="gramEnd"/>
            <w:r w:rsidRPr="005762E6">
              <w:rPr>
                <w:sz w:val="20"/>
                <w:szCs w:val="20"/>
              </w:rPr>
              <w:t xml:space="preserve"> the continuous baseline level of menthol exposure may have altered circuit responsivity during both the nicotine and vehicle training sessions. In </w:t>
            </w:r>
            <w:proofErr w:type="gramStart"/>
            <w:r w:rsidRPr="005762E6">
              <w:rPr>
                <w:sz w:val="20"/>
                <w:szCs w:val="20"/>
              </w:rPr>
              <w:t>contrast,​</w:t>
            </w:r>
            <w:proofErr w:type="gramEnd"/>
            <w:r w:rsidRPr="005762E6">
              <w:rPr>
                <w:sz w:val="20"/>
                <w:szCs w:val="20"/>
              </w:rPr>
              <w:t xml:space="preserve"> the current study co-administered nicotine and menthol acutely during CPP training,​ thus providing a more accurate assessment of co-exposure similar to that found with nicotine product consumption in humans. (PsycINFO Database Record (c) 2018 </w:t>
            </w:r>
            <w:proofErr w:type="gramStart"/>
            <w:r w:rsidRPr="005762E6">
              <w:rPr>
                <w:sz w:val="20"/>
                <w:szCs w:val="20"/>
              </w:rPr>
              <w:t>APA,​</w:t>
            </w:r>
            <w:proofErr w:type="gramEnd"/>
            <w:r w:rsidRPr="005762E6">
              <w:rPr>
                <w:sz w:val="20"/>
                <w:szCs w:val="20"/>
              </w:rPr>
              <w:t xml:space="preserve"> all rights reserved)</w:t>
            </w:r>
          </w:p>
        </w:tc>
      </w:tr>
      <w:tr w:rsidR="00B44564" w:rsidRPr="005762E6" w14:paraId="4501A323"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517735B" w14:textId="77777777" w:rsidR="00B44564" w:rsidRPr="005762E6" w:rsidRDefault="00B44564" w:rsidP="00EA69AA">
            <w:pPr>
              <w:spacing w:after="120" w:line="240" w:lineRule="auto"/>
              <w:contextualSpacing/>
              <w:rPr>
                <w:sz w:val="20"/>
                <w:szCs w:val="20"/>
              </w:rPr>
            </w:pPr>
            <w:r w:rsidRPr="005762E6">
              <w:rPr>
                <w:sz w:val="20"/>
                <w:szCs w:val="20"/>
              </w:rPr>
              <w:t>783</w:t>
            </w:r>
          </w:p>
        </w:tc>
        <w:tc>
          <w:tcPr>
            <w:tcW w:w="0" w:type="auto"/>
            <w:tcBorders>
              <w:top w:val="single" w:sz="6" w:space="0" w:color="auto"/>
              <w:left w:val="single" w:sz="6" w:space="0" w:color="auto"/>
              <w:bottom w:val="single" w:sz="6" w:space="0" w:color="auto"/>
              <w:right w:val="single" w:sz="6" w:space="0" w:color="auto"/>
            </w:tcBorders>
          </w:tcPr>
          <w:p w14:paraId="1FB15D4D"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2551488" w14:textId="2CE3A98B" w:rsidR="00B44564" w:rsidRPr="005762E6" w:rsidRDefault="00B44564" w:rsidP="00EA69AA">
            <w:pPr>
              <w:spacing w:after="120" w:line="240" w:lineRule="auto"/>
              <w:contextualSpacing/>
              <w:rPr>
                <w:sz w:val="20"/>
                <w:szCs w:val="20"/>
              </w:rPr>
            </w:pPr>
            <w:r w:rsidRPr="005762E6">
              <w:rPr>
                <w:sz w:val="20"/>
                <w:szCs w:val="20"/>
              </w:rPr>
              <w:t>Eniye Emmanuel Eguae Factors associated with menthol cigarettes smoking among youths ages 12 to 19</w:t>
            </w:r>
            <w:r w:rsidR="007F2F01">
              <w:rPr>
                <w:sz w:val="20"/>
                <w:szCs w:val="20"/>
              </w:rPr>
              <w:t>.</w:t>
            </w:r>
            <w:r w:rsidRPr="005762E6">
              <w:rPr>
                <w:sz w:val="20"/>
                <w:szCs w:val="20"/>
              </w:rPr>
              <w:t xml:space="preserve"> Dissertation Abstracts International: Section B: The Sciences and Engineering; 2018;</w:t>
            </w:r>
            <w:proofErr w:type="gramStart"/>
            <w:r w:rsidRPr="005762E6">
              <w:rPr>
                <w:sz w:val="20"/>
                <w:szCs w:val="20"/>
              </w:rPr>
              <w:t>79:No.</w:t>
            </w:r>
            <w:proofErr w:type="gramEnd"/>
            <w:r w:rsidRPr="005762E6">
              <w:rPr>
                <w:sz w:val="20"/>
                <w:szCs w:val="20"/>
              </w:rPr>
              <w:br/>
            </w:r>
            <w:r w:rsidRPr="005762E6">
              <w:rPr>
                <w:sz w:val="20"/>
                <w:szCs w:val="20"/>
              </w:rPr>
              <w:br/>
            </w:r>
            <w:r w:rsidRPr="005762E6">
              <w:rPr>
                <w:b/>
                <w:bCs/>
                <w:sz w:val="20"/>
                <w:szCs w:val="20"/>
              </w:rPr>
              <w:t>Keywords:</w:t>
            </w:r>
            <w:r w:rsidRPr="005762E6">
              <w:rPr>
                <w:sz w:val="20"/>
                <w:szCs w:val="20"/>
              </w:rPr>
              <w:br/>
              <w:t>*Addiction,​*Tobacco Smoking,​*Reasoned Action</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Menthol is added to cigarettes to make smoking more convenient. Menthol is considered a contributing factor that makes smoking appealing to youths and their continuous smoking </w:t>
            </w:r>
            <w:proofErr w:type="gramStart"/>
            <w:r w:rsidRPr="005762E6">
              <w:rPr>
                <w:sz w:val="20"/>
                <w:szCs w:val="20"/>
              </w:rPr>
              <w:t>initiation,​</w:t>
            </w:r>
            <w:proofErr w:type="gramEnd"/>
            <w:r w:rsidRPr="005762E6">
              <w:rPr>
                <w:sz w:val="20"/>
                <w:szCs w:val="20"/>
              </w:rPr>
              <w:t xml:space="preserve"> which progresses to regular cigarette smoking and addiction,​ especially among youths ages 12 to 19. Menthol </w:t>
            </w:r>
            <w:r w:rsidRPr="005762E6">
              <w:rPr>
                <w:sz w:val="20"/>
                <w:szCs w:val="20"/>
              </w:rPr>
              <w:lastRenderedPageBreak/>
              <w:t xml:space="preserve">encourages approximately </w:t>
            </w:r>
            <w:proofErr w:type="gramStart"/>
            <w:r w:rsidRPr="005762E6">
              <w:rPr>
                <w:sz w:val="20"/>
                <w:szCs w:val="20"/>
              </w:rPr>
              <w:t>4,​</w:t>
            </w:r>
            <w:proofErr w:type="gramEnd"/>
            <w:r w:rsidRPr="005762E6">
              <w:rPr>
                <w:sz w:val="20"/>
                <w:szCs w:val="20"/>
              </w:rPr>
              <w:t xml:space="preserve">000 youths to experiment with smoking daily in the United States,​ of which approximately 1,​000 become active smokers. Not enough is known regarding the influence of menthol on youth smoking initiation/smoking behavior. A quantitative analysis of data from the 2014 National Youth Tobacco Survey (NYTS) was used to explore the association between </w:t>
            </w:r>
            <w:proofErr w:type="gramStart"/>
            <w:r w:rsidRPr="005762E6">
              <w:rPr>
                <w:sz w:val="20"/>
                <w:szCs w:val="20"/>
              </w:rPr>
              <w:t>age,​</w:t>
            </w:r>
            <w:proofErr w:type="gramEnd"/>
            <w:r w:rsidRPr="005762E6">
              <w:rPr>
                <w:sz w:val="20"/>
                <w:szCs w:val="20"/>
              </w:rPr>
              <w:t xml:space="preserve"> race/ethnicity,​ gender,​ grade (education level),​ and menthol cigarette smoking among youth ages 12 to 19. The sample size for this study consisted of 115 adolescents aged 12 to 19 </w:t>
            </w:r>
            <w:proofErr w:type="gramStart"/>
            <w:r w:rsidRPr="005762E6">
              <w:rPr>
                <w:sz w:val="20"/>
                <w:szCs w:val="20"/>
              </w:rPr>
              <w:t>years,​</w:t>
            </w:r>
            <w:proofErr w:type="gramEnd"/>
            <w:r w:rsidRPr="005762E6">
              <w:rPr>
                <w:sz w:val="20"/>
                <w:szCs w:val="20"/>
              </w:rPr>
              <w:t xml:space="preserve"> in the United States taken from the 2014 NYTS data. The theoretical framework for this study was the theory of planned behavior (TPB). The independent variables were ethnicity/</w:t>
            </w:r>
            <w:proofErr w:type="gramStart"/>
            <w:r w:rsidRPr="005762E6">
              <w:rPr>
                <w:sz w:val="20"/>
                <w:szCs w:val="20"/>
              </w:rPr>
              <w:t>race,​</w:t>
            </w:r>
            <w:proofErr w:type="gramEnd"/>
            <w:r w:rsidRPr="005762E6">
              <w:rPr>
                <w:sz w:val="20"/>
                <w:szCs w:val="20"/>
              </w:rPr>
              <w:t xml:space="preserve"> gender,​ age,​ and grades (education level),​ while the dependent variable is the type of smoking: menthol versus nonmenthol. Bivariate analysis revealed that there was a statistically significant relationship between age (p = &lt;.001</w:t>
            </w:r>
            <w:proofErr w:type="gramStart"/>
            <w:r w:rsidRPr="005762E6">
              <w:rPr>
                <w:sz w:val="20"/>
                <w:szCs w:val="20"/>
              </w:rPr>
              <w:t>),​</w:t>
            </w:r>
            <w:proofErr w:type="gramEnd"/>
            <w:r w:rsidRPr="005762E6">
              <w:rPr>
                <w:sz w:val="20"/>
                <w:szCs w:val="20"/>
              </w:rPr>
              <w:t xml:space="preserve"> race/ethnicity ( p = &lt;.001),​ gender (p = &lt;.001),​ grade (education level) (p = &lt;.001),​ and menthol cigarette smoking; however,​ no statistically significant results were obtained in the multivariate regression analysis. Future research is needed to better determine and understand the factors associated with youth smoking initiation and behavior. The potential positive social change impact of this study is a better understanding of youth smoking behavior and the development of more effective prevention interventions to protect the health of this vulnerable population. (PsycINFO Database Record (c) 2018 </w:t>
            </w:r>
            <w:proofErr w:type="gramStart"/>
            <w:r w:rsidRPr="005762E6">
              <w:rPr>
                <w:sz w:val="20"/>
                <w:szCs w:val="20"/>
              </w:rPr>
              <w:t>APA,​</w:t>
            </w:r>
            <w:proofErr w:type="gramEnd"/>
            <w:r w:rsidRPr="005762E6">
              <w:rPr>
                <w:sz w:val="20"/>
                <w:szCs w:val="20"/>
              </w:rPr>
              <w:t xml:space="preserve"> all rights reserved)</w:t>
            </w:r>
          </w:p>
        </w:tc>
      </w:tr>
      <w:tr w:rsidR="00B44564" w:rsidRPr="005762E6" w14:paraId="6DB0E406"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ADC47C2" w14:textId="77777777" w:rsidR="00B44564" w:rsidRPr="005762E6" w:rsidRDefault="00B44564" w:rsidP="00EA69AA">
            <w:pPr>
              <w:spacing w:after="120" w:line="240" w:lineRule="auto"/>
              <w:contextualSpacing/>
              <w:rPr>
                <w:sz w:val="20"/>
                <w:szCs w:val="20"/>
              </w:rPr>
            </w:pPr>
            <w:r w:rsidRPr="005762E6">
              <w:rPr>
                <w:sz w:val="20"/>
                <w:szCs w:val="20"/>
              </w:rPr>
              <w:lastRenderedPageBreak/>
              <w:t>786</w:t>
            </w:r>
          </w:p>
        </w:tc>
        <w:tc>
          <w:tcPr>
            <w:tcW w:w="0" w:type="auto"/>
            <w:tcBorders>
              <w:top w:val="single" w:sz="6" w:space="0" w:color="auto"/>
              <w:left w:val="single" w:sz="6" w:space="0" w:color="auto"/>
              <w:bottom w:val="single" w:sz="6" w:space="0" w:color="auto"/>
              <w:right w:val="single" w:sz="6" w:space="0" w:color="auto"/>
            </w:tcBorders>
          </w:tcPr>
          <w:p w14:paraId="1FB9D9B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7E1D4E3" w14:textId="34EC0BC5" w:rsidR="00B44564" w:rsidRPr="005762E6" w:rsidRDefault="00B44564" w:rsidP="00EA69AA">
            <w:pPr>
              <w:spacing w:after="120" w:line="240" w:lineRule="auto"/>
              <w:contextualSpacing/>
              <w:rPr>
                <w:sz w:val="20"/>
                <w:szCs w:val="20"/>
              </w:rPr>
            </w:pPr>
            <w:r w:rsidRPr="005762E6">
              <w:rPr>
                <w:sz w:val="20"/>
                <w:szCs w:val="20"/>
              </w:rPr>
              <w:t xml:space="preserve">Davide </w:t>
            </w:r>
            <w:proofErr w:type="gramStart"/>
            <w:r w:rsidRPr="005762E6">
              <w:rPr>
                <w:sz w:val="20"/>
                <w:szCs w:val="20"/>
              </w:rPr>
              <w:t>Risso,​</w:t>
            </w:r>
            <w:proofErr w:type="gramEnd"/>
            <w:r w:rsidRPr="005762E6">
              <w:rPr>
                <w:sz w:val="20"/>
                <w:szCs w:val="20"/>
              </w:rPr>
              <w:t xml:space="preserve"> Eduardo Sainz,​ Joanne Gutierrez,​ Thomas Kirchner,​ Raymond Niaura,​ Dennis Drayna Association of TAS2R38 haplotypes and menthol cigarette preference in an African American cohort</w:t>
            </w:r>
            <w:r w:rsidR="007F2F01">
              <w:rPr>
                <w:sz w:val="20"/>
                <w:szCs w:val="20"/>
              </w:rPr>
              <w:t>.</w:t>
            </w:r>
            <w:r w:rsidRPr="005762E6">
              <w:rPr>
                <w:sz w:val="20"/>
                <w:szCs w:val="20"/>
              </w:rPr>
              <w:t xml:space="preserve"> Nicotine &amp; Tobacco Research; </w:t>
            </w:r>
            <w:proofErr w:type="gramStart"/>
            <w:r w:rsidRPr="005762E6">
              <w:rPr>
                <w:sz w:val="20"/>
                <w:szCs w:val="20"/>
              </w:rPr>
              <w:t>2017;19:493</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*Genetics,​*Polymorphism,​*Pregnancy,​*Taste Perception,​*Haplotype,​Blacks,​DNA,​Preferences,​Tobacco Smoking</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Comments on an article by C. Oncken et al. (see record 2015-51359-002). Oncken et al. examined 323 pregnant female Caucasian cigarette </w:t>
            </w:r>
            <w:proofErr w:type="gramStart"/>
            <w:r w:rsidRPr="005762E6">
              <w:rPr>
                <w:sz w:val="20"/>
                <w:szCs w:val="20"/>
              </w:rPr>
              <w:t>smokers,​</w:t>
            </w:r>
            <w:proofErr w:type="gramEnd"/>
            <w:r w:rsidRPr="005762E6">
              <w:rPr>
                <w:sz w:val="20"/>
                <w:szCs w:val="20"/>
              </w:rPr>
              <w:t xml:space="preserve"> including menthol and nonmenthol users,​ and genotyped three TAS2R38 bitter taste receptor gene polymorphisms. Oncken et al. reported the frequency of the PAV taster haplotype to be greater in menthol smokers than in nonmenthol smokers in both non-Hispanic and Hispanic </w:t>
            </w:r>
            <w:proofErr w:type="gramStart"/>
            <w:r w:rsidRPr="005762E6">
              <w:rPr>
                <w:sz w:val="20"/>
                <w:szCs w:val="20"/>
              </w:rPr>
              <w:t>women,​</w:t>
            </w:r>
            <w:proofErr w:type="gramEnd"/>
            <w:r w:rsidRPr="005762E6">
              <w:rPr>
                <w:sz w:val="20"/>
                <w:szCs w:val="20"/>
              </w:rPr>
              <w:t xml:space="preserve"> confirming this initial hypothesis. While this research reported an intriguing association between variations in a bitter taste receptor gene and preference for menthol </w:t>
            </w:r>
            <w:proofErr w:type="gramStart"/>
            <w:r w:rsidRPr="005762E6">
              <w:rPr>
                <w:sz w:val="20"/>
                <w:szCs w:val="20"/>
              </w:rPr>
              <w:t>cigarettes,​</w:t>
            </w:r>
            <w:proofErr w:type="gramEnd"/>
            <w:r w:rsidRPr="005762E6">
              <w:rPr>
                <w:sz w:val="20"/>
                <w:szCs w:val="20"/>
              </w:rPr>
              <w:t xml:space="preserve"> the authors pointed out a number of weaknesses in their study,​ including the relatively small sample size and the fact that they only studied pregnant Caucasian women. The authors noted that it was not clear if these results generalize to other </w:t>
            </w:r>
            <w:proofErr w:type="gramStart"/>
            <w:r w:rsidRPr="005762E6">
              <w:rPr>
                <w:sz w:val="20"/>
                <w:szCs w:val="20"/>
              </w:rPr>
              <w:t>ethnicities,​</w:t>
            </w:r>
            <w:proofErr w:type="gramEnd"/>
            <w:r w:rsidRPr="005762E6">
              <w:rPr>
                <w:sz w:val="20"/>
                <w:szCs w:val="20"/>
              </w:rPr>
              <w:t xml:space="preserve"> nonpregnant women or men. The present article describes a study of the association of TAS2R38 haplotypes and menthol cigarette preference in an African American cohort of smokers and nonsmokers. The results confirm the previous work by Oncken et al. </w:t>
            </w:r>
            <w:proofErr w:type="gramStart"/>
            <w:r w:rsidRPr="005762E6">
              <w:rPr>
                <w:sz w:val="20"/>
                <w:szCs w:val="20"/>
              </w:rPr>
              <w:t>Together,​</w:t>
            </w:r>
            <w:proofErr w:type="gramEnd"/>
            <w:r w:rsidRPr="005762E6">
              <w:rPr>
                <w:sz w:val="20"/>
                <w:szCs w:val="20"/>
              </w:rPr>
              <w:t xml:space="preserve"> these data suggest that genetic variations that modify the ability of tasting bitter compounds could explain the observed differences and preference toward mentholated tobacco use. (PsycINFO Database Record (c) 2017 </w:t>
            </w:r>
            <w:proofErr w:type="gramStart"/>
            <w:r w:rsidRPr="005762E6">
              <w:rPr>
                <w:sz w:val="20"/>
                <w:szCs w:val="20"/>
              </w:rPr>
              <w:t>APA,​</w:t>
            </w:r>
            <w:proofErr w:type="gramEnd"/>
            <w:r w:rsidRPr="005762E6">
              <w:rPr>
                <w:sz w:val="20"/>
                <w:szCs w:val="20"/>
              </w:rPr>
              <w:t xml:space="preserve"> all rights reserved)</w:t>
            </w:r>
          </w:p>
        </w:tc>
      </w:tr>
      <w:tr w:rsidR="00B44564" w:rsidRPr="005762E6" w14:paraId="204435C2"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628B909" w14:textId="77777777" w:rsidR="00B44564" w:rsidRPr="005762E6" w:rsidRDefault="00B44564" w:rsidP="00EA69AA">
            <w:pPr>
              <w:spacing w:after="120" w:line="240" w:lineRule="auto"/>
              <w:contextualSpacing/>
              <w:rPr>
                <w:sz w:val="20"/>
                <w:szCs w:val="20"/>
              </w:rPr>
            </w:pPr>
            <w:r w:rsidRPr="005762E6">
              <w:rPr>
                <w:sz w:val="20"/>
                <w:szCs w:val="20"/>
              </w:rPr>
              <w:t>787</w:t>
            </w:r>
          </w:p>
        </w:tc>
        <w:tc>
          <w:tcPr>
            <w:tcW w:w="0" w:type="auto"/>
            <w:tcBorders>
              <w:top w:val="single" w:sz="6" w:space="0" w:color="auto"/>
              <w:left w:val="single" w:sz="6" w:space="0" w:color="auto"/>
              <w:bottom w:val="single" w:sz="6" w:space="0" w:color="auto"/>
              <w:right w:val="single" w:sz="6" w:space="0" w:color="auto"/>
            </w:tcBorders>
          </w:tcPr>
          <w:p w14:paraId="534F55AD"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596ABA9" w14:textId="5E8C48F9" w:rsidR="00B44564" w:rsidRPr="005762E6" w:rsidRDefault="00B44564" w:rsidP="00EA69AA">
            <w:pPr>
              <w:spacing w:after="120" w:line="240" w:lineRule="auto"/>
              <w:contextualSpacing/>
              <w:rPr>
                <w:sz w:val="20"/>
                <w:szCs w:val="20"/>
              </w:rPr>
            </w:pPr>
            <w:r w:rsidRPr="005762E6">
              <w:rPr>
                <w:sz w:val="20"/>
                <w:szCs w:val="20"/>
              </w:rPr>
              <w:t>Ji-Yeun Park Tobacco use behaviors among vulnerable populations</w:t>
            </w:r>
            <w:r w:rsidR="007F2F01">
              <w:rPr>
                <w:sz w:val="20"/>
                <w:szCs w:val="20"/>
              </w:rPr>
              <w:t>.</w:t>
            </w:r>
            <w:r w:rsidRPr="005762E6">
              <w:rPr>
                <w:sz w:val="20"/>
                <w:szCs w:val="20"/>
              </w:rPr>
              <w:t xml:space="preserve"> Dissertation Abstracts International: Section B: The Sciences and Engineering; 2017;</w:t>
            </w:r>
            <w:proofErr w:type="gramStart"/>
            <w:r w:rsidRPr="005762E6">
              <w:rPr>
                <w:sz w:val="20"/>
                <w:szCs w:val="20"/>
              </w:rPr>
              <w:t>77:No.</w:t>
            </w:r>
            <w:proofErr w:type="gramEnd"/>
            <w:r w:rsidRPr="005762E6">
              <w:rPr>
                <w:sz w:val="20"/>
                <w:szCs w:val="20"/>
              </w:rPr>
              <w:br/>
            </w:r>
            <w:r w:rsidRPr="005762E6">
              <w:rPr>
                <w:sz w:val="20"/>
                <w:szCs w:val="20"/>
              </w:rPr>
              <w:br/>
            </w:r>
            <w:r w:rsidRPr="005762E6">
              <w:rPr>
                <w:b/>
                <w:bCs/>
                <w:sz w:val="20"/>
                <w:szCs w:val="20"/>
              </w:rPr>
              <w:t>Keywords:</w:t>
            </w:r>
            <w:r w:rsidRPr="005762E6">
              <w:rPr>
                <w:sz w:val="20"/>
                <w:szCs w:val="20"/>
              </w:rPr>
              <w:br/>
              <w:t>*Susceptibility (Disorders),​*Tobacco Smoking,​*Bullying</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This dissertation consists of two objectives. Objective 1 of this research was to explore whether bullying victimization in the past 12 months is associated with smoking uptake among Maryland high school students who started smoking in the past year. Data were derived from Maryland Youth Risk Behavior Survey (YRBS) 2013. Eligible study subjects from the Maryland YRBS (N=</w:t>
            </w:r>
            <w:proofErr w:type="gramStart"/>
            <w:r w:rsidRPr="005762E6">
              <w:rPr>
                <w:sz w:val="20"/>
                <w:szCs w:val="20"/>
              </w:rPr>
              <w:t>6,​</w:t>
            </w:r>
            <w:proofErr w:type="gramEnd"/>
            <w:r w:rsidRPr="005762E6">
              <w:rPr>
                <w:sz w:val="20"/>
                <w:szCs w:val="20"/>
              </w:rPr>
              <w:t xml:space="preserve">457) were categorized into four groups based on their bullying victimization in the past 12 months: cyber victim only,​ school victim only,​ both cyber and school victim,​ and neither. For male </w:t>
            </w:r>
            <w:proofErr w:type="gramStart"/>
            <w:r w:rsidRPr="005762E6">
              <w:rPr>
                <w:sz w:val="20"/>
                <w:szCs w:val="20"/>
              </w:rPr>
              <w:t>students,​</w:t>
            </w:r>
            <w:proofErr w:type="gramEnd"/>
            <w:r w:rsidRPr="005762E6">
              <w:rPr>
                <w:sz w:val="20"/>
                <w:szCs w:val="20"/>
              </w:rPr>
              <w:t xml:space="preserve"> 4.1% reported cyberbullying and 9.6% reported school bullying. A total of 11.2% of male students were victims of both cyber and school bullying in the past 12 months. For female </w:t>
            </w:r>
            <w:proofErr w:type="gramStart"/>
            <w:r w:rsidRPr="005762E6">
              <w:rPr>
                <w:sz w:val="20"/>
                <w:szCs w:val="20"/>
              </w:rPr>
              <w:t>students,​</w:t>
            </w:r>
            <w:proofErr w:type="gramEnd"/>
            <w:r w:rsidRPr="005762E6">
              <w:rPr>
                <w:sz w:val="20"/>
                <w:szCs w:val="20"/>
              </w:rPr>
              <w:t xml:space="preserve"> 11.0% reported cyberbullying and 10.5% reported school bullying. A total of </w:t>
            </w:r>
            <w:r w:rsidRPr="005762E6">
              <w:rPr>
                <w:sz w:val="20"/>
                <w:szCs w:val="20"/>
              </w:rPr>
              <w:lastRenderedPageBreak/>
              <w:t xml:space="preserve">19.5% of female students were victims of both cyber and school bullying in the past 12 months. Logistic regression analyses were conducted to examine the relationship between bullying victimization and current tobacco </w:t>
            </w:r>
            <w:proofErr w:type="gramStart"/>
            <w:r w:rsidRPr="005762E6">
              <w:rPr>
                <w:sz w:val="20"/>
                <w:szCs w:val="20"/>
              </w:rPr>
              <w:t>use,​</w:t>
            </w:r>
            <w:proofErr w:type="gramEnd"/>
            <w:r w:rsidRPr="005762E6">
              <w:rPr>
                <w:sz w:val="20"/>
                <w:szCs w:val="20"/>
              </w:rPr>
              <w:t xml:space="preserve"> adjusting for demographic factors such as race/ethnicity,​ age,​ and gender. In fully adjusted </w:t>
            </w:r>
            <w:proofErr w:type="gramStart"/>
            <w:r w:rsidRPr="005762E6">
              <w:rPr>
                <w:sz w:val="20"/>
                <w:szCs w:val="20"/>
              </w:rPr>
              <w:t>model,​</w:t>
            </w:r>
            <w:proofErr w:type="gramEnd"/>
            <w:r w:rsidRPr="005762E6">
              <w:rPr>
                <w:sz w:val="20"/>
                <w:szCs w:val="20"/>
              </w:rPr>
              <w:t xml:space="preserve"> victimization from both cyber and school bullying was statistically significantly related to current tobacco use (Adjusted Odds Ratio [AOR]=1.30,​ 95% Confidence Interval [CI]=1.13--1.50). </w:t>
            </w:r>
            <w:proofErr w:type="gramStart"/>
            <w:r w:rsidRPr="005762E6">
              <w:rPr>
                <w:sz w:val="20"/>
                <w:szCs w:val="20"/>
              </w:rPr>
              <w:t>However,​</w:t>
            </w:r>
            <w:proofErr w:type="gramEnd"/>
            <w:r w:rsidRPr="005762E6">
              <w:rPr>
                <w:sz w:val="20"/>
                <w:szCs w:val="20"/>
              </w:rPr>
              <w:t xml:space="preserve"> victimization from either form of bullying alone was not statistically significantly related to current tobacco use,​ while controlling for demographic factors (cyber victim only; p=.998,​ school victim only; p=.701). These results indicate that victims of both cyber and school bullying are at greater risk for smoking uptake. </w:t>
            </w:r>
            <w:proofErr w:type="gramStart"/>
            <w:r w:rsidRPr="005762E6">
              <w:rPr>
                <w:sz w:val="20"/>
                <w:szCs w:val="20"/>
              </w:rPr>
              <w:t>Thus,​</w:t>
            </w:r>
            <w:proofErr w:type="gramEnd"/>
            <w:r w:rsidRPr="005762E6">
              <w:rPr>
                <w:sz w:val="20"/>
                <w:szCs w:val="20"/>
              </w:rPr>
              <w:t xml:space="preserve"> prevention efforts aimed at reducing or preventing the uptake of smoking by victims of both cyber and school bullying are needed. Objective 2 of this research was to explore the relationships between sexual </w:t>
            </w:r>
            <w:proofErr w:type="gramStart"/>
            <w:r w:rsidRPr="005762E6">
              <w:rPr>
                <w:sz w:val="20"/>
                <w:szCs w:val="20"/>
              </w:rPr>
              <w:t>orientation,​</w:t>
            </w:r>
            <w:proofErr w:type="gramEnd"/>
            <w:r w:rsidRPr="005762E6">
              <w:rPr>
                <w:sz w:val="20"/>
                <w:szCs w:val="20"/>
              </w:rPr>
              <w:t xml:space="preserve"> menthol smoking,​ and smoking cessation measured by past-year quit attempt and intention to quit smoking using a nationally representative sample of U.S. adults ages 18 years or older. Since sexual minorities disproportionately smoke menthol </w:t>
            </w:r>
            <w:proofErr w:type="gramStart"/>
            <w:r w:rsidRPr="005762E6">
              <w:rPr>
                <w:sz w:val="20"/>
                <w:szCs w:val="20"/>
              </w:rPr>
              <w:t>cigarettes,​</w:t>
            </w:r>
            <w:proofErr w:type="gramEnd"/>
            <w:r w:rsidRPr="005762E6">
              <w:rPr>
                <w:sz w:val="20"/>
                <w:szCs w:val="20"/>
              </w:rPr>
              <w:t xml:space="preserve"> examining such relationships is warranted to reduce menthol cigarette use in this population. Data were obtained from the National Adult Tobacco Survey 2012--2013. Respondents who had smoked more than 100 cigarettes in their lifetime and currently smoke cigarettes every day or some days were included. Of </w:t>
            </w:r>
            <w:proofErr w:type="gramStart"/>
            <w:r w:rsidRPr="005762E6">
              <w:rPr>
                <w:sz w:val="20"/>
                <w:szCs w:val="20"/>
              </w:rPr>
              <w:t>4,​</w:t>
            </w:r>
            <w:proofErr w:type="gramEnd"/>
            <w:r w:rsidRPr="005762E6">
              <w:rPr>
                <w:sz w:val="20"/>
                <w:szCs w:val="20"/>
              </w:rPr>
              <w:t>245 respondents,​ 3,​999 were heterosexual,​ and 246 described themselves as sexual minorities (i.e.,​ Lesbian,​ Gay,​ or Bisexual). Eligible study subjects were then divided into two groups based on their use of menthol cigarettes: menthol smokers versus non-menthol smokers. Prevalence of menthol cigarette use was higher among sexual minorities than heterosexual individuals (37.8% vs. 30.6</w:t>
            </w:r>
            <w:proofErr w:type="gramStart"/>
            <w:r w:rsidRPr="005762E6">
              <w:rPr>
                <w:sz w:val="20"/>
                <w:szCs w:val="20"/>
              </w:rPr>
              <w:t>%,​</w:t>
            </w:r>
            <w:proofErr w:type="gramEnd"/>
            <w:r w:rsidRPr="005762E6">
              <w:rPr>
                <w:sz w:val="20"/>
                <w:szCs w:val="20"/>
              </w:rPr>
              <w:t xml:space="preserve"> p=.018). Logistic regression analyses were conducted to examine the relationships between sexual </w:t>
            </w:r>
            <w:proofErr w:type="gramStart"/>
            <w:r w:rsidRPr="005762E6">
              <w:rPr>
                <w:sz w:val="20"/>
                <w:szCs w:val="20"/>
              </w:rPr>
              <w:t>orientation,​</w:t>
            </w:r>
            <w:proofErr w:type="gramEnd"/>
            <w:r w:rsidRPr="005762E6">
              <w:rPr>
                <w:sz w:val="20"/>
                <w:szCs w:val="20"/>
              </w:rPr>
              <w:t xml:space="preserve"> menthol smoking,​ and cessation-related behavior and intention,​ adjusting for other factors. According to the research </w:t>
            </w:r>
            <w:proofErr w:type="gramStart"/>
            <w:r w:rsidRPr="005762E6">
              <w:rPr>
                <w:sz w:val="20"/>
                <w:szCs w:val="20"/>
              </w:rPr>
              <w:t>findings,​</w:t>
            </w:r>
            <w:proofErr w:type="gramEnd"/>
            <w:r w:rsidRPr="005762E6">
              <w:rPr>
                <w:sz w:val="20"/>
                <w:szCs w:val="20"/>
              </w:rPr>
              <w:t xml:space="preserve"> the effects of menthol cigarette use on cessation-related behavior and intention did not differ depending on individual's sexual orientation. Smoking cessation treatments for menthol smokers based on sexual orientation may have little effects on smoking cessation outcomes. In light of high prevalence of menthol cigarette use in sexual </w:t>
            </w:r>
            <w:proofErr w:type="gramStart"/>
            <w:r w:rsidRPr="005762E6">
              <w:rPr>
                <w:sz w:val="20"/>
                <w:szCs w:val="20"/>
              </w:rPr>
              <w:t>minorities,​</w:t>
            </w:r>
            <w:proofErr w:type="gramEnd"/>
            <w:r w:rsidRPr="005762E6">
              <w:rPr>
                <w:sz w:val="20"/>
                <w:szCs w:val="20"/>
              </w:rPr>
              <w:t xml:space="preserve"> future research is needed to suggest the most effective evidence-based smoking cessation treatment interventions for LGB menthol smokers. (PsycINFO Database Record (c) 2017 </w:t>
            </w:r>
            <w:proofErr w:type="gramStart"/>
            <w:r w:rsidRPr="005762E6">
              <w:rPr>
                <w:sz w:val="20"/>
                <w:szCs w:val="20"/>
              </w:rPr>
              <w:t>APA,​</w:t>
            </w:r>
            <w:proofErr w:type="gramEnd"/>
            <w:r w:rsidRPr="005762E6">
              <w:rPr>
                <w:sz w:val="20"/>
                <w:szCs w:val="20"/>
              </w:rPr>
              <w:t xml:space="preserve"> all rights reserved)</w:t>
            </w:r>
          </w:p>
        </w:tc>
      </w:tr>
      <w:tr w:rsidR="00B44564" w:rsidRPr="005762E6" w14:paraId="73C92CDA"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3CF1243" w14:textId="77777777" w:rsidR="00B44564" w:rsidRPr="005762E6" w:rsidRDefault="00B44564" w:rsidP="00EA69AA">
            <w:pPr>
              <w:spacing w:after="120" w:line="240" w:lineRule="auto"/>
              <w:contextualSpacing/>
              <w:rPr>
                <w:sz w:val="20"/>
                <w:szCs w:val="20"/>
              </w:rPr>
            </w:pPr>
            <w:r w:rsidRPr="005762E6">
              <w:rPr>
                <w:sz w:val="20"/>
                <w:szCs w:val="20"/>
              </w:rPr>
              <w:lastRenderedPageBreak/>
              <w:t>789</w:t>
            </w:r>
          </w:p>
        </w:tc>
        <w:tc>
          <w:tcPr>
            <w:tcW w:w="0" w:type="auto"/>
            <w:tcBorders>
              <w:top w:val="single" w:sz="6" w:space="0" w:color="auto"/>
              <w:left w:val="single" w:sz="6" w:space="0" w:color="auto"/>
              <w:bottom w:val="single" w:sz="6" w:space="0" w:color="auto"/>
              <w:right w:val="single" w:sz="6" w:space="0" w:color="auto"/>
            </w:tcBorders>
          </w:tcPr>
          <w:p w14:paraId="69FC9CC8"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B179C05" w14:textId="46D87271" w:rsidR="00B44564" w:rsidRPr="005762E6" w:rsidRDefault="00B44564" w:rsidP="00EA69AA">
            <w:pPr>
              <w:spacing w:after="120" w:line="240" w:lineRule="auto"/>
              <w:contextualSpacing/>
              <w:rPr>
                <w:sz w:val="20"/>
                <w:szCs w:val="20"/>
              </w:rPr>
            </w:pPr>
            <w:r w:rsidRPr="005762E6">
              <w:rPr>
                <w:sz w:val="20"/>
                <w:szCs w:val="20"/>
              </w:rPr>
              <w:t>Teagan Rose Wall Effects of TI-299423 on neuronal nicotinic acetylcholine receptors</w:t>
            </w:r>
            <w:r w:rsidR="007F2F01">
              <w:rPr>
                <w:sz w:val="20"/>
                <w:szCs w:val="20"/>
              </w:rPr>
              <w:t>.</w:t>
            </w:r>
            <w:r w:rsidRPr="005762E6">
              <w:rPr>
                <w:sz w:val="20"/>
                <w:szCs w:val="20"/>
              </w:rPr>
              <w:t xml:space="preserve"> Dissertation Abstracts International: Section B: The Sciences and Engineering; 2016;</w:t>
            </w:r>
            <w:proofErr w:type="gramStart"/>
            <w:r w:rsidRPr="005762E6">
              <w:rPr>
                <w:sz w:val="20"/>
                <w:szCs w:val="20"/>
              </w:rPr>
              <w:t>76:No.</w:t>
            </w:r>
            <w:proofErr w:type="gramEnd"/>
            <w:r w:rsidRPr="005762E6">
              <w:rPr>
                <w:sz w:val="20"/>
                <w:szCs w:val="20"/>
              </w:rPr>
              <w:br/>
            </w:r>
            <w:r w:rsidRPr="005762E6">
              <w:rPr>
                <w:sz w:val="20"/>
                <w:szCs w:val="20"/>
              </w:rPr>
              <w:br/>
            </w:r>
            <w:r w:rsidRPr="005762E6">
              <w:rPr>
                <w:b/>
                <w:bCs/>
                <w:sz w:val="20"/>
                <w:szCs w:val="20"/>
              </w:rPr>
              <w:t>Keywords:</w:t>
            </w:r>
            <w:r w:rsidRPr="005762E6">
              <w:rPr>
                <w:sz w:val="20"/>
                <w:szCs w:val="20"/>
              </w:rPr>
              <w:br/>
              <w:t>*Cholinergic Receptors,​*Mesencephalon,​*Neurons,​*Peripheral Nervous System</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Nicotinic acetylcholine receptors (nAChRs) are pentameric,​ ligand-gated,​ cation channels found throughout the central and peripheral nervous system,​ whose endogenous ligand is acetylcholine,​ but which can also be acted upon by nicotine. The subunit compositions of nAChR determine their physiological and pharmacological </w:t>
            </w:r>
            <w:proofErr w:type="gramStart"/>
            <w:r w:rsidRPr="005762E6">
              <w:rPr>
                <w:sz w:val="20"/>
                <w:szCs w:val="20"/>
              </w:rPr>
              <w:t>properties,​</w:t>
            </w:r>
            <w:proofErr w:type="gramEnd"/>
            <w:r w:rsidRPr="005762E6">
              <w:rPr>
                <w:sz w:val="20"/>
                <w:szCs w:val="20"/>
              </w:rPr>
              <w:t xml:space="preserve"> with different subunits expressed in different combinations or areas throughout the brain. The behavioral and physiological effects of nicotine are elicited by its agonistic and desensitizing actions selectively on neuronal nAChRs. The midbrain is of particular interest due to its population of nAChRs expressed on dopaminergic </w:t>
            </w:r>
            <w:proofErr w:type="gramStart"/>
            <w:r w:rsidRPr="005762E6">
              <w:rPr>
                <w:sz w:val="20"/>
                <w:szCs w:val="20"/>
              </w:rPr>
              <w:t>neurons,​</w:t>
            </w:r>
            <w:proofErr w:type="gramEnd"/>
            <w:r w:rsidRPr="005762E6">
              <w:rPr>
                <w:sz w:val="20"/>
                <w:szCs w:val="20"/>
              </w:rPr>
              <w:t xml:space="preserve"> which are important for reward and reinforcement,​ and possibly contribute to nicotine dependence. The alpha6-subunit is found on dopaminergic neurons but very few other regions of the </w:t>
            </w:r>
            <w:proofErr w:type="gramStart"/>
            <w:r w:rsidRPr="005762E6">
              <w:rPr>
                <w:sz w:val="20"/>
                <w:szCs w:val="20"/>
              </w:rPr>
              <w:t>brain,​</w:t>
            </w:r>
            <w:proofErr w:type="gramEnd"/>
            <w:r w:rsidRPr="005762E6">
              <w:rPr>
                <w:sz w:val="20"/>
                <w:szCs w:val="20"/>
              </w:rPr>
              <w:t xml:space="preserve"> making it an interesting drug target. We assayed a novel nicotinic </w:t>
            </w:r>
            <w:proofErr w:type="gramStart"/>
            <w:r w:rsidRPr="005762E6">
              <w:rPr>
                <w:sz w:val="20"/>
                <w:szCs w:val="20"/>
              </w:rPr>
              <w:t>agonist,​</w:t>
            </w:r>
            <w:proofErr w:type="gramEnd"/>
            <w:r w:rsidRPr="005762E6">
              <w:rPr>
                <w:sz w:val="20"/>
                <w:szCs w:val="20"/>
              </w:rPr>
              <w:t xml:space="preserve"> called TI-299423 or TC299,​ for its possible selectivity for alpha6-containing nAChRs. Our goal was to isolate the role of alpha6-containing nAChRs in nicotine reward and </w:t>
            </w:r>
            <w:proofErr w:type="gramStart"/>
            <w:r w:rsidRPr="005762E6">
              <w:rPr>
                <w:sz w:val="20"/>
                <w:szCs w:val="20"/>
              </w:rPr>
              <w:t>reinforcement,​</w:t>
            </w:r>
            <w:proofErr w:type="gramEnd"/>
            <w:r w:rsidRPr="005762E6">
              <w:rPr>
                <w:sz w:val="20"/>
                <w:szCs w:val="20"/>
              </w:rPr>
              <w:t xml:space="preserve"> and provide insight into the search for more effective smoking cessation compounds. This was done using a variety of in vitro and behavioral </w:t>
            </w:r>
            <w:proofErr w:type="gramStart"/>
            <w:r w:rsidRPr="005762E6">
              <w:rPr>
                <w:sz w:val="20"/>
                <w:szCs w:val="20"/>
              </w:rPr>
              <w:t>assays,​</w:t>
            </w:r>
            <w:proofErr w:type="gramEnd"/>
            <w:r w:rsidRPr="005762E6">
              <w:rPr>
                <w:sz w:val="20"/>
                <w:szCs w:val="20"/>
              </w:rPr>
              <w:t xml:space="preserve"> aimed dually at understanding TI-299423's exact mechanism of action and its downstream effects. </w:t>
            </w:r>
            <w:proofErr w:type="gramStart"/>
            <w:r w:rsidRPr="005762E6">
              <w:rPr>
                <w:sz w:val="20"/>
                <w:szCs w:val="20"/>
              </w:rPr>
              <w:t>Additionally,​</w:t>
            </w:r>
            <w:proofErr w:type="gramEnd"/>
            <w:r w:rsidRPr="005762E6">
              <w:rPr>
                <w:sz w:val="20"/>
                <w:szCs w:val="20"/>
              </w:rPr>
              <w:t xml:space="preserve"> we looked at the effects of another compound,​ menthol,​ on nicotine reward. Understanding how reward is generated in the cholinergic system and how that is modulated by other compounds contributes to a better understand of our complex neural circuitry and provides insight for the future development of therapeutics. (PsycINFO Database Record (c) 2016 </w:t>
            </w:r>
            <w:proofErr w:type="gramStart"/>
            <w:r w:rsidRPr="005762E6">
              <w:rPr>
                <w:sz w:val="20"/>
                <w:szCs w:val="20"/>
              </w:rPr>
              <w:t>APA,​</w:t>
            </w:r>
            <w:proofErr w:type="gramEnd"/>
            <w:r w:rsidRPr="005762E6">
              <w:rPr>
                <w:sz w:val="20"/>
                <w:szCs w:val="20"/>
              </w:rPr>
              <w:t xml:space="preserve"> all rights reserved)</w:t>
            </w:r>
          </w:p>
        </w:tc>
      </w:tr>
      <w:tr w:rsidR="00B44564" w:rsidRPr="005762E6" w14:paraId="47FCB79C"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7CA9A84" w14:textId="77777777" w:rsidR="00B44564" w:rsidRPr="005762E6" w:rsidRDefault="00B44564" w:rsidP="00EA69AA">
            <w:pPr>
              <w:spacing w:after="120" w:line="240" w:lineRule="auto"/>
              <w:contextualSpacing/>
              <w:rPr>
                <w:sz w:val="20"/>
                <w:szCs w:val="20"/>
              </w:rPr>
            </w:pPr>
            <w:r w:rsidRPr="005762E6">
              <w:rPr>
                <w:sz w:val="20"/>
                <w:szCs w:val="20"/>
              </w:rPr>
              <w:t>791</w:t>
            </w:r>
          </w:p>
        </w:tc>
        <w:tc>
          <w:tcPr>
            <w:tcW w:w="0" w:type="auto"/>
            <w:tcBorders>
              <w:top w:val="single" w:sz="6" w:space="0" w:color="auto"/>
              <w:left w:val="single" w:sz="6" w:space="0" w:color="auto"/>
              <w:bottom w:val="single" w:sz="6" w:space="0" w:color="auto"/>
              <w:right w:val="single" w:sz="6" w:space="0" w:color="auto"/>
            </w:tcBorders>
          </w:tcPr>
          <w:p w14:paraId="02965C0D"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D5604A3" w14:textId="78AB27CC" w:rsidR="00B44564" w:rsidRPr="005762E6" w:rsidRDefault="00B44564" w:rsidP="00EA69AA">
            <w:pPr>
              <w:spacing w:after="120" w:line="240" w:lineRule="auto"/>
              <w:contextualSpacing/>
              <w:rPr>
                <w:sz w:val="20"/>
                <w:szCs w:val="20"/>
              </w:rPr>
            </w:pPr>
            <w:r w:rsidRPr="005762E6">
              <w:rPr>
                <w:sz w:val="20"/>
                <w:szCs w:val="20"/>
              </w:rPr>
              <w:t>Esteban Petruzzello Studies in the economics of addiction</w:t>
            </w:r>
            <w:r w:rsidR="007F2F01">
              <w:rPr>
                <w:sz w:val="20"/>
                <w:szCs w:val="20"/>
              </w:rPr>
              <w:t>.</w:t>
            </w:r>
            <w:r w:rsidRPr="005762E6">
              <w:rPr>
                <w:sz w:val="20"/>
                <w:szCs w:val="20"/>
              </w:rPr>
              <w:t xml:space="preserve"> Dissertation Abstracts International Section A: Humanities and Social Sciences; 2016;</w:t>
            </w:r>
            <w:proofErr w:type="gramStart"/>
            <w:r w:rsidRPr="005762E6">
              <w:rPr>
                <w:sz w:val="20"/>
                <w:szCs w:val="20"/>
              </w:rPr>
              <w:t>76:No.</w:t>
            </w:r>
            <w:proofErr w:type="gramEnd"/>
            <w:r w:rsidRPr="005762E6">
              <w:rPr>
                <w:sz w:val="20"/>
                <w:szCs w:val="20"/>
              </w:rPr>
              <w:br/>
            </w:r>
            <w:r w:rsidRPr="005762E6">
              <w:rPr>
                <w:sz w:val="20"/>
                <w:szCs w:val="20"/>
              </w:rPr>
              <w:lastRenderedPageBreak/>
              <w:br/>
            </w:r>
            <w:r w:rsidRPr="005762E6">
              <w:rPr>
                <w:b/>
                <w:bCs/>
                <w:sz w:val="20"/>
                <w:szCs w:val="20"/>
              </w:rPr>
              <w:t>Keywords:</w:t>
            </w:r>
            <w:r w:rsidRPr="005762E6">
              <w:rPr>
                <w:sz w:val="20"/>
                <w:szCs w:val="20"/>
              </w:rPr>
              <w:br/>
              <w:t>*Addiction,​*Economics,​*Smoking Cessation,​*Taxation,​*Tobacco Smoking</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 Chapter 1,​ I analyze the link between cigarette strength and smoking behavior. I estimate state dependence demand models that capture two main features of addiction: reinforcement and the existence of withdrawal costs. I find that demand for lights is more price sensitive than for </w:t>
            </w:r>
            <w:proofErr w:type="gramStart"/>
            <w:r w:rsidRPr="005762E6">
              <w:rPr>
                <w:sz w:val="20"/>
                <w:szCs w:val="20"/>
              </w:rPr>
              <w:t>regulars,​</w:t>
            </w:r>
            <w:proofErr w:type="gramEnd"/>
            <w:r w:rsidRPr="005762E6">
              <w:rPr>
                <w:sz w:val="20"/>
                <w:szCs w:val="20"/>
              </w:rPr>
              <w:t xml:space="preserve"> and that lights are less addictive. </w:t>
            </w:r>
            <w:proofErr w:type="gramStart"/>
            <w:r w:rsidRPr="005762E6">
              <w:rPr>
                <w:sz w:val="20"/>
                <w:szCs w:val="20"/>
              </w:rPr>
              <w:t>Additionally,​</w:t>
            </w:r>
            <w:proofErr w:type="gramEnd"/>
            <w:r w:rsidRPr="005762E6">
              <w:rPr>
                <w:sz w:val="20"/>
                <w:szCs w:val="20"/>
              </w:rPr>
              <w:t xml:space="preserve"> I find that while smoking restrictions are ineffective in reducing regular cigarette smoking,​ they reduce light cigarette purchases by about half a pack per month. I also find that the quitting behavior of regular and light smokers is </w:t>
            </w:r>
            <w:proofErr w:type="gramStart"/>
            <w:r w:rsidRPr="005762E6">
              <w:rPr>
                <w:sz w:val="20"/>
                <w:szCs w:val="20"/>
              </w:rPr>
              <w:t>similar,​</w:t>
            </w:r>
            <w:proofErr w:type="gramEnd"/>
            <w:r w:rsidRPr="005762E6">
              <w:rPr>
                <w:sz w:val="20"/>
                <w:szCs w:val="20"/>
              </w:rPr>
              <w:t xml:space="preserve"> though there is some evidence that switching to lights contributes to quitting. These findings support the idea that an establishment of maximum nicotine levels could be helpful to curtail smoking. In Chapter </w:t>
            </w:r>
            <w:proofErr w:type="gramStart"/>
            <w:r w:rsidRPr="005762E6">
              <w:rPr>
                <w:sz w:val="20"/>
                <w:szCs w:val="20"/>
              </w:rPr>
              <w:t>2,​</w:t>
            </w:r>
            <w:proofErr w:type="gramEnd"/>
            <w:r w:rsidRPr="005762E6">
              <w:rPr>
                <w:sz w:val="20"/>
                <w:szCs w:val="20"/>
              </w:rPr>
              <w:t xml:space="preserve"> I investigate the potential impact of a ban on menthol cigarettes on smoking when compared to taxes and smoking restrictions,​ using similar methods to those employed in Chapter 1. I find that demand for menthols is less price sensitive than for non-</w:t>
            </w:r>
            <w:proofErr w:type="gramStart"/>
            <w:r w:rsidRPr="005762E6">
              <w:rPr>
                <w:sz w:val="20"/>
                <w:szCs w:val="20"/>
              </w:rPr>
              <w:t>menthols,​</w:t>
            </w:r>
            <w:proofErr w:type="gramEnd"/>
            <w:r w:rsidRPr="005762E6">
              <w:rPr>
                <w:sz w:val="20"/>
                <w:szCs w:val="20"/>
              </w:rPr>
              <w:t xml:space="preserve"> and that menthols are less addictive both in terms of reinforcement and the effect of withdrawal costs. I also find that smoking restrictions are unsuccessful in reducing menthol smoking (both in terms of average cigarette consumption and smoking cessation</w:t>
            </w:r>
            <w:proofErr w:type="gramStart"/>
            <w:r w:rsidRPr="005762E6">
              <w:rPr>
                <w:sz w:val="20"/>
                <w:szCs w:val="20"/>
              </w:rPr>
              <w:t>),​</w:t>
            </w:r>
            <w:proofErr w:type="gramEnd"/>
            <w:r w:rsidRPr="005762E6">
              <w:rPr>
                <w:sz w:val="20"/>
                <w:szCs w:val="20"/>
              </w:rPr>
              <w:t xml:space="preserve"> though restrictions reduce average non-menthol consumption by more than half a pack per month. </w:t>
            </w:r>
            <w:proofErr w:type="gramStart"/>
            <w:r w:rsidRPr="005762E6">
              <w:rPr>
                <w:sz w:val="20"/>
                <w:szCs w:val="20"/>
              </w:rPr>
              <w:t>Additionally,​</w:t>
            </w:r>
            <w:proofErr w:type="gramEnd"/>
            <w:r w:rsidRPr="005762E6">
              <w:rPr>
                <w:sz w:val="20"/>
                <w:szCs w:val="20"/>
              </w:rPr>
              <w:t xml:space="preserve"> I find that higher prices do not increase the likelihood of quitting for menthol smokers. These findings indicate that current policies are ineffective in curbing menthol smoking and suggest that a complete ban might be required. In Chapter </w:t>
            </w:r>
            <w:proofErr w:type="gramStart"/>
            <w:r w:rsidRPr="005762E6">
              <w:rPr>
                <w:sz w:val="20"/>
                <w:szCs w:val="20"/>
              </w:rPr>
              <w:t>3,​</w:t>
            </w:r>
            <w:proofErr w:type="gramEnd"/>
            <w:r w:rsidRPr="005762E6">
              <w:rPr>
                <w:sz w:val="20"/>
                <w:szCs w:val="20"/>
              </w:rPr>
              <w:t xml:space="preserve"> I develop a new test for forward-looking behavior based on the establishment of smoking restrictions. Given that the announcement of these restrictions effectively increases the future cost of </w:t>
            </w:r>
            <w:proofErr w:type="gramStart"/>
            <w:r w:rsidRPr="005762E6">
              <w:rPr>
                <w:sz w:val="20"/>
                <w:szCs w:val="20"/>
              </w:rPr>
              <w:t>smoking,​</w:t>
            </w:r>
            <w:proofErr w:type="gramEnd"/>
            <w:r w:rsidRPr="005762E6">
              <w:rPr>
                <w:sz w:val="20"/>
                <w:szCs w:val="20"/>
              </w:rPr>
              <w:t xml:space="preserve"> we should expect forward-looking smokers to curb their consumption before the restriction is effective,​ due to complementarity between present and future consumption. The results show that households do not reduce their purchases of cigarettes before smoking restrictions are established; they only do so once the restriction is in effect. This provides support for the empirical strategy employed in the previous chapters. (PsycINFO Database Record (c) 2016 </w:t>
            </w:r>
            <w:proofErr w:type="gramStart"/>
            <w:r w:rsidRPr="005762E6">
              <w:rPr>
                <w:sz w:val="20"/>
                <w:szCs w:val="20"/>
              </w:rPr>
              <w:t>APA,​</w:t>
            </w:r>
            <w:proofErr w:type="gramEnd"/>
            <w:r w:rsidRPr="005762E6">
              <w:rPr>
                <w:sz w:val="20"/>
                <w:szCs w:val="20"/>
              </w:rPr>
              <w:t xml:space="preserve"> all rights reserved)</w:t>
            </w:r>
          </w:p>
        </w:tc>
      </w:tr>
      <w:tr w:rsidR="00B44564" w:rsidRPr="005762E6" w14:paraId="1149227B"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51CB6B6" w14:textId="77777777" w:rsidR="00B44564" w:rsidRPr="005762E6" w:rsidRDefault="00B44564" w:rsidP="00EA69AA">
            <w:pPr>
              <w:spacing w:after="120" w:line="240" w:lineRule="auto"/>
              <w:contextualSpacing/>
              <w:rPr>
                <w:sz w:val="20"/>
                <w:szCs w:val="20"/>
              </w:rPr>
            </w:pPr>
            <w:r w:rsidRPr="005762E6">
              <w:rPr>
                <w:sz w:val="20"/>
                <w:szCs w:val="20"/>
              </w:rPr>
              <w:lastRenderedPageBreak/>
              <w:t>794</w:t>
            </w:r>
          </w:p>
        </w:tc>
        <w:tc>
          <w:tcPr>
            <w:tcW w:w="0" w:type="auto"/>
            <w:tcBorders>
              <w:top w:val="single" w:sz="6" w:space="0" w:color="auto"/>
              <w:left w:val="single" w:sz="6" w:space="0" w:color="auto"/>
              <w:bottom w:val="single" w:sz="6" w:space="0" w:color="auto"/>
              <w:right w:val="single" w:sz="6" w:space="0" w:color="auto"/>
            </w:tcBorders>
          </w:tcPr>
          <w:p w14:paraId="799A3230"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B8465FB" w14:textId="5922B9A4" w:rsidR="00B44564" w:rsidRPr="005762E6" w:rsidRDefault="00B44564" w:rsidP="00EA69AA">
            <w:pPr>
              <w:spacing w:after="120" w:line="240" w:lineRule="auto"/>
              <w:contextualSpacing/>
              <w:rPr>
                <w:sz w:val="20"/>
                <w:szCs w:val="20"/>
              </w:rPr>
            </w:pPr>
            <w:r w:rsidRPr="005762E6">
              <w:rPr>
                <w:sz w:val="20"/>
                <w:szCs w:val="20"/>
              </w:rPr>
              <w:t xml:space="preserve">R. F </w:t>
            </w:r>
            <w:proofErr w:type="gramStart"/>
            <w:r w:rsidRPr="005762E6">
              <w:rPr>
                <w:sz w:val="20"/>
                <w:szCs w:val="20"/>
              </w:rPr>
              <w:t>Gillum,​</w:t>
            </w:r>
            <w:proofErr w:type="gramEnd"/>
            <w:r w:rsidRPr="005762E6">
              <w:rPr>
                <w:sz w:val="20"/>
                <w:szCs w:val="20"/>
              </w:rPr>
              <w:t xml:space="preserve"> B West Religion and menthol cigarette use in a US national sample</w:t>
            </w:r>
            <w:r w:rsidR="007F2F01">
              <w:rPr>
                <w:sz w:val="20"/>
                <w:szCs w:val="20"/>
              </w:rPr>
              <w:t>.</w:t>
            </w:r>
            <w:r w:rsidRPr="005762E6">
              <w:rPr>
                <w:sz w:val="20"/>
                <w:szCs w:val="20"/>
              </w:rPr>
              <w:t xml:space="preserve"> Preventive Medicine: An International Journal Devoted to Practice and Theory; </w:t>
            </w:r>
            <w:proofErr w:type="gramStart"/>
            <w:r w:rsidRPr="005762E6">
              <w:rPr>
                <w:sz w:val="20"/>
                <w:szCs w:val="20"/>
              </w:rPr>
              <w:t>2015;81:444</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*Religion,​*Tobacco Smoking</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The article discusses the relationship between religion and menthol cigarette use in a US national sample. Smoking menthol cigarettes has been found to be associated with risk of death from all </w:t>
            </w:r>
            <w:proofErr w:type="gramStart"/>
            <w:r w:rsidRPr="005762E6">
              <w:rPr>
                <w:sz w:val="20"/>
                <w:szCs w:val="20"/>
              </w:rPr>
              <w:t>causes,​</w:t>
            </w:r>
            <w:proofErr w:type="gramEnd"/>
            <w:r w:rsidRPr="005762E6">
              <w:rPr>
                <w:sz w:val="20"/>
                <w:szCs w:val="20"/>
              </w:rPr>
              <w:t xml:space="preserve"> cardiovascular disease and cancer independent of other risk factors in the US. In a </w:t>
            </w:r>
            <w:proofErr w:type="gramStart"/>
            <w:r w:rsidRPr="005762E6">
              <w:rPr>
                <w:sz w:val="20"/>
                <w:szCs w:val="20"/>
              </w:rPr>
              <w:t>large,​</w:t>
            </w:r>
            <w:proofErr w:type="gramEnd"/>
            <w:r w:rsidRPr="005762E6">
              <w:rPr>
                <w:sz w:val="20"/>
                <w:szCs w:val="20"/>
              </w:rPr>
              <w:t xml:space="preserve"> national sample,​ adult smokers 40 years and over who reported attending religious services &gt;= weekly were similar to others in use of menthol cigarettes regardless of gender or race/ethnicity,​ contrary to a previous report from 15 years earlier. (PsycINFO Database Record (c) 2016 </w:t>
            </w:r>
            <w:proofErr w:type="gramStart"/>
            <w:r w:rsidRPr="005762E6">
              <w:rPr>
                <w:sz w:val="20"/>
                <w:szCs w:val="20"/>
              </w:rPr>
              <w:t>APA,​</w:t>
            </w:r>
            <w:proofErr w:type="gramEnd"/>
            <w:r w:rsidRPr="005762E6">
              <w:rPr>
                <w:sz w:val="20"/>
                <w:szCs w:val="20"/>
              </w:rPr>
              <w:t xml:space="preserve"> all rights reserved)</w:t>
            </w:r>
          </w:p>
        </w:tc>
      </w:tr>
      <w:tr w:rsidR="00B44564" w:rsidRPr="005762E6" w14:paraId="556A244A"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DBC896C" w14:textId="77777777" w:rsidR="00B44564" w:rsidRPr="005762E6" w:rsidRDefault="00B44564" w:rsidP="00EA69AA">
            <w:pPr>
              <w:spacing w:after="120" w:line="240" w:lineRule="auto"/>
              <w:contextualSpacing/>
              <w:rPr>
                <w:sz w:val="20"/>
                <w:szCs w:val="20"/>
              </w:rPr>
            </w:pPr>
            <w:r w:rsidRPr="005762E6">
              <w:rPr>
                <w:sz w:val="20"/>
                <w:szCs w:val="20"/>
              </w:rPr>
              <w:t>795</w:t>
            </w:r>
          </w:p>
        </w:tc>
        <w:tc>
          <w:tcPr>
            <w:tcW w:w="0" w:type="auto"/>
            <w:tcBorders>
              <w:top w:val="single" w:sz="6" w:space="0" w:color="auto"/>
              <w:left w:val="single" w:sz="6" w:space="0" w:color="auto"/>
              <w:bottom w:val="single" w:sz="6" w:space="0" w:color="auto"/>
              <w:right w:val="single" w:sz="6" w:space="0" w:color="auto"/>
            </w:tcBorders>
          </w:tcPr>
          <w:p w14:paraId="04F0CBAE"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4C284B7" w14:textId="24389E39" w:rsidR="00B44564" w:rsidRPr="005762E6" w:rsidRDefault="00B44564" w:rsidP="00EA69AA">
            <w:pPr>
              <w:spacing w:after="120" w:line="240" w:lineRule="auto"/>
              <w:contextualSpacing/>
              <w:rPr>
                <w:sz w:val="20"/>
                <w:szCs w:val="20"/>
              </w:rPr>
            </w:pPr>
            <w:r w:rsidRPr="005762E6">
              <w:rPr>
                <w:sz w:val="20"/>
                <w:szCs w:val="20"/>
              </w:rPr>
              <w:t xml:space="preserve">Emily </w:t>
            </w:r>
            <w:proofErr w:type="gramStart"/>
            <w:r w:rsidRPr="005762E6">
              <w:rPr>
                <w:sz w:val="20"/>
                <w:szCs w:val="20"/>
              </w:rPr>
              <w:t>Brennan,​</w:t>
            </w:r>
            <w:proofErr w:type="gramEnd"/>
            <w:r w:rsidRPr="005762E6">
              <w:rPr>
                <w:sz w:val="20"/>
                <w:szCs w:val="20"/>
              </w:rPr>
              <w:t xml:space="preserve"> Laura Gibson,​ Ani Momjian,​ Robert C Hornik "Are young people's beliefs about menthol cigarettes associated with smoking-related intentions and behaviors?": Erratum</w:t>
            </w:r>
            <w:r w:rsidR="007F2F01">
              <w:rPr>
                <w:sz w:val="20"/>
                <w:szCs w:val="20"/>
              </w:rPr>
              <w:t>.</w:t>
            </w:r>
            <w:r w:rsidRPr="005762E6">
              <w:rPr>
                <w:sz w:val="20"/>
                <w:szCs w:val="20"/>
              </w:rPr>
              <w:t xml:space="preserve"> Nicotine &amp; Tobacco Research; </w:t>
            </w:r>
            <w:proofErr w:type="gramStart"/>
            <w:r w:rsidRPr="005762E6">
              <w:rPr>
                <w:sz w:val="20"/>
                <w:szCs w:val="20"/>
              </w:rPr>
              <w:t>2015;17:1403</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*Smoking Cessation,​*Tobacco Smoking,​Attitudes,​Intention</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Reports an error in "Are young people's beliefs about menthol cigarettes associated with smoking-related intentions and behaviors" by Emily Brennan,​ Laura Gibson,​ Ani Momjian and Robert C. Hornik (Nicotine &amp; Tobacco Research,​ 2015[Jan],​ Vol 17[1],​ 81-90). In the original </w:t>
            </w:r>
            <w:proofErr w:type="gramStart"/>
            <w:r w:rsidRPr="005762E6">
              <w:rPr>
                <w:sz w:val="20"/>
                <w:szCs w:val="20"/>
              </w:rPr>
              <w:t>article,​</w:t>
            </w:r>
            <w:proofErr w:type="gramEnd"/>
            <w:r w:rsidRPr="005762E6">
              <w:rPr>
                <w:sz w:val="20"/>
                <w:szCs w:val="20"/>
              </w:rPr>
              <w:t xml:space="preserve"> on page 86,​ the second to last sentence of the Procedure paragraph under Methods included an incorrect age range. The sentence should read as: This data cleaning procedure excluded 6% of the recruited 13- to 17-year-olds and 8% of the recruited 18- to 25-year-olds. (The following abstract of the original article appeared in record 2015-00381-</w:t>
            </w:r>
            <w:r w:rsidRPr="005762E6">
              <w:rPr>
                <w:sz w:val="20"/>
                <w:szCs w:val="20"/>
              </w:rPr>
              <w:lastRenderedPageBreak/>
              <w:t xml:space="preserve">011). Introduction: Little is known about the beliefs that youth and young adults hold about menthol cigarettes or the influence of these beliefs on tobacco use initiation. Methods: Online cross-sectional surveys with 13- to 17-year-old current nonsmokers (n = 553) and 18- to 25-year-old never (n = 586) and current tobacco users (n = 307) in the United States assessed the association between endorsing each of 9 pro-menthol beliefs and (a) intentions to smoke menthol cigarettes over the next year,​ (b) current use of menthol cigarettes,​ (c) intentions to use tobacco in general over the next year,​ and (d) current use of tobacco products in general. Results: Menthols were perceived to be less harmful and addictive than nonmenthol cigarettes by between 13% and 23% of respondents. Between 20% and 58% believed that menthols had favorable sensory </w:t>
            </w:r>
            <w:proofErr w:type="gramStart"/>
            <w:r w:rsidRPr="005762E6">
              <w:rPr>
                <w:sz w:val="20"/>
                <w:szCs w:val="20"/>
              </w:rPr>
              <w:t>properties,​</w:t>
            </w:r>
            <w:proofErr w:type="gramEnd"/>
            <w:r w:rsidRPr="005762E6">
              <w:rPr>
                <w:sz w:val="20"/>
                <w:szCs w:val="20"/>
              </w:rPr>
              <w:t xml:space="preserve"> and 7%-25% believed that menthol smokers were more popular and attractive than nonmenthol smokers. Logistic regression analyses (adjusting for confounders) indicated </w:t>
            </w:r>
            <w:proofErr w:type="gramStart"/>
            <w:r w:rsidRPr="005762E6">
              <w:rPr>
                <w:sz w:val="20"/>
                <w:szCs w:val="20"/>
              </w:rPr>
              <w:t>that,​</w:t>
            </w:r>
            <w:proofErr w:type="gramEnd"/>
            <w:r w:rsidRPr="005762E6">
              <w:rPr>
                <w:sz w:val="20"/>
                <w:szCs w:val="20"/>
              </w:rPr>
              <w:t xml:space="preserve"> on the whole,​ those who endorsed pro-menthol beliefs were more likely to intend to use,​ and to currently use,​ both menthols and tobacco products in general. For example,​ respondents who believed that menthol cigarettes were more refreshing in sensation (one of the most frequently endorsed beliefs) were significantly more likely to (a) intend to smoke menthol cigarettes (13- to 17-year-olds,​ odds ratio [OR] = 2.12,​ 95% confidence interval [CI] = 1.03,​ 4.34; 18- to 25-year olds,​ OR = 2.62,​ 95% CI = 1.04,​ 6.60),​ (b) currently use menthol cigarettes (18- to 25-year olds,​ OR = 3.40,​ 95% CI = 2.20,​ 5.26),​ (c) intend to use tobacco (13- to 17-year-olds OR = 1.74,​ 95% CI = 1.14,​ 2.65),​ and (d) currently use tobacco (18- to 25-year olds,​ OR = 2.06,​ 95% CI = 1.44,​ 2.93). Conclusions: Youth and young adults who do not currently smoke and who hold favorable beliefs about menthol cigarettes are at greater risk for beginning to use tobacco </w:t>
            </w:r>
            <w:proofErr w:type="gramStart"/>
            <w:r w:rsidRPr="005762E6">
              <w:rPr>
                <w:sz w:val="20"/>
                <w:szCs w:val="20"/>
              </w:rPr>
              <w:t>products,​</w:t>
            </w:r>
            <w:proofErr w:type="gramEnd"/>
            <w:r w:rsidRPr="005762E6">
              <w:rPr>
                <w:sz w:val="20"/>
                <w:szCs w:val="20"/>
              </w:rPr>
              <w:t xml:space="preserve"> indicating that the availability of menthol cigarettes may contribute to tobacco use initiation. These findings support recent claims that the elimination of menthol cigarettes would improve public health in the United States. (PsycINFO Database Record (c) 2016 </w:t>
            </w:r>
            <w:proofErr w:type="gramStart"/>
            <w:r w:rsidRPr="005762E6">
              <w:rPr>
                <w:sz w:val="20"/>
                <w:szCs w:val="20"/>
              </w:rPr>
              <w:t>APA,​</w:t>
            </w:r>
            <w:proofErr w:type="gramEnd"/>
            <w:r w:rsidRPr="005762E6">
              <w:rPr>
                <w:sz w:val="20"/>
                <w:szCs w:val="20"/>
              </w:rPr>
              <w:t xml:space="preserve"> all rights reserved)</w:t>
            </w:r>
          </w:p>
        </w:tc>
      </w:tr>
      <w:tr w:rsidR="00B44564" w:rsidRPr="005762E6" w14:paraId="200D9329"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3FF137B" w14:textId="77777777" w:rsidR="00B44564" w:rsidRPr="005762E6" w:rsidRDefault="00B44564" w:rsidP="00EA69AA">
            <w:pPr>
              <w:spacing w:after="120" w:line="240" w:lineRule="auto"/>
              <w:contextualSpacing/>
              <w:rPr>
                <w:sz w:val="20"/>
                <w:szCs w:val="20"/>
              </w:rPr>
            </w:pPr>
            <w:r w:rsidRPr="005762E6">
              <w:rPr>
                <w:sz w:val="20"/>
                <w:szCs w:val="20"/>
              </w:rPr>
              <w:lastRenderedPageBreak/>
              <w:t>796</w:t>
            </w:r>
          </w:p>
        </w:tc>
        <w:tc>
          <w:tcPr>
            <w:tcW w:w="0" w:type="auto"/>
            <w:tcBorders>
              <w:top w:val="single" w:sz="6" w:space="0" w:color="auto"/>
              <w:left w:val="single" w:sz="6" w:space="0" w:color="auto"/>
              <w:bottom w:val="single" w:sz="6" w:space="0" w:color="auto"/>
              <w:right w:val="single" w:sz="6" w:space="0" w:color="auto"/>
            </w:tcBorders>
          </w:tcPr>
          <w:p w14:paraId="4B9B4567"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EC25397" w14:textId="2B1ABBC9" w:rsidR="00B44564" w:rsidRPr="005762E6" w:rsidRDefault="00B44564" w:rsidP="00EA69AA">
            <w:pPr>
              <w:spacing w:after="120" w:line="240" w:lineRule="auto"/>
              <w:contextualSpacing/>
              <w:rPr>
                <w:sz w:val="20"/>
                <w:szCs w:val="20"/>
              </w:rPr>
            </w:pPr>
            <w:r w:rsidRPr="005762E6">
              <w:rPr>
                <w:sz w:val="20"/>
                <w:szCs w:val="20"/>
              </w:rPr>
              <w:t xml:space="preserve">Olivia A </w:t>
            </w:r>
            <w:proofErr w:type="gramStart"/>
            <w:r w:rsidRPr="005762E6">
              <w:rPr>
                <w:sz w:val="20"/>
                <w:szCs w:val="20"/>
              </w:rPr>
              <w:t>Wackowski,​</w:t>
            </w:r>
            <w:proofErr w:type="gramEnd"/>
            <w:r w:rsidRPr="005762E6">
              <w:rPr>
                <w:sz w:val="20"/>
                <w:szCs w:val="20"/>
              </w:rPr>
              <w:t xml:space="preserve"> Cristine D Delnevo,​ Jennifer L Pearson Switching to E-cigarettes in the event of a menthol cigarette ban</w:t>
            </w:r>
            <w:r w:rsidR="007F2F01">
              <w:rPr>
                <w:sz w:val="20"/>
                <w:szCs w:val="20"/>
              </w:rPr>
              <w:t>.</w:t>
            </w:r>
            <w:r w:rsidRPr="005762E6">
              <w:rPr>
                <w:sz w:val="20"/>
                <w:szCs w:val="20"/>
              </w:rPr>
              <w:t xml:space="preserve"> Nicotine &amp; Tobacco Research; </w:t>
            </w:r>
            <w:proofErr w:type="gramStart"/>
            <w:r w:rsidRPr="005762E6">
              <w:rPr>
                <w:sz w:val="20"/>
                <w:szCs w:val="20"/>
              </w:rPr>
              <w:t>2015;17:1286</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*Public Health,​*Smoking Cessation,​*Tobacco Smoking,​Drug Therapy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The letter discusses about the issues of switching to e-cigarettes in the event of a menthol cigarette ban. Three recent nationally representative survey studies have asked smokers what they might do if menthol cigarettes were </w:t>
            </w:r>
            <w:proofErr w:type="gramStart"/>
            <w:r w:rsidRPr="005762E6">
              <w:rPr>
                <w:sz w:val="20"/>
                <w:szCs w:val="20"/>
              </w:rPr>
              <w:t>banned,​</w:t>
            </w:r>
            <w:proofErr w:type="gramEnd"/>
            <w:r w:rsidRPr="005762E6">
              <w:rPr>
                <w:sz w:val="20"/>
                <w:szCs w:val="20"/>
              </w:rPr>
              <w:t xml:space="preserve"> an action under consideration by the Food and Drug Administration. As with all these </w:t>
            </w:r>
            <w:proofErr w:type="gramStart"/>
            <w:r w:rsidRPr="005762E6">
              <w:rPr>
                <w:sz w:val="20"/>
                <w:szCs w:val="20"/>
              </w:rPr>
              <w:t>studies,​</w:t>
            </w:r>
            <w:proofErr w:type="gramEnd"/>
            <w:r w:rsidRPr="005762E6">
              <w:rPr>
                <w:sz w:val="20"/>
                <w:szCs w:val="20"/>
              </w:rPr>
              <w:t xml:space="preserve"> it is not known to what extent smokers' responses might correlate with their actual behavior if menthol cigarettes were banned. </w:t>
            </w:r>
            <w:proofErr w:type="gramStart"/>
            <w:r w:rsidRPr="005762E6">
              <w:rPr>
                <w:sz w:val="20"/>
                <w:szCs w:val="20"/>
              </w:rPr>
              <w:t>However,​</w:t>
            </w:r>
            <w:proofErr w:type="gramEnd"/>
            <w:r w:rsidRPr="005762E6">
              <w:rPr>
                <w:sz w:val="20"/>
                <w:szCs w:val="20"/>
              </w:rPr>
              <w:t xml:space="preserve"> if even a small percentage of menthol smokers were to truly quit,​ numerous lives could potentially be saved. </w:t>
            </w:r>
            <w:proofErr w:type="gramStart"/>
            <w:r w:rsidRPr="005762E6">
              <w:rPr>
                <w:sz w:val="20"/>
                <w:szCs w:val="20"/>
              </w:rPr>
              <w:t>Overall,​</w:t>
            </w:r>
            <w:proofErr w:type="gramEnd"/>
            <w:r w:rsidRPr="005762E6">
              <w:rPr>
                <w:sz w:val="20"/>
                <w:szCs w:val="20"/>
              </w:rPr>
              <w:t xml:space="preserve"> in today's evolved tobacco environment,​ we continue to believe that regulation of menthol cigarettes could provide significant public health gains. (PsycINFO Database Record (c) 2016 </w:t>
            </w:r>
            <w:proofErr w:type="gramStart"/>
            <w:r w:rsidRPr="005762E6">
              <w:rPr>
                <w:sz w:val="20"/>
                <w:szCs w:val="20"/>
              </w:rPr>
              <w:t>APA,​</w:t>
            </w:r>
            <w:proofErr w:type="gramEnd"/>
            <w:r w:rsidRPr="005762E6">
              <w:rPr>
                <w:sz w:val="20"/>
                <w:szCs w:val="20"/>
              </w:rPr>
              <w:t xml:space="preserve"> all rights reserved)</w:t>
            </w:r>
          </w:p>
        </w:tc>
      </w:tr>
      <w:tr w:rsidR="00B44564" w:rsidRPr="005762E6" w14:paraId="00E0B970"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3D3546D" w14:textId="77777777" w:rsidR="00B44564" w:rsidRPr="005762E6" w:rsidRDefault="00B44564" w:rsidP="00EA69AA">
            <w:pPr>
              <w:spacing w:after="120" w:line="240" w:lineRule="auto"/>
              <w:contextualSpacing/>
              <w:rPr>
                <w:sz w:val="20"/>
                <w:szCs w:val="20"/>
              </w:rPr>
            </w:pPr>
            <w:r w:rsidRPr="005762E6">
              <w:rPr>
                <w:sz w:val="20"/>
                <w:szCs w:val="20"/>
              </w:rPr>
              <w:t>799</w:t>
            </w:r>
          </w:p>
        </w:tc>
        <w:tc>
          <w:tcPr>
            <w:tcW w:w="0" w:type="auto"/>
            <w:tcBorders>
              <w:top w:val="single" w:sz="6" w:space="0" w:color="auto"/>
              <w:left w:val="single" w:sz="6" w:space="0" w:color="auto"/>
              <w:bottom w:val="single" w:sz="6" w:space="0" w:color="auto"/>
              <w:right w:val="single" w:sz="6" w:space="0" w:color="auto"/>
            </w:tcBorders>
          </w:tcPr>
          <w:p w14:paraId="1D5AACD8"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AA5ACBE" w14:textId="3BA2E802" w:rsidR="00B44564" w:rsidRPr="005762E6" w:rsidRDefault="00B44564" w:rsidP="00EA69AA">
            <w:pPr>
              <w:spacing w:after="120" w:line="240" w:lineRule="auto"/>
              <w:contextualSpacing/>
              <w:rPr>
                <w:sz w:val="20"/>
                <w:szCs w:val="20"/>
              </w:rPr>
            </w:pPr>
            <w:r w:rsidRPr="005762E6">
              <w:rPr>
                <w:sz w:val="20"/>
                <w:szCs w:val="20"/>
              </w:rPr>
              <w:t xml:space="preserve">Cristine D </w:t>
            </w:r>
            <w:proofErr w:type="gramStart"/>
            <w:r w:rsidRPr="005762E6">
              <w:rPr>
                <w:sz w:val="20"/>
                <w:szCs w:val="20"/>
              </w:rPr>
              <w:t>Delnevo,​</w:t>
            </w:r>
            <w:proofErr w:type="gramEnd"/>
            <w:r w:rsidRPr="005762E6">
              <w:rPr>
                <w:sz w:val="20"/>
                <w:szCs w:val="20"/>
              </w:rPr>
              <w:t xml:space="preserve"> Andrea C Villanti,​ Gary A Giovino Trends in menthol and non-menthol cigarette consumption in the USA: 2000-2011</w:t>
            </w:r>
            <w:r w:rsidR="007F2F01">
              <w:rPr>
                <w:sz w:val="20"/>
                <w:szCs w:val="20"/>
              </w:rPr>
              <w:t>.</w:t>
            </w:r>
            <w:r w:rsidRPr="005762E6">
              <w:rPr>
                <w:sz w:val="20"/>
                <w:szCs w:val="20"/>
              </w:rPr>
              <w:t xml:space="preserve"> Tobacco Control: An International Journal; 2014;</w:t>
            </w:r>
            <w:proofErr w:type="gramStart"/>
            <w:r w:rsidRPr="005762E6">
              <w:rPr>
                <w:sz w:val="20"/>
                <w:szCs w:val="20"/>
              </w:rPr>
              <w:t>23:e</w:t>
            </w:r>
            <w:proofErr w:type="gramEnd"/>
            <w:r w:rsidRPr="005762E6">
              <w:rPr>
                <w:sz w:val="20"/>
                <w:szCs w:val="20"/>
              </w:rPr>
              <w:t>154.</w:t>
            </w:r>
            <w:r w:rsidRPr="005762E6">
              <w:rPr>
                <w:sz w:val="20"/>
                <w:szCs w:val="20"/>
              </w:rPr>
              <w:br/>
            </w:r>
            <w:r w:rsidRPr="005762E6">
              <w:rPr>
                <w:sz w:val="20"/>
                <w:szCs w:val="20"/>
              </w:rPr>
              <w:br/>
            </w:r>
            <w:r w:rsidRPr="005762E6">
              <w:rPr>
                <w:b/>
                <w:bCs/>
                <w:sz w:val="20"/>
                <w:szCs w:val="20"/>
              </w:rPr>
              <w:t>Keywords:</w:t>
            </w:r>
            <w:r w:rsidRPr="005762E6">
              <w:rPr>
                <w:sz w:val="20"/>
                <w:szCs w:val="20"/>
              </w:rPr>
              <w:br/>
              <w:t>*Tobacco Smoking,​*Trends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This letter presents trends in menthol and non-menthol cigarette consumption in the United States between the year 2000 and 2011. Data show an increased menthol market share in the </w:t>
            </w:r>
            <w:proofErr w:type="gramStart"/>
            <w:r w:rsidRPr="005762E6">
              <w:rPr>
                <w:sz w:val="20"/>
                <w:szCs w:val="20"/>
              </w:rPr>
              <w:t>USA,​</w:t>
            </w:r>
            <w:proofErr w:type="gramEnd"/>
            <w:r w:rsidRPr="005762E6">
              <w:rPr>
                <w:sz w:val="20"/>
                <w:szCs w:val="20"/>
              </w:rPr>
              <w:t xml:space="preserve"> despite declining cigarette consumption over the past decade. </w:t>
            </w:r>
            <w:proofErr w:type="gramStart"/>
            <w:r w:rsidRPr="005762E6">
              <w:rPr>
                <w:sz w:val="20"/>
                <w:szCs w:val="20"/>
              </w:rPr>
              <w:t>Moreover,​</w:t>
            </w:r>
            <w:proofErr w:type="gramEnd"/>
            <w:r w:rsidRPr="005762E6">
              <w:rPr>
                <w:sz w:val="20"/>
                <w:szCs w:val="20"/>
              </w:rPr>
              <w:t xml:space="preserve"> the decline in cigarette consumption is overwhelmingly attributed to decreases in non-menthol cigarette use. While these ecological data cannot tell us who is smoking menthol </w:t>
            </w:r>
            <w:proofErr w:type="gramStart"/>
            <w:r w:rsidRPr="005762E6">
              <w:rPr>
                <w:sz w:val="20"/>
                <w:szCs w:val="20"/>
              </w:rPr>
              <w:t>cigarettes,​</w:t>
            </w:r>
            <w:proofErr w:type="gramEnd"/>
            <w:r w:rsidRPr="005762E6">
              <w:rPr>
                <w:sz w:val="20"/>
                <w:szCs w:val="20"/>
              </w:rPr>
              <w:t xml:space="preserve"> the trend is consistent with population data showing stable or increased menthol cigarette use in youth,​ young adults and adults concurrent with significant decreases in non-menthol cigarette use. (PsycINFO Database Record (c) 2017 </w:t>
            </w:r>
            <w:proofErr w:type="gramStart"/>
            <w:r w:rsidRPr="005762E6">
              <w:rPr>
                <w:sz w:val="20"/>
                <w:szCs w:val="20"/>
              </w:rPr>
              <w:t>APA,​</w:t>
            </w:r>
            <w:proofErr w:type="gramEnd"/>
            <w:r w:rsidRPr="005762E6">
              <w:rPr>
                <w:sz w:val="20"/>
                <w:szCs w:val="20"/>
              </w:rPr>
              <w:t xml:space="preserve"> all rights reserved)</w:t>
            </w:r>
          </w:p>
        </w:tc>
      </w:tr>
      <w:tr w:rsidR="00B44564" w:rsidRPr="005762E6" w14:paraId="673F4CE0"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836AAF2" w14:textId="77777777" w:rsidR="00B44564" w:rsidRPr="005762E6" w:rsidRDefault="00B44564" w:rsidP="00EA69AA">
            <w:pPr>
              <w:spacing w:after="120" w:line="240" w:lineRule="auto"/>
              <w:contextualSpacing/>
              <w:rPr>
                <w:sz w:val="20"/>
                <w:szCs w:val="20"/>
              </w:rPr>
            </w:pPr>
            <w:r w:rsidRPr="005762E6">
              <w:rPr>
                <w:sz w:val="20"/>
                <w:szCs w:val="20"/>
              </w:rPr>
              <w:t>801</w:t>
            </w:r>
          </w:p>
        </w:tc>
        <w:tc>
          <w:tcPr>
            <w:tcW w:w="0" w:type="auto"/>
            <w:tcBorders>
              <w:top w:val="single" w:sz="6" w:space="0" w:color="auto"/>
              <w:left w:val="single" w:sz="6" w:space="0" w:color="auto"/>
              <w:bottom w:val="single" w:sz="6" w:space="0" w:color="auto"/>
              <w:right w:val="single" w:sz="6" w:space="0" w:color="auto"/>
            </w:tcBorders>
          </w:tcPr>
          <w:p w14:paraId="7448D4A9"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9135F64" w14:textId="73AB7455" w:rsidR="00B44564" w:rsidRPr="005762E6" w:rsidRDefault="00B44564" w:rsidP="00EA69AA">
            <w:pPr>
              <w:spacing w:after="120" w:line="240" w:lineRule="auto"/>
              <w:contextualSpacing/>
              <w:rPr>
                <w:sz w:val="20"/>
                <w:szCs w:val="20"/>
              </w:rPr>
            </w:pPr>
            <w:proofErr w:type="gramStart"/>
            <w:r w:rsidRPr="005762E6">
              <w:rPr>
                <w:sz w:val="20"/>
                <w:szCs w:val="20"/>
              </w:rPr>
              <w:t>Man</w:t>
            </w:r>
            <w:proofErr w:type="gramEnd"/>
            <w:r w:rsidRPr="005762E6">
              <w:rPr>
                <w:sz w:val="20"/>
                <w:szCs w:val="20"/>
              </w:rPr>
              <w:t xml:space="preserve"> Ki Ho Impact of CYP2A6 genetic variation on nicotine metabolism and smoking behaviours in light smoking populations of Black-African descent</w:t>
            </w:r>
            <w:r w:rsidR="007F2F01">
              <w:rPr>
                <w:sz w:val="20"/>
                <w:szCs w:val="20"/>
              </w:rPr>
              <w:t>.</w:t>
            </w:r>
            <w:r w:rsidRPr="005762E6">
              <w:rPr>
                <w:sz w:val="20"/>
                <w:szCs w:val="20"/>
              </w:rPr>
              <w:t xml:space="preserve"> Dissertation Abstracts International: Section B: The Sciences and Engineering; 2014;</w:t>
            </w:r>
            <w:proofErr w:type="gramStart"/>
            <w:r w:rsidRPr="005762E6">
              <w:rPr>
                <w:sz w:val="20"/>
                <w:szCs w:val="20"/>
              </w:rPr>
              <w:t>74:No.</w:t>
            </w:r>
            <w:proofErr w:type="gramEnd"/>
            <w:r w:rsidRPr="005762E6">
              <w:rPr>
                <w:sz w:val="20"/>
                <w:szCs w:val="20"/>
              </w:rPr>
              <w:br/>
            </w:r>
            <w:r w:rsidRPr="005762E6">
              <w:rPr>
                <w:sz w:val="20"/>
                <w:szCs w:val="20"/>
              </w:rPr>
              <w:lastRenderedPageBreak/>
              <w:br/>
            </w:r>
            <w:r w:rsidRPr="005762E6">
              <w:rPr>
                <w:b/>
                <w:bCs/>
                <w:sz w:val="20"/>
                <w:szCs w:val="20"/>
              </w:rPr>
              <w:t>Keywords:</w:t>
            </w:r>
            <w:r w:rsidRPr="005762E6">
              <w:rPr>
                <w:sz w:val="20"/>
                <w:szCs w:val="20"/>
              </w:rPr>
              <w:br/>
              <w:t>*Blacks,​*Nicotine,​Genetics,​Metabolism,​Polymorphism,​Tobacco Smoking</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Populations of Black-African descent have slower rates of nicotine and cotinine metabolism,​ smoke fewer cigarettes (~10 cigarettes/day),​ and have higher incidences of tobacco-related illnesses compared to Caucasians. Cytochrome P450 2A6 (CYP2A6) is the main enzyme involved in the metabolism of nicotine and its proximal metabolite </w:t>
            </w:r>
            <w:proofErr w:type="gramStart"/>
            <w:r w:rsidRPr="005762E6">
              <w:rPr>
                <w:sz w:val="20"/>
                <w:szCs w:val="20"/>
              </w:rPr>
              <w:t>cotinine,​</w:t>
            </w:r>
            <w:proofErr w:type="gramEnd"/>
            <w:r w:rsidRPr="005762E6">
              <w:rPr>
                <w:sz w:val="20"/>
                <w:szCs w:val="20"/>
              </w:rPr>
              <w:t xml:space="preserve"> as well as tobacco-specific nitrosamines. Genetic polymorphisms in CYP2A6 contribute to the large variability observed in rates of nicotine metabolism. Reduced CYP2A6 activity has been associated with fewer cigarettes </w:t>
            </w:r>
            <w:proofErr w:type="gramStart"/>
            <w:r w:rsidRPr="005762E6">
              <w:rPr>
                <w:sz w:val="20"/>
                <w:szCs w:val="20"/>
              </w:rPr>
              <w:t>smoked,​</w:t>
            </w:r>
            <w:proofErr w:type="gramEnd"/>
            <w:r w:rsidRPr="005762E6">
              <w:rPr>
                <w:sz w:val="20"/>
                <w:szCs w:val="20"/>
              </w:rPr>
              <w:t xml:space="preserve"> higher quit rates,​ and lower lung cancer risk in predominantly moderate to heavy-smoking (~20-30 cigarettes/day) Caucasians. CYP2A6 genetic variants and their impact on smoking behaviours have not been well studied among individuals of Black-African descent. The main objectives herein were to identify and characterize new CYP2A6 variants that may explain the slower rates of </w:t>
            </w:r>
            <w:proofErr w:type="gramStart"/>
            <w:r w:rsidRPr="005762E6">
              <w:rPr>
                <w:sz w:val="20"/>
                <w:szCs w:val="20"/>
              </w:rPr>
              <w:t>metabolism,​</w:t>
            </w:r>
            <w:proofErr w:type="gramEnd"/>
            <w:r w:rsidRPr="005762E6">
              <w:rPr>
                <w:sz w:val="20"/>
                <w:szCs w:val="20"/>
              </w:rPr>
              <w:t xml:space="preserve"> and determine whether CYP2A6 variation is a predictor of smoking phenotypes in this population. </w:t>
            </w:r>
            <w:proofErr w:type="gramStart"/>
            <w:r w:rsidRPr="005762E6">
              <w:rPr>
                <w:sz w:val="20"/>
                <w:szCs w:val="20"/>
              </w:rPr>
              <w:t>Furthermore,​</w:t>
            </w:r>
            <w:proofErr w:type="gramEnd"/>
            <w:r w:rsidRPr="005762E6">
              <w:rPr>
                <w:sz w:val="20"/>
                <w:szCs w:val="20"/>
              </w:rPr>
              <w:t xml:space="preserve"> we examined whether previously validated biomarkers of tobacco exposure have limitations among individuals of Black-African descent given their low and sporadic smoking patterns. A new CYP2A6 variant (CYP2A6*23) was found in individuals of Black-African descent recruited for a nicotine pharmacogenetic-pharmacokinetic study. CYP2A6*23 reduced activity towards nicotine and coumarin in vitro and was associated with slower rates of CYP2A6 kinetics in vivo. In a clinical trial of African-American light </w:t>
            </w:r>
            <w:proofErr w:type="gramStart"/>
            <w:r w:rsidRPr="005762E6">
              <w:rPr>
                <w:sz w:val="20"/>
                <w:szCs w:val="20"/>
              </w:rPr>
              <w:t>smokers,​</w:t>
            </w:r>
            <w:proofErr w:type="gramEnd"/>
            <w:r w:rsidRPr="005762E6">
              <w:rPr>
                <w:sz w:val="20"/>
                <w:szCs w:val="20"/>
              </w:rPr>
              <w:t xml:space="preserve"> CYP2A6 slow metabolizers were more successful at smoking cessation compared to normal metabolizers,​ although no differences in cigarette consumption were found. Two common biochemical markers of tobacco smoke </w:t>
            </w:r>
            <w:proofErr w:type="gramStart"/>
            <w:r w:rsidRPr="005762E6">
              <w:rPr>
                <w:sz w:val="20"/>
                <w:szCs w:val="20"/>
              </w:rPr>
              <w:t>exposure,​</w:t>
            </w:r>
            <w:proofErr w:type="gramEnd"/>
            <w:r w:rsidRPr="005762E6">
              <w:rPr>
                <w:sz w:val="20"/>
                <w:szCs w:val="20"/>
              </w:rPr>
              <w:t xml:space="preserve"> cotinine and exhaled carbon monoxide,​ were weakly correlated with self-reported cigarette consumption. These biomarkers were not substantially affected by variables previously shown to alter amount smoked and/or rates of cotinine metabolism such as </w:t>
            </w:r>
            <w:proofErr w:type="gramStart"/>
            <w:r w:rsidRPr="005762E6">
              <w:rPr>
                <w:sz w:val="20"/>
                <w:szCs w:val="20"/>
              </w:rPr>
              <w:t>gender,​</w:t>
            </w:r>
            <w:proofErr w:type="gramEnd"/>
            <w:r w:rsidRPr="005762E6">
              <w:rPr>
                <w:sz w:val="20"/>
                <w:szCs w:val="20"/>
              </w:rPr>
              <w:t xml:space="preserve"> age,​ body mass index or smoking menthol cigarettes. </w:t>
            </w:r>
            <w:proofErr w:type="gramStart"/>
            <w:r w:rsidRPr="005762E6">
              <w:rPr>
                <w:sz w:val="20"/>
                <w:szCs w:val="20"/>
              </w:rPr>
              <w:t>However,​</w:t>
            </w:r>
            <w:proofErr w:type="gramEnd"/>
            <w:r w:rsidRPr="005762E6">
              <w:rPr>
                <w:sz w:val="20"/>
                <w:szCs w:val="20"/>
              </w:rPr>
              <w:t xml:space="preserve"> CYP2A6 slow metabolizers had significantly higher cotinine without smoking more cigarettes. Identification and characterization of novel variants adds to our understanding of nicotine pharmacokinetic differences between racial/ethnic minority groups and improves accuracy of CYP2A6 genotype groupings for genetic association studies. </w:t>
            </w:r>
            <w:proofErr w:type="gramStart"/>
            <w:r w:rsidRPr="005762E6">
              <w:rPr>
                <w:sz w:val="20"/>
                <w:szCs w:val="20"/>
              </w:rPr>
              <w:t>Furthermore,​</w:t>
            </w:r>
            <w:proofErr w:type="gramEnd"/>
            <w:r w:rsidRPr="005762E6">
              <w:rPr>
                <w:sz w:val="20"/>
                <w:szCs w:val="20"/>
              </w:rPr>
              <w:t xml:space="preserve"> better insight into the biological factors associated with smoking behaviours will aid in the development of more efficacious targeted treatments for this understudied population. (PsycINFO Database Record (c) 2016 </w:t>
            </w:r>
            <w:proofErr w:type="gramStart"/>
            <w:r w:rsidRPr="005762E6">
              <w:rPr>
                <w:sz w:val="20"/>
                <w:szCs w:val="20"/>
              </w:rPr>
              <w:t>APA,​</w:t>
            </w:r>
            <w:proofErr w:type="gramEnd"/>
            <w:r w:rsidRPr="005762E6">
              <w:rPr>
                <w:sz w:val="20"/>
                <w:szCs w:val="20"/>
              </w:rPr>
              <w:t xml:space="preserve"> all rights reserved)</w:t>
            </w:r>
          </w:p>
        </w:tc>
      </w:tr>
      <w:tr w:rsidR="00B44564" w:rsidRPr="005762E6" w14:paraId="6BC2864A"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2752D82" w14:textId="77777777" w:rsidR="00B44564" w:rsidRPr="005762E6" w:rsidRDefault="00B44564" w:rsidP="00EA69AA">
            <w:pPr>
              <w:spacing w:after="120" w:line="240" w:lineRule="auto"/>
              <w:contextualSpacing/>
              <w:rPr>
                <w:sz w:val="20"/>
                <w:szCs w:val="20"/>
              </w:rPr>
            </w:pPr>
            <w:r w:rsidRPr="005762E6">
              <w:rPr>
                <w:sz w:val="20"/>
                <w:szCs w:val="20"/>
              </w:rPr>
              <w:lastRenderedPageBreak/>
              <w:t>803</w:t>
            </w:r>
          </w:p>
        </w:tc>
        <w:tc>
          <w:tcPr>
            <w:tcW w:w="0" w:type="auto"/>
            <w:tcBorders>
              <w:top w:val="single" w:sz="6" w:space="0" w:color="auto"/>
              <w:left w:val="single" w:sz="6" w:space="0" w:color="auto"/>
              <w:bottom w:val="single" w:sz="6" w:space="0" w:color="auto"/>
              <w:right w:val="single" w:sz="6" w:space="0" w:color="auto"/>
            </w:tcBorders>
          </w:tcPr>
          <w:p w14:paraId="645F7891"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DA13030" w14:textId="139AD864" w:rsidR="00B44564" w:rsidRPr="005762E6" w:rsidRDefault="00B44564" w:rsidP="00EA69AA">
            <w:pPr>
              <w:spacing w:after="120" w:line="240" w:lineRule="auto"/>
              <w:contextualSpacing/>
              <w:rPr>
                <w:sz w:val="20"/>
                <w:szCs w:val="20"/>
              </w:rPr>
            </w:pPr>
            <w:r w:rsidRPr="005762E6">
              <w:rPr>
                <w:sz w:val="20"/>
                <w:szCs w:val="20"/>
              </w:rPr>
              <w:t xml:space="preserve">Sayone </w:t>
            </w:r>
            <w:proofErr w:type="gramStart"/>
            <w:r w:rsidRPr="005762E6">
              <w:rPr>
                <w:sz w:val="20"/>
                <w:szCs w:val="20"/>
              </w:rPr>
              <w:t>Thihalolipavan,​</w:t>
            </w:r>
            <w:proofErr w:type="gramEnd"/>
            <w:r w:rsidRPr="005762E6">
              <w:rPr>
                <w:sz w:val="20"/>
                <w:szCs w:val="20"/>
              </w:rPr>
              <w:t xml:space="preserve"> Molly Jung,​ John Jasek,​ Shadi Chamany Menthol smokers in large-scale nicotine replacement therapy program</w:t>
            </w:r>
            <w:r w:rsidR="007F2F01">
              <w:rPr>
                <w:sz w:val="20"/>
                <w:szCs w:val="20"/>
              </w:rPr>
              <w:t>.</w:t>
            </w:r>
            <w:r w:rsidRPr="005762E6">
              <w:rPr>
                <w:sz w:val="20"/>
                <w:szCs w:val="20"/>
              </w:rPr>
              <w:t xml:space="preserve"> American Journal of Public Health; 2014;</w:t>
            </w:r>
            <w:proofErr w:type="gramStart"/>
            <w:r w:rsidRPr="005762E6">
              <w:rPr>
                <w:sz w:val="20"/>
                <w:szCs w:val="20"/>
              </w:rPr>
              <w:t>104:e</w:t>
            </w:r>
            <w:proofErr w:type="gramEnd"/>
            <w:r w:rsidRPr="005762E6">
              <w:rPr>
                <w:sz w:val="20"/>
                <w:szCs w:val="20"/>
              </w:rPr>
              <w:t>3.</w:t>
            </w:r>
            <w:r w:rsidRPr="005762E6">
              <w:rPr>
                <w:sz w:val="20"/>
                <w:szCs w:val="20"/>
              </w:rPr>
              <w:br/>
            </w:r>
            <w:r w:rsidRPr="005762E6">
              <w:rPr>
                <w:sz w:val="20"/>
                <w:szCs w:val="20"/>
              </w:rPr>
              <w:br/>
            </w:r>
            <w:r w:rsidRPr="005762E6">
              <w:rPr>
                <w:b/>
                <w:bCs/>
                <w:sz w:val="20"/>
                <w:szCs w:val="20"/>
              </w:rPr>
              <w:t>Keywords:</w:t>
            </w:r>
            <w:r w:rsidRPr="005762E6">
              <w:rPr>
                <w:sz w:val="20"/>
                <w:szCs w:val="20"/>
              </w:rPr>
              <w:br/>
              <w:t>*Drug Therapy,​*Nicotine,​*Program Evaluation,​*Smoking Cessation,​*Tobacco Smoking,​Blacks,​Health Disparities,​Latinos/Latinas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Comments on an article,​ The debate on regulating menthol cigarettes: Closing a dangerous loophole vs removing freedom of choice by A. Cheyne et al. (2014). Cheyne et al. conducted a content analysis on the public debate surrounding a menthol-flavored cigarette ban. The current authors agree that health inequity should be a central and consistent component of the menthol discussion and want to extend the discussion to additional vulnerable populations. Data from New York City (NYC) 2012 large-</w:t>
            </w:r>
            <w:proofErr w:type="gramStart"/>
            <w:r w:rsidRPr="005762E6">
              <w:rPr>
                <w:sz w:val="20"/>
                <w:szCs w:val="20"/>
              </w:rPr>
              <w:t>scale,​</w:t>
            </w:r>
            <w:proofErr w:type="gramEnd"/>
            <w:r w:rsidRPr="005762E6">
              <w:rPr>
                <w:sz w:val="20"/>
                <w:szCs w:val="20"/>
              </w:rPr>
              <w:t xml:space="preserve"> time-limited nicotine replacement therapy giveaway,​ the Nicotine Patch and Gum Program (NPGP),​ demonstrate higher menthol use among Blacks and lower quit rates among menthol smokers,​ consistent with epidemiological studies; additionally,​ the authors found other populations that are likely to smoke menthols and should be considered at risk for menthol use. Among the </w:t>
            </w:r>
            <w:proofErr w:type="gramStart"/>
            <w:r w:rsidRPr="005762E6">
              <w:rPr>
                <w:sz w:val="20"/>
                <w:szCs w:val="20"/>
              </w:rPr>
              <w:t>13,​</w:t>
            </w:r>
            <w:proofErr w:type="gramEnd"/>
            <w:r w:rsidRPr="005762E6">
              <w:rPr>
                <w:sz w:val="20"/>
                <w:szCs w:val="20"/>
              </w:rPr>
              <w:t xml:space="preserve">901 enrollees with short-term follow-up data,​ any nicotine replacement therapy use was higher and quit rate was lower among menthol users. No significant interaction between nicotine replacement therapy and menthol use on quit status was found. The findings corroborate very high menthol use among Blacks. Therefore in the continued absence of a menthol </w:t>
            </w:r>
            <w:proofErr w:type="gramStart"/>
            <w:r w:rsidRPr="005762E6">
              <w:rPr>
                <w:sz w:val="20"/>
                <w:szCs w:val="20"/>
              </w:rPr>
              <w:t>ban,​</w:t>
            </w:r>
            <w:proofErr w:type="gramEnd"/>
            <w:r w:rsidRPr="005762E6">
              <w:rPr>
                <w:sz w:val="20"/>
                <w:szCs w:val="20"/>
              </w:rPr>
              <w:t xml:space="preserve"> groups like Blacks and Hispanics that report high menthol use may be disproportionately affected by having more difficulty achieving cessation. (PsycINFO Database Record (c) 2016 </w:t>
            </w:r>
            <w:proofErr w:type="gramStart"/>
            <w:r w:rsidRPr="005762E6">
              <w:rPr>
                <w:sz w:val="20"/>
                <w:szCs w:val="20"/>
              </w:rPr>
              <w:t>APA,​</w:t>
            </w:r>
            <w:proofErr w:type="gramEnd"/>
            <w:r w:rsidRPr="005762E6">
              <w:rPr>
                <w:sz w:val="20"/>
                <w:szCs w:val="20"/>
              </w:rPr>
              <w:t xml:space="preserve"> all rights reserved)</w:t>
            </w:r>
          </w:p>
        </w:tc>
      </w:tr>
      <w:tr w:rsidR="00B44564" w:rsidRPr="005762E6" w14:paraId="4AB699CC"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0A6B175" w14:textId="77777777" w:rsidR="00B44564" w:rsidRPr="005762E6" w:rsidRDefault="00B44564" w:rsidP="00EA69AA">
            <w:pPr>
              <w:spacing w:after="120" w:line="240" w:lineRule="auto"/>
              <w:contextualSpacing/>
              <w:rPr>
                <w:sz w:val="20"/>
                <w:szCs w:val="20"/>
              </w:rPr>
            </w:pPr>
            <w:r w:rsidRPr="005762E6">
              <w:rPr>
                <w:sz w:val="20"/>
                <w:szCs w:val="20"/>
              </w:rPr>
              <w:lastRenderedPageBreak/>
              <w:t>806</w:t>
            </w:r>
          </w:p>
        </w:tc>
        <w:tc>
          <w:tcPr>
            <w:tcW w:w="0" w:type="auto"/>
            <w:tcBorders>
              <w:top w:val="single" w:sz="6" w:space="0" w:color="auto"/>
              <w:left w:val="single" w:sz="6" w:space="0" w:color="auto"/>
              <w:bottom w:val="single" w:sz="6" w:space="0" w:color="auto"/>
              <w:right w:val="single" w:sz="6" w:space="0" w:color="auto"/>
            </w:tcBorders>
          </w:tcPr>
          <w:p w14:paraId="35F290A0"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5A309AA" w14:textId="366C4361" w:rsidR="00B44564" w:rsidRPr="005762E6" w:rsidRDefault="00B44564" w:rsidP="00EA69AA">
            <w:pPr>
              <w:spacing w:after="120" w:line="240" w:lineRule="auto"/>
              <w:contextualSpacing/>
              <w:rPr>
                <w:sz w:val="20"/>
                <w:szCs w:val="20"/>
              </w:rPr>
            </w:pPr>
            <w:r w:rsidRPr="005762E6">
              <w:rPr>
                <w:sz w:val="20"/>
                <w:szCs w:val="20"/>
              </w:rPr>
              <w:t xml:space="preserve">Matthew I </w:t>
            </w:r>
            <w:proofErr w:type="gramStart"/>
            <w:r w:rsidRPr="005762E6">
              <w:rPr>
                <w:sz w:val="20"/>
                <w:szCs w:val="20"/>
              </w:rPr>
              <w:t>Palmatier,​</w:t>
            </w:r>
            <w:proofErr w:type="gramEnd"/>
            <w:r w:rsidRPr="005762E6">
              <w:rPr>
                <w:sz w:val="20"/>
                <w:szCs w:val="20"/>
              </w:rPr>
              <w:t xml:space="preserve"> Jaden E Lantz,​ Laura C O'Brien,​ Sarah P Metz Effects of nicotine on olfactogustatory incentives: Preference,​ palatability,​ and operant choice tests</w:t>
            </w:r>
            <w:r w:rsidR="007F2F01">
              <w:rPr>
                <w:sz w:val="20"/>
                <w:szCs w:val="20"/>
              </w:rPr>
              <w:t>.</w:t>
            </w:r>
            <w:r w:rsidRPr="005762E6">
              <w:rPr>
                <w:sz w:val="20"/>
                <w:szCs w:val="20"/>
              </w:rPr>
              <w:t xml:space="preserve"> Nicotine &amp; Tobacco Research; </w:t>
            </w:r>
            <w:proofErr w:type="gramStart"/>
            <w:r w:rsidRPr="005762E6">
              <w:rPr>
                <w:sz w:val="20"/>
                <w:szCs w:val="20"/>
              </w:rPr>
              <w:t>2013;15:1545</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*Food Additives,​*Nicotine,​*Olfactory Perception,​*Pharmacology,​*Tobacco Smoking,​Incentives,​Preferences,​Taste Perception</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The use of additives in tobacco may capitalize on the incentive motivational properties of tastes and scents such as mint (menthol),​ vanilla,​ and strawberry. These incentives are intended to increase tobacco </w:t>
            </w:r>
            <w:proofErr w:type="gramStart"/>
            <w:r w:rsidRPr="005762E6">
              <w:rPr>
                <w:sz w:val="20"/>
                <w:szCs w:val="20"/>
              </w:rPr>
              <w:t>experimentation,​</w:t>
            </w:r>
            <w:proofErr w:type="gramEnd"/>
            <w:r w:rsidRPr="005762E6">
              <w:rPr>
                <w:sz w:val="20"/>
                <w:szCs w:val="20"/>
              </w:rPr>
              <w:t xml:space="preserve"> but their salience may also be enhanced by the incentive amplifying effects of nicotine (NIC). The goal of the present studies was to investigate the potential interaction between the incentive amplifying effects of NIC and gustatory incentives. Methods: One of two discriminable tastes (grape or cherry Kool-Aid; 0.05% wt/vol; unsweetened) was paired with sucrose (20% wt/vol; conditioned stimulus [CS+]) in deionized </w:t>
            </w:r>
            <w:proofErr w:type="gramStart"/>
            <w:r w:rsidRPr="005762E6">
              <w:rPr>
                <w:sz w:val="20"/>
                <w:szCs w:val="20"/>
              </w:rPr>
              <w:t>water,​</w:t>
            </w:r>
            <w:proofErr w:type="gramEnd"/>
            <w:r w:rsidRPr="005762E6">
              <w:rPr>
                <w:sz w:val="20"/>
                <w:szCs w:val="20"/>
              </w:rPr>
              <w:t xml:space="preserve"> whereas the other taste (CS-) was presented in deionized water. Experiment 1 investigated the effects of NIC pretreatment on preference for the CS+ versus CS- in 2-bottle choice tests. Experiment 2 investigated the effects of NIC on palatability of the CS+ and CS- using orofacial taste reactions. Experiment 3 investigated the effects of NIC on reinforcement by the CS+ and CS- using a concurrent choice operant task. Results: NIC pretreatment robustly increased operant responding for the CS+ but did not alter responding for the CS- in the operant choice task (Experiment 3). </w:t>
            </w:r>
            <w:proofErr w:type="gramStart"/>
            <w:r w:rsidRPr="005762E6">
              <w:rPr>
                <w:sz w:val="20"/>
                <w:szCs w:val="20"/>
              </w:rPr>
              <w:t>However,​</w:t>
            </w:r>
            <w:proofErr w:type="gramEnd"/>
            <w:r w:rsidRPr="005762E6">
              <w:rPr>
                <w:sz w:val="20"/>
                <w:szCs w:val="20"/>
              </w:rPr>
              <w:t xml:space="preserve"> NIC pretreatment did not alter intake or palatability of the CS+ or CS- (Experiments 1 and 2). Conclusions: NIC increases the reinforcing effects of gustatory incentive </w:t>
            </w:r>
            <w:proofErr w:type="gramStart"/>
            <w:r w:rsidRPr="005762E6">
              <w:rPr>
                <w:sz w:val="20"/>
                <w:szCs w:val="20"/>
              </w:rPr>
              <w:t>stimuli,​</w:t>
            </w:r>
            <w:proofErr w:type="gramEnd"/>
            <w:r w:rsidRPr="005762E6">
              <w:rPr>
                <w:sz w:val="20"/>
                <w:szCs w:val="20"/>
              </w:rPr>
              <w:t xml:space="preserve"> even though these stimuli were not paired with NIC administration. The findings suggest that adding taste incentives to tobacco products may increase the attractiveness of these products to consumers and the probability of repeated use. (PsycINFO Database Record (c) 2017 </w:t>
            </w:r>
            <w:proofErr w:type="gramStart"/>
            <w:r w:rsidRPr="005762E6">
              <w:rPr>
                <w:sz w:val="20"/>
                <w:szCs w:val="20"/>
              </w:rPr>
              <w:t>APA,​</w:t>
            </w:r>
            <w:proofErr w:type="gramEnd"/>
            <w:r w:rsidRPr="005762E6">
              <w:rPr>
                <w:sz w:val="20"/>
                <w:szCs w:val="20"/>
              </w:rPr>
              <w:t xml:space="preserve"> all rights reserved)</w:t>
            </w:r>
          </w:p>
        </w:tc>
      </w:tr>
      <w:tr w:rsidR="00B44564" w:rsidRPr="005762E6" w14:paraId="3879E883"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A36F52F" w14:textId="77777777" w:rsidR="00B44564" w:rsidRPr="005762E6" w:rsidRDefault="00B44564" w:rsidP="00EA69AA">
            <w:pPr>
              <w:spacing w:after="120" w:line="240" w:lineRule="auto"/>
              <w:contextualSpacing/>
              <w:rPr>
                <w:sz w:val="20"/>
                <w:szCs w:val="20"/>
              </w:rPr>
            </w:pPr>
            <w:r w:rsidRPr="005762E6">
              <w:rPr>
                <w:sz w:val="20"/>
                <w:szCs w:val="20"/>
              </w:rPr>
              <w:t>808</w:t>
            </w:r>
          </w:p>
        </w:tc>
        <w:tc>
          <w:tcPr>
            <w:tcW w:w="0" w:type="auto"/>
            <w:tcBorders>
              <w:top w:val="single" w:sz="6" w:space="0" w:color="auto"/>
              <w:left w:val="single" w:sz="6" w:space="0" w:color="auto"/>
              <w:bottom w:val="single" w:sz="6" w:space="0" w:color="auto"/>
              <w:right w:val="single" w:sz="6" w:space="0" w:color="auto"/>
            </w:tcBorders>
          </w:tcPr>
          <w:p w14:paraId="0968F042"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9D5C1D6" w14:textId="7261ABEA" w:rsidR="00B44564" w:rsidRPr="005762E6" w:rsidRDefault="00B44564" w:rsidP="00EA69AA">
            <w:pPr>
              <w:spacing w:after="120" w:line="240" w:lineRule="auto"/>
              <w:contextualSpacing/>
              <w:rPr>
                <w:sz w:val="20"/>
                <w:szCs w:val="20"/>
              </w:rPr>
            </w:pPr>
            <w:r w:rsidRPr="005762E6">
              <w:rPr>
                <w:sz w:val="20"/>
                <w:szCs w:val="20"/>
              </w:rPr>
              <w:t xml:space="preserve">Brian Rostron </w:t>
            </w:r>
            <w:proofErr w:type="gramStart"/>
            <w:r w:rsidRPr="005762E6">
              <w:rPr>
                <w:sz w:val="20"/>
                <w:szCs w:val="20"/>
              </w:rPr>
              <w:t>Methodology,​</w:t>
            </w:r>
            <w:proofErr w:type="gramEnd"/>
            <w:r w:rsidRPr="005762E6">
              <w:rPr>
                <w:sz w:val="20"/>
                <w:szCs w:val="20"/>
              </w:rPr>
              <w:t xml:space="preserve"> menthol,​ and mortality</w:t>
            </w:r>
            <w:r w:rsidR="007F2F01">
              <w:rPr>
                <w:sz w:val="20"/>
                <w:szCs w:val="20"/>
              </w:rPr>
              <w:t>.</w:t>
            </w:r>
            <w:r w:rsidRPr="005762E6">
              <w:rPr>
                <w:sz w:val="20"/>
                <w:szCs w:val="20"/>
              </w:rPr>
              <w:t xml:space="preserve"> Nicotine &amp; Tobacco Research; </w:t>
            </w:r>
            <w:proofErr w:type="gramStart"/>
            <w:r w:rsidRPr="005762E6">
              <w:rPr>
                <w:sz w:val="20"/>
                <w:szCs w:val="20"/>
              </w:rPr>
              <w:t>2013;15:619</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*Lung Disorders,​*Neoplasms,​*Risk Factors,​*Tobacco Smoking,​Mortality Rate</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Reply by the current author to the comments made by Andrea C. Villanti et al. (see record 2013-09891-043) on the original article (see record 2012-26461-002). Villanti et al. stated that previous </w:t>
            </w:r>
            <w:proofErr w:type="gramStart"/>
            <w:r w:rsidRPr="005762E6">
              <w:rPr>
                <w:sz w:val="20"/>
                <w:szCs w:val="20"/>
              </w:rPr>
              <w:t>studies,​</w:t>
            </w:r>
            <w:proofErr w:type="gramEnd"/>
            <w:r w:rsidRPr="005762E6">
              <w:rPr>
                <w:sz w:val="20"/>
                <w:szCs w:val="20"/>
              </w:rPr>
              <w:t xml:space="preserve"> did not find difference in lung cancer risk for menthol and non-menthol smokers. Villanti et al. stated that this is the first article to find a protective effect of menthol smoking on lung cancer </w:t>
            </w:r>
            <w:proofErr w:type="gramStart"/>
            <w:r w:rsidRPr="005762E6">
              <w:rPr>
                <w:sz w:val="20"/>
                <w:szCs w:val="20"/>
              </w:rPr>
              <w:t>mortality,​</w:t>
            </w:r>
            <w:proofErr w:type="gramEnd"/>
            <w:r w:rsidRPr="005762E6">
              <w:rPr>
                <w:sz w:val="20"/>
                <w:szCs w:val="20"/>
              </w:rPr>
              <w:t xml:space="preserve"> which raises concerns that require replication. Villanti et al. suggested that competing risks such as circulatory causes could account for the lower lung cancer mortality risk observed in the study. Villanti et al. also stated that the study argued that one possible reason for a reduced lung cancer mortality risk among menthol smokers may be that they have greater smoking cessation compared with nonmenthol smokers and noted that menthol cigarette usage was only reported at baseline. Villanti et al. also expressed concerns about the difficulty of accurately identifying the effects of race and menthol cigarette use on lung cancer risk and other issues such as the assessment of the public health impact of menthol cigarettes. (PsycINFO Database Record (c) 2016 </w:t>
            </w:r>
            <w:proofErr w:type="gramStart"/>
            <w:r w:rsidRPr="005762E6">
              <w:rPr>
                <w:sz w:val="20"/>
                <w:szCs w:val="20"/>
              </w:rPr>
              <w:t>APA,​</w:t>
            </w:r>
            <w:proofErr w:type="gramEnd"/>
            <w:r w:rsidRPr="005762E6">
              <w:rPr>
                <w:sz w:val="20"/>
                <w:szCs w:val="20"/>
              </w:rPr>
              <w:t xml:space="preserve"> all rights reserved)</w:t>
            </w:r>
          </w:p>
        </w:tc>
      </w:tr>
      <w:tr w:rsidR="00B44564" w:rsidRPr="005762E6" w14:paraId="15A1316A"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7D9C527" w14:textId="77777777" w:rsidR="00B44564" w:rsidRPr="005762E6" w:rsidRDefault="00B44564" w:rsidP="00EA69AA">
            <w:pPr>
              <w:spacing w:after="120" w:line="240" w:lineRule="auto"/>
              <w:contextualSpacing/>
              <w:rPr>
                <w:sz w:val="20"/>
                <w:szCs w:val="20"/>
              </w:rPr>
            </w:pPr>
            <w:r w:rsidRPr="005762E6">
              <w:rPr>
                <w:sz w:val="20"/>
                <w:szCs w:val="20"/>
              </w:rPr>
              <w:t>809</w:t>
            </w:r>
          </w:p>
        </w:tc>
        <w:tc>
          <w:tcPr>
            <w:tcW w:w="0" w:type="auto"/>
            <w:tcBorders>
              <w:top w:val="single" w:sz="6" w:space="0" w:color="auto"/>
              <w:left w:val="single" w:sz="6" w:space="0" w:color="auto"/>
              <w:bottom w:val="single" w:sz="6" w:space="0" w:color="auto"/>
              <w:right w:val="single" w:sz="6" w:space="0" w:color="auto"/>
            </w:tcBorders>
          </w:tcPr>
          <w:p w14:paraId="386D41A9"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27CB7BA" w14:textId="280D1B62" w:rsidR="00B44564" w:rsidRPr="005762E6" w:rsidRDefault="00B44564" w:rsidP="00EA69AA">
            <w:pPr>
              <w:spacing w:after="120" w:line="240" w:lineRule="auto"/>
              <w:contextualSpacing/>
              <w:rPr>
                <w:sz w:val="20"/>
                <w:szCs w:val="20"/>
              </w:rPr>
            </w:pPr>
            <w:r w:rsidRPr="005762E6">
              <w:rPr>
                <w:sz w:val="20"/>
                <w:szCs w:val="20"/>
              </w:rPr>
              <w:t xml:space="preserve">Andrea C </w:t>
            </w:r>
            <w:proofErr w:type="gramStart"/>
            <w:r w:rsidRPr="005762E6">
              <w:rPr>
                <w:sz w:val="20"/>
                <w:szCs w:val="20"/>
              </w:rPr>
              <w:t>Villanti,​</w:t>
            </w:r>
            <w:proofErr w:type="gramEnd"/>
            <w:r w:rsidRPr="005762E6">
              <w:rPr>
                <w:sz w:val="20"/>
                <w:szCs w:val="20"/>
              </w:rPr>
              <w:t xml:space="preserve"> Gary A Giovino,​ David M Burns,​ David B Abrams Menthol cigarettes and mortality: Keeping focus on the public health standard</w:t>
            </w:r>
            <w:r w:rsidR="007F2F01">
              <w:rPr>
                <w:sz w:val="20"/>
                <w:szCs w:val="20"/>
              </w:rPr>
              <w:t>.</w:t>
            </w:r>
            <w:r w:rsidRPr="005762E6">
              <w:rPr>
                <w:sz w:val="20"/>
                <w:szCs w:val="20"/>
              </w:rPr>
              <w:t xml:space="preserve"> Nicotine &amp; Tobacco Research; </w:t>
            </w:r>
            <w:proofErr w:type="gramStart"/>
            <w:r w:rsidRPr="005762E6">
              <w:rPr>
                <w:sz w:val="20"/>
                <w:szCs w:val="20"/>
              </w:rPr>
              <w:t>2013;15:617</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*Lung Disorders,​*Neoplasms,​*Risk Factors,​*Tobacco Smoking,​Mortality Rate</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Comments on an article by B. Rostron (see record 2012-26461-002). Rostron reported lower lung cancer mortality risk among menthol smokers compared with nonmenthol smokers at ages 50 and above. Rostron measured cigarette usage at baseline </w:t>
            </w:r>
            <w:proofErr w:type="gramStart"/>
            <w:r w:rsidRPr="005762E6">
              <w:rPr>
                <w:sz w:val="20"/>
                <w:szCs w:val="20"/>
              </w:rPr>
              <w:t>only,​</w:t>
            </w:r>
            <w:proofErr w:type="gramEnd"/>
            <w:r w:rsidRPr="005762E6">
              <w:rPr>
                <w:sz w:val="20"/>
                <w:szCs w:val="20"/>
              </w:rPr>
              <w:t xml:space="preserve"> and cumulative exposure to cigarette smoking,​ but not specific brands,​ was assessed at that time. The overall results of the Rostron study indicated that there is no difference in all-cause mortality or in lung cancer mortality among menthol compared with nonmenthol </w:t>
            </w:r>
            <w:r w:rsidRPr="005762E6">
              <w:rPr>
                <w:sz w:val="20"/>
                <w:szCs w:val="20"/>
              </w:rPr>
              <w:lastRenderedPageBreak/>
              <w:t xml:space="preserve">smokers when all ages are </w:t>
            </w:r>
            <w:proofErr w:type="gramStart"/>
            <w:r w:rsidRPr="005762E6">
              <w:rPr>
                <w:sz w:val="20"/>
                <w:szCs w:val="20"/>
              </w:rPr>
              <w:t>considered,​</w:t>
            </w:r>
            <w:proofErr w:type="gramEnd"/>
            <w:r w:rsidRPr="005762E6">
              <w:rPr>
                <w:sz w:val="20"/>
                <w:szCs w:val="20"/>
              </w:rPr>
              <w:t xml:space="preserve"> consistent with other studies. Rostron argued that one possible reason for a reduced lung cancer mortality risk among menthol smokers may be that they have greater smoking cessation compared with nonmenthol smokers. Rostron studied the health effects of menthol compared with nonmenthol cigarette exposure among individual users are only one line of evidence in the context of the public health mandate of considering the population level harms versus benefits of banning menthol in cigarettes. (PsycINFO Database Record (c) 2016 </w:t>
            </w:r>
            <w:proofErr w:type="gramStart"/>
            <w:r w:rsidRPr="005762E6">
              <w:rPr>
                <w:sz w:val="20"/>
                <w:szCs w:val="20"/>
              </w:rPr>
              <w:t>APA,​</w:t>
            </w:r>
            <w:proofErr w:type="gramEnd"/>
            <w:r w:rsidRPr="005762E6">
              <w:rPr>
                <w:sz w:val="20"/>
                <w:szCs w:val="20"/>
              </w:rPr>
              <w:t xml:space="preserve"> all rights reserved)</w:t>
            </w:r>
          </w:p>
        </w:tc>
      </w:tr>
      <w:tr w:rsidR="00B44564" w:rsidRPr="005762E6" w14:paraId="3584B0A9"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3F176FD" w14:textId="77777777" w:rsidR="00B44564" w:rsidRPr="005762E6" w:rsidRDefault="00B44564" w:rsidP="00EA69AA">
            <w:pPr>
              <w:spacing w:after="120" w:line="240" w:lineRule="auto"/>
              <w:contextualSpacing/>
              <w:rPr>
                <w:sz w:val="20"/>
                <w:szCs w:val="20"/>
              </w:rPr>
            </w:pPr>
            <w:r w:rsidRPr="005762E6">
              <w:rPr>
                <w:sz w:val="20"/>
                <w:szCs w:val="20"/>
              </w:rPr>
              <w:lastRenderedPageBreak/>
              <w:t>810</w:t>
            </w:r>
          </w:p>
        </w:tc>
        <w:tc>
          <w:tcPr>
            <w:tcW w:w="0" w:type="auto"/>
            <w:tcBorders>
              <w:top w:val="single" w:sz="6" w:space="0" w:color="auto"/>
              <w:left w:val="single" w:sz="6" w:space="0" w:color="auto"/>
              <w:bottom w:val="single" w:sz="6" w:space="0" w:color="auto"/>
              <w:right w:val="single" w:sz="6" w:space="0" w:color="auto"/>
            </w:tcBorders>
          </w:tcPr>
          <w:p w14:paraId="416EACB0"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DE3C18A" w14:textId="77777777" w:rsidR="00B44564" w:rsidRPr="005762E6" w:rsidRDefault="00B44564" w:rsidP="00EA69AA">
            <w:pPr>
              <w:spacing w:after="120" w:line="240" w:lineRule="auto"/>
              <w:contextualSpacing/>
              <w:rPr>
                <w:sz w:val="20"/>
                <w:szCs w:val="20"/>
              </w:rPr>
            </w:pPr>
            <w:r w:rsidRPr="005762E6">
              <w:rPr>
                <w:sz w:val="20"/>
                <w:szCs w:val="20"/>
              </w:rPr>
              <w:t xml:space="preserve">Lawrence Carter Commentary on nonnemaker et al. (2013): Banning menthol cigarettes-Is it time to conduct the experiment?. Addiction; </w:t>
            </w:r>
            <w:proofErr w:type="gramStart"/>
            <w:r w:rsidRPr="005762E6">
              <w:rPr>
                <w:sz w:val="20"/>
                <w:szCs w:val="20"/>
              </w:rPr>
              <w:t>2013;108:179</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*At Risk Populations,​*Drug Dependency,​*Nicotine,​*Tobacco Smoking</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Comments on an article by James Nonnemaker et al. (see record 2012-35058-027). The study by Nonnemaker et al. is important because it aims to answer a question with direct relevance to public health policy whether menthol cigarettes contribute to greater rates of nicotine dependence. The answer appears to be 'yes'. The findings by Nonnemaker et al. are consistent with the 2011 report of the Food and Drug Administration (FDA) Tobacco Products Scientific Advisory Committee (TPSAC</w:t>
            </w:r>
            <w:proofErr w:type="gramStart"/>
            <w:r w:rsidRPr="005762E6">
              <w:rPr>
                <w:sz w:val="20"/>
                <w:szCs w:val="20"/>
              </w:rPr>
              <w:t>),​</w:t>
            </w:r>
            <w:proofErr w:type="gramEnd"/>
            <w:r w:rsidRPr="005762E6">
              <w:rPr>
                <w:sz w:val="20"/>
                <w:szCs w:val="20"/>
              </w:rPr>
              <w:t xml:space="preserve"> which concluded that there was sufficient evidence that menthol makes cigarette smoking more addictive. Of particular relevance for new </w:t>
            </w:r>
            <w:proofErr w:type="gramStart"/>
            <w:r w:rsidRPr="005762E6">
              <w:rPr>
                <w:sz w:val="20"/>
                <w:szCs w:val="20"/>
              </w:rPr>
              <w:t>smokers,​</w:t>
            </w:r>
            <w:proofErr w:type="gramEnd"/>
            <w:r w:rsidRPr="005762E6">
              <w:rPr>
                <w:sz w:val="20"/>
                <w:szCs w:val="20"/>
              </w:rPr>
              <w:t xml:space="preserve"> menthol tends to make cigarette smoke less irritating by virtue of its cooling and anesthetic effects. Their paper is also impactful because it appears to have filled a meaningful gap in the scientific literature. </w:t>
            </w:r>
            <w:proofErr w:type="gramStart"/>
            <w:r w:rsidRPr="005762E6">
              <w:rPr>
                <w:sz w:val="20"/>
                <w:szCs w:val="20"/>
              </w:rPr>
              <w:t>Currently,​</w:t>
            </w:r>
            <w:proofErr w:type="gramEnd"/>
            <w:r w:rsidRPr="005762E6">
              <w:rPr>
                <w:sz w:val="20"/>
                <w:szCs w:val="20"/>
              </w:rPr>
              <w:t xml:space="preserve"> no published studies report data on this issue or any other transition. The paper by Nonnemaker et al. describes such an </w:t>
            </w:r>
            <w:proofErr w:type="gramStart"/>
            <w:r w:rsidRPr="005762E6">
              <w:rPr>
                <w:sz w:val="20"/>
                <w:szCs w:val="20"/>
              </w:rPr>
              <w:t>assessment,​</w:t>
            </w:r>
            <w:proofErr w:type="gramEnd"/>
            <w:r w:rsidRPr="005762E6">
              <w:rPr>
                <w:sz w:val="20"/>
                <w:szCs w:val="20"/>
              </w:rPr>
              <w:t xml:space="preserve"> and concludes that initiating smoking with menthol cigarettes increases the risk of becoming an established smoker. In light of the apparent increased risk associated with menthol </w:t>
            </w:r>
            <w:proofErr w:type="gramStart"/>
            <w:r w:rsidRPr="005762E6">
              <w:rPr>
                <w:sz w:val="20"/>
                <w:szCs w:val="20"/>
              </w:rPr>
              <w:t>cigarettes,​</w:t>
            </w:r>
            <w:proofErr w:type="gramEnd"/>
            <w:r w:rsidRPr="005762E6">
              <w:rPr>
                <w:sz w:val="20"/>
                <w:szCs w:val="20"/>
              </w:rPr>
              <w:t xml:space="preserve"> one might ask whether manufacturers should be prohibited from adding menthol to cigarettes. (PsycINFO Database Record (c) 2016 </w:t>
            </w:r>
            <w:proofErr w:type="gramStart"/>
            <w:r w:rsidRPr="005762E6">
              <w:rPr>
                <w:sz w:val="20"/>
                <w:szCs w:val="20"/>
              </w:rPr>
              <w:t>APA,​</w:t>
            </w:r>
            <w:proofErr w:type="gramEnd"/>
            <w:r w:rsidRPr="005762E6">
              <w:rPr>
                <w:sz w:val="20"/>
                <w:szCs w:val="20"/>
              </w:rPr>
              <w:t xml:space="preserve"> all rights reserved)</w:t>
            </w:r>
          </w:p>
        </w:tc>
      </w:tr>
      <w:tr w:rsidR="00B44564" w:rsidRPr="005762E6" w14:paraId="2DA26A8C"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E7A21F4" w14:textId="77777777" w:rsidR="00B44564" w:rsidRPr="005762E6" w:rsidRDefault="00B44564" w:rsidP="00EA69AA">
            <w:pPr>
              <w:spacing w:after="120" w:line="240" w:lineRule="auto"/>
              <w:contextualSpacing/>
              <w:rPr>
                <w:sz w:val="20"/>
                <w:szCs w:val="20"/>
              </w:rPr>
            </w:pPr>
            <w:r w:rsidRPr="005762E6">
              <w:rPr>
                <w:sz w:val="20"/>
                <w:szCs w:val="20"/>
              </w:rPr>
              <w:t>811</w:t>
            </w:r>
          </w:p>
        </w:tc>
        <w:tc>
          <w:tcPr>
            <w:tcW w:w="0" w:type="auto"/>
            <w:tcBorders>
              <w:top w:val="single" w:sz="6" w:space="0" w:color="auto"/>
              <w:left w:val="single" w:sz="6" w:space="0" w:color="auto"/>
              <w:bottom w:val="single" w:sz="6" w:space="0" w:color="auto"/>
              <w:right w:val="single" w:sz="6" w:space="0" w:color="auto"/>
            </w:tcBorders>
          </w:tcPr>
          <w:p w14:paraId="6E757052"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A62DC19" w14:textId="4A9D278A" w:rsidR="00B44564" w:rsidRPr="005762E6" w:rsidRDefault="00B44564" w:rsidP="00EA69AA">
            <w:pPr>
              <w:spacing w:after="120" w:line="240" w:lineRule="auto"/>
              <w:contextualSpacing/>
              <w:rPr>
                <w:sz w:val="20"/>
                <w:szCs w:val="20"/>
              </w:rPr>
            </w:pPr>
            <w:r w:rsidRPr="005762E6">
              <w:rPr>
                <w:sz w:val="20"/>
                <w:szCs w:val="20"/>
              </w:rPr>
              <w:t>Jennifer Lynn Pearson Public reaction to potential food and drug administration actions under the Family Smoking Prevention and Tobacco Control Act: Regulating e-</w:t>
            </w:r>
            <w:proofErr w:type="gramStart"/>
            <w:r w:rsidRPr="005762E6">
              <w:rPr>
                <w:sz w:val="20"/>
                <w:szCs w:val="20"/>
              </w:rPr>
              <w:t>cigarettes,​</w:t>
            </w:r>
            <w:proofErr w:type="gramEnd"/>
            <w:r w:rsidRPr="005762E6">
              <w:rPr>
                <w:sz w:val="20"/>
                <w:szCs w:val="20"/>
              </w:rPr>
              <w:t xml:space="preserve"> banning menthol,​ and reducing cigarette nicotine content</w:t>
            </w:r>
            <w:r w:rsidR="007F2F01">
              <w:rPr>
                <w:sz w:val="20"/>
                <w:szCs w:val="20"/>
              </w:rPr>
              <w:t>.</w:t>
            </w:r>
            <w:r w:rsidRPr="005762E6">
              <w:rPr>
                <w:sz w:val="20"/>
                <w:szCs w:val="20"/>
              </w:rPr>
              <w:t xml:space="preserve"> Dissertation Abstracts International: Section B: The Sciences and Engineering; </w:t>
            </w:r>
            <w:proofErr w:type="gramStart"/>
            <w:r w:rsidRPr="005762E6">
              <w:rPr>
                <w:sz w:val="20"/>
                <w:szCs w:val="20"/>
              </w:rPr>
              <w:t>2012;73:2156</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*Drug Therapy,​*Food,​*Public Opinion,​*Smoking Cessation,​*Tobacco Smoking,​Surveys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Objective: To examine public opinion and potential reactions to new powers to regulate tobacco products conferred to the United States Food and Drug Administration by the 2009 Family Smoking Prevention and Tobacco Control Act (FSPTCA). Research methods: Analyses used unweighted and weighted survey data to obtain demographic and point estimates for indicators of interest. For manuscript </w:t>
            </w:r>
            <w:proofErr w:type="gramStart"/>
            <w:r w:rsidRPr="005762E6">
              <w:rPr>
                <w:sz w:val="20"/>
                <w:szCs w:val="20"/>
              </w:rPr>
              <w:t>one,​</w:t>
            </w:r>
            <w:proofErr w:type="gramEnd"/>
            <w:r w:rsidRPr="005762E6">
              <w:rPr>
                <w:sz w:val="20"/>
                <w:szCs w:val="20"/>
              </w:rPr>
              <w:t xml:space="preserve"> multivariable models were used to examine awareness,​ use,​ and harm perceptions related to e-cigarettes. In the second </w:t>
            </w:r>
            <w:proofErr w:type="gramStart"/>
            <w:r w:rsidRPr="005762E6">
              <w:rPr>
                <w:sz w:val="20"/>
                <w:szCs w:val="20"/>
              </w:rPr>
              <w:t>manuscript,​</w:t>
            </w:r>
            <w:proofErr w:type="gramEnd"/>
            <w:r w:rsidRPr="005762E6">
              <w:rPr>
                <w:sz w:val="20"/>
                <w:szCs w:val="20"/>
              </w:rPr>
              <w:t xml:space="preserve"> ordinal logistic regression was used to obtain predictors of support for a menthol ban. </w:t>
            </w:r>
            <w:proofErr w:type="gramStart"/>
            <w:r w:rsidRPr="005762E6">
              <w:rPr>
                <w:sz w:val="20"/>
                <w:szCs w:val="20"/>
              </w:rPr>
              <w:t>Additionally,​</w:t>
            </w:r>
            <w:proofErr w:type="gramEnd"/>
            <w:r w:rsidRPr="005762E6">
              <w:rPr>
                <w:sz w:val="20"/>
                <w:szCs w:val="20"/>
              </w:rPr>
              <w:t xml:space="preserve"> logistic regression was used to understand how menthol smokers might react to a menthol ban. In the third </w:t>
            </w:r>
            <w:proofErr w:type="gramStart"/>
            <w:r w:rsidRPr="005762E6">
              <w:rPr>
                <w:sz w:val="20"/>
                <w:szCs w:val="20"/>
              </w:rPr>
              <w:t>manuscript,​</w:t>
            </w:r>
            <w:proofErr w:type="gramEnd"/>
            <w:r w:rsidRPr="005762E6">
              <w:rPr>
                <w:sz w:val="20"/>
                <w:szCs w:val="20"/>
              </w:rPr>
              <w:t xml:space="preserve"> multinomial logistic regression was used to understand predictors of support for a mandated reduction of nicotine levels in cigarettes. Results: In manuscript one (e-cigarettes</w:t>
            </w:r>
            <w:proofErr w:type="gramStart"/>
            <w:r w:rsidRPr="005762E6">
              <w:rPr>
                <w:sz w:val="20"/>
                <w:szCs w:val="20"/>
              </w:rPr>
              <w:t>),​</w:t>
            </w:r>
            <w:proofErr w:type="gramEnd"/>
            <w:r w:rsidRPr="005762E6">
              <w:rPr>
                <w:sz w:val="20"/>
                <w:szCs w:val="20"/>
              </w:rPr>
              <w:t xml:space="preserve"> 40.2% (95% CI: 37.3,​ 43.1) of Americans had heard of e-cigarettes in the online survey,​ with awareness highest among current smokers. Utilization was also higher among current smokers (11.4%; 95% CI: </w:t>
            </w:r>
            <w:proofErr w:type="gramStart"/>
            <w:r w:rsidRPr="005762E6">
              <w:rPr>
                <w:sz w:val="20"/>
                <w:szCs w:val="20"/>
              </w:rPr>
              <w:t>9.3,​</w:t>
            </w:r>
            <w:proofErr w:type="gramEnd"/>
            <w:r w:rsidRPr="005762E6">
              <w:rPr>
                <w:sz w:val="20"/>
                <w:szCs w:val="20"/>
              </w:rPr>
              <w:t xml:space="preserve"> 14.0) than in the overall population (3.4%; 95% CI: 2.6,​ 4.2),​ but 2.0% (95% CI: 1.0,​ 3.8) of former smokers had also used e-cigarettes. Non-Hispanic </w:t>
            </w:r>
            <w:proofErr w:type="gramStart"/>
            <w:r w:rsidRPr="005762E6">
              <w:rPr>
                <w:sz w:val="20"/>
                <w:szCs w:val="20"/>
              </w:rPr>
              <w:t>whites,​</w:t>
            </w:r>
            <w:proofErr w:type="gramEnd"/>
            <w:r w:rsidRPr="005762E6">
              <w:rPr>
                <w:sz w:val="20"/>
                <w:szCs w:val="20"/>
              </w:rPr>
              <w:t xml:space="preserve"> current smokers,​ young adults and those with at least a high school diploma were most likely to perceive e-cigarettes as less harmful than cigarettes. In manuscript two (menthol ban</w:t>
            </w:r>
            <w:proofErr w:type="gramStart"/>
            <w:r w:rsidRPr="005762E6">
              <w:rPr>
                <w:sz w:val="20"/>
                <w:szCs w:val="20"/>
              </w:rPr>
              <w:t>),​</w:t>
            </w:r>
            <w:proofErr w:type="gramEnd"/>
            <w:r w:rsidRPr="005762E6">
              <w:rPr>
                <w:sz w:val="20"/>
                <w:szCs w:val="20"/>
              </w:rPr>
              <w:t xml:space="preserve"> about 70% of American adults do not oppose a ban,​ with 20.0% (95% CI: 18.0,​ 22.3) agreeing with a menthol ban,​ 51.9% neither agreeing nor disagreeing (38.9%; 95% CI: 36.3,​ 41.4) or without an opinion (13.0%; 95% CI: 11.4,​ 14.8),​ and 28.2% (95% CI: 25.9,​ 30.5) opposing a ban. Support was highest among Hispanics (36.4%; 95% CI: </w:t>
            </w:r>
            <w:proofErr w:type="gramStart"/>
            <w:r w:rsidRPr="005762E6">
              <w:rPr>
                <w:sz w:val="20"/>
                <w:szCs w:val="20"/>
              </w:rPr>
              <w:t>27.1,​</w:t>
            </w:r>
            <w:proofErr w:type="gramEnd"/>
            <w:r w:rsidRPr="005762E6">
              <w:rPr>
                <w:sz w:val="20"/>
                <w:szCs w:val="20"/>
              </w:rPr>
              <w:t xml:space="preserve"> 46.9),​ African Americans (29.0%; 95% CI: 19.9,​ 40.1),​ never-smokers (26.8%; 95% CI: 22.5,​ 31.7),​ and those with less than a high school diploma (28.8%; 95% CI: 20.5,​ 38.8). The greatest proportion (38.9%; 95% </w:t>
            </w:r>
            <w:r w:rsidRPr="005762E6">
              <w:rPr>
                <w:sz w:val="20"/>
                <w:szCs w:val="20"/>
              </w:rPr>
              <w:lastRenderedPageBreak/>
              <w:t xml:space="preserve">CI: </w:t>
            </w:r>
            <w:proofErr w:type="gramStart"/>
            <w:r w:rsidRPr="005762E6">
              <w:rPr>
                <w:sz w:val="20"/>
                <w:szCs w:val="20"/>
              </w:rPr>
              <w:t>33.0,​</w:t>
            </w:r>
            <w:proofErr w:type="gramEnd"/>
            <w:r w:rsidRPr="005762E6">
              <w:rPr>
                <w:sz w:val="20"/>
                <w:szCs w:val="20"/>
              </w:rPr>
              <w:t xml:space="preserve"> 45.2) of menthol smokers said that they would quit smoking altogether if menthol cigarettes were no longer available,​ while 12.5% (95% CI: 8.7,​ 17.7) would switch to a non-menthol brand and 25.2% (95% CI: 20.0,​ 31.3) would both switch and try to quit. In manuscript three (nicotine reduction</w:t>
            </w:r>
            <w:proofErr w:type="gramStart"/>
            <w:r w:rsidRPr="005762E6">
              <w:rPr>
                <w:sz w:val="20"/>
                <w:szCs w:val="20"/>
              </w:rPr>
              <w:t>),​</w:t>
            </w:r>
            <w:proofErr w:type="gramEnd"/>
            <w:r w:rsidRPr="005762E6">
              <w:rPr>
                <w:sz w:val="20"/>
                <w:szCs w:val="20"/>
              </w:rPr>
              <w:t xml:space="preserve"> there is broad public support for mandated nicotine reduction in cigarettes across many subpopulations. Among all </w:t>
            </w:r>
            <w:proofErr w:type="gramStart"/>
            <w:r w:rsidRPr="005762E6">
              <w:rPr>
                <w:sz w:val="20"/>
                <w:szCs w:val="20"/>
              </w:rPr>
              <w:t>respondents,​</w:t>
            </w:r>
            <w:proofErr w:type="gramEnd"/>
            <w:r w:rsidRPr="005762E6">
              <w:rPr>
                <w:sz w:val="20"/>
                <w:szCs w:val="20"/>
              </w:rPr>
              <w:t xml:space="preserve"> 84.5% do not object to reducing nicotine in cigarettes: 46.7% (95% CI: 43.6,​ 49.7) agreed that the FDA should mandate nicotine reduction; 27.8% (95% CI: 24.2,​ 29.5) neither agreed nor disagreed or stated they did not know; and only 16.5% (95% CI: 14.4,​ 18.6) disagreed. Hispanics (61.2%; 95% CI: </w:t>
            </w:r>
            <w:proofErr w:type="gramStart"/>
            <w:r w:rsidRPr="005762E6">
              <w:rPr>
                <w:sz w:val="20"/>
                <w:szCs w:val="20"/>
              </w:rPr>
              <w:t>52.3,​</w:t>
            </w:r>
            <w:proofErr w:type="gramEnd"/>
            <w:r w:rsidRPr="005762E6">
              <w:rPr>
                <w:sz w:val="20"/>
                <w:szCs w:val="20"/>
              </w:rPr>
              <w:t xml:space="preserve"> 70.0),​ African Americans (52.0%; 95% CI: 41.9,​ 62.2) and those with less than a high school education (62.1%; 95% CI: 54.3,​ 69.8) were especially supportive of nicotine reduction. Smokers intending to quit were 2.8 times (95% CI: </w:t>
            </w:r>
            <w:proofErr w:type="gramStart"/>
            <w:r w:rsidRPr="005762E6">
              <w:rPr>
                <w:sz w:val="20"/>
                <w:szCs w:val="20"/>
              </w:rPr>
              <w:t>1.8,​</w:t>
            </w:r>
            <w:proofErr w:type="gramEnd"/>
            <w:r w:rsidRPr="005762E6">
              <w:rPr>
                <w:sz w:val="20"/>
                <w:szCs w:val="20"/>
              </w:rPr>
              <w:t xml:space="preserve"> 4.3) more likely to support mandated nicotine reduction than smokers not intending to quit. Conclusions: FDA regulation of e-cigarettes is </w:t>
            </w:r>
            <w:proofErr w:type="gramStart"/>
            <w:r w:rsidRPr="005762E6">
              <w:rPr>
                <w:sz w:val="20"/>
                <w:szCs w:val="20"/>
              </w:rPr>
              <w:t>warranted,​</w:t>
            </w:r>
            <w:proofErr w:type="gramEnd"/>
            <w:r w:rsidRPr="005762E6">
              <w:rPr>
                <w:sz w:val="20"/>
                <w:szCs w:val="20"/>
              </w:rPr>
              <w:t xml:space="preserve"> and a ban on menthol in cigarettes as well as mandated nicotine reduction is generally supported by the majority of the public. Information on the public's </w:t>
            </w:r>
            <w:proofErr w:type="gramStart"/>
            <w:r w:rsidRPr="005762E6">
              <w:rPr>
                <w:sz w:val="20"/>
                <w:szCs w:val="20"/>
              </w:rPr>
              <w:t>attitudes,​</w:t>
            </w:r>
            <w:proofErr w:type="gramEnd"/>
            <w:r w:rsidRPr="005762E6">
              <w:rPr>
                <w:sz w:val="20"/>
                <w:szCs w:val="20"/>
              </w:rPr>
              <w:t xml:space="preserve"> beliefs,​ and behavior by demographics and other subgroup characteristics (i.e. smoking status) is important information to help inform the newly empowered Food and Drug Administration (FDA) under the Family Smoking Prevention and Tobacco Control Act (FSPTCA) to protect public health. Support for FDA regulation of nicotine and menthol is strongest among populations at disproportional risk for excess disease </w:t>
            </w:r>
            <w:proofErr w:type="gramStart"/>
            <w:r w:rsidRPr="005762E6">
              <w:rPr>
                <w:sz w:val="20"/>
                <w:szCs w:val="20"/>
              </w:rPr>
              <w:t>burden,​</w:t>
            </w:r>
            <w:proofErr w:type="gramEnd"/>
            <w:r w:rsidRPr="005762E6">
              <w:rPr>
                <w:sz w:val="20"/>
                <w:szCs w:val="20"/>
              </w:rPr>
              <w:t xml:space="preserve"> such as African Americans,​ and a number of smokers and former smokers use e-cigarettes. This dissertation provides guidance on how FDA may use rapid surveys of public </w:t>
            </w:r>
            <w:proofErr w:type="gramStart"/>
            <w:r w:rsidRPr="005762E6">
              <w:rPr>
                <w:sz w:val="20"/>
                <w:szCs w:val="20"/>
              </w:rPr>
              <w:t>knowledge,​</w:t>
            </w:r>
            <w:proofErr w:type="gramEnd"/>
            <w:r w:rsidRPr="005762E6">
              <w:rPr>
                <w:sz w:val="20"/>
                <w:szCs w:val="20"/>
              </w:rPr>
              <w:t xml:space="preserve"> attitudes,​ and beliefs to ga</w:t>
            </w:r>
            <w:r w:rsidR="007F2F01">
              <w:rPr>
                <w:sz w:val="20"/>
                <w:szCs w:val="20"/>
              </w:rPr>
              <w:t>.</w:t>
            </w:r>
            <w:r w:rsidRPr="005762E6">
              <w:rPr>
                <w:sz w:val="20"/>
                <w:szCs w:val="20"/>
              </w:rPr>
              <w:t xml:space="preserve">. (PsycINFO Database Record (c) 2016 </w:t>
            </w:r>
            <w:proofErr w:type="gramStart"/>
            <w:r w:rsidRPr="005762E6">
              <w:rPr>
                <w:sz w:val="20"/>
                <w:szCs w:val="20"/>
              </w:rPr>
              <w:t>APA,​</w:t>
            </w:r>
            <w:proofErr w:type="gramEnd"/>
            <w:r w:rsidRPr="005762E6">
              <w:rPr>
                <w:sz w:val="20"/>
                <w:szCs w:val="20"/>
              </w:rPr>
              <w:t xml:space="preserve"> all rights reserved)</w:t>
            </w:r>
          </w:p>
        </w:tc>
      </w:tr>
      <w:tr w:rsidR="00B44564" w:rsidRPr="005762E6" w14:paraId="5BD5A57B"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ADE50EE" w14:textId="77777777" w:rsidR="00B44564" w:rsidRPr="005762E6" w:rsidRDefault="00B44564" w:rsidP="00EA69AA">
            <w:pPr>
              <w:spacing w:after="120" w:line="240" w:lineRule="auto"/>
              <w:contextualSpacing/>
              <w:rPr>
                <w:sz w:val="20"/>
                <w:szCs w:val="20"/>
              </w:rPr>
            </w:pPr>
            <w:r w:rsidRPr="005762E6">
              <w:rPr>
                <w:sz w:val="20"/>
                <w:szCs w:val="20"/>
              </w:rPr>
              <w:lastRenderedPageBreak/>
              <w:t>812</w:t>
            </w:r>
          </w:p>
        </w:tc>
        <w:tc>
          <w:tcPr>
            <w:tcW w:w="0" w:type="auto"/>
            <w:tcBorders>
              <w:top w:val="single" w:sz="6" w:space="0" w:color="auto"/>
              <w:left w:val="single" w:sz="6" w:space="0" w:color="auto"/>
              <w:bottom w:val="single" w:sz="6" w:space="0" w:color="auto"/>
              <w:right w:val="single" w:sz="6" w:space="0" w:color="auto"/>
            </w:tcBorders>
          </w:tcPr>
          <w:p w14:paraId="4DD38CA8"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7C7ECD6" w14:textId="0A02AE2E" w:rsidR="00B44564" w:rsidRPr="005762E6" w:rsidRDefault="00B44564" w:rsidP="00EA69AA">
            <w:pPr>
              <w:spacing w:after="120" w:line="240" w:lineRule="auto"/>
              <w:contextualSpacing/>
              <w:rPr>
                <w:sz w:val="20"/>
                <w:szCs w:val="20"/>
              </w:rPr>
            </w:pPr>
            <w:r w:rsidRPr="005762E6">
              <w:rPr>
                <w:sz w:val="20"/>
                <w:szCs w:val="20"/>
              </w:rPr>
              <w:t>Brian Rostron Response to "Menthol cigarettes and lung cancer mortality"</w:t>
            </w:r>
            <w:r w:rsidR="007F2F01">
              <w:rPr>
                <w:sz w:val="20"/>
                <w:szCs w:val="20"/>
              </w:rPr>
              <w:t>.</w:t>
            </w:r>
            <w:r w:rsidRPr="005762E6">
              <w:rPr>
                <w:sz w:val="20"/>
                <w:szCs w:val="20"/>
              </w:rPr>
              <w:t xml:space="preserve"> Nicotine &amp; Tobacco Research; </w:t>
            </w:r>
            <w:proofErr w:type="gramStart"/>
            <w:r w:rsidRPr="005762E6">
              <w:rPr>
                <w:sz w:val="20"/>
                <w:szCs w:val="20"/>
              </w:rPr>
              <w:t>2012;14:1248</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*Lung Disorders,​*Neoplasms,​*Risk Factors,​*Tobacco Smoking,​Mortality Rate</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Reply by the current author to the comments made by Joshua E. Muscat (see record 2012-26461-016) on the original article (see record 2012-26461-002). Muscat makes the useful point that research has generally found that smokers of unfiltered cigarettes have higher lung cancer risk than smokers of filtered cigarettes. For </w:t>
            </w:r>
            <w:proofErr w:type="gramStart"/>
            <w:r w:rsidRPr="005762E6">
              <w:rPr>
                <w:sz w:val="20"/>
                <w:szCs w:val="20"/>
              </w:rPr>
              <w:t>example,​</w:t>
            </w:r>
            <w:proofErr w:type="gramEnd"/>
            <w:r w:rsidRPr="005762E6">
              <w:rPr>
                <w:sz w:val="20"/>
                <w:szCs w:val="20"/>
              </w:rPr>
              <w:t xml:space="preserve"> smokers of unfiltered,​ high-tar cigarettes in the American Cancer Society's Cancer Prevention Study II subsequently had higher lung cancer mortality risk than smokers of filtered,​ medium-tar cigarettes,​ even though no difference in risk was observed for smokers of medium- and low-tar filtered cigarettes. </w:t>
            </w:r>
            <w:proofErr w:type="gramStart"/>
            <w:r w:rsidRPr="005762E6">
              <w:rPr>
                <w:sz w:val="20"/>
                <w:szCs w:val="20"/>
              </w:rPr>
              <w:t>Unfortunately,​</w:t>
            </w:r>
            <w:proofErr w:type="gramEnd"/>
            <w:r w:rsidRPr="005762E6">
              <w:rPr>
                <w:sz w:val="20"/>
                <w:szCs w:val="20"/>
              </w:rPr>
              <w:t xml:space="preserve"> the 1987 National Health Interview Survey Cancer Control Supplement data that I used in my study do not provide much additional insight concerning this issue. Over 95% of smokers with identified filter preference at baseline usually smoked filtered </w:t>
            </w:r>
            <w:proofErr w:type="gramStart"/>
            <w:r w:rsidRPr="005762E6">
              <w:rPr>
                <w:sz w:val="20"/>
                <w:szCs w:val="20"/>
              </w:rPr>
              <w:t>cigarettes,​</w:t>
            </w:r>
            <w:proofErr w:type="gramEnd"/>
            <w:r w:rsidRPr="005762E6">
              <w:rPr>
                <w:sz w:val="20"/>
                <w:szCs w:val="20"/>
              </w:rPr>
              <w:t xml:space="preserve"> and filter prevalence was comparable for menthol and non-menthol smokers. Even </w:t>
            </w:r>
            <w:proofErr w:type="gramStart"/>
            <w:r w:rsidRPr="005762E6">
              <w:rPr>
                <w:sz w:val="20"/>
                <w:szCs w:val="20"/>
              </w:rPr>
              <w:t>so,​</w:t>
            </w:r>
            <w:proofErr w:type="gramEnd"/>
            <w:r w:rsidRPr="005762E6">
              <w:rPr>
                <w:sz w:val="20"/>
                <w:szCs w:val="20"/>
              </w:rPr>
              <w:t xml:space="preserve"> previous differences in filter use could have contributed to the lower lung cancer mortality risks for menthol smokers compared with non-menthol smokers that were observed in my study,​ in addition to other factors such as differences in filter ventilation that were mentioned in my paper. (PsycINFO Database Record (c) 2016 </w:t>
            </w:r>
            <w:proofErr w:type="gramStart"/>
            <w:r w:rsidRPr="005762E6">
              <w:rPr>
                <w:sz w:val="20"/>
                <w:szCs w:val="20"/>
              </w:rPr>
              <w:t>APA,​</w:t>
            </w:r>
            <w:proofErr w:type="gramEnd"/>
            <w:r w:rsidRPr="005762E6">
              <w:rPr>
                <w:sz w:val="20"/>
                <w:szCs w:val="20"/>
              </w:rPr>
              <w:t xml:space="preserve"> all rights reserved)</w:t>
            </w:r>
          </w:p>
        </w:tc>
      </w:tr>
      <w:tr w:rsidR="00B44564" w:rsidRPr="005762E6" w14:paraId="0BB78404"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E3A546C" w14:textId="77777777" w:rsidR="00B44564" w:rsidRPr="005762E6" w:rsidRDefault="00B44564" w:rsidP="00EA69AA">
            <w:pPr>
              <w:spacing w:after="120" w:line="240" w:lineRule="auto"/>
              <w:contextualSpacing/>
              <w:rPr>
                <w:sz w:val="20"/>
                <w:szCs w:val="20"/>
              </w:rPr>
            </w:pPr>
            <w:r w:rsidRPr="005762E6">
              <w:rPr>
                <w:sz w:val="20"/>
                <w:szCs w:val="20"/>
              </w:rPr>
              <w:t>813</w:t>
            </w:r>
          </w:p>
        </w:tc>
        <w:tc>
          <w:tcPr>
            <w:tcW w:w="0" w:type="auto"/>
            <w:tcBorders>
              <w:top w:val="single" w:sz="6" w:space="0" w:color="auto"/>
              <w:left w:val="single" w:sz="6" w:space="0" w:color="auto"/>
              <w:bottom w:val="single" w:sz="6" w:space="0" w:color="auto"/>
              <w:right w:val="single" w:sz="6" w:space="0" w:color="auto"/>
            </w:tcBorders>
          </w:tcPr>
          <w:p w14:paraId="0EC58CED"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BBC23D5" w14:textId="23E0D468" w:rsidR="00B44564" w:rsidRPr="005762E6" w:rsidRDefault="00B44564" w:rsidP="00EA69AA">
            <w:pPr>
              <w:spacing w:after="120" w:line="240" w:lineRule="auto"/>
              <w:contextualSpacing/>
              <w:rPr>
                <w:sz w:val="20"/>
                <w:szCs w:val="20"/>
              </w:rPr>
            </w:pPr>
            <w:r w:rsidRPr="005762E6">
              <w:rPr>
                <w:sz w:val="20"/>
                <w:szCs w:val="20"/>
              </w:rPr>
              <w:t>Joshua E Muscat Menthol cigarettes and lung cancer mortality</w:t>
            </w:r>
            <w:r w:rsidR="007F2F01">
              <w:rPr>
                <w:sz w:val="20"/>
                <w:szCs w:val="20"/>
              </w:rPr>
              <w:t>.</w:t>
            </w:r>
            <w:r w:rsidRPr="005762E6">
              <w:rPr>
                <w:sz w:val="20"/>
                <w:szCs w:val="20"/>
              </w:rPr>
              <w:t xml:space="preserve"> Nicotine &amp; Tobacco Research; </w:t>
            </w:r>
            <w:proofErr w:type="gramStart"/>
            <w:r w:rsidRPr="005762E6">
              <w:rPr>
                <w:sz w:val="20"/>
                <w:szCs w:val="20"/>
              </w:rPr>
              <w:t>2012;14:1246</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*Lung Disorders,​*Neoplasms,​*Risk Factors,​*Tobacco Smoking,​Mortality Rate</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Comments on an article by Brian Rostron (see record 2012-26461-002). The article by Rostron on menthol smoking and mortality risk raises the possibility that menthol cigarettes reduce the risk of lung cancer in smokers relative to plain cigarettes. The lack of a difference in all-cause mortality would seem to rule out a systemic bias in the data. While most case-control findings have not shown increased mortality from lung cancer with menthol </w:t>
            </w:r>
            <w:proofErr w:type="gramStart"/>
            <w:r w:rsidRPr="005762E6">
              <w:rPr>
                <w:sz w:val="20"/>
                <w:szCs w:val="20"/>
              </w:rPr>
              <w:t>smoking,​</w:t>
            </w:r>
            <w:proofErr w:type="gramEnd"/>
            <w:r w:rsidRPr="005762E6">
              <w:rPr>
                <w:sz w:val="20"/>
                <w:szCs w:val="20"/>
              </w:rPr>
              <w:t xml:space="preserve"> and perhaps a slightly lowered risk with menthol,​ the possibility that menthol substantially decreases the most common cause of cancer mortality must be considered from a public health perspective. More </w:t>
            </w:r>
            <w:proofErr w:type="gramStart"/>
            <w:r w:rsidRPr="005762E6">
              <w:rPr>
                <w:sz w:val="20"/>
                <w:szCs w:val="20"/>
              </w:rPr>
              <w:t>recently,​</w:t>
            </w:r>
            <w:proofErr w:type="gramEnd"/>
            <w:r w:rsidRPr="005762E6">
              <w:rPr>
                <w:sz w:val="20"/>
                <w:szCs w:val="20"/>
              </w:rPr>
              <w:t xml:space="preserve"> there has been a cohort of smokers who smoked filtered cigarettes exclusively over their lifetime where the effects of cigarette filtration can be observed. The market share of menthol cigarettes was quite low until about </w:t>
            </w:r>
            <w:proofErr w:type="gramStart"/>
            <w:r w:rsidRPr="005762E6">
              <w:rPr>
                <w:sz w:val="20"/>
                <w:szCs w:val="20"/>
              </w:rPr>
              <w:t>1970,​</w:t>
            </w:r>
            <w:proofErr w:type="gramEnd"/>
            <w:r w:rsidRPr="005762E6">
              <w:rPr>
                <w:sz w:val="20"/>
                <w:szCs w:val="20"/>
              </w:rPr>
              <w:t xml:space="preserve"> reaching perhaps 25% of all smokers. In contrast to </w:t>
            </w:r>
            <w:r w:rsidRPr="005762E6">
              <w:rPr>
                <w:sz w:val="20"/>
                <w:szCs w:val="20"/>
              </w:rPr>
              <w:lastRenderedPageBreak/>
              <w:t xml:space="preserve">nonmenthol </w:t>
            </w:r>
            <w:proofErr w:type="gramStart"/>
            <w:r w:rsidRPr="005762E6">
              <w:rPr>
                <w:sz w:val="20"/>
                <w:szCs w:val="20"/>
              </w:rPr>
              <w:t>brands,​</w:t>
            </w:r>
            <w:proofErr w:type="gramEnd"/>
            <w:r w:rsidRPr="005762E6">
              <w:rPr>
                <w:sz w:val="20"/>
                <w:szCs w:val="20"/>
              </w:rPr>
              <w:t xml:space="preserve"> menthol brands have been predominantly filtered cigarettes. These differences may very well explain the association observed by Rostron. The study by Rostron effectively compared smokers at a time when most nonmentholated smokers smoked exclusively or predominantly unfiltered nonmenthol cigarettes over their </w:t>
            </w:r>
            <w:proofErr w:type="gramStart"/>
            <w:r w:rsidRPr="005762E6">
              <w:rPr>
                <w:sz w:val="20"/>
                <w:szCs w:val="20"/>
              </w:rPr>
              <w:t>lifetime,​</w:t>
            </w:r>
            <w:proofErr w:type="gramEnd"/>
            <w:r w:rsidRPr="005762E6">
              <w:rPr>
                <w:sz w:val="20"/>
                <w:szCs w:val="20"/>
              </w:rPr>
              <w:t xml:space="preserve"> to menthol smokers who smoked predominantly filtered menthol cigarettes. (PsycINFO Database Record (c) 2016 </w:t>
            </w:r>
            <w:proofErr w:type="gramStart"/>
            <w:r w:rsidRPr="005762E6">
              <w:rPr>
                <w:sz w:val="20"/>
                <w:szCs w:val="20"/>
              </w:rPr>
              <w:t>APA,​</w:t>
            </w:r>
            <w:proofErr w:type="gramEnd"/>
            <w:r w:rsidRPr="005762E6">
              <w:rPr>
                <w:sz w:val="20"/>
                <w:szCs w:val="20"/>
              </w:rPr>
              <w:t xml:space="preserve"> all rights reserved)</w:t>
            </w:r>
          </w:p>
        </w:tc>
      </w:tr>
      <w:tr w:rsidR="00B44564" w:rsidRPr="005762E6" w14:paraId="1872BECB"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A503491" w14:textId="77777777" w:rsidR="00B44564" w:rsidRPr="005762E6" w:rsidRDefault="00B44564" w:rsidP="00EA69AA">
            <w:pPr>
              <w:spacing w:after="120" w:line="240" w:lineRule="auto"/>
              <w:contextualSpacing/>
              <w:rPr>
                <w:sz w:val="20"/>
                <w:szCs w:val="20"/>
              </w:rPr>
            </w:pPr>
            <w:r w:rsidRPr="005762E6">
              <w:rPr>
                <w:sz w:val="20"/>
                <w:szCs w:val="20"/>
              </w:rPr>
              <w:lastRenderedPageBreak/>
              <w:t>815</w:t>
            </w:r>
          </w:p>
        </w:tc>
        <w:tc>
          <w:tcPr>
            <w:tcW w:w="0" w:type="auto"/>
            <w:tcBorders>
              <w:top w:val="single" w:sz="6" w:space="0" w:color="auto"/>
              <w:left w:val="single" w:sz="6" w:space="0" w:color="auto"/>
              <w:bottom w:val="single" w:sz="6" w:space="0" w:color="auto"/>
              <w:right w:val="single" w:sz="6" w:space="0" w:color="auto"/>
            </w:tcBorders>
          </w:tcPr>
          <w:p w14:paraId="11FD717A"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2F6FDC8" w14:textId="03416E61" w:rsidR="00B44564" w:rsidRPr="005762E6" w:rsidRDefault="00B44564" w:rsidP="00EA69AA">
            <w:pPr>
              <w:spacing w:after="120" w:line="240" w:lineRule="auto"/>
              <w:contextualSpacing/>
              <w:rPr>
                <w:sz w:val="20"/>
                <w:szCs w:val="20"/>
              </w:rPr>
            </w:pPr>
            <w:r w:rsidRPr="005762E6">
              <w:rPr>
                <w:sz w:val="20"/>
                <w:szCs w:val="20"/>
              </w:rPr>
              <w:t xml:space="preserve">Valerie J </w:t>
            </w:r>
            <w:proofErr w:type="gramStart"/>
            <w:r w:rsidRPr="005762E6">
              <w:rPr>
                <w:sz w:val="20"/>
                <w:szCs w:val="20"/>
              </w:rPr>
              <w:t>Rock,​</w:t>
            </w:r>
            <w:proofErr w:type="gramEnd"/>
            <w:r w:rsidRPr="005762E6">
              <w:rPr>
                <w:sz w:val="20"/>
                <w:szCs w:val="20"/>
              </w:rPr>
              <w:t xml:space="preserve"> Shane P Davis,​ Stacy L Thorne,​ Ralph S Caraballo Menthol cigarette use: The challenge to improve measurement and monitoring among adolescent smokers</w:t>
            </w:r>
            <w:r w:rsidR="007F2F01">
              <w:rPr>
                <w:sz w:val="20"/>
                <w:szCs w:val="20"/>
              </w:rPr>
              <w:t>.</w:t>
            </w:r>
            <w:r w:rsidRPr="005762E6">
              <w:rPr>
                <w:sz w:val="20"/>
                <w:szCs w:val="20"/>
              </w:rPr>
              <w:t xml:space="preserve"> Nicotine &amp; Tobacco Research; </w:t>
            </w:r>
            <w:proofErr w:type="gramStart"/>
            <w:r w:rsidRPr="005762E6">
              <w:rPr>
                <w:sz w:val="20"/>
                <w:szCs w:val="20"/>
              </w:rPr>
              <w:t>2012;14:251</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*Blacks,​*Racial and Ethnic Differences,​*Tobacco Smoking,​Drug Dependency,​Drug Rehabilitation,​Racial and Ethnic Groups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Reply by the current authors to the comments made by Anthony P. Polednak (see record 2012-02460-018) on the original article Menthol cigarette use among racial and ethnic groups in the United States,​ 2004-2008 (2010). We appreciate Dr. Polednak's interest in the article and his critical examination of the issue of misclassification and potential underreporting of menthol cigarette use in the U.S. </w:t>
            </w:r>
            <w:proofErr w:type="gramStart"/>
            <w:r w:rsidRPr="005762E6">
              <w:rPr>
                <w:sz w:val="20"/>
                <w:szCs w:val="20"/>
              </w:rPr>
              <w:t>population,​</w:t>
            </w:r>
            <w:proofErr w:type="gramEnd"/>
            <w:r w:rsidRPr="005762E6">
              <w:rPr>
                <w:sz w:val="20"/>
                <w:szCs w:val="20"/>
              </w:rPr>
              <w:t xml:space="preserve"> particularly among African American youth. </w:t>
            </w:r>
            <w:proofErr w:type="gramStart"/>
            <w:r w:rsidRPr="005762E6">
              <w:rPr>
                <w:sz w:val="20"/>
                <w:szCs w:val="20"/>
              </w:rPr>
              <w:t>Specifically,​</w:t>
            </w:r>
            <w:proofErr w:type="gramEnd"/>
            <w:r w:rsidRPr="005762E6">
              <w:rPr>
                <w:sz w:val="20"/>
                <w:szCs w:val="20"/>
              </w:rPr>
              <w:t xml:space="preserve"> Dr. Polednak highlights discrepancies in self-reported menthol cigarette use and self-reported cigarette brand smoked (i.e.,​ menthol/non-menthol) at the time of data collection. The scientific evidence indeed suggests that self-reports of type or brand of cigarette smoked are subject to bias. This may be especially true for menthol cigarette use among adolescents who are first trying or experimenting with smoking and among those who do not normally purchase their own cigarettes. That is why our study addressed the need to improve accurate monitoring of menthol cigarette smoking among youth and adults in order to improve the validity of self-reports. The purpose of our study was to identify the age and sex variations in menthol cigarette use by race/ethnicity. There is a need to improve our national surveillance systems to track the evolving regulatory and policy environment; changes in tobacco industry activities; and new and emerging tobacco product </w:t>
            </w:r>
            <w:proofErr w:type="gramStart"/>
            <w:r w:rsidRPr="005762E6">
              <w:rPr>
                <w:sz w:val="20"/>
                <w:szCs w:val="20"/>
              </w:rPr>
              <w:t>awareness,​</w:t>
            </w:r>
            <w:proofErr w:type="gramEnd"/>
            <w:r w:rsidRPr="005762E6">
              <w:rPr>
                <w:sz w:val="20"/>
                <w:szCs w:val="20"/>
              </w:rPr>
              <w:t xml:space="preserve"> use,​ and behaviors. (PsycINFO Database Record (c) 2016 </w:t>
            </w:r>
            <w:proofErr w:type="gramStart"/>
            <w:r w:rsidRPr="005762E6">
              <w:rPr>
                <w:sz w:val="20"/>
                <w:szCs w:val="20"/>
              </w:rPr>
              <w:t>APA,​</w:t>
            </w:r>
            <w:proofErr w:type="gramEnd"/>
            <w:r w:rsidRPr="005762E6">
              <w:rPr>
                <w:sz w:val="20"/>
                <w:szCs w:val="20"/>
              </w:rPr>
              <w:t xml:space="preserve"> all rights reserved)</w:t>
            </w:r>
          </w:p>
        </w:tc>
      </w:tr>
      <w:tr w:rsidR="00B44564" w:rsidRPr="005762E6" w14:paraId="7A747E9D"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50E431F" w14:textId="77777777" w:rsidR="00B44564" w:rsidRPr="005762E6" w:rsidRDefault="00B44564" w:rsidP="00EA69AA">
            <w:pPr>
              <w:spacing w:after="120" w:line="240" w:lineRule="auto"/>
              <w:contextualSpacing/>
              <w:rPr>
                <w:sz w:val="20"/>
                <w:szCs w:val="20"/>
              </w:rPr>
            </w:pPr>
            <w:r w:rsidRPr="005762E6">
              <w:rPr>
                <w:sz w:val="20"/>
                <w:szCs w:val="20"/>
              </w:rPr>
              <w:t>817</w:t>
            </w:r>
          </w:p>
        </w:tc>
        <w:tc>
          <w:tcPr>
            <w:tcW w:w="0" w:type="auto"/>
            <w:tcBorders>
              <w:top w:val="single" w:sz="6" w:space="0" w:color="auto"/>
              <w:left w:val="single" w:sz="6" w:space="0" w:color="auto"/>
              <w:bottom w:val="single" w:sz="6" w:space="0" w:color="auto"/>
              <w:right w:val="single" w:sz="6" w:space="0" w:color="auto"/>
            </w:tcBorders>
          </w:tcPr>
          <w:p w14:paraId="0F31B9C8"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1B0E602" w14:textId="0034357E" w:rsidR="00B44564" w:rsidRPr="005762E6" w:rsidRDefault="00B44564" w:rsidP="00EA69AA">
            <w:pPr>
              <w:spacing w:after="120" w:line="240" w:lineRule="auto"/>
              <w:contextualSpacing/>
              <w:rPr>
                <w:sz w:val="20"/>
                <w:szCs w:val="20"/>
              </w:rPr>
            </w:pPr>
            <w:r w:rsidRPr="005762E6">
              <w:rPr>
                <w:sz w:val="20"/>
                <w:szCs w:val="20"/>
              </w:rPr>
              <w:t xml:space="preserve">Neal L </w:t>
            </w:r>
            <w:proofErr w:type="gramStart"/>
            <w:r w:rsidRPr="005762E6">
              <w:rPr>
                <w:sz w:val="20"/>
                <w:szCs w:val="20"/>
              </w:rPr>
              <w:t>Benowitz,​</w:t>
            </w:r>
            <w:proofErr w:type="gramEnd"/>
            <w:r w:rsidRPr="005762E6">
              <w:rPr>
                <w:sz w:val="20"/>
                <w:szCs w:val="20"/>
              </w:rPr>
              <w:t xml:space="preserve"> Jonathan M Samet The threat of menthol cigarettes to U.S. public health</w:t>
            </w:r>
            <w:r w:rsidR="007F2F01">
              <w:rPr>
                <w:sz w:val="20"/>
                <w:szCs w:val="20"/>
              </w:rPr>
              <w:t>.</w:t>
            </w:r>
            <w:r w:rsidRPr="005762E6">
              <w:rPr>
                <w:sz w:val="20"/>
                <w:szCs w:val="20"/>
              </w:rPr>
              <w:t xml:space="preserve"> The New England Journal of Medicine; </w:t>
            </w:r>
            <w:proofErr w:type="gramStart"/>
            <w:r w:rsidRPr="005762E6">
              <w:rPr>
                <w:sz w:val="20"/>
                <w:szCs w:val="20"/>
              </w:rPr>
              <w:t>2011;364:2179</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*Government Agencies,​*Policy Making,​*Public Health,​*Tobacco Smoking,​Smoking Cessation</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The 2009 Family Smoking Prevention and Tobacco Control Act gave the Food and Drug Administration (FDA) authority to regulate certain tobacco products with the goal of protecting public health. The law provides the FDA with regulatory tools for reducing harm to health from products that cause nicotine addiction and disease. It specifically banned flavored </w:t>
            </w:r>
            <w:proofErr w:type="gramStart"/>
            <w:r w:rsidRPr="005762E6">
              <w:rPr>
                <w:sz w:val="20"/>
                <w:szCs w:val="20"/>
              </w:rPr>
              <w:t>cigarettes,​</w:t>
            </w:r>
            <w:proofErr w:type="gramEnd"/>
            <w:r w:rsidRPr="005762E6">
              <w:rPr>
                <w:sz w:val="20"/>
                <w:szCs w:val="20"/>
              </w:rPr>
              <w:t xml:space="preserve"> except those containing menthol,​ which account for about 30% of the current U.S. cigarette market. </w:t>
            </w:r>
            <w:proofErr w:type="gramStart"/>
            <w:r w:rsidRPr="005762E6">
              <w:rPr>
                <w:sz w:val="20"/>
                <w:szCs w:val="20"/>
              </w:rPr>
              <w:t>Menthol,​</w:t>
            </w:r>
            <w:proofErr w:type="gramEnd"/>
            <w:r w:rsidRPr="005762E6">
              <w:rPr>
                <w:sz w:val="20"/>
                <w:szCs w:val="20"/>
              </w:rPr>
              <w:t xml:space="preserve"> a naturally occurring monocyclic terpene alcohol,​ has long been used in consumer and medicinal products because of its minty taste and aroma and its cooling and analgesic properties. The Tobacco Products Scientific Advisory Committee (TPSAC</w:t>
            </w:r>
            <w:proofErr w:type="gramStart"/>
            <w:r w:rsidRPr="005762E6">
              <w:rPr>
                <w:sz w:val="20"/>
                <w:szCs w:val="20"/>
              </w:rPr>
              <w:t>),​</w:t>
            </w:r>
            <w:proofErr w:type="gramEnd"/>
            <w:r w:rsidRPr="005762E6">
              <w:rPr>
                <w:sz w:val="20"/>
                <w:szCs w:val="20"/>
              </w:rPr>
              <w:t xml:space="preserve"> on which we serve,​ submitted its menthol report to the FDA on March 23,​ 2011,​ with a conclusion that menthol cigarettes damage public health and a general recommendation that "removal of menthol cigarettes would benefit public health in the United States." In assessing menthol cigarettes' effect on public </w:t>
            </w:r>
            <w:proofErr w:type="gramStart"/>
            <w:r w:rsidRPr="005762E6">
              <w:rPr>
                <w:sz w:val="20"/>
                <w:szCs w:val="20"/>
              </w:rPr>
              <w:t>health,​</w:t>
            </w:r>
            <w:proofErr w:type="gramEnd"/>
            <w:r w:rsidRPr="005762E6">
              <w:rPr>
                <w:sz w:val="20"/>
                <w:szCs w:val="20"/>
              </w:rPr>
              <w:t xml:space="preserve"> the TPSAC considered whether their availability increased the number of smokers or the risk of cigarette-caused diseases as compared with a counterfactual scenario in which such cigarettes had never existed. We found convincing evidence that menthol cigarettes' availability increases the number of smokers by increasing the rate of smoking initiation and reducing the rate of </w:t>
            </w:r>
            <w:proofErr w:type="gramStart"/>
            <w:r w:rsidRPr="005762E6">
              <w:rPr>
                <w:sz w:val="20"/>
                <w:szCs w:val="20"/>
              </w:rPr>
              <w:t>cessation,​</w:t>
            </w:r>
            <w:proofErr w:type="gramEnd"/>
            <w:r w:rsidRPr="005762E6">
              <w:rPr>
                <w:sz w:val="20"/>
                <w:szCs w:val="20"/>
              </w:rPr>
              <w:t xml:space="preserve"> particularly among black Americans. In answer to the Tobacco Act's overall </w:t>
            </w:r>
            <w:proofErr w:type="gramStart"/>
            <w:r w:rsidRPr="005762E6">
              <w:rPr>
                <w:sz w:val="20"/>
                <w:szCs w:val="20"/>
              </w:rPr>
              <w:t>charge,​</w:t>
            </w:r>
            <w:proofErr w:type="gramEnd"/>
            <w:r w:rsidRPr="005762E6">
              <w:rPr>
                <w:sz w:val="20"/>
                <w:szCs w:val="20"/>
              </w:rPr>
              <w:t xml:space="preserve"> the committee concluded that menthol cigarettes adversely affect U.S. public health and that there are no public health benefits to menthol cigarettes as compared with nonmenthol cigarettes. The TPSAC's overall recommendation that "removal of menthol cigarettes from the marketplace would benefit public health in the United States" parallels the conclusion of the 1964 Surgeon </w:t>
            </w:r>
            <w:r w:rsidRPr="005762E6">
              <w:rPr>
                <w:sz w:val="20"/>
                <w:szCs w:val="20"/>
              </w:rPr>
              <w:lastRenderedPageBreak/>
              <w:t xml:space="preserve">General's report on smoking and health: "Cigarette smoking is a health hazard of sufficient importance in the United States to warrant appropriate remedial action." (PsycINFO Database Record (c) 2016 </w:t>
            </w:r>
            <w:proofErr w:type="gramStart"/>
            <w:r w:rsidRPr="005762E6">
              <w:rPr>
                <w:sz w:val="20"/>
                <w:szCs w:val="20"/>
              </w:rPr>
              <w:t>APA,​</w:t>
            </w:r>
            <w:proofErr w:type="gramEnd"/>
            <w:r w:rsidRPr="005762E6">
              <w:rPr>
                <w:sz w:val="20"/>
                <w:szCs w:val="20"/>
              </w:rPr>
              <w:t xml:space="preserve"> all rights reserved)</w:t>
            </w:r>
          </w:p>
        </w:tc>
      </w:tr>
      <w:tr w:rsidR="00B44564" w:rsidRPr="005762E6" w14:paraId="093BBCBA"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22A4D76" w14:textId="77777777" w:rsidR="00B44564" w:rsidRPr="005762E6" w:rsidRDefault="00B44564" w:rsidP="00EA69AA">
            <w:pPr>
              <w:spacing w:after="120" w:line="240" w:lineRule="auto"/>
              <w:contextualSpacing/>
              <w:rPr>
                <w:sz w:val="20"/>
                <w:szCs w:val="20"/>
              </w:rPr>
            </w:pPr>
            <w:r w:rsidRPr="005762E6">
              <w:rPr>
                <w:sz w:val="20"/>
                <w:szCs w:val="20"/>
              </w:rPr>
              <w:lastRenderedPageBreak/>
              <w:t>818</w:t>
            </w:r>
          </w:p>
        </w:tc>
        <w:tc>
          <w:tcPr>
            <w:tcW w:w="0" w:type="auto"/>
            <w:tcBorders>
              <w:top w:val="single" w:sz="6" w:space="0" w:color="auto"/>
              <w:left w:val="single" w:sz="6" w:space="0" w:color="auto"/>
              <w:bottom w:val="single" w:sz="6" w:space="0" w:color="auto"/>
              <w:right w:val="single" w:sz="6" w:space="0" w:color="auto"/>
            </w:tcBorders>
          </w:tcPr>
          <w:p w14:paraId="0BEAA587"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3DCD09C" w14:textId="6DF4C35E" w:rsidR="00B44564" w:rsidRPr="005762E6" w:rsidRDefault="00B44564" w:rsidP="00EA69AA">
            <w:pPr>
              <w:spacing w:after="120" w:line="240" w:lineRule="auto"/>
              <w:contextualSpacing/>
              <w:rPr>
                <w:sz w:val="20"/>
                <w:szCs w:val="20"/>
              </w:rPr>
            </w:pPr>
            <w:r w:rsidRPr="005762E6">
              <w:rPr>
                <w:sz w:val="20"/>
                <w:szCs w:val="20"/>
              </w:rPr>
              <w:t>Michael Siegel A lost opportunity for public health - The FDA Advisory Committee Report on Menthol</w:t>
            </w:r>
            <w:r w:rsidR="007F2F01">
              <w:rPr>
                <w:sz w:val="20"/>
                <w:szCs w:val="20"/>
              </w:rPr>
              <w:t>.</w:t>
            </w:r>
            <w:r w:rsidRPr="005762E6">
              <w:rPr>
                <w:sz w:val="20"/>
                <w:szCs w:val="20"/>
              </w:rPr>
              <w:t xml:space="preserve"> The New England Journal of Medicine; </w:t>
            </w:r>
            <w:proofErr w:type="gramStart"/>
            <w:r w:rsidRPr="005762E6">
              <w:rPr>
                <w:sz w:val="20"/>
                <w:szCs w:val="20"/>
              </w:rPr>
              <w:t>2011;364:2177</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*Government Policy Making,​*Public Health,​*Tobacco Smoking,​Government Agencies,​Smoking Cessation</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The Tobacco Products Scientific Advisory Committee (TPSAC) of the Food and Drug Administration (FDA) was created in 2009 by federal legislation,​ the Family Smoking Prevention and Tobacco Control Act,​ granting the FDA regulatory authority over tobacco products. The committee's mandate was to examine the effects of menthol cigarettes on the public's health and to issue a report and recommendations to the FDA. Although the report concluded that the addition of menthol to cigarettes does not increase their </w:t>
            </w:r>
            <w:proofErr w:type="gramStart"/>
            <w:r w:rsidRPr="005762E6">
              <w:rPr>
                <w:sz w:val="20"/>
                <w:szCs w:val="20"/>
              </w:rPr>
              <w:t>toxicity,​</w:t>
            </w:r>
            <w:proofErr w:type="gramEnd"/>
            <w:r w:rsidRPr="005762E6">
              <w:rPr>
                <w:sz w:val="20"/>
                <w:szCs w:val="20"/>
              </w:rPr>
              <w:t xml:space="preserve"> it established unequivocally that menthol harms the public's health by enhancing smoking initiation and impeding smoking cessation,​ thus increasing smoking prevalence by affecting both ends of the smoking continuum. Citing abundant scientific </w:t>
            </w:r>
            <w:proofErr w:type="gramStart"/>
            <w:r w:rsidRPr="005762E6">
              <w:rPr>
                <w:sz w:val="20"/>
                <w:szCs w:val="20"/>
              </w:rPr>
              <w:t>evidence,​</w:t>
            </w:r>
            <w:proofErr w:type="gramEnd"/>
            <w:r w:rsidRPr="005762E6">
              <w:rPr>
                <w:sz w:val="20"/>
                <w:szCs w:val="20"/>
              </w:rPr>
              <w:t xml:space="preserve"> the report concluded that menthol masks the harshness of tobacco,​ making cigarettes more appealing,​ especially to young people who might otherwise be deterred by irritation or an unpleasant taste. The report also concluded that smokers of menthol cigarettes have a more difficult time quitting than smokers of nonmenthol cigarettes. Despite these </w:t>
            </w:r>
            <w:proofErr w:type="gramStart"/>
            <w:r w:rsidRPr="005762E6">
              <w:rPr>
                <w:sz w:val="20"/>
                <w:szCs w:val="20"/>
              </w:rPr>
              <w:t>conclusions,​</w:t>
            </w:r>
            <w:proofErr w:type="gramEnd"/>
            <w:r w:rsidRPr="005762E6">
              <w:rPr>
                <w:sz w:val="20"/>
                <w:szCs w:val="20"/>
              </w:rPr>
              <w:t xml:space="preserve"> the TPSAC did not recommend a ban on menthol cigarettes. </w:t>
            </w:r>
            <w:proofErr w:type="gramStart"/>
            <w:r w:rsidRPr="005762E6">
              <w:rPr>
                <w:sz w:val="20"/>
                <w:szCs w:val="20"/>
              </w:rPr>
              <w:t>Instead,​</w:t>
            </w:r>
            <w:proofErr w:type="gramEnd"/>
            <w:r w:rsidRPr="005762E6">
              <w:rPr>
                <w:sz w:val="20"/>
                <w:szCs w:val="20"/>
              </w:rPr>
              <w:t xml:space="preserve"> the report simply stated,​ "Removal of menthol cigarettes from the marketplace would benefit public health in the United States." </w:t>
            </w:r>
            <w:proofErr w:type="gramStart"/>
            <w:r w:rsidRPr="005762E6">
              <w:rPr>
                <w:sz w:val="20"/>
                <w:szCs w:val="20"/>
              </w:rPr>
              <w:t>Thus,​</w:t>
            </w:r>
            <w:proofErr w:type="gramEnd"/>
            <w:r w:rsidRPr="005762E6">
              <w:rPr>
                <w:sz w:val="20"/>
                <w:szCs w:val="20"/>
              </w:rPr>
              <w:t xml:space="preserve"> the committee's basic "recommendation" is not a recommendation at all,​ but a conclusion that doesn't suggest any particular action to the FDA. (PsycINFO Database Record (c) 2016 </w:t>
            </w:r>
            <w:proofErr w:type="gramStart"/>
            <w:r w:rsidRPr="005762E6">
              <w:rPr>
                <w:sz w:val="20"/>
                <w:szCs w:val="20"/>
              </w:rPr>
              <w:t>APA,​</w:t>
            </w:r>
            <w:proofErr w:type="gramEnd"/>
            <w:r w:rsidRPr="005762E6">
              <w:rPr>
                <w:sz w:val="20"/>
                <w:szCs w:val="20"/>
              </w:rPr>
              <w:t xml:space="preserve"> all rights reserved)</w:t>
            </w:r>
          </w:p>
        </w:tc>
      </w:tr>
      <w:tr w:rsidR="00B44564" w:rsidRPr="005762E6" w14:paraId="30F88D80"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3C3ED0F" w14:textId="77777777" w:rsidR="00B44564" w:rsidRPr="005762E6" w:rsidRDefault="00B44564" w:rsidP="00EA69AA">
            <w:pPr>
              <w:spacing w:after="120" w:line="240" w:lineRule="auto"/>
              <w:contextualSpacing/>
              <w:rPr>
                <w:sz w:val="20"/>
                <w:szCs w:val="20"/>
              </w:rPr>
            </w:pPr>
            <w:r w:rsidRPr="005762E6">
              <w:rPr>
                <w:sz w:val="20"/>
                <w:szCs w:val="20"/>
              </w:rPr>
              <w:t>819</w:t>
            </w:r>
          </w:p>
        </w:tc>
        <w:tc>
          <w:tcPr>
            <w:tcW w:w="0" w:type="auto"/>
            <w:tcBorders>
              <w:top w:val="single" w:sz="6" w:space="0" w:color="auto"/>
              <w:left w:val="single" w:sz="6" w:space="0" w:color="auto"/>
              <w:bottom w:val="single" w:sz="6" w:space="0" w:color="auto"/>
              <w:right w:val="single" w:sz="6" w:space="0" w:color="auto"/>
            </w:tcBorders>
          </w:tcPr>
          <w:p w14:paraId="1E6A28DA"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9ADE2D9" w14:textId="61F7DE82" w:rsidR="00B44564" w:rsidRPr="005762E6" w:rsidRDefault="00B44564" w:rsidP="00EA69AA">
            <w:pPr>
              <w:spacing w:after="120" w:line="240" w:lineRule="auto"/>
              <w:contextualSpacing/>
              <w:rPr>
                <w:sz w:val="20"/>
                <w:szCs w:val="20"/>
              </w:rPr>
            </w:pPr>
            <w:r w:rsidRPr="005762E6">
              <w:rPr>
                <w:sz w:val="20"/>
                <w:szCs w:val="20"/>
              </w:rPr>
              <w:t>Richard F Gillum Effect of religion on use of menthol cigarettes in African American smokers</w:t>
            </w:r>
            <w:r w:rsidR="007F2F01">
              <w:rPr>
                <w:sz w:val="20"/>
                <w:szCs w:val="20"/>
              </w:rPr>
              <w:t>.</w:t>
            </w:r>
            <w:r w:rsidRPr="005762E6">
              <w:rPr>
                <w:sz w:val="20"/>
                <w:szCs w:val="20"/>
              </w:rPr>
              <w:t xml:space="preserve"> Preventive Medicine: An International Journal Devoted to Practice and Theory; </w:t>
            </w:r>
            <w:proofErr w:type="gramStart"/>
            <w:r w:rsidRPr="005762E6">
              <w:rPr>
                <w:sz w:val="20"/>
                <w:szCs w:val="20"/>
              </w:rPr>
              <w:t>2011;52:477</w:t>
            </w:r>
            <w:proofErr w:type="gramEnd"/>
            <w:r w:rsidRPr="005762E6">
              <w:rPr>
                <w:sz w:val="20"/>
                <w:szCs w:val="20"/>
              </w:rPr>
              <w:t>.</w:t>
            </w:r>
          </w:p>
          <w:p w14:paraId="4EE48CC0" w14:textId="77777777" w:rsidR="00B44564" w:rsidRPr="005762E6" w:rsidRDefault="00B44564" w:rsidP="00EA69AA">
            <w:pPr>
              <w:spacing w:after="120" w:line="240" w:lineRule="auto"/>
              <w:contextualSpacing/>
              <w:rPr>
                <w:sz w:val="20"/>
                <w:szCs w:val="20"/>
              </w:rPr>
            </w:pPr>
            <w:r w:rsidRPr="005762E6">
              <w:rPr>
                <w:b/>
                <w:bCs/>
                <w:sz w:val="20"/>
                <w:szCs w:val="20"/>
              </w:rPr>
              <w:t>Keywords:</w:t>
            </w:r>
            <w:r w:rsidRPr="005762E6">
              <w:rPr>
                <w:sz w:val="20"/>
                <w:szCs w:val="20"/>
              </w:rPr>
              <w:br/>
              <w:t>*</w:t>
            </w:r>
            <w:proofErr w:type="gramStart"/>
            <w:r w:rsidRPr="005762E6">
              <w:rPr>
                <w:sz w:val="20"/>
                <w:szCs w:val="20"/>
              </w:rPr>
              <w:t>Blacks,​</w:t>
            </w:r>
            <w:proofErr w:type="gramEnd"/>
            <w:r w:rsidRPr="005762E6">
              <w:rPr>
                <w:sz w:val="20"/>
                <w:szCs w:val="20"/>
              </w:rPr>
              <w:t>*Religion,​*Religious Practices,​*Tobacco Smoking,​*Global Health,​Whites,​Latinos/Latinas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This study determined the relationship of frequency of attendance at religious services (FARS) and smoking menthol cigarettes in non-Hispanic (NH) black,​ NH white and Mexican American smokers was examined in another national health survey performed in 2005-2006. Among smokers aged 40 years or over (n=166 NH </w:t>
            </w:r>
            <w:proofErr w:type="gramStart"/>
            <w:r w:rsidRPr="005762E6">
              <w:rPr>
                <w:sz w:val="20"/>
                <w:szCs w:val="20"/>
              </w:rPr>
              <w:t>black,​</w:t>
            </w:r>
            <w:proofErr w:type="gramEnd"/>
            <w:r w:rsidRPr="005762E6">
              <w:rPr>
                <w:sz w:val="20"/>
                <w:szCs w:val="20"/>
              </w:rPr>
              <w:t xml:space="preserve"> 316 NH white,​ 89 Mexican Americans),​ the percents using menthol cigarettes by race/ethnicity were 71.2,​ 17.4,​ and 15.7,​ respectively. In all </w:t>
            </w:r>
            <w:proofErr w:type="gramStart"/>
            <w:r w:rsidRPr="005762E6">
              <w:rPr>
                <w:sz w:val="20"/>
                <w:szCs w:val="20"/>
              </w:rPr>
              <w:t>smokers,​</w:t>
            </w:r>
            <w:proofErr w:type="gramEnd"/>
            <w:r w:rsidRPr="005762E6">
              <w:rPr>
                <w:sz w:val="20"/>
                <w:szCs w:val="20"/>
              </w:rPr>
              <w:t xml:space="preserve"> those with FARS &gt;=52 times/year (26.7%) did not differ from others (22.8%) in the use of menthol cigarettes (p=0.46). </w:t>
            </w:r>
            <w:proofErr w:type="gramStart"/>
            <w:r w:rsidRPr="005762E6">
              <w:rPr>
                <w:sz w:val="20"/>
                <w:szCs w:val="20"/>
              </w:rPr>
              <w:t>However,​</w:t>
            </w:r>
            <w:proofErr w:type="gramEnd"/>
            <w:r w:rsidRPr="005762E6">
              <w:rPr>
                <w:sz w:val="20"/>
                <w:szCs w:val="20"/>
              </w:rPr>
              <w:t xml:space="preserve"> in NH blacks,​ those with FARS &gt;=52 (47.7%) were less likely than others (73.5%) to use menthol. In NH </w:t>
            </w:r>
            <w:proofErr w:type="gramStart"/>
            <w:r w:rsidRPr="005762E6">
              <w:rPr>
                <w:sz w:val="20"/>
                <w:szCs w:val="20"/>
              </w:rPr>
              <w:t>whites,​</w:t>
            </w:r>
            <w:proofErr w:type="gramEnd"/>
            <w:r w:rsidRPr="005762E6">
              <w:rPr>
                <w:sz w:val="20"/>
                <w:szCs w:val="20"/>
              </w:rPr>
              <w:t xml:space="preserve"> percents were 21.4 and 14.3,​ respectively. Logistic regression analysis tested whether the association of FARS with use of menthol cigarettes among smokers varied significantly by race/ethnicity. There was a significant (p=0.03) interaction of NH black race/ethnicity (yes/no) with FARS indicating that FARS was related to menthol use in NH blacks but not in </w:t>
            </w:r>
            <w:proofErr w:type="gramStart"/>
            <w:r w:rsidRPr="005762E6">
              <w:rPr>
                <w:sz w:val="20"/>
                <w:szCs w:val="20"/>
              </w:rPr>
              <w:t>others,​</w:t>
            </w:r>
            <w:proofErr w:type="gramEnd"/>
            <w:r w:rsidRPr="005762E6">
              <w:rPr>
                <w:sz w:val="20"/>
                <w:szCs w:val="20"/>
              </w:rPr>
              <w:t xml:space="preserve"> with NH black frequent church attenders less likely to use menthol than NH black less frequent attenders. These findings also suggest that blacks not be grouped with Hispanics. Further research in larger samples is needed to confirm and to explore the psychosocial and cultural basis for these findings and their implications for faith-based programs to prevent tobacco use. (PsycINFO Database Record (c) 2016 </w:t>
            </w:r>
            <w:proofErr w:type="gramStart"/>
            <w:r w:rsidRPr="005762E6">
              <w:rPr>
                <w:sz w:val="20"/>
                <w:szCs w:val="20"/>
              </w:rPr>
              <w:t>APA,​</w:t>
            </w:r>
            <w:proofErr w:type="gramEnd"/>
            <w:r w:rsidRPr="005762E6">
              <w:rPr>
                <w:sz w:val="20"/>
                <w:szCs w:val="20"/>
              </w:rPr>
              <w:t xml:space="preserve"> all rights reserved)</w:t>
            </w:r>
          </w:p>
        </w:tc>
      </w:tr>
      <w:tr w:rsidR="00B44564" w:rsidRPr="005762E6" w14:paraId="2B74072B"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A59229E" w14:textId="77777777" w:rsidR="00B44564" w:rsidRPr="005762E6" w:rsidRDefault="00B44564" w:rsidP="00EA69AA">
            <w:pPr>
              <w:spacing w:after="120" w:line="240" w:lineRule="auto"/>
              <w:contextualSpacing/>
              <w:rPr>
                <w:sz w:val="20"/>
                <w:szCs w:val="20"/>
              </w:rPr>
            </w:pPr>
            <w:r w:rsidRPr="005762E6">
              <w:rPr>
                <w:sz w:val="20"/>
                <w:szCs w:val="20"/>
              </w:rPr>
              <w:t>820</w:t>
            </w:r>
          </w:p>
        </w:tc>
        <w:tc>
          <w:tcPr>
            <w:tcW w:w="0" w:type="auto"/>
            <w:tcBorders>
              <w:top w:val="single" w:sz="6" w:space="0" w:color="auto"/>
              <w:left w:val="single" w:sz="6" w:space="0" w:color="auto"/>
              <w:bottom w:val="single" w:sz="6" w:space="0" w:color="auto"/>
              <w:right w:val="single" w:sz="6" w:space="0" w:color="auto"/>
            </w:tcBorders>
          </w:tcPr>
          <w:p w14:paraId="5891ED4D"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1497E02" w14:textId="7D200A7F" w:rsidR="00B44564" w:rsidRPr="005762E6" w:rsidRDefault="00B44564" w:rsidP="00EA69AA">
            <w:pPr>
              <w:spacing w:after="120" w:line="240" w:lineRule="auto"/>
              <w:contextualSpacing/>
              <w:rPr>
                <w:sz w:val="20"/>
                <w:szCs w:val="20"/>
              </w:rPr>
            </w:pPr>
            <w:r w:rsidRPr="005762E6">
              <w:rPr>
                <w:sz w:val="20"/>
                <w:szCs w:val="20"/>
              </w:rPr>
              <w:t>Christian Andreas Arist Von Hehn TRPA1 as a sensory neuronal target of chemical irritants and counterirritants</w:t>
            </w:r>
            <w:r w:rsidR="007F2F01">
              <w:rPr>
                <w:sz w:val="20"/>
                <w:szCs w:val="20"/>
              </w:rPr>
              <w:t>.</w:t>
            </w:r>
            <w:r w:rsidRPr="005762E6">
              <w:rPr>
                <w:sz w:val="20"/>
                <w:szCs w:val="20"/>
              </w:rPr>
              <w:t xml:space="preserve"> Dissertation Abstracts International: Section B: The Sciences and Engineering; </w:t>
            </w:r>
            <w:proofErr w:type="gramStart"/>
            <w:r w:rsidRPr="005762E6">
              <w:rPr>
                <w:sz w:val="20"/>
                <w:szCs w:val="20"/>
              </w:rPr>
              <w:t>2010;71:129</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*Chemicals,​*Neural Receptors,​*Sensory Neurons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Nociceptive sensory neurons are depolarized by noxious mechanical,​ thermal,​ and chemical stimuli. There are countless chemical reagents that can activate polymodal C-fibers. How nociceptors are able to react </w:t>
            </w:r>
            <w:r w:rsidRPr="005762E6">
              <w:rPr>
                <w:sz w:val="20"/>
                <w:szCs w:val="20"/>
              </w:rPr>
              <w:lastRenderedPageBreak/>
              <w:t xml:space="preserve">to so many diverse chemicals is not very well understood. This dissertation provides evidence that the sensory neuronal non-selective ion channel TRPA1 can act as a broad-spectrum irritant receptor. TRPA1 can be activated by four different noxious chemicals that each belong to an important group of chemical irritants: (1) Isovelleral,​ a fungal defense and representative of the large class of the naturally occurring terpene irritants; (2) Hypochlorite,​ a simple strongly oxidizing chemical representative of other oxidants; (3) Isocyanates,​ basic industrial chemicals responsible for the worst chemical accidents in history; (4) Tear gas agents,​ a reactive group of chemicals specifically designed to inflict pain and irritation. </w:t>
            </w:r>
            <w:proofErr w:type="gramStart"/>
            <w:r w:rsidRPr="005762E6">
              <w:rPr>
                <w:sz w:val="20"/>
                <w:szCs w:val="20"/>
              </w:rPr>
              <w:t>Furthermore,​</w:t>
            </w:r>
            <w:proofErr w:type="gramEnd"/>
            <w:r w:rsidRPr="005762E6">
              <w:rPr>
                <w:sz w:val="20"/>
                <w:szCs w:val="20"/>
              </w:rPr>
              <w:t xml:space="preserve"> this dissertation provides evidence that TRPA1 can be inhibited by menthol,​ a terpene alcohol used for centuries as an analgesic and counterirritant. The block of TRPA1 by menthol was put into the context of irritation caused by tobacco </w:t>
            </w:r>
            <w:proofErr w:type="gramStart"/>
            <w:r w:rsidRPr="005762E6">
              <w:rPr>
                <w:sz w:val="20"/>
                <w:szCs w:val="20"/>
              </w:rPr>
              <w:t>smoke,​</w:t>
            </w:r>
            <w:proofErr w:type="gramEnd"/>
            <w:r w:rsidRPr="005762E6">
              <w:rPr>
                <w:sz w:val="20"/>
                <w:szCs w:val="20"/>
              </w:rPr>
              <w:t xml:space="preserve"> showing that menthol content in cigarettes influences markers of smoke inhalation and absorption. In </w:t>
            </w:r>
            <w:proofErr w:type="gramStart"/>
            <w:r w:rsidRPr="005762E6">
              <w:rPr>
                <w:sz w:val="20"/>
                <w:szCs w:val="20"/>
              </w:rPr>
              <w:t>conclusion,​</w:t>
            </w:r>
            <w:proofErr w:type="gramEnd"/>
            <w:r w:rsidRPr="005762E6">
              <w:rPr>
                <w:sz w:val="20"/>
                <w:szCs w:val="20"/>
              </w:rPr>
              <w:t xml:space="preserve"> the results suggest that irritants and toxic constituents in cigarette smoke are inhaled at higher levels in the presence of menthol. (PsycINFO Database Record (c) 2016 </w:t>
            </w:r>
            <w:proofErr w:type="gramStart"/>
            <w:r w:rsidRPr="005762E6">
              <w:rPr>
                <w:sz w:val="20"/>
                <w:szCs w:val="20"/>
              </w:rPr>
              <w:t>APA,​</w:t>
            </w:r>
            <w:proofErr w:type="gramEnd"/>
            <w:r w:rsidRPr="005762E6">
              <w:rPr>
                <w:sz w:val="20"/>
                <w:szCs w:val="20"/>
              </w:rPr>
              <w:t xml:space="preserve"> all rights reserved)</w:t>
            </w:r>
          </w:p>
        </w:tc>
      </w:tr>
      <w:tr w:rsidR="00B44564" w:rsidRPr="005762E6" w14:paraId="686A1079"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D43BA97" w14:textId="77777777" w:rsidR="00B44564" w:rsidRPr="005762E6" w:rsidRDefault="00B44564" w:rsidP="00EA69AA">
            <w:pPr>
              <w:spacing w:after="120" w:line="240" w:lineRule="auto"/>
              <w:contextualSpacing/>
              <w:rPr>
                <w:sz w:val="20"/>
                <w:szCs w:val="20"/>
              </w:rPr>
            </w:pPr>
            <w:r w:rsidRPr="005762E6">
              <w:rPr>
                <w:sz w:val="20"/>
                <w:szCs w:val="20"/>
              </w:rPr>
              <w:lastRenderedPageBreak/>
              <w:t>821</w:t>
            </w:r>
          </w:p>
        </w:tc>
        <w:tc>
          <w:tcPr>
            <w:tcW w:w="0" w:type="auto"/>
            <w:tcBorders>
              <w:top w:val="single" w:sz="6" w:space="0" w:color="auto"/>
              <w:left w:val="single" w:sz="6" w:space="0" w:color="auto"/>
              <w:bottom w:val="single" w:sz="6" w:space="0" w:color="auto"/>
              <w:right w:val="single" w:sz="6" w:space="0" w:color="auto"/>
            </w:tcBorders>
          </w:tcPr>
          <w:p w14:paraId="4A59EEA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7252E31" w14:textId="513FB235" w:rsidR="00B44564" w:rsidRPr="005762E6" w:rsidRDefault="00B44564" w:rsidP="00EA69AA">
            <w:pPr>
              <w:spacing w:after="120" w:line="240" w:lineRule="auto"/>
              <w:contextualSpacing/>
              <w:rPr>
                <w:sz w:val="20"/>
                <w:szCs w:val="20"/>
              </w:rPr>
            </w:pPr>
            <w:r w:rsidRPr="005762E6">
              <w:rPr>
                <w:sz w:val="20"/>
                <w:szCs w:val="20"/>
              </w:rPr>
              <w:t>Stacy L Thorne Association between nicotine dependence as measured by the Heaviness of Smoking Index and types of cigarettes among adults in the United States</w:t>
            </w:r>
            <w:r w:rsidR="007F2F01">
              <w:rPr>
                <w:sz w:val="20"/>
                <w:szCs w:val="20"/>
              </w:rPr>
              <w:t>.</w:t>
            </w:r>
            <w:r w:rsidRPr="005762E6">
              <w:rPr>
                <w:sz w:val="20"/>
                <w:szCs w:val="20"/>
              </w:rPr>
              <w:t xml:space="preserve"> Dissertation Abstracts International: Section B: The Sciences and Engineering; </w:t>
            </w:r>
            <w:proofErr w:type="gramStart"/>
            <w:r w:rsidRPr="005762E6">
              <w:rPr>
                <w:sz w:val="20"/>
                <w:szCs w:val="20"/>
              </w:rPr>
              <w:t>2010;70:7473</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*Nicotine,​*Risk Factors,​*Tobacco Smoking,​Drug Dependency</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Over the last four decades,​ research has shown that cigarette smoking is a risk factor for several chronic diseases and that nicotine is one of many ingredients that make cigarettes addictive. Nicotine dependence has been applied to determine factors that are associated with the negative reinforcement </w:t>
            </w:r>
            <w:proofErr w:type="gramStart"/>
            <w:r w:rsidRPr="005762E6">
              <w:rPr>
                <w:sz w:val="20"/>
                <w:szCs w:val="20"/>
              </w:rPr>
              <w:t>theory,​</w:t>
            </w:r>
            <w:proofErr w:type="gramEnd"/>
            <w:r w:rsidRPr="005762E6">
              <w:rPr>
                <w:sz w:val="20"/>
                <w:szCs w:val="20"/>
              </w:rPr>
              <w:t xml:space="preserve"> however limited studies have determined if the type of cigarette is a contributing factor. This quantitative study used data from the 2001-2004 National Health and Nutrition Examination Survey to examine the association between nicotine </w:t>
            </w:r>
            <w:proofErr w:type="gramStart"/>
            <w:r w:rsidRPr="005762E6">
              <w:rPr>
                <w:sz w:val="20"/>
                <w:szCs w:val="20"/>
              </w:rPr>
              <w:t>dependence,​</w:t>
            </w:r>
            <w:proofErr w:type="gramEnd"/>
            <w:r w:rsidRPr="005762E6">
              <w:rPr>
                <w:sz w:val="20"/>
                <w:szCs w:val="20"/>
              </w:rPr>
              <w:t xml:space="preserve"> as measured by the Heaviness of Smoking index (time of first cigarette and number of cigarettes per day),​ and types of cigarettes as measured by tar,​ nicotine and carbon monoxide content in 2300 smokers. Bivariate analysis showed that a majority of current smokers (57%) were classified as having low nicotine dependence. Logistic regression analysis determined that a majority of the cigarette characteristics were not associated with high nicotine dependence; odds ratios ranged from 1.04 (cigarettes with nicotine levels &gt;=1 mg) to 1.4 (mentholated). </w:t>
            </w:r>
            <w:proofErr w:type="gramStart"/>
            <w:r w:rsidRPr="005762E6">
              <w:rPr>
                <w:sz w:val="20"/>
                <w:szCs w:val="20"/>
              </w:rPr>
              <w:t>However,​</w:t>
            </w:r>
            <w:proofErr w:type="gramEnd"/>
            <w:r w:rsidRPr="005762E6">
              <w:rPr>
                <w:sz w:val="20"/>
                <w:szCs w:val="20"/>
              </w:rPr>
              <w:t xml:space="preserve"> non-Hispanic whites who smoked mentholated cigarettes were significantly more likely to have a high nicotine dependence versus those who did not smoke mentholated cigarettes (OR=1.66). This was also true among males (OR=1.77</w:t>
            </w:r>
            <w:proofErr w:type="gramStart"/>
            <w:r w:rsidRPr="005762E6">
              <w:rPr>
                <w:sz w:val="20"/>
                <w:szCs w:val="20"/>
              </w:rPr>
              <w:t>),​</w:t>
            </w:r>
            <w:proofErr w:type="gramEnd"/>
            <w:r w:rsidRPr="005762E6">
              <w:rPr>
                <w:sz w:val="20"/>
                <w:szCs w:val="20"/>
              </w:rPr>
              <w:t xml:space="preserve"> non-Hispanic blacks (OR =1.84) and Mexican Americans (OR=2.44) who smoked cigarettes &gt;=100mm in length. Through understanding nicotine dependence and its potential variations by types of cigarettes </w:t>
            </w:r>
            <w:proofErr w:type="gramStart"/>
            <w:r w:rsidRPr="005762E6">
              <w:rPr>
                <w:sz w:val="20"/>
                <w:szCs w:val="20"/>
              </w:rPr>
              <w:t>smoked,​</w:t>
            </w:r>
            <w:proofErr w:type="gramEnd"/>
            <w:r w:rsidRPr="005762E6">
              <w:rPr>
                <w:sz w:val="20"/>
                <w:szCs w:val="20"/>
              </w:rPr>
              <w:t xml:space="preserve"> this study provides the foundation for other studies to investigate specific factors related to nicotine dependence among adults. Monitoring of nicotine dependence may be the catalyst for social change in helping collect more precise epidemiological </w:t>
            </w:r>
            <w:proofErr w:type="gramStart"/>
            <w:r w:rsidRPr="005762E6">
              <w:rPr>
                <w:sz w:val="20"/>
                <w:szCs w:val="20"/>
              </w:rPr>
              <w:t>data,​</w:t>
            </w:r>
            <w:proofErr w:type="gramEnd"/>
            <w:r w:rsidRPr="005762E6">
              <w:rPr>
                <w:sz w:val="20"/>
                <w:szCs w:val="20"/>
              </w:rPr>
              <w:t xml:space="preserve"> improve prevention and cessation programs,​ and establish policies for tobacco regulation. (PsycINFO Database Record (c) 2016 </w:t>
            </w:r>
            <w:proofErr w:type="gramStart"/>
            <w:r w:rsidRPr="005762E6">
              <w:rPr>
                <w:sz w:val="20"/>
                <w:szCs w:val="20"/>
              </w:rPr>
              <w:t>APA,​</w:t>
            </w:r>
            <w:proofErr w:type="gramEnd"/>
            <w:r w:rsidRPr="005762E6">
              <w:rPr>
                <w:sz w:val="20"/>
                <w:szCs w:val="20"/>
              </w:rPr>
              <w:t xml:space="preserve"> all rights reserved)</w:t>
            </w:r>
          </w:p>
        </w:tc>
      </w:tr>
      <w:tr w:rsidR="00B44564" w:rsidRPr="005762E6" w14:paraId="3DE7E7B1"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806E9C4" w14:textId="77777777" w:rsidR="00B44564" w:rsidRPr="005762E6" w:rsidRDefault="00B44564" w:rsidP="00EA69AA">
            <w:pPr>
              <w:spacing w:after="120" w:line="240" w:lineRule="auto"/>
              <w:contextualSpacing/>
              <w:rPr>
                <w:sz w:val="20"/>
                <w:szCs w:val="20"/>
              </w:rPr>
            </w:pPr>
            <w:r w:rsidRPr="005762E6">
              <w:rPr>
                <w:sz w:val="20"/>
                <w:szCs w:val="20"/>
              </w:rPr>
              <w:t>822</w:t>
            </w:r>
          </w:p>
        </w:tc>
        <w:tc>
          <w:tcPr>
            <w:tcW w:w="0" w:type="auto"/>
            <w:tcBorders>
              <w:top w:val="single" w:sz="6" w:space="0" w:color="auto"/>
              <w:left w:val="single" w:sz="6" w:space="0" w:color="auto"/>
              <w:bottom w:val="single" w:sz="6" w:space="0" w:color="auto"/>
              <w:right w:val="single" w:sz="6" w:space="0" w:color="auto"/>
            </w:tcBorders>
          </w:tcPr>
          <w:p w14:paraId="4C42EF0D"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ED9A050" w14:textId="13A46FB3" w:rsidR="00B44564" w:rsidRPr="005762E6" w:rsidRDefault="00B44564" w:rsidP="00EA69AA">
            <w:pPr>
              <w:spacing w:after="120" w:line="240" w:lineRule="auto"/>
              <w:contextualSpacing/>
              <w:rPr>
                <w:sz w:val="20"/>
                <w:szCs w:val="20"/>
              </w:rPr>
            </w:pPr>
            <w:r w:rsidRPr="005762E6">
              <w:rPr>
                <w:sz w:val="20"/>
                <w:szCs w:val="20"/>
              </w:rPr>
              <w:t>Brian P Flaherty Latent class and mixture models' potential contributions to understanding connections between menthol and other cigarette smoking characteristics</w:t>
            </w:r>
            <w:r w:rsidR="007F2F01">
              <w:rPr>
                <w:sz w:val="20"/>
                <w:szCs w:val="20"/>
              </w:rPr>
              <w:t>.</w:t>
            </w:r>
            <w:r w:rsidRPr="005762E6">
              <w:rPr>
                <w:sz w:val="20"/>
                <w:szCs w:val="20"/>
              </w:rPr>
              <w:t xml:space="preserve"> Addiction; </w:t>
            </w:r>
            <w:proofErr w:type="gramStart"/>
            <w:r w:rsidRPr="005762E6">
              <w:rPr>
                <w:sz w:val="20"/>
                <w:szCs w:val="20"/>
              </w:rPr>
              <w:t>2010;105:11</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*Addiction,​*Statistical Analysis,​*Tobacco Smoking,​Models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Recent advances in computation have greatly broadened the range of statistical models researchers may consider for their work. To the extent that a statistical model is a possible representation of phenomena of interest and a possible representation of the data-generating </w:t>
            </w:r>
            <w:proofErr w:type="gramStart"/>
            <w:r w:rsidRPr="005762E6">
              <w:rPr>
                <w:sz w:val="20"/>
                <w:szCs w:val="20"/>
              </w:rPr>
              <w:t>mechanism,​</w:t>
            </w:r>
            <w:proofErr w:type="gramEnd"/>
            <w:r w:rsidRPr="005762E6">
              <w:rPr>
                <w:sz w:val="20"/>
                <w:szCs w:val="20"/>
              </w:rPr>
              <w:t xml:space="preserve"> this expansion of the range of specifiable models correspondingly opens new opportunities for theory development,​ modeling and testing. That </w:t>
            </w:r>
            <w:proofErr w:type="gramStart"/>
            <w:r w:rsidRPr="005762E6">
              <w:rPr>
                <w:sz w:val="20"/>
                <w:szCs w:val="20"/>
              </w:rPr>
              <w:t>is,​</w:t>
            </w:r>
            <w:proofErr w:type="gramEnd"/>
            <w:r w:rsidRPr="005762E6">
              <w:rPr>
                <w:sz w:val="20"/>
                <w:szCs w:val="20"/>
              </w:rPr>
              <w:t xml:space="preserve"> new statistical models may lead to new research questions. Scientific areas that have proven difficult to clarify with standard approaches may be well suited for examination with new methodologies. </w:t>
            </w:r>
            <w:proofErr w:type="gramStart"/>
            <w:r w:rsidRPr="005762E6">
              <w:rPr>
                <w:sz w:val="20"/>
                <w:szCs w:val="20"/>
              </w:rPr>
              <w:t>Historically,​</w:t>
            </w:r>
            <w:proofErr w:type="gramEnd"/>
            <w:r w:rsidRPr="005762E6">
              <w:rPr>
                <w:sz w:val="20"/>
                <w:szCs w:val="20"/>
              </w:rPr>
              <w:t xml:space="preserve"> this single population model assumption was untestable. </w:t>
            </w:r>
            <w:proofErr w:type="gramStart"/>
            <w:r w:rsidRPr="005762E6">
              <w:rPr>
                <w:sz w:val="20"/>
                <w:szCs w:val="20"/>
              </w:rPr>
              <w:t>However,​</w:t>
            </w:r>
            <w:proofErr w:type="gramEnd"/>
            <w:r w:rsidRPr="005762E6">
              <w:rPr>
                <w:sz w:val="20"/>
                <w:szCs w:val="20"/>
              </w:rPr>
              <w:t xml:space="preserve"> a broad class of statistical models allowing </w:t>
            </w:r>
            <w:r w:rsidRPr="005762E6">
              <w:rPr>
                <w:sz w:val="20"/>
                <w:szCs w:val="20"/>
              </w:rPr>
              <w:lastRenderedPageBreak/>
              <w:t xml:space="preserve">one to examine this assumption has and continues to be developed. Tobacco researchers have long discussed different types of smokers. Class or categorical models of tobacco use progression are popular. In addition to these different types of </w:t>
            </w:r>
            <w:proofErr w:type="gramStart"/>
            <w:r w:rsidRPr="005762E6">
              <w:rPr>
                <w:sz w:val="20"/>
                <w:szCs w:val="20"/>
              </w:rPr>
              <w:t>smokers,​</w:t>
            </w:r>
            <w:proofErr w:type="gramEnd"/>
            <w:r w:rsidRPr="005762E6">
              <w:rPr>
                <w:sz w:val="20"/>
                <w:szCs w:val="20"/>
              </w:rPr>
              <w:t xml:space="preserve"> group differences in smoking have been identified across demographic and other social categories. Latent Class (LC) models may provide a more refined characterization of tobacco </w:t>
            </w:r>
            <w:proofErr w:type="gramStart"/>
            <w:r w:rsidRPr="005762E6">
              <w:rPr>
                <w:sz w:val="20"/>
                <w:szCs w:val="20"/>
              </w:rPr>
              <w:t>use,​</w:t>
            </w:r>
            <w:proofErr w:type="gramEnd"/>
            <w:r w:rsidRPr="005762E6">
              <w:rPr>
                <w:sz w:val="20"/>
                <w:szCs w:val="20"/>
              </w:rPr>
              <w:t xml:space="preserve"> empirically identifying common patterns between and within populations. </w:t>
            </w:r>
            <w:proofErr w:type="gramStart"/>
            <w:r w:rsidRPr="005762E6">
              <w:rPr>
                <w:sz w:val="20"/>
                <w:szCs w:val="20"/>
              </w:rPr>
              <w:t>If,​</w:t>
            </w:r>
            <w:proofErr w:type="gramEnd"/>
            <w:r w:rsidRPr="005762E6">
              <w:rPr>
                <w:sz w:val="20"/>
                <w:szCs w:val="20"/>
              </w:rPr>
              <w:t xml:space="preserve"> in fact,​ associations between covariates and outcomes differ across demographic groups and/or smoking patterns,​ LC models are a natural step forward. (PsycINFO Database Record (c) 2016 </w:t>
            </w:r>
            <w:proofErr w:type="gramStart"/>
            <w:r w:rsidRPr="005762E6">
              <w:rPr>
                <w:sz w:val="20"/>
                <w:szCs w:val="20"/>
              </w:rPr>
              <w:t>APA,​</w:t>
            </w:r>
            <w:proofErr w:type="gramEnd"/>
            <w:r w:rsidRPr="005762E6">
              <w:rPr>
                <w:sz w:val="20"/>
                <w:szCs w:val="20"/>
              </w:rPr>
              <w:t xml:space="preserve"> all rights reserved)</w:t>
            </w:r>
          </w:p>
        </w:tc>
      </w:tr>
      <w:tr w:rsidR="00B44564" w:rsidRPr="005762E6" w14:paraId="35E10A75"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04B047D9" w14:textId="77777777" w:rsidR="00B44564" w:rsidRPr="005762E6" w:rsidRDefault="00B44564" w:rsidP="00EA69AA">
            <w:pPr>
              <w:spacing w:after="120" w:line="240" w:lineRule="auto"/>
              <w:contextualSpacing/>
              <w:rPr>
                <w:sz w:val="20"/>
                <w:szCs w:val="20"/>
              </w:rPr>
            </w:pPr>
            <w:r w:rsidRPr="005762E6">
              <w:rPr>
                <w:sz w:val="20"/>
                <w:szCs w:val="20"/>
              </w:rPr>
              <w:lastRenderedPageBreak/>
              <w:t>825</w:t>
            </w:r>
          </w:p>
        </w:tc>
        <w:tc>
          <w:tcPr>
            <w:tcW w:w="0" w:type="auto"/>
            <w:tcBorders>
              <w:top w:val="single" w:sz="6" w:space="0" w:color="auto"/>
              <w:left w:val="single" w:sz="6" w:space="0" w:color="auto"/>
              <w:bottom w:val="single" w:sz="6" w:space="0" w:color="auto"/>
              <w:right w:val="single" w:sz="6" w:space="0" w:color="auto"/>
            </w:tcBorders>
          </w:tcPr>
          <w:p w14:paraId="79C0FB70"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7B7AECF2" w14:textId="77777777" w:rsidR="00B44564" w:rsidRPr="005762E6" w:rsidRDefault="00B44564" w:rsidP="00EA69AA">
            <w:pPr>
              <w:spacing w:after="120" w:line="240" w:lineRule="auto"/>
              <w:contextualSpacing/>
              <w:rPr>
                <w:sz w:val="20"/>
                <w:szCs w:val="20"/>
              </w:rPr>
            </w:pPr>
            <w:r w:rsidRPr="005762E6">
              <w:rPr>
                <w:sz w:val="20"/>
                <w:szCs w:val="20"/>
              </w:rPr>
              <w:t xml:space="preserve">Kolawole S </w:t>
            </w:r>
            <w:proofErr w:type="gramStart"/>
            <w:r w:rsidRPr="005762E6">
              <w:rPr>
                <w:sz w:val="20"/>
                <w:szCs w:val="20"/>
              </w:rPr>
              <w:t>Okuyemi,​</w:t>
            </w:r>
            <w:proofErr w:type="gramEnd"/>
            <w:r w:rsidRPr="005762E6">
              <w:rPr>
                <w:sz w:val="20"/>
                <w:szCs w:val="20"/>
              </w:rPr>
              <w:t xml:space="preserve"> Deirdre Lawrence,​ George Hammons,​ Linda A Alexander Use of mentholated cigarettes: What can we learn from national data sets?. Addiction; 2010;105:1.</w:t>
            </w:r>
            <w:r w:rsidRPr="005762E6">
              <w:rPr>
                <w:sz w:val="20"/>
                <w:szCs w:val="20"/>
              </w:rPr>
              <w:br/>
            </w:r>
            <w:r w:rsidRPr="005762E6">
              <w:rPr>
                <w:sz w:val="20"/>
                <w:szCs w:val="20"/>
              </w:rPr>
              <w:br/>
            </w:r>
            <w:r w:rsidRPr="005762E6">
              <w:rPr>
                <w:b/>
                <w:bCs/>
                <w:sz w:val="20"/>
                <w:szCs w:val="20"/>
              </w:rPr>
              <w:t>Keywords:</w:t>
            </w:r>
            <w:r w:rsidRPr="005762E6">
              <w:rPr>
                <w:sz w:val="20"/>
                <w:szCs w:val="20"/>
              </w:rPr>
              <w:br/>
              <w:t>*Addiction,​*Health,​*Tobacco Smoking,​Policy Making,​Data Sets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This Supplement,​ entitled 'Mentholated cigarettes: usage patterns,​ cessation behaviors,​ policy protection and health profiles',​ marks the second Addiction supplement and fifth journal supplement and/or special journal issue published by the Tobacco Research Network on Disparities (TReND) with a focus on tobacco's detrimental influence on populations that experience tobacco-related inequalities. Approximately one-fourth of all cigarettes sold in the United States are mentholated. Menthol cigarettes are used commonly by </w:t>
            </w:r>
            <w:proofErr w:type="gramStart"/>
            <w:r w:rsidRPr="005762E6">
              <w:rPr>
                <w:sz w:val="20"/>
                <w:szCs w:val="20"/>
              </w:rPr>
              <w:t>new,​</w:t>
            </w:r>
            <w:proofErr w:type="gramEnd"/>
            <w:r w:rsidRPr="005762E6">
              <w:rPr>
                <w:sz w:val="20"/>
                <w:szCs w:val="20"/>
              </w:rPr>
              <w:t xml:space="preserve"> young smokers of all racial/ethnic groups with the overwhelming majority of African American smokers (~80%) smoking mentholated cigarettes. In </w:t>
            </w:r>
            <w:proofErr w:type="gramStart"/>
            <w:r w:rsidRPr="005762E6">
              <w:rPr>
                <w:sz w:val="20"/>
                <w:szCs w:val="20"/>
              </w:rPr>
              <w:t>2002,​</w:t>
            </w:r>
            <w:proofErr w:type="gramEnd"/>
            <w:r w:rsidRPr="005762E6">
              <w:rPr>
                <w:sz w:val="20"/>
                <w:szCs w:val="20"/>
              </w:rPr>
              <w:t xml:space="preserve"> the National Cancer Institute (NCI) and Centers for Disease Control and Prevention (CDC) collaborated to host the First Conference on Menthol Cigarettes: Setting the Research Agenda. The 11 original papers in this supplemental issue of Addiction include quantitative secondary data analyses of national survey data in the United States. Taken </w:t>
            </w:r>
            <w:proofErr w:type="gramStart"/>
            <w:r w:rsidRPr="005762E6">
              <w:rPr>
                <w:sz w:val="20"/>
                <w:szCs w:val="20"/>
              </w:rPr>
              <w:t>together,​</w:t>
            </w:r>
            <w:proofErr w:type="gramEnd"/>
            <w:r w:rsidRPr="005762E6">
              <w:rPr>
                <w:sz w:val="20"/>
                <w:szCs w:val="20"/>
              </w:rPr>
              <w:t xml:space="preserve"> the papers in this supplement present exciting findings,​ drawing on large national data sets to examine further the role of menthol smoking patterns,​ nicotine dependence,​ smoke-free policies,​ smoking cessation and short-term health effects. (PsycINFO Database Record (c) 2016 </w:t>
            </w:r>
            <w:proofErr w:type="gramStart"/>
            <w:r w:rsidRPr="005762E6">
              <w:rPr>
                <w:sz w:val="20"/>
                <w:szCs w:val="20"/>
              </w:rPr>
              <w:t>APA,​</w:t>
            </w:r>
            <w:proofErr w:type="gramEnd"/>
            <w:r w:rsidRPr="005762E6">
              <w:rPr>
                <w:sz w:val="20"/>
                <w:szCs w:val="20"/>
              </w:rPr>
              <w:t xml:space="preserve"> all rights reserved)</w:t>
            </w:r>
          </w:p>
        </w:tc>
      </w:tr>
      <w:tr w:rsidR="00B44564" w:rsidRPr="005762E6" w14:paraId="1CD1E251"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55AFECD" w14:textId="77777777" w:rsidR="00B44564" w:rsidRPr="005762E6" w:rsidRDefault="00B44564" w:rsidP="00EA69AA">
            <w:pPr>
              <w:spacing w:after="120" w:line="240" w:lineRule="auto"/>
              <w:contextualSpacing/>
              <w:rPr>
                <w:sz w:val="20"/>
                <w:szCs w:val="20"/>
              </w:rPr>
            </w:pPr>
            <w:r w:rsidRPr="005762E6">
              <w:rPr>
                <w:sz w:val="20"/>
                <w:szCs w:val="20"/>
              </w:rPr>
              <w:t>826</w:t>
            </w:r>
          </w:p>
        </w:tc>
        <w:tc>
          <w:tcPr>
            <w:tcW w:w="0" w:type="auto"/>
            <w:tcBorders>
              <w:top w:val="single" w:sz="6" w:space="0" w:color="auto"/>
              <w:left w:val="single" w:sz="6" w:space="0" w:color="auto"/>
              <w:bottom w:val="single" w:sz="6" w:space="0" w:color="auto"/>
              <w:right w:val="single" w:sz="6" w:space="0" w:color="auto"/>
            </w:tcBorders>
          </w:tcPr>
          <w:p w14:paraId="5EEDBF3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1CD520F" w14:textId="265DF4B4" w:rsidR="00B44564" w:rsidRPr="005762E6" w:rsidRDefault="00B44564" w:rsidP="00EA69AA">
            <w:pPr>
              <w:spacing w:after="120" w:line="240" w:lineRule="auto"/>
              <w:contextualSpacing/>
              <w:rPr>
                <w:sz w:val="20"/>
                <w:szCs w:val="20"/>
              </w:rPr>
            </w:pPr>
            <w:r w:rsidRPr="005762E6">
              <w:rPr>
                <w:sz w:val="20"/>
                <w:szCs w:val="20"/>
              </w:rPr>
              <w:t>William Anthony Garner The color of smoke: An examination of the relationship between menthol cigarettes and youth smoking</w:t>
            </w:r>
            <w:r w:rsidR="007F2F01">
              <w:rPr>
                <w:sz w:val="20"/>
                <w:szCs w:val="20"/>
              </w:rPr>
              <w:t>.</w:t>
            </w:r>
            <w:r w:rsidRPr="005762E6">
              <w:rPr>
                <w:sz w:val="20"/>
                <w:szCs w:val="20"/>
              </w:rPr>
              <w:t xml:space="preserve"> Dissertation Abstracts International: Section B: The Sciences and Engineering; </w:t>
            </w:r>
            <w:proofErr w:type="gramStart"/>
            <w:r w:rsidRPr="005762E6">
              <w:rPr>
                <w:sz w:val="20"/>
                <w:szCs w:val="20"/>
              </w:rPr>
              <w:t>2009;70:2243</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*Demographic Characteristics,​*Tobacco Smoking</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Background. Research on the use and effect of menthol content in cigarettes is well established. More recent is research on the effect of menthol content on the smoking habits of school-aged youth. This study examined the relationship between menthol content and current cigarette use to test whether menthol content is predictive of current cigarette use among school-aged youth. Methods. This study included all respondents to the 2004 National Youth Tobacco Survey who were 17 years old and younger and who indicated they were current smokers. Ordinal and generalized logistic regressions were used to estimate the relationship between menthol content and current cigarette </w:t>
            </w:r>
            <w:proofErr w:type="gramStart"/>
            <w:r w:rsidRPr="005762E6">
              <w:rPr>
                <w:sz w:val="20"/>
                <w:szCs w:val="20"/>
              </w:rPr>
              <w:t>use,​</w:t>
            </w:r>
            <w:proofErr w:type="gramEnd"/>
            <w:r w:rsidRPr="005762E6">
              <w:rPr>
                <w:sz w:val="20"/>
                <w:szCs w:val="20"/>
              </w:rPr>
              <w:t xml:space="preserve"> controlling for sociocontextual and demographic factors. All analyses were performed in STATA 10. Results. In </w:t>
            </w:r>
            <w:proofErr w:type="gramStart"/>
            <w:r w:rsidRPr="005762E6">
              <w:rPr>
                <w:sz w:val="20"/>
                <w:szCs w:val="20"/>
              </w:rPr>
              <w:t>general,​</w:t>
            </w:r>
            <w:proofErr w:type="gramEnd"/>
            <w:r w:rsidRPr="005762E6">
              <w:rPr>
                <w:sz w:val="20"/>
                <w:szCs w:val="20"/>
              </w:rPr>
              <w:t xml:space="preserve"> menthol content has a positive but not statistically significant effect on current cigarette use,​ controlling for sociocontextual factors. </w:t>
            </w:r>
            <w:proofErr w:type="gramStart"/>
            <w:r w:rsidRPr="005762E6">
              <w:rPr>
                <w:sz w:val="20"/>
                <w:szCs w:val="20"/>
              </w:rPr>
              <w:t>However,​</w:t>
            </w:r>
            <w:proofErr w:type="gramEnd"/>
            <w:r w:rsidRPr="005762E6">
              <w:rPr>
                <w:sz w:val="20"/>
                <w:szCs w:val="20"/>
              </w:rPr>
              <w:t xml:space="preserve"> menthol content has a positive and statistically significant effect on days smoked (OR=1.2; p=0.046),​ on current cigarette use,​ controlling for demographic factors (OR=1.3; p=0.011); and on current cigarette use for light smokers (OR=1.3; p&lt;0.001) and heavy smokers (OR=2.3; p&lt;0.001),​ controlling for demographic factors. Conclusion. More research is needed to understand the true effect of menthol content on the smoking habits of school-aged youth across the smoking continuum. (PsycINFO Database Record (c) 2016 </w:t>
            </w:r>
            <w:proofErr w:type="gramStart"/>
            <w:r w:rsidRPr="005762E6">
              <w:rPr>
                <w:sz w:val="20"/>
                <w:szCs w:val="20"/>
              </w:rPr>
              <w:t>APA,​</w:t>
            </w:r>
            <w:proofErr w:type="gramEnd"/>
            <w:r w:rsidRPr="005762E6">
              <w:rPr>
                <w:sz w:val="20"/>
                <w:szCs w:val="20"/>
              </w:rPr>
              <w:t xml:space="preserve"> all rights reserved)</w:t>
            </w:r>
          </w:p>
        </w:tc>
      </w:tr>
      <w:tr w:rsidR="00B44564" w:rsidRPr="005762E6" w14:paraId="4236B451"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AE4013D" w14:textId="77777777" w:rsidR="00B44564" w:rsidRPr="005762E6" w:rsidRDefault="00B44564" w:rsidP="00EA69AA">
            <w:pPr>
              <w:spacing w:after="120" w:line="240" w:lineRule="auto"/>
              <w:contextualSpacing/>
              <w:rPr>
                <w:sz w:val="20"/>
                <w:szCs w:val="20"/>
              </w:rPr>
            </w:pPr>
            <w:r w:rsidRPr="005762E6">
              <w:rPr>
                <w:sz w:val="20"/>
                <w:szCs w:val="20"/>
              </w:rPr>
              <w:t>832</w:t>
            </w:r>
          </w:p>
        </w:tc>
        <w:tc>
          <w:tcPr>
            <w:tcW w:w="0" w:type="auto"/>
            <w:tcBorders>
              <w:top w:val="single" w:sz="6" w:space="0" w:color="auto"/>
              <w:left w:val="single" w:sz="6" w:space="0" w:color="auto"/>
              <w:bottom w:val="single" w:sz="6" w:space="0" w:color="auto"/>
              <w:right w:val="single" w:sz="6" w:space="0" w:color="auto"/>
            </w:tcBorders>
          </w:tcPr>
          <w:p w14:paraId="58104365"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2F6696A" w14:textId="77777777" w:rsidR="00B44564" w:rsidRPr="005762E6" w:rsidRDefault="00B44564" w:rsidP="00EA69AA">
            <w:pPr>
              <w:spacing w:after="120" w:line="240" w:lineRule="auto"/>
              <w:contextualSpacing/>
              <w:rPr>
                <w:sz w:val="20"/>
                <w:szCs w:val="20"/>
              </w:rPr>
            </w:pPr>
            <w:r w:rsidRPr="005762E6">
              <w:rPr>
                <w:sz w:val="20"/>
                <w:szCs w:val="20"/>
              </w:rPr>
              <w:t>Richard Hebert What's New in Nicotine &amp; Tobacco Research?. Nicotine &amp; Tobacco Research; 2004;</w:t>
            </w:r>
            <w:proofErr w:type="gramStart"/>
            <w:r w:rsidRPr="005762E6">
              <w:rPr>
                <w:sz w:val="20"/>
                <w:szCs w:val="20"/>
              </w:rPr>
              <w:t>6:S</w:t>
            </w:r>
            <w:proofErr w:type="gramEnd"/>
            <w:r w:rsidRPr="005762E6">
              <w:rPr>
                <w:sz w:val="20"/>
                <w:szCs w:val="20"/>
              </w:rPr>
              <w:t>1.</w:t>
            </w:r>
            <w:r w:rsidRPr="005762E6">
              <w:rPr>
                <w:sz w:val="20"/>
                <w:szCs w:val="20"/>
              </w:rPr>
              <w:br/>
            </w:r>
            <w:r w:rsidRPr="005762E6">
              <w:rPr>
                <w:sz w:val="20"/>
                <w:szCs w:val="20"/>
              </w:rPr>
              <w:br/>
            </w:r>
            <w:r w:rsidRPr="005762E6">
              <w:rPr>
                <w:b/>
                <w:bCs/>
                <w:sz w:val="20"/>
                <w:szCs w:val="20"/>
              </w:rPr>
              <w:t>Keywords:</w:t>
            </w:r>
            <w:r w:rsidRPr="005762E6">
              <w:rPr>
                <w:sz w:val="20"/>
                <w:szCs w:val="20"/>
              </w:rPr>
              <w:br/>
              <w:t>*Drug Addiction,​*Nicotine,​*Pharmacology,​*Tobacco Smoking,​*Toxicity</w:t>
            </w:r>
            <w:r w:rsidRPr="005762E6">
              <w:rPr>
                <w:sz w:val="20"/>
                <w:szCs w:val="20"/>
              </w:rPr>
              <w:br/>
            </w:r>
            <w:r w:rsidRPr="005762E6">
              <w:rPr>
                <w:sz w:val="20"/>
                <w:szCs w:val="20"/>
              </w:rPr>
              <w:lastRenderedPageBreak/>
              <w:br/>
            </w:r>
            <w:r w:rsidRPr="005762E6">
              <w:rPr>
                <w:b/>
                <w:bCs/>
                <w:sz w:val="20"/>
                <w:szCs w:val="20"/>
              </w:rPr>
              <w:t xml:space="preserve">Abstract: </w:t>
            </w:r>
            <w:r w:rsidRPr="005762E6">
              <w:rPr>
                <w:sz w:val="20"/>
                <w:szCs w:val="20"/>
              </w:rPr>
              <w:t xml:space="preserve">Cigarettes have about 600 ingredients,​ but menthol is the only one the tobacco industry advertises and about which consumers make conscious buying choice. Adding menthol to cigarettes may contribute to tobacco-related disease and death in many ways. It is important to address not only the pharmacology of menthol inhaled by way of cigarette </w:t>
            </w:r>
            <w:proofErr w:type="gramStart"/>
            <w:r w:rsidRPr="005762E6">
              <w:rPr>
                <w:sz w:val="20"/>
                <w:szCs w:val="20"/>
              </w:rPr>
              <w:t>smoke,​</w:t>
            </w:r>
            <w:proofErr w:type="gramEnd"/>
            <w:r w:rsidRPr="005762E6">
              <w:rPr>
                <w:sz w:val="20"/>
                <w:szCs w:val="20"/>
              </w:rPr>
              <w:t xml:space="preserve"> but also to address how the pharmacology of the smoke is changed by the addition of menthol. A strong science base will be essential for informing public health and regulatory policies. This can be achieved only by harnessing the resources of a broad range of government and nongovernment research agencies. It is known that menthol smokers have higher nicotine </w:t>
            </w:r>
            <w:proofErr w:type="gramStart"/>
            <w:r w:rsidRPr="005762E6">
              <w:rPr>
                <w:sz w:val="20"/>
                <w:szCs w:val="20"/>
              </w:rPr>
              <w:t>dependence,​</w:t>
            </w:r>
            <w:proofErr w:type="gramEnd"/>
            <w:r w:rsidRPr="005762E6">
              <w:rPr>
                <w:sz w:val="20"/>
                <w:szCs w:val="20"/>
              </w:rPr>
              <w:t xml:space="preserve"> and that African American smokers are both three times more likely than Whites to prefer mentholated cigarettes and have lower quit rates. Might menthol be playing a part in their addiction. Preliminary findings suggest that adolescents who smoke mentholated brands get more enjoyment and make fewer quit attempts than do young nonmenthol smokers. Given the relationship between daily smoking during youth and later difficulty </w:t>
            </w:r>
            <w:proofErr w:type="gramStart"/>
            <w:r w:rsidRPr="005762E6">
              <w:rPr>
                <w:sz w:val="20"/>
                <w:szCs w:val="20"/>
              </w:rPr>
              <w:t>quitting,​</w:t>
            </w:r>
            <w:proofErr w:type="gramEnd"/>
            <w:r w:rsidRPr="005762E6">
              <w:rPr>
                <w:sz w:val="20"/>
                <w:szCs w:val="20"/>
              </w:rPr>
              <w:t xml:space="preserve"> it's possible that smoking menthols makes it even harder for them to quit and increases the adverse health effects (PsycINFO Database Record (c) 2016 APA,​ all rights reserved)</w:t>
            </w:r>
          </w:p>
        </w:tc>
      </w:tr>
      <w:tr w:rsidR="00B44564" w:rsidRPr="005762E6" w14:paraId="22447707"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47B052BB" w14:textId="77777777" w:rsidR="00B44564" w:rsidRPr="005762E6" w:rsidRDefault="00B44564" w:rsidP="00EA69AA">
            <w:pPr>
              <w:spacing w:after="120" w:line="240" w:lineRule="auto"/>
              <w:contextualSpacing/>
              <w:rPr>
                <w:sz w:val="20"/>
                <w:szCs w:val="20"/>
              </w:rPr>
            </w:pPr>
            <w:r w:rsidRPr="005762E6">
              <w:rPr>
                <w:sz w:val="20"/>
                <w:szCs w:val="20"/>
              </w:rPr>
              <w:lastRenderedPageBreak/>
              <w:t>836</w:t>
            </w:r>
          </w:p>
        </w:tc>
        <w:tc>
          <w:tcPr>
            <w:tcW w:w="0" w:type="auto"/>
            <w:tcBorders>
              <w:top w:val="single" w:sz="6" w:space="0" w:color="auto"/>
              <w:left w:val="single" w:sz="6" w:space="0" w:color="auto"/>
              <w:bottom w:val="single" w:sz="6" w:space="0" w:color="auto"/>
              <w:right w:val="single" w:sz="6" w:space="0" w:color="auto"/>
            </w:tcBorders>
          </w:tcPr>
          <w:p w14:paraId="5262AF77"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EF258C6" w14:textId="7D816C96" w:rsidR="00B44564" w:rsidRPr="005762E6" w:rsidRDefault="00B44564" w:rsidP="00EA69AA">
            <w:pPr>
              <w:spacing w:after="120" w:line="240" w:lineRule="auto"/>
              <w:contextualSpacing/>
              <w:rPr>
                <w:sz w:val="20"/>
                <w:szCs w:val="20"/>
              </w:rPr>
            </w:pPr>
            <w:r w:rsidRPr="005762E6">
              <w:rPr>
                <w:sz w:val="20"/>
                <w:szCs w:val="20"/>
              </w:rPr>
              <w:t xml:space="preserve">Wallace B </w:t>
            </w:r>
            <w:proofErr w:type="gramStart"/>
            <w:r w:rsidRPr="005762E6">
              <w:rPr>
                <w:sz w:val="20"/>
                <w:szCs w:val="20"/>
              </w:rPr>
              <w:t>Pickworth,​</w:t>
            </w:r>
            <w:proofErr w:type="gramEnd"/>
            <w:r w:rsidRPr="005762E6">
              <w:rPr>
                <w:sz w:val="20"/>
                <w:szCs w:val="20"/>
              </w:rPr>
              <w:t xml:space="preserve"> Reginald V Fant,​ Richard A Nelson,​ Melissa S Rohrer,​ Jack E Henningfield Pharmacodynamic effects of new de-nicotinized cigarettes</w:t>
            </w:r>
            <w:r w:rsidR="007F2F01">
              <w:rPr>
                <w:sz w:val="20"/>
                <w:szCs w:val="20"/>
              </w:rPr>
              <w:t>.</w:t>
            </w:r>
            <w:r w:rsidRPr="005762E6">
              <w:rPr>
                <w:sz w:val="20"/>
                <w:szCs w:val="20"/>
              </w:rPr>
              <w:t xml:space="preserve"> Nicotine &amp; Tobacco Research; </w:t>
            </w:r>
            <w:proofErr w:type="gramStart"/>
            <w:r w:rsidRPr="005762E6">
              <w:rPr>
                <w:sz w:val="20"/>
                <w:szCs w:val="20"/>
              </w:rPr>
              <w:t>1999;1:357</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*Experimentation,​*Nicotine,​*Pharmacology,​*Tobacco Smoking,​Brand Preferences,​Choice Behavior</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The effects of cigarette smoking result from the delivery of nicotine,​ other components of smoke,​ and sensory stimulation. In the present </w:t>
            </w:r>
            <w:proofErr w:type="gramStart"/>
            <w:r w:rsidRPr="005762E6">
              <w:rPr>
                <w:sz w:val="20"/>
                <w:szCs w:val="20"/>
              </w:rPr>
              <w:t>study,​</w:t>
            </w:r>
            <w:proofErr w:type="gramEnd"/>
            <w:r w:rsidRPr="005762E6">
              <w:rPr>
                <w:sz w:val="20"/>
                <w:szCs w:val="20"/>
              </w:rPr>
              <w:t xml:space="preserve"> pharmacological effects of new tobacco-derived de-nicotinized cigarettes (controls) were compared with standard cigarettes. The de-nicotinized cigarettes had the </w:t>
            </w:r>
            <w:proofErr w:type="gramStart"/>
            <w:r w:rsidRPr="005762E6">
              <w:rPr>
                <w:sz w:val="20"/>
                <w:szCs w:val="20"/>
              </w:rPr>
              <w:t>appearance,​</w:t>
            </w:r>
            <w:proofErr w:type="gramEnd"/>
            <w:r w:rsidRPr="005762E6">
              <w:rPr>
                <w:sz w:val="20"/>
                <w:szCs w:val="20"/>
              </w:rPr>
              <w:t xml:space="preserve"> draw and taste of standard cigarettes but contained and delivered virtually no nicotine,​ but delivered tar and carbon monoxide (CO). They were compared with cigarettes that delivered </w:t>
            </w:r>
            <w:proofErr w:type="gramStart"/>
            <w:r w:rsidRPr="005762E6">
              <w:rPr>
                <w:sz w:val="20"/>
                <w:szCs w:val="20"/>
              </w:rPr>
              <w:t>nicotine,​</w:t>
            </w:r>
            <w:proofErr w:type="gramEnd"/>
            <w:r w:rsidRPr="005762E6">
              <w:rPr>
                <w:sz w:val="20"/>
                <w:szCs w:val="20"/>
              </w:rPr>
              <w:t xml:space="preserve"> CO and tar. 20 Ss (10 </w:t>
            </w:r>
            <w:proofErr w:type="gramStart"/>
            <w:r w:rsidRPr="005762E6">
              <w:rPr>
                <w:sz w:val="20"/>
                <w:szCs w:val="20"/>
              </w:rPr>
              <w:t>men,​</w:t>
            </w:r>
            <w:proofErr w:type="gramEnd"/>
            <w:r w:rsidRPr="005762E6">
              <w:rPr>
                <w:sz w:val="20"/>
                <w:szCs w:val="20"/>
              </w:rPr>
              <w:t xml:space="preserve"> 10 women; aged 23-41 yrs) participated in 4 experimental sessions in which they smoked either a standard cigarette or a de-nicotinized cigarette after either 3 or 12 h of tobacco deprivation. Heart </w:t>
            </w:r>
            <w:proofErr w:type="gramStart"/>
            <w:r w:rsidRPr="005762E6">
              <w:rPr>
                <w:sz w:val="20"/>
                <w:szCs w:val="20"/>
              </w:rPr>
              <w:t>rate,​</w:t>
            </w:r>
            <w:proofErr w:type="gramEnd"/>
            <w:r w:rsidRPr="005762E6">
              <w:rPr>
                <w:sz w:val="20"/>
                <w:szCs w:val="20"/>
              </w:rPr>
              <w:t xml:space="preserve"> blood pressure,​ and EEG were recorded before,​ and for 1 h after,​ ad lib smoking. Plasma nicotine concentrations verified that de-nicotinized cigarettes did not deliver nicotine. The de-nicotinized cigarettes did not increase heart rate or activate the EEG. The Ss preferred the cigarettes that delivered nicotine compared to the de-nicotinized cigarettes. </w:t>
            </w:r>
            <w:proofErr w:type="gramStart"/>
            <w:r w:rsidRPr="005762E6">
              <w:rPr>
                <w:sz w:val="20"/>
                <w:szCs w:val="20"/>
              </w:rPr>
              <w:t>However,​</w:t>
            </w:r>
            <w:proofErr w:type="gramEnd"/>
            <w:r w:rsidRPr="005762E6">
              <w:rPr>
                <w:sz w:val="20"/>
                <w:szCs w:val="20"/>
              </w:rPr>
              <w:t xml:space="preserve"> both types of cigarettes reduced subjective measures of tobacco craving and withdrawal. (PsycINFO Database Record (c) 2016 </w:t>
            </w:r>
            <w:proofErr w:type="gramStart"/>
            <w:r w:rsidRPr="005762E6">
              <w:rPr>
                <w:sz w:val="20"/>
                <w:szCs w:val="20"/>
              </w:rPr>
              <w:t>APA,​</w:t>
            </w:r>
            <w:proofErr w:type="gramEnd"/>
            <w:r w:rsidRPr="005762E6">
              <w:rPr>
                <w:sz w:val="20"/>
                <w:szCs w:val="20"/>
              </w:rPr>
              <w:t xml:space="preserve"> all rights reserved)</w:t>
            </w:r>
          </w:p>
        </w:tc>
      </w:tr>
      <w:tr w:rsidR="00B44564" w:rsidRPr="005762E6" w14:paraId="676D8851"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7970BE1" w14:textId="77777777" w:rsidR="00B44564" w:rsidRPr="005762E6" w:rsidRDefault="00B44564" w:rsidP="00EA69AA">
            <w:pPr>
              <w:spacing w:after="120" w:line="240" w:lineRule="auto"/>
              <w:contextualSpacing/>
              <w:rPr>
                <w:sz w:val="20"/>
                <w:szCs w:val="20"/>
              </w:rPr>
            </w:pPr>
            <w:r w:rsidRPr="005762E6">
              <w:rPr>
                <w:sz w:val="20"/>
                <w:szCs w:val="20"/>
              </w:rPr>
              <w:t>837</w:t>
            </w:r>
          </w:p>
        </w:tc>
        <w:tc>
          <w:tcPr>
            <w:tcW w:w="0" w:type="auto"/>
            <w:tcBorders>
              <w:top w:val="single" w:sz="6" w:space="0" w:color="auto"/>
              <w:left w:val="single" w:sz="6" w:space="0" w:color="auto"/>
              <w:bottom w:val="single" w:sz="6" w:space="0" w:color="auto"/>
              <w:right w:val="single" w:sz="6" w:space="0" w:color="auto"/>
            </w:tcBorders>
          </w:tcPr>
          <w:p w14:paraId="38AF8364"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0506633" w14:textId="692FB678" w:rsidR="00B44564" w:rsidRPr="005762E6" w:rsidRDefault="00B44564" w:rsidP="00EA69AA">
            <w:pPr>
              <w:spacing w:after="120" w:line="240" w:lineRule="auto"/>
              <w:contextualSpacing/>
              <w:rPr>
                <w:sz w:val="20"/>
                <w:szCs w:val="20"/>
              </w:rPr>
            </w:pPr>
            <w:r w:rsidRPr="005762E6">
              <w:rPr>
                <w:sz w:val="20"/>
                <w:szCs w:val="20"/>
              </w:rPr>
              <w:t xml:space="preserve">Gregory E </w:t>
            </w:r>
            <w:proofErr w:type="gramStart"/>
            <w:r w:rsidRPr="005762E6">
              <w:rPr>
                <w:sz w:val="20"/>
                <w:szCs w:val="20"/>
              </w:rPr>
              <w:t>Miller,​</w:t>
            </w:r>
            <w:proofErr w:type="gramEnd"/>
            <w:r w:rsidRPr="005762E6">
              <w:rPr>
                <w:sz w:val="20"/>
                <w:szCs w:val="20"/>
              </w:rPr>
              <w:t xml:space="preserve"> Murray E Jarvik,​ Nicholas H Caskey,​ Suzanne C Segerstrom,​ Martin R Rosenblatt,​ William J McCarthy Cigarette mentholation increases smokers' exhaled carbon monoxide levels</w:t>
            </w:r>
            <w:r w:rsidR="007F2F01">
              <w:rPr>
                <w:sz w:val="20"/>
                <w:szCs w:val="20"/>
              </w:rPr>
              <w:t>.</w:t>
            </w:r>
            <w:r w:rsidRPr="005762E6">
              <w:rPr>
                <w:sz w:val="20"/>
                <w:szCs w:val="20"/>
              </w:rPr>
              <w:t xml:space="preserve"> Experimental and Clinical Psychopharmacology; </w:t>
            </w:r>
            <w:proofErr w:type="gramStart"/>
            <w:r w:rsidRPr="005762E6">
              <w:rPr>
                <w:sz w:val="20"/>
                <w:szCs w:val="20"/>
              </w:rPr>
              <w:t>1994;2:154</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*Alcohols,​*Carbon Monoxide,​*Respiration,​*Tobacco Smoking</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12 male smokers participated in 3 controlled-dose smoking sessions spaced 1 wk apart. In each </w:t>
            </w:r>
            <w:proofErr w:type="gramStart"/>
            <w:r w:rsidRPr="005762E6">
              <w:rPr>
                <w:sz w:val="20"/>
                <w:szCs w:val="20"/>
              </w:rPr>
              <w:t>session,​</w:t>
            </w:r>
            <w:proofErr w:type="gramEnd"/>
            <w:r w:rsidRPr="005762E6">
              <w:rPr>
                <w:sz w:val="20"/>
                <w:szCs w:val="20"/>
              </w:rPr>
              <w:t xml:space="preserve"> Ss inhaled 1,​200 cc of cigarette smoke. Menthol dosage varied across </w:t>
            </w:r>
            <w:proofErr w:type="gramStart"/>
            <w:r w:rsidRPr="005762E6">
              <w:rPr>
                <w:sz w:val="20"/>
                <w:szCs w:val="20"/>
              </w:rPr>
              <w:t>sessions,​</w:t>
            </w:r>
            <w:proofErr w:type="gramEnd"/>
            <w:r w:rsidRPr="005762E6">
              <w:rPr>
                <w:sz w:val="20"/>
                <w:szCs w:val="20"/>
              </w:rPr>
              <w:t xml:space="preserve"> such that Ss smoked experimental cigarettes that had been injected with 0,​ 4,​ or 8 mg of menthol. Exhaled CO levels increased concomitantly with menthol dosage. There were no differences in smoking topography across the 3 conditions. The ability of menthol to increase the toxicity of cigarette smoke by raising CO levels is discussed. Results suggest that menthol cigarette preference may account for some of the racial differences in smoking behavior and smoking-related outcomes found in past literature. (PsycINFO Database Record (c) 2016 </w:t>
            </w:r>
            <w:proofErr w:type="gramStart"/>
            <w:r w:rsidRPr="005762E6">
              <w:rPr>
                <w:sz w:val="20"/>
                <w:szCs w:val="20"/>
              </w:rPr>
              <w:t>APA,​</w:t>
            </w:r>
            <w:proofErr w:type="gramEnd"/>
            <w:r w:rsidRPr="005762E6">
              <w:rPr>
                <w:sz w:val="20"/>
                <w:szCs w:val="20"/>
              </w:rPr>
              <w:t xml:space="preserve"> all rights reserved)</w:t>
            </w:r>
          </w:p>
        </w:tc>
      </w:tr>
      <w:tr w:rsidR="00B44564" w:rsidRPr="005762E6" w14:paraId="49132B62"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0138ACD" w14:textId="77777777" w:rsidR="00B44564" w:rsidRPr="005762E6" w:rsidRDefault="00B44564" w:rsidP="00EA69AA">
            <w:pPr>
              <w:spacing w:after="120" w:line="240" w:lineRule="auto"/>
              <w:contextualSpacing/>
              <w:rPr>
                <w:sz w:val="20"/>
                <w:szCs w:val="20"/>
              </w:rPr>
            </w:pPr>
            <w:r w:rsidRPr="005762E6">
              <w:rPr>
                <w:sz w:val="20"/>
                <w:szCs w:val="20"/>
              </w:rPr>
              <w:t>838</w:t>
            </w:r>
          </w:p>
        </w:tc>
        <w:tc>
          <w:tcPr>
            <w:tcW w:w="0" w:type="auto"/>
            <w:tcBorders>
              <w:top w:val="single" w:sz="6" w:space="0" w:color="auto"/>
              <w:left w:val="single" w:sz="6" w:space="0" w:color="auto"/>
              <w:bottom w:val="single" w:sz="6" w:space="0" w:color="auto"/>
              <w:right w:val="single" w:sz="6" w:space="0" w:color="auto"/>
            </w:tcBorders>
          </w:tcPr>
          <w:p w14:paraId="38C0D295"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85B7E8F" w14:textId="6677FCB9" w:rsidR="00B44564" w:rsidRPr="005762E6" w:rsidRDefault="00B44564" w:rsidP="00EA69AA">
            <w:pPr>
              <w:spacing w:after="120" w:line="240" w:lineRule="auto"/>
              <w:contextualSpacing/>
              <w:rPr>
                <w:sz w:val="20"/>
                <w:szCs w:val="20"/>
              </w:rPr>
            </w:pPr>
            <w:r w:rsidRPr="005762E6">
              <w:rPr>
                <w:sz w:val="20"/>
                <w:szCs w:val="20"/>
              </w:rPr>
              <w:t xml:space="preserve">David P </w:t>
            </w:r>
            <w:proofErr w:type="gramStart"/>
            <w:r w:rsidRPr="005762E6">
              <w:rPr>
                <w:sz w:val="20"/>
                <w:szCs w:val="20"/>
              </w:rPr>
              <w:t>Schmahl,​</w:t>
            </w:r>
            <w:proofErr w:type="gramEnd"/>
            <w:r w:rsidRPr="005762E6">
              <w:rPr>
                <w:sz w:val="20"/>
                <w:szCs w:val="20"/>
              </w:rPr>
              <w:t xml:space="preserve"> Edward Lichtenstein,​ Darrel E Harris Successful treatment of habitual smokers with warm,​ smoky air and rapid smoking</w:t>
            </w:r>
            <w:r w:rsidR="007F2F01">
              <w:rPr>
                <w:sz w:val="20"/>
                <w:szCs w:val="20"/>
              </w:rPr>
              <w:t>.</w:t>
            </w:r>
            <w:r w:rsidRPr="005762E6">
              <w:rPr>
                <w:sz w:val="20"/>
                <w:szCs w:val="20"/>
              </w:rPr>
              <w:t xml:space="preserve"> Journal of Consulting and Clinical Psychology; </w:t>
            </w:r>
            <w:proofErr w:type="gramStart"/>
            <w:r w:rsidRPr="005762E6">
              <w:rPr>
                <w:sz w:val="20"/>
                <w:szCs w:val="20"/>
              </w:rPr>
              <w:t>1972;38:105</w:t>
            </w:r>
            <w:proofErr w:type="gramEnd"/>
            <w:r w:rsidRPr="005762E6">
              <w:rPr>
                <w:sz w:val="20"/>
                <w:szCs w:val="20"/>
              </w:rPr>
              <w:t>.</w:t>
            </w:r>
            <w:r w:rsidRPr="005762E6">
              <w:rPr>
                <w:sz w:val="20"/>
                <w:szCs w:val="20"/>
              </w:rPr>
              <w:br/>
            </w:r>
            <w:r w:rsidRPr="005762E6">
              <w:rPr>
                <w:sz w:val="20"/>
                <w:szCs w:val="20"/>
              </w:rPr>
              <w:br/>
            </w:r>
            <w:r w:rsidRPr="005762E6">
              <w:rPr>
                <w:b/>
                <w:bCs/>
                <w:sz w:val="20"/>
                <w:szCs w:val="20"/>
              </w:rPr>
              <w:t>Keywords:</w:t>
            </w:r>
            <w:r w:rsidRPr="005762E6">
              <w:rPr>
                <w:sz w:val="20"/>
                <w:szCs w:val="20"/>
              </w:rPr>
              <w:br/>
              <w:t>*Behavior Therapy,​*Expectations,​*Social Reinforcement,​*Tobacco Smoking</w:t>
            </w:r>
            <w:r w:rsidRPr="005762E6">
              <w:rPr>
                <w:sz w:val="20"/>
                <w:szCs w:val="20"/>
              </w:rPr>
              <w:br/>
            </w:r>
            <w:r w:rsidRPr="005762E6">
              <w:rPr>
                <w:sz w:val="20"/>
                <w:szCs w:val="20"/>
              </w:rPr>
              <w:lastRenderedPageBreak/>
              <w:br/>
            </w:r>
            <w:r w:rsidRPr="005762E6">
              <w:rPr>
                <w:b/>
                <w:bCs/>
                <w:sz w:val="20"/>
                <w:szCs w:val="20"/>
              </w:rPr>
              <w:t xml:space="preserve">Abstract: </w:t>
            </w:r>
            <w:r w:rsidRPr="005762E6">
              <w:rPr>
                <w:sz w:val="20"/>
                <w:szCs w:val="20"/>
              </w:rPr>
              <w:t xml:space="preserve">Presented either warm smoky air or warm mentholated air to 28 undergraduate habituated smokers and required them to smoke until they could tolerate no further cigarettes. Both groups smoked at a rapid </w:t>
            </w:r>
            <w:proofErr w:type="gramStart"/>
            <w:r w:rsidRPr="005762E6">
              <w:rPr>
                <w:sz w:val="20"/>
                <w:szCs w:val="20"/>
              </w:rPr>
              <w:t>rate,​</w:t>
            </w:r>
            <w:proofErr w:type="gramEnd"/>
            <w:r w:rsidRPr="005762E6">
              <w:rPr>
                <w:sz w:val="20"/>
                <w:szCs w:val="20"/>
              </w:rPr>
              <w:t xml:space="preserve"> received considerable social reinforcement,​ and were given comparable expectation of success. All Ss were abstinent at termination after an average of 8 </w:t>
            </w:r>
            <w:proofErr w:type="gramStart"/>
            <w:r w:rsidRPr="005762E6">
              <w:rPr>
                <w:sz w:val="20"/>
                <w:szCs w:val="20"/>
              </w:rPr>
              <w:t>sessions,​</w:t>
            </w:r>
            <w:proofErr w:type="gramEnd"/>
            <w:r w:rsidRPr="005762E6">
              <w:rPr>
                <w:sz w:val="20"/>
                <w:szCs w:val="20"/>
              </w:rPr>
              <w:t xml:space="preserve"> and 16 of 25 Ss followed up for 6 mo. remained abstinent. The warm smoky air and menthol air groups did not </w:t>
            </w:r>
            <w:proofErr w:type="gramStart"/>
            <w:r w:rsidRPr="005762E6">
              <w:rPr>
                <w:sz w:val="20"/>
                <w:szCs w:val="20"/>
              </w:rPr>
              <w:t>differ,​</w:t>
            </w:r>
            <w:proofErr w:type="gramEnd"/>
            <w:r w:rsidRPr="005762E6">
              <w:rPr>
                <w:sz w:val="20"/>
                <w:szCs w:val="20"/>
              </w:rPr>
              <w:t xml:space="preserve"> but paradoxically,​ Ss followed up at 4-wk intervals were more successful than Ss contacted every 2 wk. (24 ref.) (PsycINFO Database Record (c) 2016 APA,​ all rights reserved)</w:t>
            </w:r>
          </w:p>
        </w:tc>
      </w:tr>
      <w:tr w:rsidR="00B44564" w:rsidRPr="005762E6" w14:paraId="3BDB255E"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F743CF8" w14:textId="77777777" w:rsidR="00B44564" w:rsidRPr="005762E6" w:rsidRDefault="00B44564" w:rsidP="00EA69AA">
            <w:pPr>
              <w:spacing w:after="120" w:line="240" w:lineRule="auto"/>
              <w:contextualSpacing/>
              <w:rPr>
                <w:sz w:val="20"/>
                <w:szCs w:val="20"/>
              </w:rPr>
            </w:pPr>
            <w:r w:rsidRPr="005762E6">
              <w:rPr>
                <w:sz w:val="20"/>
                <w:szCs w:val="20"/>
              </w:rPr>
              <w:lastRenderedPageBreak/>
              <w:t>839</w:t>
            </w:r>
          </w:p>
        </w:tc>
        <w:tc>
          <w:tcPr>
            <w:tcW w:w="0" w:type="auto"/>
            <w:tcBorders>
              <w:top w:val="single" w:sz="6" w:space="0" w:color="auto"/>
              <w:left w:val="single" w:sz="6" w:space="0" w:color="auto"/>
              <w:bottom w:val="single" w:sz="6" w:space="0" w:color="auto"/>
              <w:right w:val="single" w:sz="6" w:space="0" w:color="auto"/>
            </w:tcBorders>
          </w:tcPr>
          <w:p w14:paraId="2953E54A"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29010A4" w14:textId="24272AF6" w:rsidR="00B44564" w:rsidRPr="005762E6" w:rsidRDefault="00B44564" w:rsidP="00EA69AA">
            <w:pPr>
              <w:spacing w:after="120" w:line="240" w:lineRule="auto"/>
              <w:contextualSpacing/>
              <w:rPr>
                <w:sz w:val="20"/>
                <w:szCs w:val="20"/>
              </w:rPr>
            </w:pPr>
            <w:r w:rsidRPr="005762E6">
              <w:rPr>
                <w:sz w:val="20"/>
                <w:szCs w:val="20"/>
              </w:rPr>
              <w:t xml:space="preserve">KL </w:t>
            </w:r>
            <w:proofErr w:type="gramStart"/>
            <w:r w:rsidRPr="005762E6">
              <w:rPr>
                <w:sz w:val="20"/>
                <w:szCs w:val="20"/>
              </w:rPr>
              <w:t>Ahijevych,​</w:t>
            </w:r>
            <w:proofErr w:type="gramEnd"/>
            <w:r w:rsidRPr="005762E6">
              <w:rPr>
                <w:sz w:val="20"/>
                <w:szCs w:val="20"/>
              </w:rPr>
              <w:t xml:space="preserve"> ME Wewers Patterns of cigarette consumption and cotinine levels among African American women smokers</w:t>
            </w:r>
            <w:r w:rsidR="007F2F01">
              <w:rPr>
                <w:sz w:val="20"/>
                <w:szCs w:val="20"/>
              </w:rPr>
              <w:t>.</w:t>
            </w:r>
            <w:r w:rsidRPr="005762E6">
              <w:rPr>
                <w:sz w:val="20"/>
                <w:szCs w:val="20"/>
              </w:rPr>
              <w:t xml:space="preserve"> American journal of respiratory and critical care medicine; 1994;150:</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Cigarette smoking intensifies a number of serious health </w:t>
            </w:r>
            <w:proofErr w:type="gramStart"/>
            <w:r w:rsidRPr="005762E6">
              <w:rPr>
                <w:sz w:val="20"/>
                <w:szCs w:val="20"/>
              </w:rPr>
              <w:t>problems,​</w:t>
            </w:r>
            <w:proofErr w:type="gramEnd"/>
            <w:r w:rsidRPr="005762E6">
              <w:rPr>
                <w:sz w:val="20"/>
                <w:szCs w:val="20"/>
              </w:rPr>
              <w:t xml:space="preserve"> including lung cancer,​ hypertension,​ low birth weight,​ and infant mortality,​ that disproportionately affect black Americans. </w:t>
            </w:r>
            <w:proofErr w:type="gramStart"/>
            <w:r w:rsidRPr="005762E6">
              <w:rPr>
                <w:sz w:val="20"/>
                <w:szCs w:val="20"/>
              </w:rPr>
              <w:t>Cotinine,​</w:t>
            </w:r>
            <w:proofErr w:type="gramEnd"/>
            <w:r w:rsidRPr="005762E6">
              <w:rPr>
                <w:sz w:val="20"/>
                <w:szCs w:val="20"/>
              </w:rPr>
              <w:t xml:space="preserve"> a major nicotine metabolite,​ is one indicator of smoke exposure. It has been reported that black women have higher mean cotinine levels than white women. This divergence may be attributed to biologic factors or to inaccuracy in reporting cigarette use. The purpose of this study was to characterize nicotine dependence and the relationship between self-reported cigarette use and cotinine levels among black women smokers. The sample consisted of 142 black women cigarette smokers recruited individually at urban health centers and worksites. A cotinine/cigarette ratio was determined for </w:t>
            </w:r>
            <w:proofErr w:type="gramStart"/>
            <w:r w:rsidRPr="005762E6">
              <w:rPr>
                <w:sz w:val="20"/>
                <w:szCs w:val="20"/>
              </w:rPr>
              <w:t>light,​</w:t>
            </w:r>
            <w:proofErr w:type="gramEnd"/>
            <w:r w:rsidRPr="005762E6">
              <w:rPr>
                <w:sz w:val="20"/>
                <w:szCs w:val="20"/>
              </w:rPr>
              <w:t xml:space="preserve"> moderate,​ and heavy smokers. Underreporting of cigarette </w:t>
            </w:r>
            <w:proofErr w:type="gramStart"/>
            <w:r w:rsidRPr="005762E6">
              <w:rPr>
                <w:sz w:val="20"/>
                <w:szCs w:val="20"/>
              </w:rPr>
              <w:t>consumption,​</w:t>
            </w:r>
            <w:proofErr w:type="gramEnd"/>
            <w:r w:rsidRPr="005762E6">
              <w:rPr>
                <w:sz w:val="20"/>
                <w:szCs w:val="20"/>
              </w:rPr>
              <w:t xml:space="preserve"> previously defined as cotinine value &gt; 25 ng/ml/cigarette,​ ranged from 86% among light smokers to 70% among moderate smokers and 21% among heavy smokers. There were significant differences in cotinine/cigarette and nicotine dependence scores across levels of smoking. Average cotinine/cigarette values were higher in black women compared with previous reports for Mexican American women smokers. No comparable values are available for white women. Additional study is needed to begin to explain variations in levels of </w:t>
            </w:r>
            <w:proofErr w:type="gramStart"/>
            <w:r w:rsidRPr="005762E6">
              <w:rPr>
                <w:sz w:val="20"/>
                <w:szCs w:val="20"/>
              </w:rPr>
              <w:t>cotinine,​</w:t>
            </w:r>
            <w:proofErr w:type="gramEnd"/>
            <w:r w:rsidRPr="005762E6">
              <w:rPr>
                <w:sz w:val="20"/>
                <w:szCs w:val="20"/>
              </w:rPr>
              <w:t xml:space="preserve"> as well as perceived nicotine dependence among black women. </w:t>
            </w:r>
          </w:p>
        </w:tc>
      </w:tr>
      <w:tr w:rsidR="00B44564" w:rsidRPr="005762E6" w14:paraId="4F39729B"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1354D0E" w14:textId="77777777" w:rsidR="00B44564" w:rsidRPr="005762E6" w:rsidRDefault="00B44564" w:rsidP="00EA69AA">
            <w:pPr>
              <w:spacing w:after="120" w:line="240" w:lineRule="auto"/>
              <w:contextualSpacing/>
              <w:rPr>
                <w:sz w:val="20"/>
                <w:szCs w:val="20"/>
              </w:rPr>
            </w:pPr>
            <w:r w:rsidRPr="005762E6">
              <w:rPr>
                <w:sz w:val="20"/>
                <w:szCs w:val="20"/>
              </w:rPr>
              <w:t>840</w:t>
            </w:r>
          </w:p>
        </w:tc>
        <w:tc>
          <w:tcPr>
            <w:tcW w:w="0" w:type="auto"/>
            <w:tcBorders>
              <w:top w:val="single" w:sz="6" w:space="0" w:color="auto"/>
              <w:left w:val="single" w:sz="6" w:space="0" w:color="auto"/>
              <w:bottom w:val="single" w:sz="6" w:space="0" w:color="auto"/>
              <w:right w:val="single" w:sz="6" w:space="0" w:color="auto"/>
            </w:tcBorders>
          </w:tcPr>
          <w:p w14:paraId="54D9FDFB"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9F1759A" w14:textId="0DA7EC79" w:rsidR="00B44564" w:rsidRPr="005762E6" w:rsidRDefault="00B44564" w:rsidP="00EA69AA">
            <w:pPr>
              <w:spacing w:after="120" w:line="240" w:lineRule="auto"/>
              <w:contextualSpacing/>
              <w:rPr>
                <w:sz w:val="20"/>
                <w:szCs w:val="20"/>
              </w:rPr>
            </w:pPr>
            <w:r w:rsidRPr="005762E6">
              <w:rPr>
                <w:sz w:val="20"/>
                <w:szCs w:val="20"/>
              </w:rPr>
              <w:t xml:space="preserve">CJ </w:t>
            </w:r>
            <w:proofErr w:type="gramStart"/>
            <w:r w:rsidRPr="005762E6">
              <w:rPr>
                <w:sz w:val="20"/>
                <w:szCs w:val="20"/>
              </w:rPr>
              <w:t>Berg,​</w:t>
            </w:r>
            <w:proofErr w:type="gramEnd"/>
            <w:r w:rsidRPr="005762E6">
              <w:rPr>
                <w:sz w:val="20"/>
                <w:szCs w:val="20"/>
              </w:rPr>
              <w:t xml:space="preserve"> JL Thomas,​ H Guo,​ LC An,​ KS Okuyemi,​ TC Collins,​ JS Ahluwalia Predictors of smoking reduction among Blacks</w:t>
            </w:r>
            <w:r w:rsidR="007F2F01">
              <w:rPr>
                <w:sz w:val="20"/>
                <w:szCs w:val="20"/>
              </w:rPr>
              <w:t>.</w:t>
            </w:r>
            <w:r w:rsidRPr="005762E6">
              <w:rPr>
                <w:sz w:val="20"/>
                <w:szCs w:val="20"/>
              </w:rPr>
              <w:t xml:space="preserve"> Nicotine &amp; tobacco </w:t>
            </w:r>
            <w:proofErr w:type="gramStart"/>
            <w:r w:rsidRPr="005762E6">
              <w:rPr>
                <w:sz w:val="20"/>
                <w:szCs w:val="20"/>
              </w:rPr>
              <w:t>research :</w:t>
            </w:r>
            <w:proofErr w:type="gramEnd"/>
            <w:r w:rsidRPr="005762E6">
              <w:rPr>
                <w:sz w:val="20"/>
                <w:szCs w:val="20"/>
              </w:rPr>
              <w:t xml:space="preserve"> official journal of the Society for Research on Nicotine and Tobacco; 2010;12:</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INTRODUCTION: Blacks who smoke have increased tobacco-related health risks. Cessation decreases the likelihood of many health problems. Smoking reduction may be important in the cessation process and potentially reduce health risks. METHODS: Because little is known about specific predictors of smoking </w:t>
            </w:r>
            <w:proofErr w:type="gramStart"/>
            <w:r w:rsidRPr="005762E6">
              <w:rPr>
                <w:sz w:val="20"/>
                <w:szCs w:val="20"/>
              </w:rPr>
              <w:t>reduction,​</w:t>
            </w:r>
            <w:proofErr w:type="gramEnd"/>
            <w:r w:rsidRPr="005762E6">
              <w:rPr>
                <w:sz w:val="20"/>
                <w:szCs w:val="20"/>
              </w:rPr>
              <w:t xml:space="preserve"> we investigated factors predicting reduction among Black light smokers enrolled in a 26-week cessation trial. </w:t>
            </w:r>
            <w:proofErr w:type="gramStart"/>
            <w:r w:rsidRPr="005762E6">
              <w:rPr>
                <w:sz w:val="20"/>
                <w:szCs w:val="20"/>
              </w:rPr>
              <w:t>Specifically,​</w:t>
            </w:r>
            <w:proofErr w:type="gramEnd"/>
            <w:r w:rsidRPr="005762E6">
              <w:rPr>
                <w:sz w:val="20"/>
                <w:szCs w:val="20"/>
              </w:rPr>
              <w:t xml:space="preserve"> we compared (a) reducers (reduced cigarettes per day [cpd] &gt;or=50%) with nonreducers and (b) reducers with quitters. Baseline </w:t>
            </w:r>
            <w:proofErr w:type="gramStart"/>
            <w:r w:rsidRPr="005762E6">
              <w:rPr>
                <w:sz w:val="20"/>
                <w:szCs w:val="20"/>
              </w:rPr>
              <w:t>demographic,​</w:t>
            </w:r>
            <w:proofErr w:type="gramEnd"/>
            <w:r w:rsidRPr="005762E6">
              <w:rPr>
                <w:sz w:val="20"/>
                <w:szCs w:val="20"/>
              </w:rPr>
              <w:t xml:space="preserve"> smoking-related,​ and psychosocial variables were collected,​ and Week 26 smoking status was assessed. RESULTS: Among 539 </w:t>
            </w:r>
            <w:proofErr w:type="gramStart"/>
            <w:r w:rsidRPr="005762E6">
              <w:rPr>
                <w:sz w:val="20"/>
                <w:szCs w:val="20"/>
              </w:rPr>
              <w:t>participants,​</w:t>
            </w:r>
            <w:proofErr w:type="gramEnd"/>
            <w:r w:rsidRPr="005762E6">
              <w:rPr>
                <w:sz w:val="20"/>
                <w:szCs w:val="20"/>
              </w:rPr>
              <w:t xml:space="preserve"> 41.0% (n = 221) reduced their smoking,​ 17.6% (n = 95) quit,​ and 41.4% (n = 223) did not reduce their smoking by &gt;or=50%. In comparison with reducers,​ nonreducers were more likely to have their first cigarette within 30 min of waking (odds ratio [OR] = 2.4,​ 95% CI = 1.47-3.93),​ lower baseline cpd (OR = 0.84,​ 95% CI = 0.77-0.93),​ higher baseline cotinine levels (OR = 1.002,​ 95% CI = 1.000-1.003),​ lower perceived stress (OR = 0.86,​ 95% CI = 0.78-0.95),​ and higher Smoking Consequences Questionnaire (SCQ) negative social impression scores (OR = 1.04,​ 95% CI = 1.01-1.06),​ after controlling for treatment arm,​ gender,​ and age. Significant predictors of smoking cessation versus reduction included lower baseline cpd (OR = 0.85,​ 95% CI = 0.75-0.95),​ higher nicotine dependence (OR = 1.47,​ 95% CI = 1.09-1.98),​ lower baseline cotinine levels (OR = 0.996,​ 95% CI = 0.994-0.998),​ higher body mass index (OR = 1.05,​ 95% CI = 1.01-1.08),​ lower perceived stress (OR = 0.82,​ 95% CI = 0.72-0.95),​ and higher SCQ negative social impression scores (OR = 1.05,​ 95% CI = 1.01-1.08). DISCUSSION: Distinct predictors are associated with different trajectories of smoking behavior change (</w:t>
            </w:r>
            <w:proofErr w:type="gramStart"/>
            <w:r w:rsidRPr="005762E6">
              <w:rPr>
                <w:sz w:val="20"/>
                <w:szCs w:val="20"/>
              </w:rPr>
              <w:t>i.e.,​</w:t>
            </w:r>
            <w:proofErr w:type="gramEnd"/>
            <w:r w:rsidRPr="005762E6">
              <w:rPr>
                <w:sz w:val="20"/>
                <w:szCs w:val="20"/>
              </w:rPr>
              <w:t xml:space="preserve"> reduction vs. cessation vs. no change). </w:t>
            </w:r>
          </w:p>
        </w:tc>
      </w:tr>
      <w:tr w:rsidR="00B44564" w:rsidRPr="005762E6" w14:paraId="517587B0"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69EE8018" w14:textId="77777777" w:rsidR="00B44564" w:rsidRPr="005762E6" w:rsidRDefault="00B44564" w:rsidP="00EA69AA">
            <w:pPr>
              <w:spacing w:after="120" w:line="240" w:lineRule="auto"/>
              <w:contextualSpacing/>
              <w:rPr>
                <w:sz w:val="20"/>
                <w:szCs w:val="20"/>
              </w:rPr>
            </w:pPr>
            <w:r w:rsidRPr="005762E6">
              <w:rPr>
                <w:sz w:val="20"/>
                <w:szCs w:val="20"/>
              </w:rPr>
              <w:lastRenderedPageBreak/>
              <w:t>841</w:t>
            </w:r>
          </w:p>
        </w:tc>
        <w:tc>
          <w:tcPr>
            <w:tcW w:w="0" w:type="auto"/>
            <w:tcBorders>
              <w:top w:val="single" w:sz="6" w:space="0" w:color="auto"/>
              <w:left w:val="single" w:sz="6" w:space="0" w:color="auto"/>
              <w:bottom w:val="single" w:sz="6" w:space="0" w:color="auto"/>
              <w:right w:val="single" w:sz="6" w:space="0" w:color="auto"/>
            </w:tcBorders>
          </w:tcPr>
          <w:p w14:paraId="7DB5061C"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4B867DE" w14:textId="7E278DE8" w:rsidR="00B44564" w:rsidRPr="005762E6" w:rsidRDefault="00B44564" w:rsidP="00EA69AA">
            <w:pPr>
              <w:spacing w:after="120" w:line="240" w:lineRule="auto"/>
              <w:contextualSpacing/>
              <w:rPr>
                <w:sz w:val="20"/>
                <w:szCs w:val="20"/>
              </w:rPr>
            </w:pPr>
            <w:r w:rsidRPr="005762E6">
              <w:rPr>
                <w:sz w:val="20"/>
                <w:szCs w:val="20"/>
              </w:rPr>
              <w:t xml:space="preserve">P </w:t>
            </w:r>
            <w:proofErr w:type="gramStart"/>
            <w:r w:rsidRPr="005762E6">
              <w:rPr>
                <w:sz w:val="20"/>
                <w:szCs w:val="20"/>
              </w:rPr>
              <w:t>Fagan,​</w:t>
            </w:r>
            <w:proofErr w:type="gramEnd"/>
            <w:r w:rsidRPr="005762E6">
              <w:rPr>
                <w:sz w:val="20"/>
                <w:szCs w:val="20"/>
              </w:rPr>
              <w:t xml:space="preserve"> E Augustson,​ CL Backinger,​ ME O'Connell,​ RE Vollinger,​ A Kaufman,​ JT Gibson Quit attempts and intention to quit cigarette smoking among young adults in the United States</w:t>
            </w:r>
            <w:r w:rsidR="007F2F01">
              <w:rPr>
                <w:sz w:val="20"/>
                <w:szCs w:val="20"/>
              </w:rPr>
              <w:t>.</w:t>
            </w:r>
            <w:r w:rsidRPr="005762E6">
              <w:rPr>
                <w:sz w:val="20"/>
                <w:szCs w:val="20"/>
              </w:rPr>
              <w:t xml:space="preserve"> American journal of public health; 2007;97:</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OBJECTIVES: We investigated variables associated with quitting behaviors among </w:t>
            </w:r>
            <w:proofErr w:type="gramStart"/>
            <w:r w:rsidRPr="005762E6">
              <w:rPr>
                <w:sz w:val="20"/>
                <w:szCs w:val="20"/>
              </w:rPr>
              <w:t>current,​</w:t>
            </w:r>
            <w:proofErr w:type="gramEnd"/>
            <w:r w:rsidRPr="005762E6">
              <w:rPr>
                <w:sz w:val="20"/>
                <w:szCs w:val="20"/>
              </w:rPr>
              <w:t xml:space="preserve"> daily,​ and nondaily young adult smokers in the United States. METHODS: Data from the national 2003 Tobacco Use Special Cessation Supplement to the Current Population Survey were analyzed to identify factors associated with quit attempts and serious intention to quit among young adult smokers aged 18 to 30 years (n=7912). RESULTS: Daily smokers who smoked 20 or more cigarettes per </w:t>
            </w:r>
            <w:proofErr w:type="gramStart"/>
            <w:r w:rsidRPr="005762E6">
              <w:rPr>
                <w:sz w:val="20"/>
                <w:szCs w:val="20"/>
              </w:rPr>
              <w:t>day,​</w:t>
            </w:r>
            <w:proofErr w:type="gramEnd"/>
            <w:r w:rsidRPr="005762E6">
              <w:rPr>
                <w:sz w:val="20"/>
                <w:szCs w:val="20"/>
              </w:rPr>
              <w:t xml:space="preserve"> had their first cigarette within 30 minutes of waking,​ and smoked no usual type were less likely than were their comparison groups to have 1 more or quit attempts. Nondaily smokers who were </w:t>
            </w:r>
            <w:proofErr w:type="gramStart"/>
            <w:r w:rsidRPr="005762E6">
              <w:rPr>
                <w:sz w:val="20"/>
                <w:szCs w:val="20"/>
              </w:rPr>
              <w:t>male,​</w:t>
            </w:r>
            <w:proofErr w:type="gramEnd"/>
            <w:r w:rsidRPr="005762E6">
              <w:rPr>
                <w:sz w:val="20"/>
                <w:szCs w:val="20"/>
              </w:rPr>
              <w:t xml:space="preserve"> Hispanic,​ and smoked no usual type of cigarette were also less likely than were their comparison groups to report 1 or more quit attempts. Although unemployed nondaily smokers were more likely than were the employed to report intention to </w:t>
            </w:r>
            <w:proofErr w:type="gramStart"/>
            <w:r w:rsidRPr="005762E6">
              <w:rPr>
                <w:sz w:val="20"/>
                <w:szCs w:val="20"/>
              </w:rPr>
              <w:t>quit,​</w:t>
            </w:r>
            <w:proofErr w:type="gramEnd"/>
            <w:r w:rsidRPr="005762E6">
              <w:rPr>
                <w:sz w:val="20"/>
                <w:szCs w:val="20"/>
              </w:rPr>
              <w:t xml:space="preserve"> nondaily smokers with an annual family income of ,​000 to ,​000 were less likely than were higher-income families to report intention to quit. CONCLUSIONS: Nicotine dependence measures were significantly associated with quitting and intention to quit among daily </w:t>
            </w:r>
            <w:proofErr w:type="gramStart"/>
            <w:r w:rsidRPr="005762E6">
              <w:rPr>
                <w:sz w:val="20"/>
                <w:szCs w:val="20"/>
              </w:rPr>
              <w:t>smokers,​</w:t>
            </w:r>
            <w:proofErr w:type="gramEnd"/>
            <w:r w:rsidRPr="005762E6">
              <w:rPr>
                <w:sz w:val="20"/>
                <w:szCs w:val="20"/>
              </w:rPr>
              <w:t xml:space="preserve"> but sociodemographics were associated with quitting and intention to quit among nondaily smokers. </w:t>
            </w:r>
          </w:p>
        </w:tc>
      </w:tr>
      <w:tr w:rsidR="00B44564" w:rsidRPr="005762E6" w14:paraId="72A6A7E4"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24E35530" w14:textId="77777777" w:rsidR="00B44564" w:rsidRPr="005762E6" w:rsidRDefault="00B44564" w:rsidP="00EA69AA">
            <w:pPr>
              <w:spacing w:after="120" w:line="240" w:lineRule="auto"/>
              <w:contextualSpacing/>
              <w:rPr>
                <w:sz w:val="20"/>
                <w:szCs w:val="20"/>
              </w:rPr>
            </w:pPr>
            <w:r w:rsidRPr="005762E6">
              <w:rPr>
                <w:sz w:val="20"/>
                <w:szCs w:val="20"/>
              </w:rPr>
              <w:t>842</w:t>
            </w:r>
          </w:p>
        </w:tc>
        <w:tc>
          <w:tcPr>
            <w:tcW w:w="0" w:type="auto"/>
            <w:tcBorders>
              <w:top w:val="single" w:sz="6" w:space="0" w:color="auto"/>
              <w:left w:val="single" w:sz="6" w:space="0" w:color="auto"/>
              <w:bottom w:val="single" w:sz="6" w:space="0" w:color="auto"/>
              <w:right w:val="single" w:sz="6" w:space="0" w:color="auto"/>
            </w:tcBorders>
          </w:tcPr>
          <w:p w14:paraId="4047DBA5"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1FC20E2D" w14:textId="4E7C0713" w:rsidR="00B44564" w:rsidRPr="005762E6" w:rsidRDefault="00B44564" w:rsidP="00EA69AA">
            <w:pPr>
              <w:spacing w:after="120" w:line="240" w:lineRule="auto"/>
              <w:contextualSpacing/>
              <w:rPr>
                <w:sz w:val="20"/>
                <w:szCs w:val="20"/>
              </w:rPr>
            </w:pPr>
            <w:r w:rsidRPr="005762E6">
              <w:rPr>
                <w:sz w:val="20"/>
                <w:szCs w:val="20"/>
              </w:rPr>
              <w:t xml:space="preserve">J </w:t>
            </w:r>
            <w:proofErr w:type="gramStart"/>
            <w:r w:rsidRPr="005762E6">
              <w:rPr>
                <w:sz w:val="20"/>
                <w:szCs w:val="20"/>
              </w:rPr>
              <w:t>Foulds,​</w:t>
            </w:r>
            <w:proofErr w:type="gramEnd"/>
            <w:r w:rsidRPr="005762E6">
              <w:rPr>
                <w:sz w:val="20"/>
                <w:szCs w:val="20"/>
              </w:rPr>
              <w:t xml:space="preserve"> KK Gandhi,​ MB Steinberg,​ DL Richardson,​ JM Williams,​ MV Burke,​ GG Rhoads Factors associated with quitting smoking at a tobacco dependence treatment clinic</w:t>
            </w:r>
            <w:r w:rsidR="007F2F01">
              <w:rPr>
                <w:sz w:val="20"/>
                <w:szCs w:val="20"/>
              </w:rPr>
              <w:t>.</w:t>
            </w:r>
            <w:r w:rsidRPr="005762E6">
              <w:rPr>
                <w:sz w:val="20"/>
                <w:szCs w:val="20"/>
              </w:rPr>
              <w:t xml:space="preserve"> American journal of health behavior; ;30:</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r w:rsidRPr="005762E6">
              <w:rPr>
                <w:sz w:val="20"/>
                <w:szCs w:val="20"/>
              </w:rPr>
              <w:t xml:space="preserve">OBJECTIVE: To identify factors associated with successful quitting at a free tobacco treatment clinic. METHODS: A cohort study of the first 1021 patients who made a quit attempt. Baseline and treatment variables were </w:t>
            </w:r>
            <w:proofErr w:type="gramStart"/>
            <w:r w:rsidRPr="005762E6">
              <w:rPr>
                <w:sz w:val="20"/>
                <w:szCs w:val="20"/>
              </w:rPr>
              <w:t>recorded,​</w:t>
            </w:r>
            <w:proofErr w:type="gramEnd"/>
            <w:r w:rsidRPr="005762E6">
              <w:rPr>
                <w:sz w:val="20"/>
                <w:szCs w:val="20"/>
              </w:rPr>
              <w:t xml:space="preserve"> and logistic regression was used to identify factors associated with abstinence at 4-week and 6-month follow-up. RESULTS: Three hundred twenty (31.3%) patients reported tobacco abstinence at 6 months. Several markers of low socioeconomic status and high nicotine dependence were predictive of poorer smoking cessation outcomes. Compliance with evidence-based treatment was associated with improved treatment </w:t>
            </w:r>
            <w:proofErr w:type="gramStart"/>
            <w:r w:rsidRPr="005762E6">
              <w:rPr>
                <w:sz w:val="20"/>
                <w:szCs w:val="20"/>
              </w:rPr>
              <w:t>outcome,​</w:t>
            </w:r>
            <w:proofErr w:type="gramEnd"/>
            <w:r w:rsidRPr="005762E6">
              <w:rPr>
                <w:sz w:val="20"/>
                <w:szCs w:val="20"/>
              </w:rPr>
              <w:t xml:space="preserve"> as was older age and having more than 2 children. CONCLUSIONS: Efforts should be made to enhance treatment compliance among smokers with indicators of high nicotine dependence and low socioeconomic status. </w:t>
            </w:r>
          </w:p>
        </w:tc>
      </w:tr>
      <w:tr w:rsidR="00B44564" w:rsidRPr="005762E6" w14:paraId="5846DC8A"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E83C3F8" w14:textId="77777777" w:rsidR="00B44564" w:rsidRPr="005762E6" w:rsidRDefault="00B44564" w:rsidP="00EA69AA">
            <w:pPr>
              <w:spacing w:after="120" w:line="240" w:lineRule="auto"/>
              <w:contextualSpacing/>
              <w:rPr>
                <w:sz w:val="20"/>
                <w:szCs w:val="20"/>
              </w:rPr>
            </w:pPr>
            <w:r w:rsidRPr="005762E6">
              <w:rPr>
                <w:sz w:val="20"/>
                <w:szCs w:val="20"/>
              </w:rPr>
              <w:t>843</w:t>
            </w:r>
          </w:p>
        </w:tc>
        <w:tc>
          <w:tcPr>
            <w:tcW w:w="0" w:type="auto"/>
            <w:tcBorders>
              <w:top w:val="single" w:sz="6" w:space="0" w:color="auto"/>
              <w:left w:val="single" w:sz="6" w:space="0" w:color="auto"/>
              <w:bottom w:val="single" w:sz="6" w:space="0" w:color="auto"/>
              <w:right w:val="single" w:sz="6" w:space="0" w:color="auto"/>
            </w:tcBorders>
          </w:tcPr>
          <w:p w14:paraId="200201E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80F9153" w14:textId="07283F3E" w:rsidR="00B44564" w:rsidRPr="005762E6" w:rsidRDefault="00B44564" w:rsidP="00EA69AA">
            <w:pPr>
              <w:spacing w:after="120" w:line="240" w:lineRule="auto"/>
              <w:contextualSpacing/>
              <w:rPr>
                <w:sz w:val="20"/>
                <w:szCs w:val="20"/>
              </w:rPr>
            </w:pPr>
            <w:r w:rsidRPr="005762E6">
              <w:rPr>
                <w:sz w:val="20"/>
                <w:szCs w:val="20"/>
              </w:rPr>
              <w:t xml:space="preserve">Delnevo </w:t>
            </w:r>
            <w:proofErr w:type="gramStart"/>
            <w:r w:rsidRPr="005762E6">
              <w:rPr>
                <w:sz w:val="20"/>
                <w:szCs w:val="20"/>
              </w:rPr>
              <w:t>CD,​</w:t>
            </w:r>
            <w:proofErr w:type="gramEnd"/>
            <w:r w:rsidRPr="005762E6">
              <w:rPr>
                <w:sz w:val="20"/>
                <w:szCs w:val="20"/>
              </w:rPr>
              <w:t xml:space="preserve"> Gunderson DA,​ Hrwyna M Examining the relationship between menthol smoking and cessation using data from the 2003 and 2006/7 Tobacco Use Supplement. Paper presented to: </w:t>
            </w:r>
            <w:proofErr w:type="gramStart"/>
            <w:r w:rsidRPr="005762E6">
              <w:rPr>
                <w:sz w:val="20"/>
                <w:szCs w:val="20"/>
              </w:rPr>
              <w:t>TPSAC,​</w:t>
            </w:r>
            <w:proofErr w:type="gramEnd"/>
            <w:r w:rsidRPr="005762E6">
              <w:rPr>
                <w:sz w:val="20"/>
                <w:szCs w:val="20"/>
              </w:rPr>
              <w:t xml:space="preserve"> 10-11 Jan 2011</w:t>
            </w:r>
            <w:r w:rsidR="007F2F01">
              <w:rPr>
                <w:sz w:val="20"/>
                <w:szCs w:val="20"/>
              </w:rPr>
              <w:t>.</w:t>
            </w:r>
            <w:r w:rsidRPr="005762E6">
              <w:rPr>
                <w:sz w:val="20"/>
                <w:szCs w:val="20"/>
              </w:rPr>
              <w:t xml:space="preserve"> #journal#; 2011;:</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4A9B2CCF"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1878D99" w14:textId="77777777" w:rsidR="00B44564" w:rsidRPr="005762E6" w:rsidRDefault="00B44564" w:rsidP="00EA69AA">
            <w:pPr>
              <w:spacing w:after="120" w:line="240" w:lineRule="auto"/>
              <w:contextualSpacing/>
              <w:rPr>
                <w:sz w:val="20"/>
                <w:szCs w:val="20"/>
              </w:rPr>
            </w:pPr>
            <w:r w:rsidRPr="005762E6">
              <w:rPr>
                <w:sz w:val="20"/>
                <w:szCs w:val="20"/>
              </w:rPr>
              <w:t>844</w:t>
            </w:r>
          </w:p>
        </w:tc>
        <w:tc>
          <w:tcPr>
            <w:tcW w:w="0" w:type="auto"/>
            <w:tcBorders>
              <w:top w:val="single" w:sz="6" w:space="0" w:color="auto"/>
              <w:left w:val="single" w:sz="6" w:space="0" w:color="auto"/>
              <w:bottom w:val="single" w:sz="6" w:space="0" w:color="auto"/>
              <w:right w:val="single" w:sz="6" w:space="0" w:color="auto"/>
            </w:tcBorders>
          </w:tcPr>
          <w:p w14:paraId="384FFCE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6FA5E6FB" w14:textId="2E0EF11C" w:rsidR="00B44564" w:rsidRPr="005762E6" w:rsidRDefault="00B44564" w:rsidP="00EA69AA">
            <w:pPr>
              <w:spacing w:after="120" w:line="240" w:lineRule="auto"/>
              <w:contextualSpacing/>
              <w:rPr>
                <w:sz w:val="20"/>
                <w:szCs w:val="20"/>
              </w:rPr>
            </w:pPr>
            <w:r w:rsidRPr="005762E6">
              <w:rPr>
                <w:sz w:val="20"/>
                <w:szCs w:val="20"/>
              </w:rPr>
              <w:t xml:space="preserve">Hersey </w:t>
            </w:r>
            <w:proofErr w:type="gramStart"/>
            <w:r w:rsidRPr="005762E6">
              <w:rPr>
                <w:sz w:val="20"/>
                <w:szCs w:val="20"/>
              </w:rPr>
              <w:t>JC,​</w:t>
            </w:r>
            <w:proofErr w:type="gramEnd"/>
            <w:r w:rsidRPr="005762E6">
              <w:rPr>
                <w:sz w:val="20"/>
                <w:szCs w:val="20"/>
              </w:rPr>
              <w:t xml:space="preserve"> Nonnemaker J,​ Homsi G,​ Allen J Menthol cigarettes,​ saliva cotinine,​ and nicotine dependence in adolescents. Paper presented to: </w:t>
            </w:r>
            <w:proofErr w:type="gramStart"/>
            <w:r w:rsidRPr="005762E6">
              <w:rPr>
                <w:sz w:val="20"/>
                <w:szCs w:val="20"/>
              </w:rPr>
              <w:t>TPSAC,​</w:t>
            </w:r>
            <w:proofErr w:type="gramEnd"/>
            <w:r w:rsidRPr="005762E6">
              <w:rPr>
                <w:sz w:val="20"/>
                <w:szCs w:val="20"/>
              </w:rPr>
              <w:t xml:space="preserve"> 10-11 Jan 2011</w:t>
            </w:r>
            <w:r w:rsidR="007F2F01">
              <w:rPr>
                <w:sz w:val="20"/>
                <w:szCs w:val="20"/>
              </w:rPr>
              <w:t>.</w:t>
            </w:r>
            <w:r w:rsidRPr="005762E6">
              <w:rPr>
                <w:sz w:val="20"/>
                <w:szCs w:val="20"/>
              </w:rPr>
              <w:t xml:space="preserve"> #journal#; 2011;:</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7005597C"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E12E454" w14:textId="77777777" w:rsidR="00B44564" w:rsidRPr="005762E6" w:rsidRDefault="00B44564" w:rsidP="00EA69AA">
            <w:pPr>
              <w:spacing w:after="120" w:line="240" w:lineRule="auto"/>
              <w:contextualSpacing/>
              <w:rPr>
                <w:sz w:val="20"/>
                <w:szCs w:val="20"/>
              </w:rPr>
            </w:pPr>
            <w:r w:rsidRPr="005762E6">
              <w:rPr>
                <w:sz w:val="20"/>
                <w:szCs w:val="20"/>
              </w:rPr>
              <w:t>845</w:t>
            </w:r>
          </w:p>
        </w:tc>
        <w:tc>
          <w:tcPr>
            <w:tcW w:w="0" w:type="auto"/>
            <w:tcBorders>
              <w:top w:val="single" w:sz="6" w:space="0" w:color="auto"/>
              <w:left w:val="single" w:sz="6" w:space="0" w:color="auto"/>
              <w:bottom w:val="single" w:sz="6" w:space="0" w:color="auto"/>
              <w:right w:val="single" w:sz="6" w:space="0" w:color="auto"/>
            </w:tcBorders>
          </w:tcPr>
          <w:p w14:paraId="75CE5044"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6EA342C" w14:textId="0E4492DF" w:rsidR="00B44564" w:rsidRPr="005762E6" w:rsidRDefault="00B44564" w:rsidP="00EA69AA">
            <w:pPr>
              <w:spacing w:after="120" w:line="240" w:lineRule="auto"/>
              <w:contextualSpacing/>
              <w:rPr>
                <w:b/>
                <w:bCs/>
                <w:sz w:val="20"/>
                <w:szCs w:val="20"/>
              </w:rPr>
            </w:pPr>
            <w:r w:rsidRPr="005762E6">
              <w:rPr>
                <w:sz w:val="20"/>
                <w:szCs w:val="20"/>
              </w:rPr>
              <w:t xml:space="preserve">Hyland </w:t>
            </w:r>
            <w:proofErr w:type="gramStart"/>
            <w:r w:rsidRPr="005762E6">
              <w:rPr>
                <w:sz w:val="20"/>
                <w:szCs w:val="20"/>
              </w:rPr>
              <w:t>A,​</w:t>
            </w:r>
            <w:proofErr w:type="gramEnd"/>
            <w:r w:rsidRPr="005762E6">
              <w:rPr>
                <w:sz w:val="20"/>
                <w:szCs w:val="20"/>
              </w:rPr>
              <w:t xml:space="preserve"> Rivard C Analysis of mentholated cigarettes using the COMMIT Data. Paper presented to: </w:t>
            </w:r>
            <w:proofErr w:type="gramStart"/>
            <w:r w:rsidRPr="005762E6">
              <w:rPr>
                <w:sz w:val="20"/>
                <w:szCs w:val="20"/>
              </w:rPr>
              <w:t>TPSAC,​</w:t>
            </w:r>
            <w:proofErr w:type="gramEnd"/>
            <w:r w:rsidRPr="005762E6">
              <w:rPr>
                <w:sz w:val="20"/>
                <w:szCs w:val="20"/>
              </w:rPr>
              <w:t xml:space="preserve"> 10-11 Jan 2011</w:t>
            </w:r>
            <w:r w:rsidR="007F2F01">
              <w:rPr>
                <w:sz w:val="20"/>
                <w:szCs w:val="20"/>
              </w:rPr>
              <w:t>.</w:t>
            </w:r>
            <w:r w:rsidRPr="005762E6">
              <w:rPr>
                <w:sz w:val="20"/>
                <w:szCs w:val="20"/>
              </w:rPr>
              <w:t xml:space="preserve"> #journal#; 2011;:</w:t>
            </w:r>
            <w:r w:rsidRPr="005762E6">
              <w:rPr>
                <w:sz w:val="20"/>
                <w:szCs w:val="20"/>
              </w:rPr>
              <w:br/>
            </w:r>
          </w:p>
          <w:p w14:paraId="61E02C03" w14:textId="77777777" w:rsidR="00B44564" w:rsidRPr="005762E6" w:rsidRDefault="00B44564" w:rsidP="00EA69AA">
            <w:pPr>
              <w:spacing w:after="120" w:line="240" w:lineRule="auto"/>
              <w:contextualSpacing/>
              <w:rPr>
                <w:sz w:val="20"/>
                <w:szCs w:val="20"/>
              </w:rPr>
            </w:pP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40DCF197"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846E78E" w14:textId="77777777" w:rsidR="00B44564" w:rsidRPr="005762E6" w:rsidRDefault="00B44564" w:rsidP="00EA69AA">
            <w:pPr>
              <w:spacing w:after="120" w:line="240" w:lineRule="auto"/>
              <w:contextualSpacing/>
              <w:rPr>
                <w:sz w:val="20"/>
                <w:szCs w:val="20"/>
              </w:rPr>
            </w:pPr>
            <w:r w:rsidRPr="005762E6">
              <w:rPr>
                <w:sz w:val="20"/>
                <w:szCs w:val="20"/>
              </w:rPr>
              <w:lastRenderedPageBreak/>
              <w:t>846</w:t>
            </w:r>
          </w:p>
        </w:tc>
        <w:tc>
          <w:tcPr>
            <w:tcW w:w="0" w:type="auto"/>
            <w:tcBorders>
              <w:top w:val="single" w:sz="6" w:space="0" w:color="auto"/>
              <w:left w:val="single" w:sz="6" w:space="0" w:color="auto"/>
              <w:bottom w:val="single" w:sz="6" w:space="0" w:color="auto"/>
              <w:right w:val="single" w:sz="6" w:space="0" w:color="auto"/>
            </w:tcBorders>
          </w:tcPr>
          <w:p w14:paraId="732DEFA6"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444FB4EE" w14:textId="77C3245D" w:rsidR="00B44564" w:rsidRPr="005762E6" w:rsidRDefault="00B44564" w:rsidP="00EA69AA">
            <w:pPr>
              <w:spacing w:after="120" w:line="240" w:lineRule="auto"/>
              <w:contextualSpacing/>
              <w:rPr>
                <w:sz w:val="20"/>
                <w:szCs w:val="20"/>
              </w:rPr>
            </w:pPr>
            <w:r w:rsidRPr="005762E6">
              <w:rPr>
                <w:sz w:val="20"/>
                <w:szCs w:val="20"/>
              </w:rPr>
              <w:t xml:space="preserve">King </w:t>
            </w:r>
            <w:proofErr w:type="gramStart"/>
            <w:r w:rsidRPr="005762E6">
              <w:rPr>
                <w:sz w:val="20"/>
                <w:szCs w:val="20"/>
              </w:rPr>
              <w:t>A,​</w:t>
            </w:r>
            <w:proofErr w:type="gramEnd"/>
            <w:r w:rsidRPr="005762E6">
              <w:rPr>
                <w:sz w:val="20"/>
                <w:szCs w:val="20"/>
              </w:rPr>
              <w:t xml:space="preserve"> Cao D,​ Matthews A Influence of menthol use on smoking cessation outcomes in a smoking cessation treatment program. Paper presented to: </w:t>
            </w:r>
            <w:proofErr w:type="gramStart"/>
            <w:r w:rsidRPr="005762E6">
              <w:rPr>
                <w:sz w:val="20"/>
                <w:szCs w:val="20"/>
              </w:rPr>
              <w:t>TPSAC,​</w:t>
            </w:r>
            <w:proofErr w:type="gramEnd"/>
            <w:r w:rsidRPr="005762E6">
              <w:rPr>
                <w:sz w:val="20"/>
                <w:szCs w:val="20"/>
              </w:rPr>
              <w:t xml:space="preserve"> 10-11 Jan 2011</w:t>
            </w:r>
            <w:r w:rsidR="007F2F01">
              <w:rPr>
                <w:sz w:val="20"/>
                <w:szCs w:val="20"/>
              </w:rPr>
              <w:t>.</w:t>
            </w:r>
            <w:r w:rsidRPr="005762E6">
              <w:rPr>
                <w:sz w:val="20"/>
                <w:szCs w:val="20"/>
              </w:rPr>
              <w:t xml:space="preserve"> #journal#; 2011;:</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14302231"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72D139B" w14:textId="77777777" w:rsidR="00B44564" w:rsidRPr="005762E6" w:rsidRDefault="00B44564" w:rsidP="00EA69AA">
            <w:pPr>
              <w:spacing w:after="120" w:line="240" w:lineRule="auto"/>
              <w:contextualSpacing/>
              <w:rPr>
                <w:sz w:val="20"/>
                <w:szCs w:val="20"/>
              </w:rPr>
            </w:pPr>
            <w:r w:rsidRPr="005762E6">
              <w:rPr>
                <w:sz w:val="20"/>
                <w:szCs w:val="20"/>
              </w:rPr>
              <w:t>847</w:t>
            </w:r>
          </w:p>
        </w:tc>
        <w:tc>
          <w:tcPr>
            <w:tcW w:w="0" w:type="auto"/>
            <w:tcBorders>
              <w:top w:val="single" w:sz="6" w:space="0" w:color="auto"/>
              <w:left w:val="single" w:sz="6" w:space="0" w:color="auto"/>
              <w:bottom w:val="single" w:sz="6" w:space="0" w:color="auto"/>
              <w:right w:val="single" w:sz="6" w:space="0" w:color="auto"/>
            </w:tcBorders>
          </w:tcPr>
          <w:p w14:paraId="175614C7"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5C67C652" w14:textId="1456FC33" w:rsidR="00B44564" w:rsidRPr="005762E6" w:rsidRDefault="00B44564" w:rsidP="00EA69AA">
            <w:pPr>
              <w:spacing w:after="120" w:line="240" w:lineRule="auto"/>
              <w:contextualSpacing/>
              <w:rPr>
                <w:sz w:val="20"/>
                <w:szCs w:val="20"/>
              </w:rPr>
            </w:pPr>
            <w:r w:rsidRPr="005762E6">
              <w:rPr>
                <w:sz w:val="20"/>
                <w:szCs w:val="20"/>
              </w:rPr>
              <w:t xml:space="preserve">Reitzel L Menthol </w:t>
            </w:r>
            <w:proofErr w:type="gramStart"/>
            <w:r w:rsidRPr="005762E6">
              <w:rPr>
                <w:sz w:val="20"/>
                <w:szCs w:val="20"/>
              </w:rPr>
              <w:t>cigarettes,​</w:t>
            </w:r>
            <w:proofErr w:type="gramEnd"/>
            <w:r w:rsidRPr="005762E6">
              <w:rPr>
                <w:sz w:val="20"/>
                <w:szCs w:val="20"/>
              </w:rPr>
              <w:t xml:space="preserve"> tobacco dependence,​ and smoking cessation: Project CARE. Paper presented to: </w:t>
            </w:r>
            <w:proofErr w:type="gramStart"/>
            <w:r w:rsidRPr="005762E6">
              <w:rPr>
                <w:sz w:val="20"/>
                <w:szCs w:val="20"/>
              </w:rPr>
              <w:t>TPSAC,​</w:t>
            </w:r>
            <w:proofErr w:type="gramEnd"/>
            <w:r w:rsidRPr="005762E6">
              <w:rPr>
                <w:sz w:val="20"/>
                <w:szCs w:val="20"/>
              </w:rPr>
              <w:t xml:space="preserve"> 10-11 Jan 2011</w:t>
            </w:r>
            <w:r w:rsidR="007F2F01">
              <w:rPr>
                <w:sz w:val="20"/>
                <w:szCs w:val="20"/>
              </w:rPr>
              <w:t>.</w:t>
            </w:r>
            <w:r w:rsidRPr="005762E6">
              <w:rPr>
                <w:sz w:val="20"/>
                <w:szCs w:val="20"/>
              </w:rPr>
              <w:t xml:space="preserve"> #journal#; 2011;:</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482466B0"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159C6295" w14:textId="77777777" w:rsidR="00B44564" w:rsidRPr="005762E6" w:rsidRDefault="00B44564" w:rsidP="00EA69AA">
            <w:pPr>
              <w:spacing w:after="120" w:line="240" w:lineRule="auto"/>
              <w:contextualSpacing/>
              <w:rPr>
                <w:sz w:val="20"/>
                <w:szCs w:val="20"/>
              </w:rPr>
            </w:pPr>
            <w:r w:rsidRPr="005762E6">
              <w:rPr>
                <w:sz w:val="20"/>
                <w:szCs w:val="20"/>
              </w:rPr>
              <w:t>848</w:t>
            </w:r>
          </w:p>
        </w:tc>
        <w:tc>
          <w:tcPr>
            <w:tcW w:w="0" w:type="auto"/>
            <w:tcBorders>
              <w:top w:val="single" w:sz="6" w:space="0" w:color="auto"/>
              <w:left w:val="single" w:sz="6" w:space="0" w:color="auto"/>
              <w:bottom w:val="single" w:sz="6" w:space="0" w:color="auto"/>
              <w:right w:val="single" w:sz="6" w:space="0" w:color="auto"/>
            </w:tcBorders>
          </w:tcPr>
          <w:p w14:paraId="2B7EAB1F"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577988F" w14:textId="6815E01B" w:rsidR="00B44564" w:rsidRPr="005762E6" w:rsidRDefault="00B44564" w:rsidP="00EA69AA">
            <w:pPr>
              <w:spacing w:after="120" w:line="240" w:lineRule="auto"/>
              <w:contextualSpacing/>
              <w:rPr>
                <w:sz w:val="20"/>
                <w:szCs w:val="20"/>
              </w:rPr>
            </w:pPr>
            <w:r w:rsidRPr="005762E6">
              <w:rPr>
                <w:sz w:val="20"/>
                <w:szCs w:val="20"/>
              </w:rPr>
              <w:t xml:space="preserve">Reitzel LA Menthol </w:t>
            </w:r>
            <w:proofErr w:type="gramStart"/>
            <w:r w:rsidRPr="005762E6">
              <w:rPr>
                <w:sz w:val="20"/>
                <w:szCs w:val="20"/>
              </w:rPr>
              <w:t>cigarettes,​</w:t>
            </w:r>
            <w:proofErr w:type="gramEnd"/>
            <w:r w:rsidRPr="005762E6">
              <w:rPr>
                <w:sz w:val="20"/>
                <w:szCs w:val="20"/>
              </w:rPr>
              <w:t xml:space="preserve"> tobacco dependence,​ and smoking cessations: Project BREAK FREE. Paper presented to: </w:t>
            </w:r>
            <w:proofErr w:type="gramStart"/>
            <w:r w:rsidRPr="005762E6">
              <w:rPr>
                <w:sz w:val="20"/>
                <w:szCs w:val="20"/>
              </w:rPr>
              <w:t>TPSAC,​</w:t>
            </w:r>
            <w:proofErr w:type="gramEnd"/>
            <w:r w:rsidRPr="005762E6">
              <w:rPr>
                <w:sz w:val="20"/>
                <w:szCs w:val="20"/>
              </w:rPr>
              <w:t xml:space="preserve"> 10-11 Jan 2011</w:t>
            </w:r>
            <w:r w:rsidR="007F2F01">
              <w:rPr>
                <w:sz w:val="20"/>
                <w:szCs w:val="20"/>
              </w:rPr>
              <w:t>.</w:t>
            </w:r>
            <w:r w:rsidRPr="005762E6">
              <w:rPr>
                <w:sz w:val="20"/>
                <w:szCs w:val="20"/>
              </w:rPr>
              <w:t xml:space="preserve"> #journal#; 2011;:</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575113FF"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37844561" w14:textId="77777777" w:rsidR="00B44564" w:rsidRPr="005762E6" w:rsidRDefault="00B44564" w:rsidP="00EA69AA">
            <w:pPr>
              <w:spacing w:after="120" w:line="240" w:lineRule="auto"/>
              <w:contextualSpacing/>
              <w:rPr>
                <w:sz w:val="20"/>
                <w:szCs w:val="20"/>
              </w:rPr>
            </w:pPr>
            <w:r w:rsidRPr="005762E6">
              <w:rPr>
                <w:sz w:val="20"/>
                <w:szCs w:val="20"/>
              </w:rPr>
              <w:t>849</w:t>
            </w:r>
          </w:p>
        </w:tc>
        <w:tc>
          <w:tcPr>
            <w:tcW w:w="0" w:type="auto"/>
            <w:tcBorders>
              <w:top w:val="single" w:sz="6" w:space="0" w:color="auto"/>
              <w:left w:val="single" w:sz="6" w:space="0" w:color="auto"/>
              <w:bottom w:val="single" w:sz="6" w:space="0" w:color="auto"/>
              <w:right w:val="single" w:sz="6" w:space="0" w:color="auto"/>
            </w:tcBorders>
          </w:tcPr>
          <w:p w14:paraId="6866731A"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3D5A969F" w14:textId="2A4352C3" w:rsidR="00B44564" w:rsidRPr="005762E6" w:rsidRDefault="00B44564" w:rsidP="00EA69AA">
            <w:pPr>
              <w:spacing w:after="120" w:line="240" w:lineRule="auto"/>
              <w:contextualSpacing/>
              <w:rPr>
                <w:sz w:val="20"/>
                <w:szCs w:val="20"/>
              </w:rPr>
            </w:pPr>
            <w:r w:rsidRPr="005762E6">
              <w:rPr>
                <w:sz w:val="20"/>
                <w:szCs w:val="20"/>
              </w:rPr>
              <w:t xml:space="preserve">Reitzel LA Menthol </w:t>
            </w:r>
            <w:proofErr w:type="gramStart"/>
            <w:r w:rsidRPr="005762E6">
              <w:rPr>
                <w:sz w:val="20"/>
                <w:szCs w:val="20"/>
              </w:rPr>
              <w:t>cigarettes,​</w:t>
            </w:r>
            <w:proofErr w:type="gramEnd"/>
            <w:r w:rsidRPr="005762E6">
              <w:rPr>
                <w:sz w:val="20"/>
                <w:szCs w:val="20"/>
              </w:rPr>
              <w:t xml:space="preserve"> tobacco dependence,​ and smoking cessations: Project MOM. Paper presented to: </w:t>
            </w:r>
            <w:proofErr w:type="gramStart"/>
            <w:r w:rsidRPr="005762E6">
              <w:rPr>
                <w:sz w:val="20"/>
                <w:szCs w:val="20"/>
              </w:rPr>
              <w:t>TPSAC,​</w:t>
            </w:r>
            <w:proofErr w:type="gramEnd"/>
            <w:r w:rsidRPr="005762E6">
              <w:rPr>
                <w:sz w:val="20"/>
                <w:szCs w:val="20"/>
              </w:rPr>
              <w:t xml:space="preserve"> 10-11 Jan 2011</w:t>
            </w:r>
            <w:r w:rsidR="007F2F01">
              <w:rPr>
                <w:sz w:val="20"/>
                <w:szCs w:val="20"/>
              </w:rPr>
              <w:t>.</w:t>
            </w:r>
            <w:r w:rsidRPr="005762E6">
              <w:rPr>
                <w:sz w:val="20"/>
                <w:szCs w:val="20"/>
              </w:rPr>
              <w:t xml:space="preserve"> #journal#; 2011;:</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1A7ADC32"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5C790D5A" w14:textId="77777777" w:rsidR="00B44564" w:rsidRPr="005762E6" w:rsidRDefault="00B44564" w:rsidP="00EA69AA">
            <w:pPr>
              <w:spacing w:after="120" w:line="240" w:lineRule="auto"/>
              <w:contextualSpacing/>
              <w:rPr>
                <w:sz w:val="20"/>
                <w:szCs w:val="20"/>
              </w:rPr>
            </w:pPr>
            <w:r w:rsidRPr="005762E6">
              <w:rPr>
                <w:sz w:val="20"/>
                <w:szCs w:val="20"/>
              </w:rPr>
              <w:t>850</w:t>
            </w:r>
          </w:p>
        </w:tc>
        <w:tc>
          <w:tcPr>
            <w:tcW w:w="0" w:type="auto"/>
            <w:tcBorders>
              <w:top w:val="single" w:sz="6" w:space="0" w:color="auto"/>
              <w:left w:val="single" w:sz="6" w:space="0" w:color="auto"/>
              <w:bottom w:val="single" w:sz="6" w:space="0" w:color="auto"/>
              <w:right w:val="single" w:sz="6" w:space="0" w:color="auto"/>
            </w:tcBorders>
          </w:tcPr>
          <w:p w14:paraId="2B022F3B"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0DDAB5BD" w14:textId="73CACC57" w:rsidR="00B44564" w:rsidRPr="005762E6" w:rsidRDefault="00B44564" w:rsidP="00EA69AA">
            <w:pPr>
              <w:spacing w:after="120" w:line="240" w:lineRule="auto"/>
              <w:contextualSpacing/>
              <w:rPr>
                <w:sz w:val="20"/>
                <w:szCs w:val="20"/>
              </w:rPr>
            </w:pPr>
            <w:r w:rsidRPr="005762E6">
              <w:rPr>
                <w:sz w:val="20"/>
                <w:szCs w:val="20"/>
              </w:rPr>
              <w:t xml:space="preserve">Unger </w:t>
            </w:r>
            <w:proofErr w:type="gramStart"/>
            <w:r w:rsidRPr="005762E6">
              <w:rPr>
                <w:sz w:val="20"/>
                <w:szCs w:val="20"/>
              </w:rPr>
              <w:t>JB,​</w:t>
            </w:r>
            <w:proofErr w:type="gramEnd"/>
            <w:r w:rsidRPr="005762E6">
              <w:rPr>
                <w:sz w:val="20"/>
                <w:szCs w:val="20"/>
              </w:rPr>
              <w:t xml:space="preserve"> Cruz TB,​ Allen B Jr Nicotine dependence and intentions to quit among a community-based sample of African American menthol and non-menthol smokers in Los Angeles. Paper presented to: </w:t>
            </w:r>
            <w:proofErr w:type="gramStart"/>
            <w:r w:rsidRPr="005762E6">
              <w:rPr>
                <w:sz w:val="20"/>
                <w:szCs w:val="20"/>
              </w:rPr>
              <w:t>TPSAC,​</w:t>
            </w:r>
            <w:proofErr w:type="gramEnd"/>
            <w:r w:rsidRPr="005762E6">
              <w:rPr>
                <w:sz w:val="20"/>
                <w:szCs w:val="20"/>
              </w:rPr>
              <w:t xml:space="preserve"> 10-11 Jan 2011</w:t>
            </w:r>
            <w:r w:rsidR="007F2F01">
              <w:rPr>
                <w:sz w:val="20"/>
                <w:szCs w:val="20"/>
              </w:rPr>
              <w:t>.</w:t>
            </w:r>
            <w:r w:rsidRPr="005762E6">
              <w:rPr>
                <w:sz w:val="20"/>
                <w:szCs w:val="20"/>
              </w:rPr>
              <w:t xml:space="preserve"> #journal#; 2011;:</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p>
        </w:tc>
      </w:tr>
      <w:tr w:rsidR="00B44564" w:rsidRPr="005762E6" w14:paraId="29221DB4" w14:textId="77777777" w:rsidTr="00B44564">
        <w:tc>
          <w:tcPr>
            <w:tcW w:w="0" w:type="auto"/>
            <w:tcBorders>
              <w:top w:val="single" w:sz="6" w:space="0" w:color="auto"/>
              <w:left w:val="single" w:sz="6" w:space="0" w:color="auto"/>
              <w:bottom w:val="single" w:sz="6" w:space="0" w:color="auto"/>
              <w:right w:val="single" w:sz="6" w:space="0" w:color="auto"/>
            </w:tcBorders>
            <w:hideMark/>
          </w:tcPr>
          <w:p w14:paraId="765E170B" w14:textId="77777777" w:rsidR="00B44564" w:rsidRPr="005762E6" w:rsidRDefault="00B44564" w:rsidP="00EA69AA">
            <w:pPr>
              <w:spacing w:after="120" w:line="240" w:lineRule="auto"/>
              <w:contextualSpacing/>
              <w:rPr>
                <w:sz w:val="20"/>
                <w:szCs w:val="20"/>
              </w:rPr>
            </w:pPr>
            <w:r w:rsidRPr="005762E6">
              <w:rPr>
                <w:sz w:val="20"/>
                <w:szCs w:val="20"/>
              </w:rPr>
              <w:t>851</w:t>
            </w:r>
          </w:p>
        </w:tc>
        <w:tc>
          <w:tcPr>
            <w:tcW w:w="0" w:type="auto"/>
            <w:tcBorders>
              <w:top w:val="single" w:sz="6" w:space="0" w:color="auto"/>
              <w:left w:val="single" w:sz="6" w:space="0" w:color="auto"/>
              <w:bottom w:val="single" w:sz="6" w:space="0" w:color="auto"/>
              <w:right w:val="single" w:sz="6" w:space="0" w:color="auto"/>
            </w:tcBorders>
          </w:tcPr>
          <w:p w14:paraId="12A6F9A2" w14:textId="77777777" w:rsidR="00B44564" w:rsidRPr="005762E6" w:rsidRDefault="00B44564" w:rsidP="00EA69AA">
            <w:pPr>
              <w:spacing w:after="120" w:line="240" w:lineRule="auto"/>
              <w:contextualSpacing/>
              <w:rPr>
                <w:sz w:val="20"/>
                <w:szCs w:val="20"/>
              </w:rPr>
            </w:pPr>
          </w:p>
        </w:tc>
        <w:tc>
          <w:tcPr>
            <w:tcW w:w="0" w:type="auto"/>
            <w:tcBorders>
              <w:top w:val="single" w:sz="6" w:space="0" w:color="auto"/>
              <w:left w:val="single" w:sz="6" w:space="0" w:color="auto"/>
              <w:bottom w:val="single" w:sz="6" w:space="0" w:color="auto"/>
              <w:right w:val="single" w:sz="6" w:space="0" w:color="auto"/>
            </w:tcBorders>
            <w:hideMark/>
          </w:tcPr>
          <w:p w14:paraId="2AC3806A" w14:textId="77777777" w:rsidR="00B44564" w:rsidRPr="005762E6" w:rsidRDefault="00B44564" w:rsidP="00EA69AA">
            <w:pPr>
              <w:spacing w:after="120" w:line="240" w:lineRule="auto"/>
              <w:contextualSpacing/>
              <w:rPr>
                <w:sz w:val="20"/>
                <w:szCs w:val="20"/>
              </w:rPr>
            </w:pPr>
            <w:r w:rsidRPr="005762E6">
              <w:rPr>
                <w:sz w:val="20"/>
                <w:szCs w:val="20"/>
              </w:rPr>
              <w:t xml:space="preserve">Thorne </w:t>
            </w:r>
            <w:proofErr w:type="gramStart"/>
            <w:r w:rsidRPr="005762E6">
              <w:rPr>
                <w:sz w:val="20"/>
                <w:szCs w:val="20"/>
              </w:rPr>
              <w:t>S,​</w:t>
            </w:r>
            <w:proofErr w:type="gramEnd"/>
            <w:r w:rsidRPr="005762E6">
              <w:rPr>
                <w:sz w:val="20"/>
                <w:szCs w:val="20"/>
              </w:rPr>
              <w:t xml:space="preserve"> Davis S,​ Caraballo RS Menthol use and nicotine dependence among US adults,​ 2001-2006. #journal#; 2010;:</w:t>
            </w:r>
            <w:r w:rsidRPr="005762E6">
              <w:rPr>
                <w:sz w:val="20"/>
                <w:szCs w:val="20"/>
              </w:rPr>
              <w:br/>
            </w:r>
            <w:r w:rsidRPr="005762E6">
              <w:rPr>
                <w:sz w:val="20"/>
                <w:szCs w:val="20"/>
              </w:rPr>
              <w:br/>
            </w:r>
            <w:r w:rsidRPr="005762E6">
              <w:rPr>
                <w:b/>
                <w:bCs/>
                <w:sz w:val="20"/>
                <w:szCs w:val="20"/>
              </w:rPr>
              <w:t>Keywords:</w:t>
            </w:r>
            <w:r w:rsidRPr="005762E6">
              <w:rPr>
                <w:sz w:val="20"/>
                <w:szCs w:val="20"/>
              </w:rPr>
              <w:br/>
            </w:r>
            <w:r w:rsidRPr="005762E6">
              <w:rPr>
                <w:sz w:val="20"/>
                <w:szCs w:val="20"/>
              </w:rPr>
              <w:br/>
            </w:r>
            <w:r w:rsidRPr="005762E6">
              <w:rPr>
                <w:b/>
                <w:bCs/>
                <w:sz w:val="20"/>
                <w:szCs w:val="20"/>
              </w:rPr>
              <w:t xml:space="preserve">Abstract: </w:t>
            </w:r>
          </w:p>
        </w:tc>
      </w:tr>
    </w:tbl>
    <w:p w14:paraId="1CDA48E7" w14:textId="77777777" w:rsidR="00EA69AA" w:rsidRDefault="00EA69AA" w:rsidP="00EA69AA">
      <w:pPr>
        <w:rPr>
          <w:rFonts w:ascii="Calibri" w:hAnsi="Calibri"/>
          <w:noProof/>
        </w:rPr>
      </w:pPr>
    </w:p>
    <w:p w14:paraId="7D2B7678" w14:textId="77777777" w:rsidR="00EA69AA" w:rsidRDefault="00EA69AA" w:rsidP="00EA69AA">
      <w:pPr>
        <w:rPr>
          <w:rFonts w:ascii="Calibri" w:hAnsi="Calibri"/>
          <w:noProof/>
        </w:rPr>
      </w:pPr>
      <w:r>
        <w:rPr>
          <w:rFonts w:ascii="Calibri" w:hAnsi="Calibri"/>
          <w:noProof/>
        </w:rPr>
        <w:br w:type="page"/>
      </w:r>
    </w:p>
    <w:p w14:paraId="076CCE69" w14:textId="77777777" w:rsidR="00EA69AA" w:rsidRPr="00B44564" w:rsidRDefault="00EA69AA" w:rsidP="00B44564">
      <w:pPr>
        <w:outlineLvl w:val="0"/>
        <w:rPr>
          <w:b/>
        </w:rPr>
      </w:pPr>
      <w:r>
        <w:rPr>
          <w:b/>
        </w:rPr>
        <w:lastRenderedPageBreak/>
        <w:t>SUPPLEMENTAL SECTION</w:t>
      </w:r>
      <w:r w:rsidRPr="00781F59">
        <w:rPr>
          <w:b/>
        </w:rPr>
        <w:t xml:space="preserve"> </w:t>
      </w:r>
      <w:r>
        <w:rPr>
          <w:b/>
        </w:rPr>
        <w:t>2</w:t>
      </w:r>
      <w:r w:rsidRPr="00781F59">
        <w:rPr>
          <w:b/>
        </w:rPr>
        <w:t>: Excluded Studies Table (studies excluded at level 2 with reason for exclusion)</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486"/>
        <w:gridCol w:w="7422"/>
        <w:gridCol w:w="1436"/>
      </w:tblGrid>
      <w:tr w:rsidR="00EA69AA" w:rsidRPr="00781F59" w14:paraId="4F25621A" w14:textId="77777777" w:rsidTr="00EA69AA">
        <w:trPr>
          <w:cantSplit/>
          <w:tblHeader/>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hideMark/>
          </w:tcPr>
          <w:p w14:paraId="74374C83" w14:textId="77777777" w:rsidR="00EA69AA" w:rsidRPr="00781F59" w:rsidRDefault="00EA69AA" w:rsidP="00EA69AA">
            <w:pPr>
              <w:contextualSpacing/>
              <w:rPr>
                <w:b/>
                <w:sz w:val="20"/>
                <w:szCs w:val="20"/>
              </w:rPr>
            </w:pPr>
            <w:r w:rsidRPr="00781F59">
              <w:rPr>
                <w:b/>
                <w:sz w:val="20"/>
                <w:szCs w:val="20"/>
              </w:rPr>
              <w:t>RefID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hideMark/>
          </w:tcPr>
          <w:p w14:paraId="087F2A8A" w14:textId="77777777" w:rsidR="00EA69AA" w:rsidRPr="00781F59" w:rsidRDefault="00EA69AA" w:rsidP="00EA69AA">
            <w:pPr>
              <w:contextualSpacing/>
              <w:rPr>
                <w:b/>
                <w:sz w:val="20"/>
                <w:szCs w:val="20"/>
              </w:rPr>
            </w:pPr>
            <w:r w:rsidRPr="00781F59">
              <w:rPr>
                <w:b/>
                <w:sz w:val="20"/>
                <w:szCs w:val="20"/>
              </w:rPr>
              <w:t>Reference</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vAlign w:val="bottom"/>
            <w:hideMark/>
          </w:tcPr>
          <w:p w14:paraId="118FA7CF" w14:textId="77777777" w:rsidR="00EA69AA" w:rsidRPr="00781F59" w:rsidRDefault="00EA69AA" w:rsidP="00EA69AA">
            <w:pPr>
              <w:contextualSpacing/>
              <w:rPr>
                <w:b/>
                <w:sz w:val="20"/>
                <w:szCs w:val="20"/>
              </w:rPr>
            </w:pPr>
            <w:r w:rsidRPr="00781F59">
              <w:rPr>
                <w:b/>
                <w:sz w:val="20"/>
                <w:szCs w:val="20"/>
              </w:rPr>
              <w:t>Exclusion Criteria</w:t>
            </w:r>
          </w:p>
        </w:tc>
      </w:tr>
      <w:tr w:rsidR="00EA69AA" w:rsidRPr="00781F59" w14:paraId="41E39F30"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831583C" w14:textId="77777777" w:rsidR="00EA69AA" w:rsidRPr="00781F59" w:rsidRDefault="00EA69AA" w:rsidP="00EA69AA">
            <w:pPr>
              <w:contextualSpacing/>
              <w:rPr>
                <w:sz w:val="20"/>
                <w:szCs w:val="20"/>
              </w:rPr>
            </w:pPr>
            <w:r w:rsidRPr="00781F59">
              <w:rPr>
                <w:sz w:val="20"/>
                <w:szCs w:val="20"/>
              </w:rPr>
              <w:t>11</w:t>
            </w:r>
          </w:p>
        </w:tc>
        <w:tc>
          <w:tcPr>
            <w:tcW w:w="0" w:type="auto"/>
            <w:tcBorders>
              <w:top w:val="single" w:sz="6" w:space="0" w:color="auto"/>
              <w:left w:val="single" w:sz="6" w:space="0" w:color="auto"/>
              <w:bottom w:val="single" w:sz="6" w:space="0" w:color="auto"/>
              <w:right w:val="single" w:sz="6" w:space="0" w:color="auto"/>
            </w:tcBorders>
            <w:hideMark/>
          </w:tcPr>
          <w:p w14:paraId="4812D900" w14:textId="460E2D13" w:rsidR="00EA69AA" w:rsidRPr="00781F59" w:rsidRDefault="00EA69AA" w:rsidP="00EA69AA">
            <w:pPr>
              <w:contextualSpacing/>
              <w:rPr>
                <w:sz w:val="20"/>
                <w:szCs w:val="20"/>
              </w:rPr>
            </w:pPr>
            <w:r w:rsidRPr="00781F59">
              <w:rPr>
                <w:sz w:val="20"/>
                <w:szCs w:val="20"/>
              </w:rPr>
              <w:t>Centre for Reviews and Dissemination 2015 Aromatherapy: a systematic review (Structured abstract)</w:t>
            </w:r>
            <w:r w:rsidR="007F2F01">
              <w:rPr>
                <w:sz w:val="20"/>
                <w:szCs w:val="20"/>
              </w:rPr>
              <w:t>.</w:t>
            </w:r>
            <w:r w:rsidRPr="00781F59">
              <w:rPr>
                <w:sz w:val="20"/>
                <w:szCs w:val="20"/>
              </w:rPr>
              <w:t xml:space="preserve"> Database of Abstracts of Reviews of Effects</w:t>
            </w:r>
            <w:proofErr w:type="gramStart"/>
            <w:r w:rsidRPr="00781F59">
              <w:rPr>
                <w:sz w:val="20"/>
                <w:szCs w:val="20"/>
              </w:rPr>
              <w:t>; .</w:t>
            </w:r>
            <w:proofErr w:type="gramEnd"/>
          </w:p>
        </w:tc>
        <w:tc>
          <w:tcPr>
            <w:tcW w:w="0" w:type="auto"/>
            <w:tcBorders>
              <w:top w:val="single" w:sz="6" w:space="0" w:color="auto"/>
              <w:left w:val="single" w:sz="6" w:space="0" w:color="auto"/>
              <w:bottom w:val="single" w:sz="6" w:space="0" w:color="auto"/>
              <w:right w:val="single" w:sz="6" w:space="0" w:color="auto"/>
            </w:tcBorders>
            <w:hideMark/>
          </w:tcPr>
          <w:p w14:paraId="161BC1B9"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5B2E9278"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45ECB21" w14:textId="77777777" w:rsidR="00EA69AA" w:rsidRPr="00781F59" w:rsidRDefault="00EA69AA" w:rsidP="00EA69AA">
            <w:pPr>
              <w:contextualSpacing/>
              <w:rPr>
                <w:sz w:val="20"/>
                <w:szCs w:val="20"/>
              </w:rPr>
            </w:pPr>
            <w:r w:rsidRPr="00781F59">
              <w:rPr>
                <w:sz w:val="20"/>
                <w:szCs w:val="20"/>
              </w:rPr>
              <w:t>13</w:t>
            </w:r>
          </w:p>
        </w:tc>
        <w:tc>
          <w:tcPr>
            <w:tcW w:w="0" w:type="auto"/>
            <w:tcBorders>
              <w:top w:val="single" w:sz="6" w:space="0" w:color="auto"/>
              <w:left w:val="single" w:sz="6" w:space="0" w:color="auto"/>
              <w:bottom w:val="single" w:sz="6" w:space="0" w:color="auto"/>
              <w:right w:val="single" w:sz="6" w:space="0" w:color="auto"/>
            </w:tcBorders>
            <w:hideMark/>
          </w:tcPr>
          <w:p w14:paraId="53A390E5" w14:textId="77777777" w:rsidR="00EA69AA" w:rsidRPr="00781F59" w:rsidRDefault="00EA69AA" w:rsidP="00EA69AA">
            <w:pPr>
              <w:contextualSpacing/>
              <w:rPr>
                <w:sz w:val="20"/>
                <w:szCs w:val="20"/>
              </w:rPr>
            </w:pPr>
            <w:r w:rsidRPr="00781F59">
              <w:rPr>
                <w:sz w:val="20"/>
                <w:szCs w:val="20"/>
              </w:rPr>
              <w:t xml:space="preserve">Glantz </w:t>
            </w:r>
            <w:proofErr w:type="gramStart"/>
            <w:r w:rsidRPr="00781F59">
              <w:rPr>
                <w:sz w:val="20"/>
                <w:szCs w:val="20"/>
              </w:rPr>
              <w:t>S.A.,Gardiner</w:t>
            </w:r>
            <w:proofErr w:type="gramEnd"/>
            <w:r w:rsidRPr="00781F59">
              <w:rPr>
                <w:sz w:val="20"/>
                <w:szCs w:val="20"/>
              </w:rPr>
              <w:t xml:space="preserve"> P. 2018 Local movement to ban menthol tobacco products as a result of federal inaction. JAMA Internal Medicine; 178.711.</w:t>
            </w:r>
          </w:p>
        </w:tc>
        <w:tc>
          <w:tcPr>
            <w:tcW w:w="0" w:type="auto"/>
            <w:tcBorders>
              <w:top w:val="single" w:sz="6" w:space="0" w:color="auto"/>
              <w:left w:val="single" w:sz="6" w:space="0" w:color="auto"/>
              <w:bottom w:val="single" w:sz="6" w:space="0" w:color="auto"/>
              <w:right w:val="single" w:sz="6" w:space="0" w:color="auto"/>
            </w:tcBorders>
            <w:hideMark/>
          </w:tcPr>
          <w:p w14:paraId="44FA8E36"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394CA389"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4B5F22B" w14:textId="77777777" w:rsidR="00EA69AA" w:rsidRPr="00781F59" w:rsidRDefault="00EA69AA" w:rsidP="00EA69AA">
            <w:pPr>
              <w:contextualSpacing/>
              <w:rPr>
                <w:sz w:val="20"/>
                <w:szCs w:val="20"/>
              </w:rPr>
            </w:pPr>
            <w:r w:rsidRPr="00781F59">
              <w:rPr>
                <w:sz w:val="20"/>
                <w:szCs w:val="20"/>
              </w:rPr>
              <w:t>14</w:t>
            </w:r>
          </w:p>
        </w:tc>
        <w:tc>
          <w:tcPr>
            <w:tcW w:w="0" w:type="auto"/>
            <w:tcBorders>
              <w:top w:val="single" w:sz="6" w:space="0" w:color="auto"/>
              <w:left w:val="single" w:sz="6" w:space="0" w:color="auto"/>
              <w:bottom w:val="single" w:sz="6" w:space="0" w:color="auto"/>
              <w:right w:val="single" w:sz="6" w:space="0" w:color="auto"/>
            </w:tcBorders>
            <w:hideMark/>
          </w:tcPr>
          <w:p w14:paraId="731816A9" w14:textId="77777777" w:rsidR="00EA69AA" w:rsidRPr="00781F59" w:rsidRDefault="00EA69AA" w:rsidP="00EA69AA">
            <w:pPr>
              <w:contextualSpacing/>
              <w:rPr>
                <w:sz w:val="20"/>
                <w:szCs w:val="20"/>
              </w:rPr>
            </w:pPr>
            <w:r w:rsidRPr="00781F59">
              <w:rPr>
                <w:sz w:val="20"/>
                <w:szCs w:val="20"/>
              </w:rPr>
              <w:t>Printz C. 2018 US Food and Drug Administration considers comments on proposed nicotine product regulations: Some criticize the agency for not moving fast enough to stop youth e-cigarette use. Cancer; 124.3959.</w:t>
            </w:r>
          </w:p>
        </w:tc>
        <w:tc>
          <w:tcPr>
            <w:tcW w:w="0" w:type="auto"/>
            <w:tcBorders>
              <w:top w:val="single" w:sz="6" w:space="0" w:color="auto"/>
              <w:left w:val="single" w:sz="6" w:space="0" w:color="auto"/>
              <w:bottom w:val="single" w:sz="6" w:space="0" w:color="auto"/>
              <w:right w:val="single" w:sz="6" w:space="0" w:color="auto"/>
            </w:tcBorders>
            <w:hideMark/>
          </w:tcPr>
          <w:p w14:paraId="7E2A56B0" w14:textId="77777777" w:rsidR="00EA69AA" w:rsidRPr="00781F59" w:rsidRDefault="00EA69AA" w:rsidP="00EA69AA">
            <w:pPr>
              <w:contextualSpacing/>
              <w:rPr>
                <w:sz w:val="20"/>
                <w:szCs w:val="20"/>
              </w:rPr>
            </w:pPr>
            <w:r w:rsidRPr="00781F59">
              <w:rPr>
                <w:sz w:val="20"/>
                <w:szCs w:val="20"/>
              </w:rPr>
              <w:t>Ineligible exposure (e-cigarettes)</w:t>
            </w:r>
          </w:p>
        </w:tc>
      </w:tr>
      <w:tr w:rsidR="00EA69AA" w:rsidRPr="00781F59" w14:paraId="528AC8DC"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C2A9383" w14:textId="77777777" w:rsidR="00EA69AA" w:rsidRPr="00781F59" w:rsidRDefault="00EA69AA" w:rsidP="00EA69AA">
            <w:pPr>
              <w:contextualSpacing/>
              <w:rPr>
                <w:sz w:val="20"/>
                <w:szCs w:val="20"/>
              </w:rPr>
            </w:pPr>
            <w:r w:rsidRPr="00781F59">
              <w:rPr>
                <w:sz w:val="20"/>
                <w:szCs w:val="20"/>
              </w:rPr>
              <w:t>17</w:t>
            </w:r>
          </w:p>
        </w:tc>
        <w:tc>
          <w:tcPr>
            <w:tcW w:w="0" w:type="auto"/>
            <w:tcBorders>
              <w:top w:val="single" w:sz="6" w:space="0" w:color="auto"/>
              <w:left w:val="single" w:sz="6" w:space="0" w:color="auto"/>
              <w:bottom w:val="single" w:sz="6" w:space="0" w:color="auto"/>
              <w:right w:val="single" w:sz="6" w:space="0" w:color="auto"/>
            </w:tcBorders>
            <w:hideMark/>
          </w:tcPr>
          <w:p w14:paraId="1869F324" w14:textId="77777777" w:rsidR="00EA69AA" w:rsidRPr="00781F59" w:rsidRDefault="00EA69AA" w:rsidP="00EA69AA">
            <w:pPr>
              <w:contextualSpacing/>
              <w:rPr>
                <w:sz w:val="20"/>
                <w:szCs w:val="20"/>
              </w:rPr>
            </w:pPr>
            <w:r w:rsidRPr="00781F59">
              <w:rPr>
                <w:sz w:val="20"/>
                <w:szCs w:val="20"/>
              </w:rPr>
              <w:t xml:space="preserve">Stanfill </w:t>
            </w:r>
            <w:proofErr w:type="gramStart"/>
            <w:r w:rsidRPr="00781F59">
              <w:rPr>
                <w:sz w:val="20"/>
                <w:szCs w:val="20"/>
              </w:rPr>
              <w:t>S.B.,Croucher</w:t>
            </w:r>
            <w:proofErr w:type="gramEnd"/>
            <w:r w:rsidRPr="00781F59">
              <w:rPr>
                <w:sz w:val="20"/>
                <w:szCs w:val="20"/>
              </w:rPr>
              <w:t xml:space="preserve"> R.E.,Gupta P.C.,Lisko J.G.,Lawler T.S.,Kuklenyik P.,Dahiya M.,Duncan B.,Kimbrell J.B.,Peuchen E.H.,Watson C.H. 2018 Chemical characterization of smokeless tobacco products from South Asia: Nicotine, unprotonated nicotine, tobacco-specific N'-Nitrosamines, and flavor compounds. Food and Chemical Toxicology; 118.626.</w:t>
            </w:r>
          </w:p>
        </w:tc>
        <w:tc>
          <w:tcPr>
            <w:tcW w:w="0" w:type="auto"/>
            <w:tcBorders>
              <w:top w:val="single" w:sz="6" w:space="0" w:color="auto"/>
              <w:left w:val="single" w:sz="6" w:space="0" w:color="auto"/>
              <w:bottom w:val="single" w:sz="6" w:space="0" w:color="auto"/>
              <w:right w:val="single" w:sz="6" w:space="0" w:color="auto"/>
            </w:tcBorders>
            <w:hideMark/>
          </w:tcPr>
          <w:p w14:paraId="33A16ACB"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185CE76F"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14874F7" w14:textId="77777777" w:rsidR="00EA69AA" w:rsidRPr="00781F59" w:rsidRDefault="00EA69AA" w:rsidP="00EA69AA">
            <w:pPr>
              <w:contextualSpacing/>
              <w:rPr>
                <w:sz w:val="20"/>
                <w:szCs w:val="20"/>
              </w:rPr>
            </w:pPr>
            <w:r w:rsidRPr="00781F59">
              <w:rPr>
                <w:sz w:val="20"/>
                <w:szCs w:val="20"/>
              </w:rPr>
              <w:t>20</w:t>
            </w:r>
          </w:p>
        </w:tc>
        <w:tc>
          <w:tcPr>
            <w:tcW w:w="0" w:type="auto"/>
            <w:tcBorders>
              <w:top w:val="single" w:sz="6" w:space="0" w:color="auto"/>
              <w:left w:val="single" w:sz="6" w:space="0" w:color="auto"/>
              <w:bottom w:val="single" w:sz="6" w:space="0" w:color="auto"/>
              <w:right w:val="single" w:sz="6" w:space="0" w:color="auto"/>
            </w:tcBorders>
            <w:hideMark/>
          </w:tcPr>
          <w:p w14:paraId="43BC07CA" w14:textId="77777777" w:rsidR="00EA69AA" w:rsidRPr="00781F59" w:rsidRDefault="00EA69AA" w:rsidP="00EA69AA">
            <w:pPr>
              <w:contextualSpacing/>
              <w:rPr>
                <w:sz w:val="20"/>
                <w:szCs w:val="20"/>
              </w:rPr>
            </w:pPr>
            <w:r w:rsidRPr="00781F59">
              <w:rPr>
                <w:sz w:val="20"/>
                <w:szCs w:val="20"/>
              </w:rPr>
              <w:t xml:space="preserve">Schneller </w:t>
            </w:r>
            <w:proofErr w:type="gramStart"/>
            <w:r w:rsidRPr="00781F59">
              <w:rPr>
                <w:sz w:val="20"/>
                <w:szCs w:val="20"/>
              </w:rPr>
              <w:t>L.M.,McIntosh</w:t>
            </w:r>
            <w:proofErr w:type="gramEnd"/>
            <w:r w:rsidRPr="00781F59">
              <w:rPr>
                <w:sz w:val="20"/>
                <w:szCs w:val="20"/>
              </w:rPr>
              <w:t xml:space="preserve"> S.,Li D.,Rahman I.,Ossip D.,Goniewicz M.,O'Connor R.J. 2018 Tobacco use and chemosensory impairments among current adult tobacco users in the US: Data from NHANES 2013-2014. Tobacco Induced Diseases; 16.94202.</w:t>
            </w:r>
          </w:p>
        </w:tc>
        <w:tc>
          <w:tcPr>
            <w:tcW w:w="0" w:type="auto"/>
            <w:tcBorders>
              <w:top w:val="single" w:sz="6" w:space="0" w:color="auto"/>
              <w:left w:val="single" w:sz="6" w:space="0" w:color="auto"/>
              <w:bottom w:val="single" w:sz="6" w:space="0" w:color="auto"/>
              <w:right w:val="single" w:sz="6" w:space="0" w:color="auto"/>
            </w:tcBorders>
            <w:hideMark/>
          </w:tcPr>
          <w:p w14:paraId="1F83A4FB"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1B0A1C53"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F275448" w14:textId="77777777" w:rsidR="00EA69AA" w:rsidRPr="00781F59" w:rsidRDefault="00EA69AA" w:rsidP="00EA69AA">
            <w:pPr>
              <w:contextualSpacing/>
              <w:rPr>
                <w:sz w:val="20"/>
                <w:szCs w:val="20"/>
              </w:rPr>
            </w:pPr>
            <w:r w:rsidRPr="00781F59">
              <w:rPr>
                <w:sz w:val="20"/>
                <w:szCs w:val="20"/>
              </w:rPr>
              <w:t>25</w:t>
            </w:r>
          </w:p>
        </w:tc>
        <w:tc>
          <w:tcPr>
            <w:tcW w:w="0" w:type="auto"/>
            <w:tcBorders>
              <w:top w:val="single" w:sz="6" w:space="0" w:color="auto"/>
              <w:left w:val="single" w:sz="6" w:space="0" w:color="auto"/>
              <w:bottom w:val="single" w:sz="6" w:space="0" w:color="auto"/>
              <w:right w:val="single" w:sz="6" w:space="0" w:color="auto"/>
            </w:tcBorders>
            <w:hideMark/>
          </w:tcPr>
          <w:p w14:paraId="62D92885" w14:textId="77777777" w:rsidR="00EA69AA" w:rsidRPr="00781F59" w:rsidRDefault="00EA69AA" w:rsidP="00EA69AA">
            <w:pPr>
              <w:contextualSpacing/>
              <w:rPr>
                <w:sz w:val="20"/>
                <w:szCs w:val="20"/>
              </w:rPr>
            </w:pPr>
            <w:r w:rsidRPr="00781F59">
              <w:rPr>
                <w:sz w:val="20"/>
                <w:szCs w:val="20"/>
              </w:rPr>
              <w:t xml:space="preserve">Kong </w:t>
            </w:r>
            <w:proofErr w:type="gramStart"/>
            <w:r w:rsidRPr="00781F59">
              <w:rPr>
                <w:sz w:val="20"/>
                <w:szCs w:val="20"/>
              </w:rPr>
              <w:t>A.Y.,Golden</w:t>
            </w:r>
            <w:proofErr w:type="gramEnd"/>
            <w:r w:rsidRPr="00781F59">
              <w:rPr>
                <w:sz w:val="20"/>
                <w:szCs w:val="20"/>
              </w:rPr>
              <w:t xml:space="preserve"> S.D.,Berger M.T. 2018 An intersectional approach to the menthol cigarette problem: what's race(ism) got to do with it?. Critical Public Health; .1.</w:t>
            </w:r>
          </w:p>
        </w:tc>
        <w:tc>
          <w:tcPr>
            <w:tcW w:w="0" w:type="auto"/>
            <w:tcBorders>
              <w:top w:val="single" w:sz="6" w:space="0" w:color="auto"/>
              <w:left w:val="single" w:sz="6" w:space="0" w:color="auto"/>
              <w:bottom w:val="single" w:sz="6" w:space="0" w:color="auto"/>
              <w:right w:val="single" w:sz="6" w:space="0" w:color="auto"/>
            </w:tcBorders>
            <w:hideMark/>
          </w:tcPr>
          <w:p w14:paraId="3FF45267"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1C9920F9"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DED6CFF" w14:textId="77777777" w:rsidR="00EA69AA" w:rsidRPr="00781F59" w:rsidRDefault="00EA69AA" w:rsidP="00EA69AA">
            <w:pPr>
              <w:contextualSpacing/>
              <w:rPr>
                <w:sz w:val="20"/>
                <w:szCs w:val="20"/>
              </w:rPr>
            </w:pPr>
            <w:r w:rsidRPr="00781F59">
              <w:rPr>
                <w:sz w:val="20"/>
                <w:szCs w:val="20"/>
              </w:rPr>
              <w:t>27</w:t>
            </w:r>
          </w:p>
        </w:tc>
        <w:tc>
          <w:tcPr>
            <w:tcW w:w="0" w:type="auto"/>
            <w:tcBorders>
              <w:top w:val="single" w:sz="6" w:space="0" w:color="auto"/>
              <w:left w:val="single" w:sz="6" w:space="0" w:color="auto"/>
              <w:bottom w:val="single" w:sz="6" w:space="0" w:color="auto"/>
              <w:right w:val="single" w:sz="6" w:space="0" w:color="auto"/>
            </w:tcBorders>
            <w:hideMark/>
          </w:tcPr>
          <w:p w14:paraId="487B7277" w14:textId="77777777" w:rsidR="00EA69AA" w:rsidRPr="00781F59" w:rsidRDefault="00EA69AA" w:rsidP="00EA69AA">
            <w:pPr>
              <w:contextualSpacing/>
              <w:rPr>
                <w:sz w:val="20"/>
                <w:szCs w:val="20"/>
              </w:rPr>
            </w:pPr>
            <w:r w:rsidRPr="00781F59">
              <w:rPr>
                <w:sz w:val="20"/>
                <w:szCs w:val="20"/>
              </w:rPr>
              <w:t xml:space="preserve">Rath </w:t>
            </w:r>
            <w:proofErr w:type="gramStart"/>
            <w:r w:rsidRPr="00781F59">
              <w:rPr>
                <w:sz w:val="20"/>
                <w:szCs w:val="20"/>
              </w:rPr>
              <w:t>J.M.,Greenberg</w:t>
            </w:r>
            <w:proofErr w:type="gramEnd"/>
            <w:r w:rsidRPr="00781F59">
              <w:rPr>
                <w:sz w:val="20"/>
                <w:szCs w:val="20"/>
              </w:rPr>
              <w:t xml:space="preserve"> M.,Pitzer L.,Emelle B.,Green M.,Liu S.,Willett J.,Rose S.W.,Hair E.C.,Vallone D. 2018 The association between menthol perceptions and support for a policy ban among US smokers. Ethnicity and Disease; 28.177.</w:t>
            </w:r>
          </w:p>
        </w:tc>
        <w:tc>
          <w:tcPr>
            <w:tcW w:w="0" w:type="auto"/>
            <w:tcBorders>
              <w:top w:val="single" w:sz="6" w:space="0" w:color="auto"/>
              <w:left w:val="single" w:sz="6" w:space="0" w:color="auto"/>
              <w:bottom w:val="single" w:sz="6" w:space="0" w:color="auto"/>
              <w:right w:val="single" w:sz="6" w:space="0" w:color="auto"/>
            </w:tcBorders>
            <w:hideMark/>
          </w:tcPr>
          <w:p w14:paraId="42E31493"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3447B449"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992B491" w14:textId="77777777" w:rsidR="00EA69AA" w:rsidRPr="00781F59" w:rsidRDefault="00EA69AA" w:rsidP="00EA69AA">
            <w:pPr>
              <w:contextualSpacing/>
              <w:rPr>
                <w:sz w:val="20"/>
                <w:szCs w:val="20"/>
              </w:rPr>
            </w:pPr>
            <w:r w:rsidRPr="00781F59">
              <w:rPr>
                <w:sz w:val="20"/>
                <w:szCs w:val="20"/>
              </w:rPr>
              <w:t>36</w:t>
            </w:r>
          </w:p>
        </w:tc>
        <w:tc>
          <w:tcPr>
            <w:tcW w:w="0" w:type="auto"/>
            <w:tcBorders>
              <w:top w:val="single" w:sz="6" w:space="0" w:color="auto"/>
              <w:left w:val="single" w:sz="6" w:space="0" w:color="auto"/>
              <w:bottom w:val="single" w:sz="6" w:space="0" w:color="auto"/>
              <w:right w:val="single" w:sz="6" w:space="0" w:color="auto"/>
            </w:tcBorders>
            <w:hideMark/>
          </w:tcPr>
          <w:p w14:paraId="4C25FCC9" w14:textId="77777777" w:rsidR="00EA69AA" w:rsidRPr="00781F59" w:rsidRDefault="00EA69AA" w:rsidP="00EA69AA">
            <w:pPr>
              <w:contextualSpacing/>
              <w:rPr>
                <w:sz w:val="20"/>
                <w:szCs w:val="20"/>
              </w:rPr>
            </w:pPr>
            <w:r w:rsidRPr="00781F59">
              <w:rPr>
                <w:sz w:val="20"/>
                <w:szCs w:val="20"/>
              </w:rPr>
              <w:t>White W.B. 2018 Menthol cigarette use and subclinical cardiovascular disease in african americans in the jackson heart study. Circulation; 137.</w:t>
            </w:r>
          </w:p>
        </w:tc>
        <w:tc>
          <w:tcPr>
            <w:tcW w:w="0" w:type="auto"/>
            <w:tcBorders>
              <w:top w:val="single" w:sz="6" w:space="0" w:color="auto"/>
              <w:left w:val="single" w:sz="6" w:space="0" w:color="auto"/>
              <w:bottom w:val="single" w:sz="6" w:space="0" w:color="auto"/>
              <w:right w:val="single" w:sz="6" w:space="0" w:color="auto"/>
            </w:tcBorders>
            <w:hideMark/>
          </w:tcPr>
          <w:p w14:paraId="685F8A40"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29A655F1"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DDC11BD" w14:textId="77777777" w:rsidR="00EA69AA" w:rsidRPr="00781F59" w:rsidRDefault="00EA69AA" w:rsidP="00EA69AA">
            <w:pPr>
              <w:contextualSpacing/>
              <w:rPr>
                <w:sz w:val="20"/>
                <w:szCs w:val="20"/>
              </w:rPr>
            </w:pPr>
            <w:r w:rsidRPr="00781F59">
              <w:rPr>
                <w:sz w:val="20"/>
                <w:szCs w:val="20"/>
              </w:rPr>
              <w:t>37</w:t>
            </w:r>
          </w:p>
        </w:tc>
        <w:tc>
          <w:tcPr>
            <w:tcW w:w="0" w:type="auto"/>
            <w:tcBorders>
              <w:top w:val="single" w:sz="6" w:space="0" w:color="auto"/>
              <w:left w:val="single" w:sz="6" w:space="0" w:color="auto"/>
              <w:bottom w:val="single" w:sz="6" w:space="0" w:color="auto"/>
              <w:right w:val="single" w:sz="6" w:space="0" w:color="auto"/>
            </w:tcBorders>
            <w:hideMark/>
          </w:tcPr>
          <w:p w14:paraId="3EA1427F" w14:textId="77777777" w:rsidR="00EA69AA" w:rsidRPr="00781F59" w:rsidRDefault="00EA69AA" w:rsidP="00EA69AA">
            <w:pPr>
              <w:contextualSpacing/>
              <w:rPr>
                <w:sz w:val="20"/>
                <w:szCs w:val="20"/>
              </w:rPr>
            </w:pPr>
            <w:r w:rsidRPr="00781F59">
              <w:rPr>
                <w:sz w:val="20"/>
                <w:szCs w:val="20"/>
              </w:rPr>
              <w:t xml:space="preserve">McKelvey </w:t>
            </w:r>
            <w:proofErr w:type="gramStart"/>
            <w:r w:rsidRPr="00781F59">
              <w:rPr>
                <w:sz w:val="20"/>
                <w:szCs w:val="20"/>
              </w:rPr>
              <w:t>K.,Halpern</w:t>
            </w:r>
            <w:proofErr w:type="gramEnd"/>
            <w:r w:rsidRPr="00781F59">
              <w:rPr>
                <w:sz w:val="20"/>
                <w:szCs w:val="20"/>
              </w:rPr>
              <w:t xml:space="preserve">-Felsher B.,Lazaro A. 2018 Youth-ascribed cigarette pack color meaning: Correct perceptions of green menthol flavor color, yet confusion over other colors. Journal of Adolescent Health; </w:t>
            </w:r>
            <w:proofErr w:type="gramStart"/>
            <w:r w:rsidRPr="00781F59">
              <w:rPr>
                <w:sz w:val="20"/>
                <w:szCs w:val="20"/>
              </w:rPr>
              <w:t>62.S</w:t>
            </w:r>
            <w:proofErr w:type="gramEnd"/>
            <w:r w:rsidRPr="00781F59">
              <w:rPr>
                <w:sz w:val="20"/>
                <w:szCs w:val="20"/>
              </w:rPr>
              <w:t>137.</w:t>
            </w:r>
          </w:p>
        </w:tc>
        <w:tc>
          <w:tcPr>
            <w:tcW w:w="0" w:type="auto"/>
            <w:tcBorders>
              <w:top w:val="single" w:sz="6" w:space="0" w:color="auto"/>
              <w:left w:val="single" w:sz="6" w:space="0" w:color="auto"/>
              <w:bottom w:val="single" w:sz="6" w:space="0" w:color="auto"/>
              <w:right w:val="single" w:sz="6" w:space="0" w:color="auto"/>
            </w:tcBorders>
            <w:hideMark/>
          </w:tcPr>
          <w:p w14:paraId="4B80DCE0"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47EA5654"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D3BCCD9" w14:textId="77777777" w:rsidR="00EA69AA" w:rsidRPr="00781F59" w:rsidRDefault="00EA69AA" w:rsidP="00EA69AA">
            <w:pPr>
              <w:contextualSpacing/>
              <w:rPr>
                <w:sz w:val="20"/>
                <w:szCs w:val="20"/>
              </w:rPr>
            </w:pPr>
            <w:r w:rsidRPr="00781F59">
              <w:rPr>
                <w:sz w:val="20"/>
                <w:szCs w:val="20"/>
              </w:rPr>
              <w:t>42</w:t>
            </w:r>
          </w:p>
        </w:tc>
        <w:tc>
          <w:tcPr>
            <w:tcW w:w="0" w:type="auto"/>
            <w:tcBorders>
              <w:top w:val="single" w:sz="6" w:space="0" w:color="auto"/>
              <w:left w:val="single" w:sz="6" w:space="0" w:color="auto"/>
              <w:bottom w:val="single" w:sz="6" w:space="0" w:color="auto"/>
              <w:right w:val="single" w:sz="6" w:space="0" w:color="auto"/>
            </w:tcBorders>
            <w:hideMark/>
          </w:tcPr>
          <w:p w14:paraId="2A2E99EB" w14:textId="77777777" w:rsidR="00EA69AA" w:rsidRPr="00781F59" w:rsidRDefault="00EA69AA" w:rsidP="00EA69AA">
            <w:pPr>
              <w:contextualSpacing/>
              <w:rPr>
                <w:sz w:val="20"/>
                <w:szCs w:val="20"/>
              </w:rPr>
            </w:pPr>
            <w:r w:rsidRPr="00781F59">
              <w:rPr>
                <w:sz w:val="20"/>
                <w:szCs w:val="20"/>
              </w:rPr>
              <w:t xml:space="preserve">Folan </w:t>
            </w:r>
            <w:proofErr w:type="gramStart"/>
            <w:r w:rsidRPr="00781F59">
              <w:rPr>
                <w:sz w:val="20"/>
                <w:szCs w:val="20"/>
              </w:rPr>
              <w:t>P.,Abramova</w:t>
            </w:r>
            <w:proofErr w:type="gramEnd"/>
            <w:r w:rsidRPr="00781F59">
              <w:rPr>
                <w:sz w:val="20"/>
                <w:szCs w:val="20"/>
              </w:rPr>
              <w:t xml:space="preserve"> R.,Fardellone C.,Neptune E.,Soc</w:t>
            </w:r>
            <w:r>
              <w:rPr>
                <w:sz w:val="20"/>
                <w:szCs w:val="20"/>
              </w:rPr>
              <w:t>krider M. 2017 Atient education</w:t>
            </w:r>
            <w:r w:rsidRPr="00781F59">
              <w:rPr>
                <w:sz w:val="20"/>
                <w:szCs w:val="20"/>
              </w:rPr>
              <w:t>, Information series: What is menthol?. American Journal of Respiratory and Critical Care Medicine; 196.P9.</w:t>
            </w:r>
          </w:p>
        </w:tc>
        <w:tc>
          <w:tcPr>
            <w:tcW w:w="0" w:type="auto"/>
            <w:tcBorders>
              <w:top w:val="single" w:sz="6" w:space="0" w:color="auto"/>
              <w:left w:val="single" w:sz="6" w:space="0" w:color="auto"/>
              <w:bottom w:val="single" w:sz="6" w:space="0" w:color="auto"/>
              <w:right w:val="single" w:sz="6" w:space="0" w:color="auto"/>
            </w:tcBorders>
            <w:hideMark/>
          </w:tcPr>
          <w:p w14:paraId="58D3943A"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5631C373"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3FEA584" w14:textId="77777777" w:rsidR="00EA69AA" w:rsidRPr="00781F59" w:rsidRDefault="00EA69AA" w:rsidP="00EA69AA">
            <w:pPr>
              <w:contextualSpacing/>
              <w:rPr>
                <w:sz w:val="20"/>
                <w:szCs w:val="20"/>
              </w:rPr>
            </w:pPr>
            <w:r w:rsidRPr="00781F59">
              <w:rPr>
                <w:sz w:val="20"/>
                <w:szCs w:val="20"/>
              </w:rPr>
              <w:t>43</w:t>
            </w:r>
          </w:p>
        </w:tc>
        <w:tc>
          <w:tcPr>
            <w:tcW w:w="0" w:type="auto"/>
            <w:tcBorders>
              <w:top w:val="single" w:sz="6" w:space="0" w:color="auto"/>
              <w:left w:val="single" w:sz="6" w:space="0" w:color="auto"/>
              <w:bottom w:val="single" w:sz="6" w:space="0" w:color="auto"/>
              <w:right w:val="single" w:sz="6" w:space="0" w:color="auto"/>
            </w:tcBorders>
            <w:hideMark/>
          </w:tcPr>
          <w:p w14:paraId="5B2079FD" w14:textId="77777777" w:rsidR="00EA69AA" w:rsidRPr="00781F59" w:rsidRDefault="00EA69AA" w:rsidP="00EA69AA">
            <w:pPr>
              <w:contextualSpacing/>
              <w:rPr>
                <w:sz w:val="20"/>
                <w:szCs w:val="20"/>
              </w:rPr>
            </w:pPr>
            <w:r w:rsidRPr="00781F59">
              <w:rPr>
                <w:sz w:val="20"/>
                <w:szCs w:val="20"/>
              </w:rPr>
              <w:t xml:space="preserve">Farber </w:t>
            </w:r>
            <w:proofErr w:type="gramStart"/>
            <w:r w:rsidRPr="00781F59">
              <w:rPr>
                <w:sz w:val="20"/>
                <w:szCs w:val="20"/>
              </w:rPr>
              <w:t>H.J.,Folan</w:t>
            </w:r>
            <w:proofErr w:type="gramEnd"/>
            <w:r w:rsidRPr="00781F59">
              <w:rPr>
                <w:sz w:val="20"/>
                <w:szCs w:val="20"/>
              </w:rPr>
              <w:t xml:space="preserve"> P. 2017 The tobacco industry targets youth. American Journal of Respiratory and Critical Care Medicine; 196.11.</w:t>
            </w:r>
          </w:p>
        </w:tc>
        <w:tc>
          <w:tcPr>
            <w:tcW w:w="0" w:type="auto"/>
            <w:tcBorders>
              <w:top w:val="single" w:sz="6" w:space="0" w:color="auto"/>
              <w:left w:val="single" w:sz="6" w:space="0" w:color="auto"/>
              <w:bottom w:val="single" w:sz="6" w:space="0" w:color="auto"/>
              <w:right w:val="single" w:sz="6" w:space="0" w:color="auto"/>
            </w:tcBorders>
            <w:hideMark/>
          </w:tcPr>
          <w:p w14:paraId="07F4D23B"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6CE8DAF1"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E23FE73" w14:textId="77777777" w:rsidR="00EA69AA" w:rsidRPr="00781F59" w:rsidRDefault="00EA69AA" w:rsidP="00EA69AA">
            <w:pPr>
              <w:contextualSpacing/>
              <w:rPr>
                <w:sz w:val="20"/>
                <w:szCs w:val="20"/>
              </w:rPr>
            </w:pPr>
            <w:r w:rsidRPr="00781F59">
              <w:rPr>
                <w:sz w:val="20"/>
                <w:szCs w:val="20"/>
              </w:rPr>
              <w:t>44</w:t>
            </w:r>
          </w:p>
        </w:tc>
        <w:tc>
          <w:tcPr>
            <w:tcW w:w="0" w:type="auto"/>
            <w:tcBorders>
              <w:top w:val="single" w:sz="6" w:space="0" w:color="auto"/>
              <w:left w:val="single" w:sz="6" w:space="0" w:color="auto"/>
              <w:bottom w:val="single" w:sz="6" w:space="0" w:color="auto"/>
              <w:right w:val="single" w:sz="6" w:space="0" w:color="auto"/>
            </w:tcBorders>
            <w:hideMark/>
          </w:tcPr>
          <w:p w14:paraId="55E55C4A" w14:textId="77777777" w:rsidR="00EA69AA" w:rsidRPr="00781F59" w:rsidRDefault="00EA69AA" w:rsidP="00EA69AA">
            <w:pPr>
              <w:contextualSpacing/>
              <w:rPr>
                <w:sz w:val="20"/>
                <w:szCs w:val="20"/>
              </w:rPr>
            </w:pPr>
            <w:r w:rsidRPr="00781F59">
              <w:rPr>
                <w:sz w:val="20"/>
                <w:szCs w:val="20"/>
              </w:rPr>
              <w:t>Munafo M. 2016 Understanding the role of additives in tobacco products. Nicotine and Tobacco Research; 18.1545.</w:t>
            </w:r>
          </w:p>
        </w:tc>
        <w:tc>
          <w:tcPr>
            <w:tcW w:w="0" w:type="auto"/>
            <w:tcBorders>
              <w:top w:val="single" w:sz="6" w:space="0" w:color="auto"/>
              <w:left w:val="single" w:sz="6" w:space="0" w:color="auto"/>
              <w:bottom w:val="single" w:sz="6" w:space="0" w:color="auto"/>
              <w:right w:val="single" w:sz="6" w:space="0" w:color="auto"/>
            </w:tcBorders>
            <w:hideMark/>
          </w:tcPr>
          <w:p w14:paraId="5B126CE8"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2CC085F5"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C244783" w14:textId="77777777" w:rsidR="00EA69AA" w:rsidRPr="00781F59" w:rsidRDefault="00EA69AA" w:rsidP="00EA69AA">
            <w:pPr>
              <w:contextualSpacing/>
              <w:rPr>
                <w:sz w:val="20"/>
                <w:szCs w:val="20"/>
              </w:rPr>
            </w:pPr>
            <w:r w:rsidRPr="00781F59">
              <w:rPr>
                <w:sz w:val="20"/>
                <w:szCs w:val="20"/>
              </w:rPr>
              <w:t>45</w:t>
            </w:r>
          </w:p>
        </w:tc>
        <w:tc>
          <w:tcPr>
            <w:tcW w:w="0" w:type="auto"/>
            <w:tcBorders>
              <w:top w:val="single" w:sz="6" w:space="0" w:color="auto"/>
              <w:left w:val="single" w:sz="6" w:space="0" w:color="auto"/>
              <w:bottom w:val="single" w:sz="6" w:space="0" w:color="auto"/>
              <w:right w:val="single" w:sz="6" w:space="0" w:color="auto"/>
            </w:tcBorders>
            <w:hideMark/>
          </w:tcPr>
          <w:p w14:paraId="56D83F16" w14:textId="77777777" w:rsidR="00EA69AA" w:rsidRPr="00781F59" w:rsidRDefault="00EA69AA" w:rsidP="00EA69AA">
            <w:pPr>
              <w:contextualSpacing/>
              <w:rPr>
                <w:sz w:val="20"/>
                <w:szCs w:val="20"/>
              </w:rPr>
            </w:pPr>
            <w:r w:rsidRPr="00781F59">
              <w:rPr>
                <w:sz w:val="20"/>
                <w:szCs w:val="20"/>
              </w:rPr>
              <w:t xml:space="preserve">Warner </w:t>
            </w:r>
            <w:proofErr w:type="gramStart"/>
            <w:r w:rsidRPr="00781F59">
              <w:rPr>
                <w:sz w:val="20"/>
                <w:szCs w:val="20"/>
              </w:rPr>
              <w:t>K.E.,Schroeder</w:t>
            </w:r>
            <w:proofErr w:type="gramEnd"/>
            <w:r w:rsidRPr="00781F59">
              <w:rPr>
                <w:sz w:val="20"/>
                <w:szCs w:val="20"/>
              </w:rPr>
              <w:t xml:space="preserve"> S.A. 2017 FDA's innovative plan to address the enormous toll of smoking. JAMA - Journal of the American Medical Association; 318.1755.</w:t>
            </w:r>
          </w:p>
        </w:tc>
        <w:tc>
          <w:tcPr>
            <w:tcW w:w="0" w:type="auto"/>
            <w:tcBorders>
              <w:top w:val="single" w:sz="6" w:space="0" w:color="auto"/>
              <w:left w:val="single" w:sz="6" w:space="0" w:color="auto"/>
              <w:bottom w:val="single" w:sz="6" w:space="0" w:color="auto"/>
              <w:right w:val="single" w:sz="6" w:space="0" w:color="auto"/>
            </w:tcBorders>
            <w:hideMark/>
          </w:tcPr>
          <w:p w14:paraId="40F9084F"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016299BA"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0DFD7E0" w14:textId="77777777" w:rsidR="00EA69AA" w:rsidRPr="00781F59" w:rsidRDefault="00EA69AA" w:rsidP="00EA69AA">
            <w:pPr>
              <w:contextualSpacing/>
              <w:rPr>
                <w:sz w:val="20"/>
                <w:szCs w:val="20"/>
              </w:rPr>
            </w:pPr>
            <w:r w:rsidRPr="00781F59">
              <w:rPr>
                <w:sz w:val="20"/>
                <w:szCs w:val="20"/>
              </w:rPr>
              <w:t>49</w:t>
            </w:r>
          </w:p>
        </w:tc>
        <w:tc>
          <w:tcPr>
            <w:tcW w:w="0" w:type="auto"/>
            <w:tcBorders>
              <w:top w:val="single" w:sz="6" w:space="0" w:color="auto"/>
              <w:left w:val="single" w:sz="6" w:space="0" w:color="auto"/>
              <w:bottom w:val="single" w:sz="6" w:space="0" w:color="auto"/>
              <w:right w:val="single" w:sz="6" w:space="0" w:color="auto"/>
            </w:tcBorders>
            <w:hideMark/>
          </w:tcPr>
          <w:p w14:paraId="56699E57" w14:textId="77777777" w:rsidR="00EA69AA" w:rsidRPr="00781F59" w:rsidRDefault="00EA69AA" w:rsidP="00EA69AA">
            <w:pPr>
              <w:contextualSpacing/>
              <w:rPr>
                <w:sz w:val="20"/>
                <w:szCs w:val="20"/>
              </w:rPr>
            </w:pPr>
            <w:r w:rsidRPr="00781F59">
              <w:rPr>
                <w:sz w:val="20"/>
                <w:szCs w:val="20"/>
              </w:rPr>
              <w:t>Montgomery L.T. 2017 Mentholated cigarette use among African American women and men: What's blunt smoking got to do with it?. Drug and Alcohol Dependence; 171.e148.</w:t>
            </w:r>
          </w:p>
        </w:tc>
        <w:tc>
          <w:tcPr>
            <w:tcW w:w="0" w:type="auto"/>
            <w:tcBorders>
              <w:top w:val="single" w:sz="6" w:space="0" w:color="auto"/>
              <w:left w:val="single" w:sz="6" w:space="0" w:color="auto"/>
              <w:bottom w:val="single" w:sz="6" w:space="0" w:color="auto"/>
              <w:right w:val="single" w:sz="6" w:space="0" w:color="auto"/>
            </w:tcBorders>
            <w:hideMark/>
          </w:tcPr>
          <w:p w14:paraId="2CEC5416"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01F8947A"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EB01DDB" w14:textId="77777777" w:rsidR="00EA69AA" w:rsidRPr="00781F59" w:rsidRDefault="00EA69AA" w:rsidP="00EA69AA">
            <w:pPr>
              <w:contextualSpacing/>
              <w:rPr>
                <w:sz w:val="20"/>
                <w:szCs w:val="20"/>
              </w:rPr>
            </w:pPr>
            <w:r w:rsidRPr="00781F59">
              <w:rPr>
                <w:sz w:val="20"/>
                <w:szCs w:val="20"/>
              </w:rPr>
              <w:t>59</w:t>
            </w:r>
          </w:p>
        </w:tc>
        <w:tc>
          <w:tcPr>
            <w:tcW w:w="0" w:type="auto"/>
            <w:tcBorders>
              <w:top w:val="single" w:sz="6" w:space="0" w:color="auto"/>
              <w:left w:val="single" w:sz="6" w:space="0" w:color="auto"/>
              <w:bottom w:val="single" w:sz="6" w:space="0" w:color="auto"/>
              <w:right w:val="single" w:sz="6" w:space="0" w:color="auto"/>
            </w:tcBorders>
            <w:hideMark/>
          </w:tcPr>
          <w:p w14:paraId="057637A0" w14:textId="77777777" w:rsidR="00EA69AA" w:rsidRPr="00781F59" w:rsidRDefault="00EA69AA" w:rsidP="00EA69AA">
            <w:pPr>
              <w:contextualSpacing/>
              <w:rPr>
                <w:sz w:val="20"/>
                <w:szCs w:val="20"/>
              </w:rPr>
            </w:pPr>
            <w:r w:rsidRPr="00781F59">
              <w:rPr>
                <w:sz w:val="20"/>
                <w:szCs w:val="20"/>
              </w:rPr>
              <w:t>Anonymous. 2016 A growing gulf in the terrain of tobacco control. The Lancet; 387.2163.</w:t>
            </w:r>
          </w:p>
        </w:tc>
        <w:tc>
          <w:tcPr>
            <w:tcW w:w="0" w:type="auto"/>
            <w:tcBorders>
              <w:top w:val="single" w:sz="6" w:space="0" w:color="auto"/>
              <w:left w:val="single" w:sz="6" w:space="0" w:color="auto"/>
              <w:bottom w:val="single" w:sz="6" w:space="0" w:color="auto"/>
              <w:right w:val="single" w:sz="6" w:space="0" w:color="auto"/>
            </w:tcBorders>
            <w:hideMark/>
          </w:tcPr>
          <w:p w14:paraId="2340A4A2"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34FBC1D5"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864B395" w14:textId="77777777" w:rsidR="00EA69AA" w:rsidRPr="00781F59" w:rsidRDefault="00EA69AA" w:rsidP="00EA69AA">
            <w:pPr>
              <w:contextualSpacing/>
              <w:rPr>
                <w:sz w:val="20"/>
                <w:szCs w:val="20"/>
              </w:rPr>
            </w:pPr>
            <w:r w:rsidRPr="00781F59">
              <w:rPr>
                <w:sz w:val="20"/>
                <w:szCs w:val="20"/>
              </w:rPr>
              <w:t>60</w:t>
            </w:r>
          </w:p>
        </w:tc>
        <w:tc>
          <w:tcPr>
            <w:tcW w:w="0" w:type="auto"/>
            <w:tcBorders>
              <w:top w:val="single" w:sz="6" w:space="0" w:color="auto"/>
              <w:left w:val="single" w:sz="6" w:space="0" w:color="auto"/>
              <w:bottom w:val="single" w:sz="6" w:space="0" w:color="auto"/>
              <w:right w:val="single" w:sz="6" w:space="0" w:color="auto"/>
            </w:tcBorders>
            <w:hideMark/>
          </w:tcPr>
          <w:p w14:paraId="0A4A3BDE" w14:textId="77777777" w:rsidR="00EA69AA" w:rsidRPr="00781F59" w:rsidRDefault="00EA69AA" w:rsidP="00EA69AA">
            <w:pPr>
              <w:contextualSpacing/>
              <w:rPr>
                <w:sz w:val="20"/>
                <w:szCs w:val="20"/>
              </w:rPr>
            </w:pPr>
            <w:r w:rsidRPr="00781F59">
              <w:rPr>
                <w:sz w:val="20"/>
                <w:szCs w:val="20"/>
              </w:rPr>
              <w:t xml:space="preserve">Meier </w:t>
            </w:r>
            <w:proofErr w:type="gramStart"/>
            <w:r w:rsidRPr="00781F59">
              <w:rPr>
                <w:sz w:val="20"/>
                <w:szCs w:val="20"/>
              </w:rPr>
              <w:t>E.,Vogel</w:t>
            </w:r>
            <w:proofErr w:type="gramEnd"/>
            <w:r w:rsidRPr="00781F59">
              <w:rPr>
                <w:sz w:val="20"/>
                <w:szCs w:val="20"/>
              </w:rPr>
              <w:t xml:space="preserve"> R.I.,O'Connor R.J.,Severson H.H.,Shields P.G.,Hatsukami D.K. 2016 Preference for flavored noncombustible nicotine products among smokers motivated to switch from cigarettes. Nicotine and Tobacco Research; 18.892.</w:t>
            </w:r>
          </w:p>
        </w:tc>
        <w:tc>
          <w:tcPr>
            <w:tcW w:w="0" w:type="auto"/>
            <w:tcBorders>
              <w:top w:val="single" w:sz="6" w:space="0" w:color="auto"/>
              <w:left w:val="single" w:sz="6" w:space="0" w:color="auto"/>
              <w:bottom w:val="single" w:sz="6" w:space="0" w:color="auto"/>
              <w:right w:val="single" w:sz="6" w:space="0" w:color="auto"/>
            </w:tcBorders>
            <w:hideMark/>
          </w:tcPr>
          <w:p w14:paraId="5CE76ADF"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2B0AFEF4"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947D388" w14:textId="77777777" w:rsidR="00EA69AA" w:rsidRPr="00781F59" w:rsidRDefault="00EA69AA" w:rsidP="00EA69AA">
            <w:pPr>
              <w:contextualSpacing/>
              <w:rPr>
                <w:sz w:val="20"/>
                <w:szCs w:val="20"/>
              </w:rPr>
            </w:pPr>
            <w:r w:rsidRPr="00781F59">
              <w:rPr>
                <w:sz w:val="20"/>
                <w:szCs w:val="20"/>
              </w:rPr>
              <w:lastRenderedPageBreak/>
              <w:t>62</w:t>
            </w:r>
          </w:p>
        </w:tc>
        <w:tc>
          <w:tcPr>
            <w:tcW w:w="0" w:type="auto"/>
            <w:tcBorders>
              <w:top w:val="single" w:sz="6" w:space="0" w:color="auto"/>
              <w:left w:val="single" w:sz="6" w:space="0" w:color="auto"/>
              <w:bottom w:val="single" w:sz="6" w:space="0" w:color="auto"/>
              <w:right w:val="single" w:sz="6" w:space="0" w:color="auto"/>
            </w:tcBorders>
            <w:hideMark/>
          </w:tcPr>
          <w:p w14:paraId="138AE95E" w14:textId="77777777" w:rsidR="00EA69AA" w:rsidRPr="00781F59" w:rsidRDefault="00EA69AA" w:rsidP="00EA69AA">
            <w:pPr>
              <w:contextualSpacing/>
              <w:rPr>
                <w:sz w:val="20"/>
                <w:szCs w:val="20"/>
              </w:rPr>
            </w:pPr>
            <w:r w:rsidRPr="00781F59">
              <w:rPr>
                <w:sz w:val="20"/>
                <w:szCs w:val="20"/>
              </w:rPr>
              <w:t xml:space="preserve">Munro </w:t>
            </w:r>
            <w:proofErr w:type="gramStart"/>
            <w:r w:rsidRPr="00781F59">
              <w:rPr>
                <w:sz w:val="20"/>
                <w:szCs w:val="20"/>
              </w:rPr>
              <w:t>H.M.,Tarone</w:t>
            </w:r>
            <w:proofErr w:type="gramEnd"/>
            <w:r w:rsidRPr="00781F59">
              <w:rPr>
                <w:sz w:val="20"/>
                <w:szCs w:val="20"/>
              </w:rPr>
              <w:t xml:space="preserve"> R.E.,Wang T.J.,Blot W.J. 2016 Menthol and nonmenthol cigarette smoking. Circulation; 133.1861.</w:t>
            </w:r>
          </w:p>
        </w:tc>
        <w:tc>
          <w:tcPr>
            <w:tcW w:w="0" w:type="auto"/>
            <w:tcBorders>
              <w:top w:val="single" w:sz="6" w:space="0" w:color="auto"/>
              <w:left w:val="single" w:sz="6" w:space="0" w:color="auto"/>
              <w:bottom w:val="single" w:sz="6" w:space="0" w:color="auto"/>
              <w:right w:val="single" w:sz="6" w:space="0" w:color="auto"/>
            </w:tcBorders>
            <w:hideMark/>
          </w:tcPr>
          <w:p w14:paraId="53277046"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57A49F12"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FE3A217" w14:textId="77777777" w:rsidR="00EA69AA" w:rsidRPr="00781F59" w:rsidRDefault="00EA69AA" w:rsidP="00EA69AA">
            <w:pPr>
              <w:contextualSpacing/>
              <w:rPr>
                <w:sz w:val="20"/>
                <w:szCs w:val="20"/>
              </w:rPr>
            </w:pPr>
            <w:r w:rsidRPr="00781F59">
              <w:rPr>
                <w:sz w:val="20"/>
                <w:szCs w:val="20"/>
              </w:rPr>
              <w:t>69</w:t>
            </w:r>
          </w:p>
        </w:tc>
        <w:tc>
          <w:tcPr>
            <w:tcW w:w="0" w:type="auto"/>
            <w:tcBorders>
              <w:top w:val="single" w:sz="6" w:space="0" w:color="auto"/>
              <w:left w:val="single" w:sz="6" w:space="0" w:color="auto"/>
              <w:bottom w:val="single" w:sz="6" w:space="0" w:color="auto"/>
              <w:right w:val="single" w:sz="6" w:space="0" w:color="auto"/>
            </w:tcBorders>
            <w:hideMark/>
          </w:tcPr>
          <w:p w14:paraId="3ACE4930" w14:textId="77777777" w:rsidR="00EA69AA" w:rsidRPr="00781F59" w:rsidRDefault="00EA69AA" w:rsidP="00EA69AA">
            <w:pPr>
              <w:contextualSpacing/>
              <w:rPr>
                <w:sz w:val="20"/>
                <w:szCs w:val="20"/>
              </w:rPr>
            </w:pPr>
            <w:r w:rsidRPr="00781F59">
              <w:rPr>
                <w:sz w:val="20"/>
                <w:szCs w:val="20"/>
              </w:rPr>
              <w:t xml:space="preserve">Mitchell </w:t>
            </w:r>
            <w:proofErr w:type="gramStart"/>
            <w:r w:rsidRPr="00781F59">
              <w:rPr>
                <w:sz w:val="20"/>
                <w:szCs w:val="20"/>
              </w:rPr>
              <w:t>K.A.,Zingone</w:t>
            </w:r>
            <w:proofErr w:type="gramEnd"/>
            <w:r w:rsidRPr="00781F59">
              <w:rPr>
                <w:sz w:val="20"/>
                <w:szCs w:val="20"/>
              </w:rPr>
              <w:t xml:space="preserve"> A.,Ryan B. 2016 Lung cancer in African Americans is characterized by histone modifying enzyme gene signatures. Cancer Epidemiology Biomarkers and Prevention; 25.</w:t>
            </w:r>
          </w:p>
        </w:tc>
        <w:tc>
          <w:tcPr>
            <w:tcW w:w="0" w:type="auto"/>
            <w:tcBorders>
              <w:top w:val="single" w:sz="6" w:space="0" w:color="auto"/>
              <w:left w:val="single" w:sz="6" w:space="0" w:color="auto"/>
              <w:bottom w:val="single" w:sz="6" w:space="0" w:color="auto"/>
              <w:right w:val="single" w:sz="6" w:space="0" w:color="auto"/>
            </w:tcBorders>
            <w:hideMark/>
          </w:tcPr>
          <w:p w14:paraId="16DA8172"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1FD1EB43"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1775944" w14:textId="77777777" w:rsidR="00EA69AA" w:rsidRPr="00781F59" w:rsidRDefault="00EA69AA" w:rsidP="00EA69AA">
            <w:pPr>
              <w:contextualSpacing/>
              <w:rPr>
                <w:sz w:val="20"/>
                <w:szCs w:val="20"/>
              </w:rPr>
            </w:pPr>
            <w:r w:rsidRPr="00781F59">
              <w:rPr>
                <w:sz w:val="20"/>
                <w:szCs w:val="20"/>
              </w:rPr>
              <w:t>72</w:t>
            </w:r>
          </w:p>
        </w:tc>
        <w:tc>
          <w:tcPr>
            <w:tcW w:w="0" w:type="auto"/>
            <w:tcBorders>
              <w:top w:val="single" w:sz="6" w:space="0" w:color="auto"/>
              <w:left w:val="single" w:sz="6" w:space="0" w:color="auto"/>
              <w:bottom w:val="single" w:sz="6" w:space="0" w:color="auto"/>
              <w:right w:val="single" w:sz="6" w:space="0" w:color="auto"/>
            </w:tcBorders>
            <w:hideMark/>
          </w:tcPr>
          <w:p w14:paraId="3AA87CD7" w14:textId="77777777" w:rsidR="00EA69AA" w:rsidRPr="00781F59" w:rsidRDefault="00EA69AA" w:rsidP="00EA69AA">
            <w:pPr>
              <w:contextualSpacing/>
              <w:rPr>
                <w:sz w:val="20"/>
                <w:szCs w:val="20"/>
              </w:rPr>
            </w:pPr>
            <w:r w:rsidRPr="00781F59">
              <w:rPr>
                <w:sz w:val="20"/>
                <w:szCs w:val="20"/>
              </w:rPr>
              <w:t xml:space="preserve">Azagba </w:t>
            </w:r>
            <w:proofErr w:type="gramStart"/>
            <w:r w:rsidRPr="00781F59">
              <w:rPr>
                <w:sz w:val="20"/>
                <w:szCs w:val="20"/>
              </w:rPr>
              <w:t>S.,Minaker</w:t>
            </w:r>
            <w:proofErr w:type="gramEnd"/>
            <w:r w:rsidRPr="00781F59">
              <w:rPr>
                <w:sz w:val="20"/>
                <w:szCs w:val="20"/>
              </w:rPr>
              <w:t xml:space="preserve"> L.M.,Hammond D.,Manske S. 2015 Tobacco industry sponsored advocates have a different interpretation of science: a response to: Even anti-tobacco studies must be held to basic scientific standards. Cancer Causes and Control; 26.1363.</w:t>
            </w:r>
          </w:p>
        </w:tc>
        <w:tc>
          <w:tcPr>
            <w:tcW w:w="0" w:type="auto"/>
            <w:tcBorders>
              <w:top w:val="single" w:sz="6" w:space="0" w:color="auto"/>
              <w:left w:val="single" w:sz="6" w:space="0" w:color="auto"/>
              <w:bottom w:val="single" w:sz="6" w:space="0" w:color="auto"/>
              <w:right w:val="single" w:sz="6" w:space="0" w:color="auto"/>
            </w:tcBorders>
            <w:hideMark/>
          </w:tcPr>
          <w:p w14:paraId="6CCA1699"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17CDC937"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33B3099" w14:textId="77777777" w:rsidR="00EA69AA" w:rsidRPr="00781F59" w:rsidRDefault="00EA69AA" w:rsidP="00EA69AA">
            <w:pPr>
              <w:contextualSpacing/>
              <w:rPr>
                <w:sz w:val="20"/>
                <w:szCs w:val="20"/>
              </w:rPr>
            </w:pPr>
            <w:r w:rsidRPr="00781F59">
              <w:rPr>
                <w:sz w:val="20"/>
                <w:szCs w:val="20"/>
              </w:rPr>
              <w:t>85</w:t>
            </w:r>
          </w:p>
        </w:tc>
        <w:tc>
          <w:tcPr>
            <w:tcW w:w="0" w:type="auto"/>
            <w:tcBorders>
              <w:top w:val="single" w:sz="6" w:space="0" w:color="auto"/>
              <w:left w:val="single" w:sz="6" w:space="0" w:color="auto"/>
              <w:bottom w:val="single" w:sz="6" w:space="0" w:color="auto"/>
              <w:right w:val="single" w:sz="6" w:space="0" w:color="auto"/>
            </w:tcBorders>
            <w:hideMark/>
          </w:tcPr>
          <w:p w14:paraId="20C42D75" w14:textId="77777777" w:rsidR="00EA69AA" w:rsidRPr="00781F59" w:rsidRDefault="00EA69AA" w:rsidP="00EA69AA">
            <w:pPr>
              <w:contextualSpacing/>
              <w:rPr>
                <w:sz w:val="20"/>
                <w:szCs w:val="20"/>
              </w:rPr>
            </w:pPr>
            <w:r w:rsidRPr="00781F59">
              <w:rPr>
                <w:sz w:val="20"/>
                <w:szCs w:val="20"/>
              </w:rPr>
              <w:t xml:space="preserve">Chirila </w:t>
            </w:r>
            <w:proofErr w:type="gramStart"/>
            <w:r w:rsidRPr="00781F59">
              <w:rPr>
                <w:sz w:val="20"/>
                <w:szCs w:val="20"/>
              </w:rPr>
              <w:t>C.,Trofor</w:t>
            </w:r>
            <w:proofErr w:type="gramEnd"/>
            <w:r w:rsidRPr="00781F59">
              <w:rPr>
                <w:sz w:val="20"/>
                <w:szCs w:val="20"/>
              </w:rPr>
              <w:t xml:space="preserve"> L.,Frunza A.,Albu A.M.,Gherghesanu R.,Trofor A.C. 2015 The problem of low rate-smokers: Smoking pattern and cessation outcomes. European Respiratory Journal; 46.</w:t>
            </w:r>
          </w:p>
        </w:tc>
        <w:tc>
          <w:tcPr>
            <w:tcW w:w="0" w:type="auto"/>
            <w:tcBorders>
              <w:top w:val="single" w:sz="6" w:space="0" w:color="auto"/>
              <w:left w:val="single" w:sz="6" w:space="0" w:color="auto"/>
              <w:bottom w:val="single" w:sz="6" w:space="0" w:color="auto"/>
              <w:right w:val="single" w:sz="6" w:space="0" w:color="auto"/>
            </w:tcBorders>
            <w:hideMark/>
          </w:tcPr>
          <w:p w14:paraId="2110AD1C"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35585D40"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CAD05BE" w14:textId="77777777" w:rsidR="00EA69AA" w:rsidRPr="00781F59" w:rsidRDefault="00EA69AA" w:rsidP="00EA69AA">
            <w:pPr>
              <w:contextualSpacing/>
              <w:rPr>
                <w:sz w:val="20"/>
                <w:szCs w:val="20"/>
              </w:rPr>
            </w:pPr>
            <w:r w:rsidRPr="00781F59">
              <w:rPr>
                <w:sz w:val="20"/>
                <w:szCs w:val="20"/>
              </w:rPr>
              <w:t>93</w:t>
            </w:r>
          </w:p>
        </w:tc>
        <w:tc>
          <w:tcPr>
            <w:tcW w:w="0" w:type="auto"/>
            <w:tcBorders>
              <w:top w:val="single" w:sz="6" w:space="0" w:color="auto"/>
              <w:left w:val="single" w:sz="6" w:space="0" w:color="auto"/>
              <w:bottom w:val="single" w:sz="6" w:space="0" w:color="auto"/>
              <w:right w:val="single" w:sz="6" w:space="0" w:color="auto"/>
            </w:tcBorders>
            <w:hideMark/>
          </w:tcPr>
          <w:p w14:paraId="24C21DCC" w14:textId="77777777" w:rsidR="00EA69AA" w:rsidRPr="00781F59" w:rsidRDefault="00EA69AA" w:rsidP="00EA69AA">
            <w:pPr>
              <w:contextualSpacing/>
              <w:rPr>
                <w:sz w:val="20"/>
                <w:szCs w:val="20"/>
              </w:rPr>
            </w:pPr>
            <w:r w:rsidRPr="00781F59">
              <w:rPr>
                <w:sz w:val="20"/>
                <w:szCs w:val="20"/>
              </w:rPr>
              <w:t xml:space="preserve">Suh </w:t>
            </w:r>
            <w:proofErr w:type="gramStart"/>
            <w:r w:rsidRPr="00781F59">
              <w:rPr>
                <w:sz w:val="20"/>
                <w:szCs w:val="20"/>
              </w:rPr>
              <w:t>Y.,Lee</w:t>
            </w:r>
            <w:proofErr w:type="gramEnd"/>
            <w:r w:rsidRPr="00781F59">
              <w:rPr>
                <w:sz w:val="20"/>
                <w:szCs w:val="20"/>
              </w:rPr>
              <w:t xml:space="preserve"> </w:t>
            </w:r>
            <w:proofErr w:type="spellStart"/>
            <w:r w:rsidRPr="00781F59">
              <w:rPr>
                <w:sz w:val="20"/>
                <w:szCs w:val="20"/>
              </w:rPr>
              <w:t>Y.,Lee</w:t>
            </w:r>
            <w:proofErr w:type="spellEnd"/>
            <w:r w:rsidRPr="00781F59">
              <w:rPr>
                <w:sz w:val="20"/>
                <w:szCs w:val="20"/>
              </w:rPr>
              <w:t xml:space="preserve"> </w:t>
            </w:r>
            <w:proofErr w:type="spellStart"/>
            <w:r w:rsidRPr="00781F59">
              <w:rPr>
                <w:sz w:val="20"/>
                <w:szCs w:val="20"/>
              </w:rPr>
              <w:t>H.,Kim</w:t>
            </w:r>
            <w:proofErr w:type="spellEnd"/>
            <w:r w:rsidRPr="00781F59">
              <w:rPr>
                <w:sz w:val="20"/>
                <w:szCs w:val="20"/>
              </w:rPr>
              <w:t xml:space="preserve"> </w:t>
            </w:r>
            <w:proofErr w:type="spellStart"/>
            <w:r w:rsidRPr="00781F59">
              <w:rPr>
                <w:sz w:val="20"/>
                <w:szCs w:val="20"/>
              </w:rPr>
              <w:t>S.,Choe</w:t>
            </w:r>
            <w:proofErr w:type="spellEnd"/>
            <w:r w:rsidRPr="00781F59">
              <w:rPr>
                <w:sz w:val="20"/>
                <w:szCs w:val="20"/>
              </w:rPr>
              <w:t xml:space="preserve"> </w:t>
            </w:r>
            <w:proofErr w:type="spellStart"/>
            <w:r w:rsidRPr="00781F59">
              <w:rPr>
                <w:sz w:val="20"/>
                <w:szCs w:val="20"/>
              </w:rPr>
              <w:t>Y.,Park</w:t>
            </w:r>
            <w:proofErr w:type="spellEnd"/>
            <w:r w:rsidRPr="00781F59">
              <w:rPr>
                <w:sz w:val="20"/>
                <w:szCs w:val="20"/>
              </w:rPr>
              <w:t xml:space="preserve"> </w:t>
            </w:r>
            <w:proofErr w:type="spellStart"/>
            <w:r w:rsidRPr="00781F59">
              <w:rPr>
                <w:sz w:val="20"/>
                <w:szCs w:val="20"/>
              </w:rPr>
              <w:t>S.,Bowler</w:t>
            </w:r>
            <w:proofErr w:type="spellEnd"/>
            <w:r w:rsidRPr="00781F59">
              <w:rPr>
                <w:sz w:val="20"/>
                <w:szCs w:val="20"/>
              </w:rPr>
              <w:t xml:space="preserve"> R.P. 2015 Relationship of menthol </w:t>
            </w:r>
            <w:proofErr w:type="spellStart"/>
            <w:r w:rsidRPr="00781F59">
              <w:rPr>
                <w:sz w:val="20"/>
                <w:szCs w:val="20"/>
              </w:rPr>
              <w:t>cigarett</w:t>
            </w:r>
            <w:proofErr w:type="spellEnd"/>
            <w:r w:rsidRPr="00781F59">
              <w:rPr>
                <w:sz w:val="20"/>
                <w:szCs w:val="20"/>
              </w:rPr>
              <w:t xml:space="preserve"> smoking with COPD, comorbidities, and CT metrics. American Journal of Respiratory and Critical Care Medicine; 191.</w:t>
            </w:r>
          </w:p>
        </w:tc>
        <w:tc>
          <w:tcPr>
            <w:tcW w:w="0" w:type="auto"/>
            <w:tcBorders>
              <w:top w:val="single" w:sz="6" w:space="0" w:color="auto"/>
              <w:left w:val="single" w:sz="6" w:space="0" w:color="auto"/>
              <w:bottom w:val="single" w:sz="6" w:space="0" w:color="auto"/>
              <w:right w:val="single" w:sz="6" w:space="0" w:color="auto"/>
            </w:tcBorders>
            <w:hideMark/>
          </w:tcPr>
          <w:p w14:paraId="45FDD16F"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4C2C4C51"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9FE367F" w14:textId="77777777" w:rsidR="00EA69AA" w:rsidRPr="00781F59" w:rsidRDefault="00EA69AA" w:rsidP="00EA69AA">
            <w:pPr>
              <w:contextualSpacing/>
              <w:rPr>
                <w:sz w:val="20"/>
                <w:szCs w:val="20"/>
              </w:rPr>
            </w:pPr>
            <w:r w:rsidRPr="00781F59">
              <w:rPr>
                <w:sz w:val="20"/>
                <w:szCs w:val="20"/>
              </w:rPr>
              <w:t>94</w:t>
            </w:r>
          </w:p>
        </w:tc>
        <w:tc>
          <w:tcPr>
            <w:tcW w:w="0" w:type="auto"/>
            <w:tcBorders>
              <w:top w:val="single" w:sz="6" w:space="0" w:color="auto"/>
              <w:left w:val="single" w:sz="6" w:space="0" w:color="auto"/>
              <w:bottom w:val="single" w:sz="6" w:space="0" w:color="auto"/>
              <w:right w:val="single" w:sz="6" w:space="0" w:color="auto"/>
            </w:tcBorders>
            <w:hideMark/>
          </w:tcPr>
          <w:p w14:paraId="487D5C3C" w14:textId="77777777" w:rsidR="00EA69AA" w:rsidRPr="00781F59" w:rsidRDefault="00EA69AA" w:rsidP="00EA69AA">
            <w:pPr>
              <w:contextualSpacing/>
              <w:rPr>
                <w:sz w:val="20"/>
                <w:szCs w:val="20"/>
              </w:rPr>
            </w:pPr>
            <w:r w:rsidRPr="00781F59">
              <w:rPr>
                <w:sz w:val="20"/>
                <w:szCs w:val="20"/>
              </w:rPr>
              <w:t xml:space="preserve">Pratt-Chapman </w:t>
            </w:r>
            <w:proofErr w:type="gramStart"/>
            <w:r w:rsidRPr="00781F59">
              <w:rPr>
                <w:sz w:val="20"/>
                <w:szCs w:val="20"/>
              </w:rPr>
              <w:t>M.,Hatcher</w:t>
            </w:r>
            <w:proofErr w:type="gramEnd"/>
            <w:r w:rsidRPr="00781F59">
              <w:rPr>
                <w:sz w:val="20"/>
                <w:szCs w:val="20"/>
              </w:rPr>
              <w:t xml:space="preserve"> E.,Brooks J.,Davies M. 2015 Tailoring tobacco cessation interventions for special populations served by federally qualified health centers. Psycho-Oncology; 24.50.</w:t>
            </w:r>
          </w:p>
        </w:tc>
        <w:tc>
          <w:tcPr>
            <w:tcW w:w="0" w:type="auto"/>
            <w:tcBorders>
              <w:top w:val="single" w:sz="6" w:space="0" w:color="auto"/>
              <w:left w:val="single" w:sz="6" w:space="0" w:color="auto"/>
              <w:bottom w:val="single" w:sz="6" w:space="0" w:color="auto"/>
              <w:right w:val="single" w:sz="6" w:space="0" w:color="auto"/>
            </w:tcBorders>
            <w:hideMark/>
          </w:tcPr>
          <w:p w14:paraId="0C48492F"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17479DFD"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A789AC3" w14:textId="77777777" w:rsidR="00EA69AA" w:rsidRPr="00781F59" w:rsidRDefault="00EA69AA" w:rsidP="00EA69AA">
            <w:pPr>
              <w:contextualSpacing/>
              <w:rPr>
                <w:sz w:val="20"/>
                <w:szCs w:val="20"/>
              </w:rPr>
            </w:pPr>
            <w:r w:rsidRPr="00781F59">
              <w:rPr>
                <w:sz w:val="20"/>
                <w:szCs w:val="20"/>
              </w:rPr>
              <w:t>95</w:t>
            </w:r>
          </w:p>
        </w:tc>
        <w:tc>
          <w:tcPr>
            <w:tcW w:w="0" w:type="auto"/>
            <w:tcBorders>
              <w:top w:val="single" w:sz="6" w:space="0" w:color="auto"/>
              <w:left w:val="single" w:sz="6" w:space="0" w:color="auto"/>
              <w:bottom w:val="single" w:sz="6" w:space="0" w:color="auto"/>
              <w:right w:val="single" w:sz="6" w:space="0" w:color="auto"/>
            </w:tcBorders>
            <w:hideMark/>
          </w:tcPr>
          <w:p w14:paraId="5FD614C9" w14:textId="77777777" w:rsidR="00EA69AA" w:rsidRPr="00781F59" w:rsidRDefault="00EA69AA" w:rsidP="00EA69AA">
            <w:pPr>
              <w:contextualSpacing/>
              <w:rPr>
                <w:sz w:val="20"/>
                <w:szCs w:val="20"/>
              </w:rPr>
            </w:pPr>
            <w:r w:rsidRPr="00781F59">
              <w:rPr>
                <w:sz w:val="20"/>
                <w:szCs w:val="20"/>
              </w:rPr>
              <w:t xml:space="preserve">Paschke </w:t>
            </w:r>
            <w:proofErr w:type="gramStart"/>
            <w:r w:rsidRPr="00781F59">
              <w:rPr>
                <w:sz w:val="20"/>
                <w:szCs w:val="20"/>
              </w:rPr>
              <w:t>M.,Hutzler</w:t>
            </w:r>
            <w:proofErr w:type="gramEnd"/>
            <w:r w:rsidRPr="00781F59">
              <w:rPr>
                <w:sz w:val="20"/>
                <w:szCs w:val="20"/>
              </w:rPr>
              <w:t xml:space="preserve"> C.,Tkachenko A.,Henkler F.,Luch A. 2015 Effect of the menthol content of cigarettes on the cold-menthol receptor TRPM8. Naunyn-Schmiedeberg's Archives of Pharmacology; 388.S78.</w:t>
            </w:r>
          </w:p>
        </w:tc>
        <w:tc>
          <w:tcPr>
            <w:tcW w:w="0" w:type="auto"/>
            <w:tcBorders>
              <w:top w:val="single" w:sz="6" w:space="0" w:color="auto"/>
              <w:left w:val="single" w:sz="6" w:space="0" w:color="auto"/>
              <w:bottom w:val="single" w:sz="6" w:space="0" w:color="auto"/>
              <w:right w:val="single" w:sz="6" w:space="0" w:color="auto"/>
            </w:tcBorders>
            <w:hideMark/>
          </w:tcPr>
          <w:p w14:paraId="32E85D14"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605A3E72"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1849E98" w14:textId="77777777" w:rsidR="00EA69AA" w:rsidRPr="00781F59" w:rsidRDefault="00EA69AA" w:rsidP="00EA69AA">
            <w:pPr>
              <w:contextualSpacing/>
              <w:rPr>
                <w:sz w:val="20"/>
                <w:szCs w:val="20"/>
              </w:rPr>
            </w:pPr>
            <w:r w:rsidRPr="00781F59">
              <w:rPr>
                <w:sz w:val="20"/>
                <w:szCs w:val="20"/>
              </w:rPr>
              <w:t>101</w:t>
            </w:r>
          </w:p>
        </w:tc>
        <w:tc>
          <w:tcPr>
            <w:tcW w:w="0" w:type="auto"/>
            <w:tcBorders>
              <w:top w:val="single" w:sz="6" w:space="0" w:color="auto"/>
              <w:left w:val="single" w:sz="6" w:space="0" w:color="auto"/>
              <w:bottom w:val="single" w:sz="6" w:space="0" w:color="auto"/>
              <w:right w:val="single" w:sz="6" w:space="0" w:color="auto"/>
            </w:tcBorders>
            <w:hideMark/>
          </w:tcPr>
          <w:p w14:paraId="47C50316" w14:textId="77777777" w:rsidR="00EA69AA" w:rsidRPr="00781F59" w:rsidRDefault="00EA69AA" w:rsidP="00EA69AA">
            <w:pPr>
              <w:contextualSpacing/>
              <w:rPr>
                <w:sz w:val="20"/>
                <w:szCs w:val="20"/>
              </w:rPr>
            </w:pPr>
            <w:r w:rsidRPr="00781F59">
              <w:rPr>
                <w:sz w:val="20"/>
                <w:szCs w:val="20"/>
              </w:rPr>
              <w:t>Cunningham R. 2014 Prohibitions/restrictions on flavoured tobacco products: Updated overview of international developments. Asia-Pacific Journal of Clinical Oncology; 10.182.</w:t>
            </w:r>
          </w:p>
        </w:tc>
        <w:tc>
          <w:tcPr>
            <w:tcW w:w="0" w:type="auto"/>
            <w:tcBorders>
              <w:top w:val="single" w:sz="6" w:space="0" w:color="auto"/>
              <w:left w:val="single" w:sz="6" w:space="0" w:color="auto"/>
              <w:bottom w:val="single" w:sz="6" w:space="0" w:color="auto"/>
              <w:right w:val="single" w:sz="6" w:space="0" w:color="auto"/>
            </w:tcBorders>
            <w:hideMark/>
          </w:tcPr>
          <w:p w14:paraId="6C1442F9"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674C2C23"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11A7C27" w14:textId="77777777" w:rsidR="00EA69AA" w:rsidRPr="00781F59" w:rsidRDefault="00EA69AA" w:rsidP="00EA69AA">
            <w:pPr>
              <w:contextualSpacing/>
              <w:rPr>
                <w:sz w:val="20"/>
                <w:szCs w:val="20"/>
              </w:rPr>
            </w:pPr>
            <w:r w:rsidRPr="00781F59">
              <w:rPr>
                <w:sz w:val="20"/>
                <w:szCs w:val="20"/>
              </w:rPr>
              <w:t>110</w:t>
            </w:r>
          </w:p>
        </w:tc>
        <w:tc>
          <w:tcPr>
            <w:tcW w:w="0" w:type="auto"/>
            <w:tcBorders>
              <w:top w:val="single" w:sz="6" w:space="0" w:color="auto"/>
              <w:left w:val="single" w:sz="6" w:space="0" w:color="auto"/>
              <w:bottom w:val="single" w:sz="6" w:space="0" w:color="auto"/>
              <w:right w:val="single" w:sz="6" w:space="0" w:color="auto"/>
            </w:tcBorders>
            <w:hideMark/>
          </w:tcPr>
          <w:p w14:paraId="70198462" w14:textId="77777777" w:rsidR="00EA69AA" w:rsidRPr="00781F59" w:rsidRDefault="00EA69AA" w:rsidP="00EA69AA">
            <w:pPr>
              <w:contextualSpacing/>
              <w:rPr>
                <w:sz w:val="20"/>
                <w:szCs w:val="20"/>
              </w:rPr>
            </w:pPr>
            <w:r w:rsidRPr="00781F59">
              <w:rPr>
                <w:sz w:val="20"/>
                <w:szCs w:val="20"/>
              </w:rPr>
              <w:t>Schneider M.E. 2013 ASCO issues to-do list on initiatives for tobacco control. Oncology Report; .15.</w:t>
            </w:r>
          </w:p>
        </w:tc>
        <w:tc>
          <w:tcPr>
            <w:tcW w:w="0" w:type="auto"/>
            <w:tcBorders>
              <w:top w:val="single" w:sz="6" w:space="0" w:color="auto"/>
              <w:left w:val="single" w:sz="6" w:space="0" w:color="auto"/>
              <w:bottom w:val="single" w:sz="6" w:space="0" w:color="auto"/>
              <w:right w:val="single" w:sz="6" w:space="0" w:color="auto"/>
            </w:tcBorders>
            <w:hideMark/>
          </w:tcPr>
          <w:p w14:paraId="1DF8A7DB"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21D245BB"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04621AA" w14:textId="77777777" w:rsidR="00EA69AA" w:rsidRPr="00781F59" w:rsidRDefault="00EA69AA" w:rsidP="00EA69AA">
            <w:pPr>
              <w:contextualSpacing/>
              <w:rPr>
                <w:sz w:val="20"/>
                <w:szCs w:val="20"/>
              </w:rPr>
            </w:pPr>
            <w:r w:rsidRPr="00781F59">
              <w:rPr>
                <w:sz w:val="20"/>
                <w:szCs w:val="20"/>
              </w:rPr>
              <w:t>113</w:t>
            </w:r>
          </w:p>
        </w:tc>
        <w:tc>
          <w:tcPr>
            <w:tcW w:w="0" w:type="auto"/>
            <w:tcBorders>
              <w:top w:val="single" w:sz="6" w:space="0" w:color="auto"/>
              <w:left w:val="single" w:sz="6" w:space="0" w:color="auto"/>
              <w:bottom w:val="single" w:sz="6" w:space="0" w:color="auto"/>
              <w:right w:val="single" w:sz="6" w:space="0" w:color="auto"/>
            </w:tcBorders>
            <w:hideMark/>
          </w:tcPr>
          <w:p w14:paraId="4D8666A0" w14:textId="77777777" w:rsidR="00EA69AA" w:rsidRPr="00781F59" w:rsidRDefault="00EA69AA" w:rsidP="00EA69AA">
            <w:pPr>
              <w:contextualSpacing/>
              <w:rPr>
                <w:sz w:val="20"/>
                <w:szCs w:val="20"/>
              </w:rPr>
            </w:pPr>
            <w:r w:rsidRPr="00781F59">
              <w:rPr>
                <w:sz w:val="20"/>
                <w:szCs w:val="20"/>
              </w:rPr>
              <w:t>Alabi T. 2013 Menthol cigarette use among African Americans. Drug Topics; .4.</w:t>
            </w:r>
          </w:p>
        </w:tc>
        <w:tc>
          <w:tcPr>
            <w:tcW w:w="0" w:type="auto"/>
            <w:tcBorders>
              <w:top w:val="single" w:sz="6" w:space="0" w:color="auto"/>
              <w:left w:val="single" w:sz="6" w:space="0" w:color="auto"/>
              <w:bottom w:val="single" w:sz="6" w:space="0" w:color="auto"/>
              <w:right w:val="single" w:sz="6" w:space="0" w:color="auto"/>
            </w:tcBorders>
            <w:hideMark/>
          </w:tcPr>
          <w:p w14:paraId="381BE94F" w14:textId="77777777" w:rsidR="00EA69AA" w:rsidRPr="00781F59" w:rsidRDefault="00EA69AA" w:rsidP="00EA69AA">
            <w:pPr>
              <w:contextualSpacing/>
              <w:rPr>
                <w:sz w:val="20"/>
                <w:szCs w:val="20"/>
              </w:rPr>
            </w:pPr>
            <w:r w:rsidRPr="00781F59">
              <w:rPr>
                <w:sz w:val="20"/>
                <w:szCs w:val="20"/>
              </w:rPr>
              <w:t>Not original research / data</w:t>
            </w:r>
          </w:p>
        </w:tc>
      </w:tr>
      <w:tr w:rsidR="00EA69AA" w:rsidRPr="00781F59" w14:paraId="4D252781"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AC9DC18" w14:textId="77777777" w:rsidR="00EA69AA" w:rsidRPr="00781F59" w:rsidRDefault="00EA69AA" w:rsidP="00EA69AA">
            <w:pPr>
              <w:contextualSpacing/>
              <w:rPr>
                <w:sz w:val="20"/>
                <w:szCs w:val="20"/>
              </w:rPr>
            </w:pPr>
            <w:r w:rsidRPr="00781F59">
              <w:rPr>
                <w:sz w:val="20"/>
                <w:szCs w:val="20"/>
              </w:rPr>
              <w:t>114</w:t>
            </w:r>
          </w:p>
        </w:tc>
        <w:tc>
          <w:tcPr>
            <w:tcW w:w="0" w:type="auto"/>
            <w:tcBorders>
              <w:top w:val="single" w:sz="6" w:space="0" w:color="auto"/>
              <w:left w:val="single" w:sz="6" w:space="0" w:color="auto"/>
              <w:bottom w:val="single" w:sz="6" w:space="0" w:color="auto"/>
              <w:right w:val="single" w:sz="6" w:space="0" w:color="auto"/>
            </w:tcBorders>
            <w:hideMark/>
          </w:tcPr>
          <w:p w14:paraId="4D0D514C" w14:textId="77777777" w:rsidR="00EA69AA" w:rsidRPr="00781F59" w:rsidRDefault="00EA69AA" w:rsidP="00EA69AA">
            <w:pPr>
              <w:contextualSpacing/>
              <w:rPr>
                <w:sz w:val="20"/>
                <w:szCs w:val="20"/>
              </w:rPr>
            </w:pPr>
            <w:r w:rsidRPr="00781F59">
              <w:rPr>
                <w:sz w:val="20"/>
                <w:szCs w:val="20"/>
              </w:rPr>
              <w:t>McKee M. 2013 European Union's tobacco products directive: Many questions remain about the influence of industry. BMJ (Online); 347.f6196.</w:t>
            </w:r>
          </w:p>
        </w:tc>
        <w:tc>
          <w:tcPr>
            <w:tcW w:w="0" w:type="auto"/>
            <w:tcBorders>
              <w:top w:val="single" w:sz="6" w:space="0" w:color="auto"/>
              <w:left w:val="single" w:sz="6" w:space="0" w:color="auto"/>
              <w:bottom w:val="single" w:sz="6" w:space="0" w:color="auto"/>
              <w:right w:val="single" w:sz="6" w:space="0" w:color="auto"/>
            </w:tcBorders>
            <w:hideMark/>
          </w:tcPr>
          <w:p w14:paraId="12F49C84" w14:textId="77777777" w:rsidR="00EA69AA" w:rsidRPr="00781F59" w:rsidRDefault="00EA69AA" w:rsidP="00EA69AA">
            <w:pPr>
              <w:contextualSpacing/>
              <w:rPr>
                <w:sz w:val="20"/>
                <w:szCs w:val="20"/>
              </w:rPr>
            </w:pPr>
            <w:r w:rsidRPr="00781F59">
              <w:rPr>
                <w:sz w:val="20"/>
                <w:szCs w:val="20"/>
              </w:rPr>
              <w:t>Ineligible population (not U.S., not humans)</w:t>
            </w:r>
          </w:p>
        </w:tc>
      </w:tr>
      <w:tr w:rsidR="00EA69AA" w:rsidRPr="00781F59" w14:paraId="09E798E0"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5695881" w14:textId="77777777" w:rsidR="00EA69AA" w:rsidRPr="00781F59" w:rsidRDefault="00EA69AA" w:rsidP="00EA69AA">
            <w:pPr>
              <w:contextualSpacing/>
              <w:rPr>
                <w:sz w:val="20"/>
                <w:szCs w:val="20"/>
              </w:rPr>
            </w:pPr>
            <w:r w:rsidRPr="00781F59">
              <w:rPr>
                <w:sz w:val="20"/>
                <w:szCs w:val="20"/>
              </w:rPr>
              <w:t>122</w:t>
            </w:r>
          </w:p>
        </w:tc>
        <w:tc>
          <w:tcPr>
            <w:tcW w:w="0" w:type="auto"/>
            <w:tcBorders>
              <w:top w:val="single" w:sz="6" w:space="0" w:color="auto"/>
              <w:left w:val="single" w:sz="6" w:space="0" w:color="auto"/>
              <w:bottom w:val="single" w:sz="6" w:space="0" w:color="auto"/>
              <w:right w:val="single" w:sz="6" w:space="0" w:color="auto"/>
            </w:tcBorders>
            <w:hideMark/>
          </w:tcPr>
          <w:p w14:paraId="55752221" w14:textId="77777777" w:rsidR="00EA69AA" w:rsidRPr="00781F59" w:rsidRDefault="00EA69AA" w:rsidP="00EA69AA">
            <w:pPr>
              <w:contextualSpacing/>
              <w:rPr>
                <w:sz w:val="20"/>
                <w:szCs w:val="20"/>
              </w:rPr>
            </w:pPr>
            <w:r w:rsidRPr="00781F59">
              <w:rPr>
                <w:sz w:val="20"/>
                <w:szCs w:val="20"/>
              </w:rPr>
              <w:t xml:space="preserve">King </w:t>
            </w:r>
            <w:proofErr w:type="gramStart"/>
            <w:r w:rsidRPr="00781F59">
              <w:rPr>
                <w:sz w:val="20"/>
                <w:szCs w:val="20"/>
              </w:rPr>
              <w:t>A.,Zhang</w:t>
            </w:r>
            <w:proofErr w:type="gramEnd"/>
            <w:r w:rsidRPr="00781F59">
              <w:rPr>
                <w:sz w:val="20"/>
                <w:szCs w:val="20"/>
              </w:rPr>
              <w:t xml:space="preserve"> L.,Roche D.,Cao D.,Tyndale R. 2012 Nicotine metabolism: Sex differences in African-American and Caucasian smokers. Neuropsychopharmacology; </w:t>
            </w:r>
            <w:proofErr w:type="gramStart"/>
            <w:r w:rsidRPr="00781F59">
              <w:rPr>
                <w:sz w:val="20"/>
                <w:szCs w:val="20"/>
              </w:rPr>
              <w:t>38.S</w:t>
            </w:r>
            <w:proofErr w:type="gramEnd"/>
            <w:r w:rsidRPr="00781F59">
              <w:rPr>
                <w:sz w:val="20"/>
                <w:szCs w:val="20"/>
              </w:rPr>
              <w:t>419.</w:t>
            </w:r>
          </w:p>
        </w:tc>
        <w:tc>
          <w:tcPr>
            <w:tcW w:w="0" w:type="auto"/>
            <w:tcBorders>
              <w:top w:val="single" w:sz="6" w:space="0" w:color="auto"/>
              <w:left w:val="single" w:sz="6" w:space="0" w:color="auto"/>
              <w:bottom w:val="single" w:sz="6" w:space="0" w:color="auto"/>
              <w:right w:val="single" w:sz="6" w:space="0" w:color="auto"/>
            </w:tcBorders>
            <w:hideMark/>
          </w:tcPr>
          <w:p w14:paraId="09AB40F4"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6B484666"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4E080C0" w14:textId="77777777" w:rsidR="00EA69AA" w:rsidRPr="00781F59" w:rsidRDefault="00EA69AA" w:rsidP="00EA69AA">
            <w:pPr>
              <w:contextualSpacing/>
              <w:rPr>
                <w:sz w:val="20"/>
                <w:szCs w:val="20"/>
              </w:rPr>
            </w:pPr>
            <w:r w:rsidRPr="00781F59">
              <w:rPr>
                <w:sz w:val="20"/>
                <w:szCs w:val="20"/>
              </w:rPr>
              <w:t>123</w:t>
            </w:r>
          </w:p>
        </w:tc>
        <w:tc>
          <w:tcPr>
            <w:tcW w:w="0" w:type="auto"/>
            <w:tcBorders>
              <w:top w:val="single" w:sz="6" w:space="0" w:color="auto"/>
              <w:left w:val="single" w:sz="6" w:space="0" w:color="auto"/>
              <w:bottom w:val="single" w:sz="6" w:space="0" w:color="auto"/>
              <w:right w:val="single" w:sz="6" w:space="0" w:color="auto"/>
            </w:tcBorders>
            <w:hideMark/>
          </w:tcPr>
          <w:p w14:paraId="03B80225" w14:textId="77777777" w:rsidR="00EA69AA" w:rsidRPr="00781F59" w:rsidRDefault="00EA69AA" w:rsidP="00EA69AA">
            <w:pPr>
              <w:contextualSpacing/>
              <w:rPr>
                <w:sz w:val="20"/>
                <w:szCs w:val="20"/>
              </w:rPr>
            </w:pPr>
            <w:r w:rsidRPr="00781F59">
              <w:rPr>
                <w:sz w:val="20"/>
                <w:szCs w:val="20"/>
              </w:rPr>
              <w:t xml:space="preserve">Uhl </w:t>
            </w:r>
            <w:proofErr w:type="gramStart"/>
            <w:r w:rsidRPr="00781F59">
              <w:rPr>
                <w:sz w:val="20"/>
                <w:szCs w:val="20"/>
              </w:rPr>
              <w:t>G.,Walther</w:t>
            </w:r>
            <w:proofErr w:type="gramEnd"/>
            <w:r w:rsidRPr="00781F59">
              <w:rPr>
                <w:sz w:val="20"/>
                <w:szCs w:val="20"/>
              </w:rPr>
              <w:t xml:space="preserve"> D.,Behm F.,Rose J. 2012 Trpa1 ''menthol preference'' haplotypes are associated with levels of trpa1 expression and smoking cessation success. Neuropsychopharmacology; </w:t>
            </w:r>
            <w:proofErr w:type="gramStart"/>
            <w:r w:rsidRPr="00781F59">
              <w:rPr>
                <w:sz w:val="20"/>
                <w:szCs w:val="20"/>
              </w:rPr>
              <w:t>38.S</w:t>
            </w:r>
            <w:proofErr w:type="gramEnd"/>
            <w:r w:rsidRPr="00781F59">
              <w:rPr>
                <w:sz w:val="20"/>
                <w:szCs w:val="20"/>
              </w:rPr>
              <w:t>212.</w:t>
            </w:r>
          </w:p>
        </w:tc>
        <w:tc>
          <w:tcPr>
            <w:tcW w:w="0" w:type="auto"/>
            <w:tcBorders>
              <w:top w:val="single" w:sz="6" w:space="0" w:color="auto"/>
              <w:left w:val="single" w:sz="6" w:space="0" w:color="auto"/>
              <w:bottom w:val="single" w:sz="6" w:space="0" w:color="auto"/>
              <w:right w:val="single" w:sz="6" w:space="0" w:color="auto"/>
            </w:tcBorders>
            <w:hideMark/>
          </w:tcPr>
          <w:p w14:paraId="4537085A"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5B573B54"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EC1B1DD" w14:textId="77777777" w:rsidR="00EA69AA" w:rsidRPr="00781F59" w:rsidRDefault="00EA69AA" w:rsidP="00EA69AA">
            <w:pPr>
              <w:contextualSpacing/>
              <w:rPr>
                <w:sz w:val="20"/>
                <w:szCs w:val="20"/>
              </w:rPr>
            </w:pPr>
            <w:r w:rsidRPr="00781F59">
              <w:rPr>
                <w:sz w:val="20"/>
                <w:szCs w:val="20"/>
              </w:rPr>
              <w:t>125</w:t>
            </w:r>
          </w:p>
        </w:tc>
        <w:tc>
          <w:tcPr>
            <w:tcW w:w="0" w:type="auto"/>
            <w:tcBorders>
              <w:top w:val="single" w:sz="6" w:space="0" w:color="auto"/>
              <w:left w:val="single" w:sz="6" w:space="0" w:color="auto"/>
              <w:bottom w:val="single" w:sz="6" w:space="0" w:color="auto"/>
              <w:right w:val="single" w:sz="6" w:space="0" w:color="auto"/>
            </w:tcBorders>
            <w:hideMark/>
          </w:tcPr>
          <w:p w14:paraId="77D13A08" w14:textId="77777777" w:rsidR="00EA69AA" w:rsidRPr="00781F59" w:rsidRDefault="00EA69AA" w:rsidP="00EA69AA">
            <w:pPr>
              <w:contextualSpacing/>
              <w:rPr>
                <w:sz w:val="20"/>
                <w:szCs w:val="20"/>
              </w:rPr>
            </w:pPr>
            <w:r w:rsidRPr="00781F59">
              <w:rPr>
                <w:sz w:val="20"/>
                <w:szCs w:val="20"/>
              </w:rPr>
              <w:t>Vozoris N.T. 2012 The association between mentholated cigarettes and cardiovascular and pulmonary diseases in the United States population. American Journal of Respiratory and Critical Care Medicine; 185.</w:t>
            </w:r>
          </w:p>
        </w:tc>
        <w:tc>
          <w:tcPr>
            <w:tcW w:w="0" w:type="auto"/>
            <w:tcBorders>
              <w:top w:val="single" w:sz="6" w:space="0" w:color="auto"/>
              <w:left w:val="single" w:sz="6" w:space="0" w:color="auto"/>
              <w:bottom w:val="single" w:sz="6" w:space="0" w:color="auto"/>
              <w:right w:val="single" w:sz="6" w:space="0" w:color="auto"/>
            </w:tcBorders>
            <w:hideMark/>
          </w:tcPr>
          <w:p w14:paraId="30AC4170"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364F6040"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C8BF6F5" w14:textId="77777777" w:rsidR="00EA69AA" w:rsidRPr="00781F59" w:rsidRDefault="00EA69AA" w:rsidP="00EA69AA">
            <w:pPr>
              <w:contextualSpacing/>
              <w:rPr>
                <w:sz w:val="20"/>
                <w:szCs w:val="20"/>
              </w:rPr>
            </w:pPr>
            <w:r w:rsidRPr="00781F59">
              <w:rPr>
                <w:sz w:val="20"/>
                <w:szCs w:val="20"/>
              </w:rPr>
              <w:t>128</w:t>
            </w:r>
          </w:p>
        </w:tc>
        <w:tc>
          <w:tcPr>
            <w:tcW w:w="0" w:type="auto"/>
            <w:tcBorders>
              <w:top w:val="single" w:sz="6" w:space="0" w:color="auto"/>
              <w:left w:val="single" w:sz="6" w:space="0" w:color="auto"/>
              <w:bottom w:val="single" w:sz="6" w:space="0" w:color="auto"/>
              <w:right w:val="single" w:sz="6" w:space="0" w:color="auto"/>
            </w:tcBorders>
            <w:hideMark/>
          </w:tcPr>
          <w:p w14:paraId="608DEEFE" w14:textId="77777777" w:rsidR="00EA69AA" w:rsidRPr="00781F59" w:rsidRDefault="00EA69AA" w:rsidP="00EA69AA">
            <w:pPr>
              <w:contextualSpacing/>
              <w:rPr>
                <w:sz w:val="20"/>
                <w:szCs w:val="20"/>
              </w:rPr>
            </w:pPr>
            <w:r w:rsidRPr="00781F59">
              <w:rPr>
                <w:sz w:val="20"/>
                <w:szCs w:val="20"/>
              </w:rPr>
              <w:t xml:space="preserve">Bethea </w:t>
            </w:r>
            <w:proofErr w:type="gramStart"/>
            <w:r w:rsidRPr="00781F59">
              <w:rPr>
                <w:sz w:val="20"/>
                <w:szCs w:val="20"/>
              </w:rPr>
              <w:t>T.N.,Rosenberg</w:t>
            </w:r>
            <w:proofErr w:type="gramEnd"/>
            <w:r w:rsidRPr="00781F59">
              <w:rPr>
                <w:sz w:val="20"/>
                <w:szCs w:val="20"/>
              </w:rPr>
              <w:t xml:space="preserve"> L.,Boggs D.A.,Palmer J.R. 2012 Menthol cigarettes in relation to breast cancer incidence in African American women. Cancer Research; 72.</w:t>
            </w:r>
          </w:p>
        </w:tc>
        <w:tc>
          <w:tcPr>
            <w:tcW w:w="0" w:type="auto"/>
            <w:tcBorders>
              <w:top w:val="single" w:sz="6" w:space="0" w:color="auto"/>
              <w:left w:val="single" w:sz="6" w:space="0" w:color="auto"/>
              <w:bottom w:val="single" w:sz="6" w:space="0" w:color="auto"/>
              <w:right w:val="single" w:sz="6" w:space="0" w:color="auto"/>
            </w:tcBorders>
            <w:hideMark/>
          </w:tcPr>
          <w:p w14:paraId="401665E2"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18205BA7"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E2C463A" w14:textId="77777777" w:rsidR="00EA69AA" w:rsidRPr="00781F59" w:rsidRDefault="00EA69AA" w:rsidP="00EA69AA">
            <w:pPr>
              <w:contextualSpacing/>
              <w:rPr>
                <w:sz w:val="20"/>
                <w:szCs w:val="20"/>
              </w:rPr>
            </w:pPr>
            <w:r w:rsidRPr="00781F59">
              <w:rPr>
                <w:sz w:val="20"/>
                <w:szCs w:val="20"/>
              </w:rPr>
              <w:t>129</w:t>
            </w:r>
          </w:p>
        </w:tc>
        <w:tc>
          <w:tcPr>
            <w:tcW w:w="0" w:type="auto"/>
            <w:tcBorders>
              <w:top w:val="single" w:sz="6" w:space="0" w:color="auto"/>
              <w:left w:val="single" w:sz="6" w:space="0" w:color="auto"/>
              <w:bottom w:val="single" w:sz="6" w:space="0" w:color="auto"/>
              <w:right w:val="single" w:sz="6" w:space="0" w:color="auto"/>
            </w:tcBorders>
            <w:hideMark/>
          </w:tcPr>
          <w:p w14:paraId="238EE3C8" w14:textId="77777777" w:rsidR="00EA69AA" w:rsidRPr="00781F59" w:rsidRDefault="00EA69AA" w:rsidP="00EA69AA">
            <w:pPr>
              <w:contextualSpacing/>
              <w:rPr>
                <w:sz w:val="20"/>
                <w:szCs w:val="20"/>
              </w:rPr>
            </w:pPr>
            <w:r w:rsidRPr="00781F59">
              <w:rPr>
                <w:sz w:val="20"/>
                <w:szCs w:val="20"/>
              </w:rPr>
              <w:t xml:space="preserve">Jones </w:t>
            </w:r>
            <w:proofErr w:type="gramStart"/>
            <w:r w:rsidRPr="00781F59">
              <w:rPr>
                <w:sz w:val="20"/>
                <w:szCs w:val="20"/>
              </w:rPr>
              <w:t>M.R.,Apelberg</w:t>
            </w:r>
            <w:proofErr w:type="gramEnd"/>
            <w:r w:rsidRPr="00781F59">
              <w:rPr>
                <w:sz w:val="20"/>
                <w:szCs w:val="20"/>
              </w:rPr>
              <w:t xml:space="preserve"> B.J.,Navas-Acien A. 2012 Smoking, menthol cigarettes and peripheral arterial disease in the 1999- 2004 national health and nutrition examination survey (nhanes). Circulation; 125.</w:t>
            </w:r>
          </w:p>
        </w:tc>
        <w:tc>
          <w:tcPr>
            <w:tcW w:w="0" w:type="auto"/>
            <w:tcBorders>
              <w:top w:val="single" w:sz="6" w:space="0" w:color="auto"/>
              <w:left w:val="single" w:sz="6" w:space="0" w:color="auto"/>
              <w:bottom w:val="single" w:sz="6" w:space="0" w:color="auto"/>
              <w:right w:val="single" w:sz="6" w:space="0" w:color="auto"/>
            </w:tcBorders>
            <w:hideMark/>
          </w:tcPr>
          <w:p w14:paraId="3BC538C9"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3737FB72"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C68C6F9" w14:textId="77777777" w:rsidR="00EA69AA" w:rsidRPr="00781F59" w:rsidRDefault="00EA69AA" w:rsidP="00EA69AA">
            <w:pPr>
              <w:contextualSpacing/>
              <w:rPr>
                <w:sz w:val="20"/>
                <w:szCs w:val="20"/>
              </w:rPr>
            </w:pPr>
            <w:r w:rsidRPr="00781F59">
              <w:rPr>
                <w:sz w:val="20"/>
                <w:szCs w:val="20"/>
              </w:rPr>
              <w:lastRenderedPageBreak/>
              <w:t>134</w:t>
            </w:r>
          </w:p>
        </w:tc>
        <w:tc>
          <w:tcPr>
            <w:tcW w:w="0" w:type="auto"/>
            <w:tcBorders>
              <w:top w:val="single" w:sz="6" w:space="0" w:color="auto"/>
              <w:left w:val="single" w:sz="6" w:space="0" w:color="auto"/>
              <w:bottom w:val="single" w:sz="6" w:space="0" w:color="auto"/>
              <w:right w:val="single" w:sz="6" w:space="0" w:color="auto"/>
            </w:tcBorders>
            <w:hideMark/>
          </w:tcPr>
          <w:p w14:paraId="4AA605DD" w14:textId="77777777" w:rsidR="00EA69AA" w:rsidRPr="00781F59" w:rsidRDefault="00EA69AA" w:rsidP="00EA69AA">
            <w:pPr>
              <w:contextualSpacing/>
              <w:rPr>
                <w:sz w:val="20"/>
                <w:szCs w:val="20"/>
              </w:rPr>
            </w:pPr>
            <w:r w:rsidRPr="00781F59">
              <w:rPr>
                <w:sz w:val="20"/>
                <w:szCs w:val="20"/>
              </w:rPr>
              <w:t xml:space="preserve">Thomas </w:t>
            </w:r>
            <w:proofErr w:type="gramStart"/>
            <w:r w:rsidRPr="00781F59">
              <w:rPr>
                <w:sz w:val="20"/>
                <w:szCs w:val="20"/>
              </w:rPr>
              <w:t>K.V.,Reid</w:t>
            </w:r>
            <w:proofErr w:type="gramEnd"/>
            <w:r w:rsidRPr="00781F59">
              <w:rPr>
                <w:sz w:val="20"/>
                <w:szCs w:val="20"/>
              </w:rPr>
              <w:t xml:space="preserve"> M.J. 2011 What else can the analysis of sewage for urinary biomarkers reveal about communities?. Environmental Science and Technology; 45.7611.</w:t>
            </w:r>
          </w:p>
        </w:tc>
        <w:tc>
          <w:tcPr>
            <w:tcW w:w="0" w:type="auto"/>
            <w:tcBorders>
              <w:top w:val="single" w:sz="6" w:space="0" w:color="auto"/>
              <w:left w:val="single" w:sz="6" w:space="0" w:color="auto"/>
              <w:bottom w:val="single" w:sz="6" w:space="0" w:color="auto"/>
              <w:right w:val="single" w:sz="6" w:space="0" w:color="auto"/>
            </w:tcBorders>
            <w:hideMark/>
          </w:tcPr>
          <w:p w14:paraId="5E3BCD18"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5357618A"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9B60333" w14:textId="77777777" w:rsidR="00EA69AA" w:rsidRPr="00781F59" w:rsidRDefault="00EA69AA" w:rsidP="00EA69AA">
            <w:pPr>
              <w:contextualSpacing/>
              <w:rPr>
                <w:sz w:val="20"/>
                <w:szCs w:val="20"/>
              </w:rPr>
            </w:pPr>
            <w:r w:rsidRPr="00781F59">
              <w:rPr>
                <w:sz w:val="20"/>
                <w:szCs w:val="20"/>
              </w:rPr>
              <w:t>140</w:t>
            </w:r>
          </w:p>
        </w:tc>
        <w:tc>
          <w:tcPr>
            <w:tcW w:w="0" w:type="auto"/>
            <w:tcBorders>
              <w:top w:val="single" w:sz="6" w:space="0" w:color="auto"/>
              <w:left w:val="single" w:sz="6" w:space="0" w:color="auto"/>
              <w:bottom w:val="single" w:sz="6" w:space="0" w:color="auto"/>
              <w:right w:val="single" w:sz="6" w:space="0" w:color="auto"/>
            </w:tcBorders>
            <w:hideMark/>
          </w:tcPr>
          <w:p w14:paraId="56A5C3F9" w14:textId="77777777" w:rsidR="00EA69AA" w:rsidRPr="00781F59" w:rsidRDefault="00EA69AA" w:rsidP="00EA69AA">
            <w:pPr>
              <w:contextualSpacing/>
              <w:rPr>
                <w:sz w:val="20"/>
                <w:szCs w:val="20"/>
              </w:rPr>
            </w:pPr>
            <w:r w:rsidRPr="00781F59">
              <w:rPr>
                <w:sz w:val="20"/>
                <w:szCs w:val="20"/>
              </w:rPr>
              <w:t>Backinger C.L. 2011 Tobacco-related disparities and the Family Smoking Prevention and Tobacco Control Act. Cancer Epidemiology Biomarkers and Prevention; 20.</w:t>
            </w:r>
          </w:p>
        </w:tc>
        <w:tc>
          <w:tcPr>
            <w:tcW w:w="0" w:type="auto"/>
            <w:tcBorders>
              <w:top w:val="single" w:sz="6" w:space="0" w:color="auto"/>
              <w:left w:val="single" w:sz="6" w:space="0" w:color="auto"/>
              <w:bottom w:val="single" w:sz="6" w:space="0" w:color="auto"/>
              <w:right w:val="single" w:sz="6" w:space="0" w:color="auto"/>
            </w:tcBorders>
            <w:hideMark/>
          </w:tcPr>
          <w:p w14:paraId="305BF875"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02022168"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A45DE72" w14:textId="77777777" w:rsidR="00EA69AA" w:rsidRPr="00781F59" w:rsidRDefault="00EA69AA" w:rsidP="00EA69AA">
            <w:pPr>
              <w:contextualSpacing/>
              <w:rPr>
                <w:sz w:val="20"/>
                <w:szCs w:val="20"/>
              </w:rPr>
            </w:pPr>
            <w:r w:rsidRPr="00781F59">
              <w:rPr>
                <w:sz w:val="20"/>
                <w:szCs w:val="20"/>
              </w:rPr>
              <w:t>143</w:t>
            </w:r>
          </w:p>
        </w:tc>
        <w:tc>
          <w:tcPr>
            <w:tcW w:w="0" w:type="auto"/>
            <w:tcBorders>
              <w:top w:val="single" w:sz="6" w:space="0" w:color="auto"/>
              <w:left w:val="single" w:sz="6" w:space="0" w:color="auto"/>
              <w:bottom w:val="single" w:sz="6" w:space="0" w:color="auto"/>
              <w:right w:val="single" w:sz="6" w:space="0" w:color="auto"/>
            </w:tcBorders>
            <w:hideMark/>
          </w:tcPr>
          <w:p w14:paraId="4573AA28" w14:textId="77777777" w:rsidR="00EA69AA" w:rsidRPr="00781F59" w:rsidRDefault="00EA69AA" w:rsidP="00EA69AA">
            <w:pPr>
              <w:contextualSpacing/>
              <w:rPr>
                <w:sz w:val="20"/>
                <w:szCs w:val="20"/>
              </w:rPr>
            </w:pPr>
            <w:r w:rsidRPr="00781F59">
              <w:rPr>
                <w:sz w:val="20"/>
                <w:szCs w:val="20"/>
              </w:rPr>
              <w:t xml:space="preserve">Brody </w:t>
            </w:r>
            <w:proofErr w:type="gramStart"/>
            <w:r w:rsidRPr="00781F59">
              <w:rPr>
                <w:sz w:val="20"/>
                <w:szCs w:val="20"/>
              </w:rPr>
              <w:t>A.L.,Mukhin</w:t>
            </w:r>
            <w:proofErr w:type="gramEnd"/>
            <w:r w:rsidRPr="00781F59">
              <w:rPr>
                <w:sz w:val="20"/>
                <w:szCs w:val="20"/>
              </w:rPr>
              <w:t xml:space="preserve"> A.G.,La Charite J.,Ta K.,Farahi J.,Sugar C.A.,Vellios E.,Archie M.,Kozman M.,Mandelkern M.A. 2011 Up-regulation of nicotinic acetylcholine receptors in menthol cigarette smokers. Neuropsychopharmacology; </w:t>
            </w:r>
            <w:proofErr w:type="gramStart"/>
            <w:r w:rsidRPr="00781F59">
              <w:rPr>
                <w:sz w:val="20"/>
                <w:szCs w:val="20"/>
              </w:rPr>
              <w:t>36.S</w:t>
            </w:r>
            <w:proofErr w:type="gramEnd"/>
            <w:r w:rsidRPr="00781F59">
              <w:rPr>
                <w:sz w:val="20"/>
                <w:szCs w:val="20"/>
              </w:rPr>
              <w:t>402.</w:t>
            </w:r>
          </w:p>
        </w:tc>
        <w:tc>
          <w:tcPr>
            <w:tcW w:w="0" w:type="auto"/>
            <w:tcBorders>
              <w:top w:val="single" w:sz="6" w:space="0" w:color="auto"/>
              <w:left w:val="single" w:sz="6" w:space="0" w:color="auto"/>
              <w:bottom w:val="single" w:sz="6" w:space="0" w:color="auto"/>
              <w:right w:val="single" w:sz="6" w:space="0" w:color="auto"/>
            </w:tcBorders>
            <w:hideMark/>
          </w:tcPr>
          <w:p w14:paraId="0153AC35"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7389DCA4"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6C85672" w14:textId="77777777" w:rsidR="00EA69AA" w:rsidRPr="00781F59" w:rsidRDefault="00EA69AA" w:rsidP="00EA69AA">
            <w:pPr>
              <w:contextualSpacing/>
              <w:rPr>
                <w:sz w:val="20"/>
                <w:szCs w:val="20"/>
              </w:rPr>
            </w:pPr>
            <w:r w:rsidRPr="00781F59">
              <w:rPr>
                <w:sz w:val="20"/>
                <w:szCs w:val="20"/>
              </w:rPr>
              <w:t>144</w:t>
            </w:r>
          </w:p>
        </w:tc>
        <w:tc>
          <w:tcPr>
            <w:tcW w:w="0" w:type="auto"/>
            <w:tcBorders>
              <w:top w:val="single" w:sz="6" w:space="0" w:color="auto"/>
              <w:left w:val="single" w:sz="6" w:space="0" w:color="auto"/>
              <w:bottom w:val="single" w:sz="6" w:space="0" w:color="auto"/>
              <w:right w:val="single" w:sz="6" w:space="0" w:color="auto"/>
            </w:tcBorders>
            <w:hideMark/>
          </w:tcPr>
          <w:p w14:paraId="6EA91336" w14:textId="77777777" w:rsidR="00EA69AA" w:rsidRPr="00781F59" w:rsidRDefault="00EA69AA" w:rsidP="00EA69AA">
            <w:pPr>
              <w:contextualSpacing/>
              <w:rPr>
                <w:sz w:val="20"/>
                <w:szCs w:val="20"/>
              </w:rPr>
            </w:pPr>
            <w:r w:rsidRPr="00781F59">
              <w:rPr>
                <w:sz w:val="20"/>
                <w:szCs w:val="20"/>
              </w:rPr>
              <w:t xml:space="preserve">Buchanan </w:t>
            </w:r>
            <w:proofErr w:type="gramStart"/>
            <w:r w:rsidRPr="00781F59">
              <w:rPr>
                <w:sz w:val="20"/>
                <w:szCs w:val="20"/>
              </w:rPr>
              <w:t>T.S.,Cox</w:t>
            </w:r>
            <w:proofErr w:type="gramEnd"/>
            <w:r w:rsidRPr="00781F59">
              <w:rPr>
                <w:sz w:val="20"/>
                <w:szCs w:val="20"/>
              </w:rPr>
              <w:t xml:space="preserve"> L.S.,Nollen N.L.,Thomas J.L.,Berg C.J.,Mayo M.S.,Ahluwalia J.S. 2011 Perceived treatment assignment and smoking cessation in a clinical trial of bupropion. Cancer Epidemiology Biomarkers and Prevention; 20.721.</w:t>
            </w:r>
          </w:p>
        </w:tc>
        <w:tc>
          <w:tcPr>
            <w:tcW w:w="0" w:type="auto"/>
            <w:tcBorders>
              <w:top w:val="single" w:sz="6" w:space="0" w:color="auto"/>
              <w:left w:val="single" w:sz="6" w:space="0" w:color="auto"/>
              <w:bottom w:val="single" w:sz="6" w:space="0" w:color="auto"/>
              <w:right w:val="single" w:sz="6" w:space="0" w:color="auto"/>
            </w:tcBorders>
            <w:hideMark/>
          </w:tcPr>
          <w:p w14:paraId="6752EE39"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3872711C"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AE27AEA" w14:textId="77777777" w:rsidR="00EA69AA" w:rsidRPr="00781F59" w:rsidRDefault="00EA69AA" w:rsidP="00EA69AA">
            <w:pPr>
              <w:contextualSpacing/>
              <w:rPr>
                <w:sz w:val="20"/>
                <w:szCs w:val="20"/>
              </w:rPr>
            </w:pPr>
            <w:r w:rsidRPr="00781F59">
              <w:rPr>
                <w:sz w:val="20"/>
                <w:szCs w:val="20"/>
              </w:rPr>
              <w:t>146</w:t>
            </w:r>
          </w:p>
        </w:tc>
        <w:tc>
          <w:tcPr>
            <w:tcW w:w="0" w:type="auto"/>
            <w:tcBorders>
              <w:top w:val="single" w:sz="6" w:space="0" w:color="auto"/>
              <w:left w:val="single" w:sz="6" w:space="0" w:color="auto"/>
              <w:bottom w:val="single" w:sz="6" w:space="0" w:color="auto"/>
              <w:right w:val="single" w:sz="6" w:space="0" w:color="auto"/>
            </w:tcBorders>
            <w:hideMark/>
          </w:tcPr>
          <w:p w14:paraId="2D9215E3" w14:textId="77777777" w:rsidR="00EA69AA" w:rsidRPr="00781F59" w:rsidRDefault="00EA69AA" w:rsidP="00EA69AA">
            <w:pPr>
              <w:contextualSpacing/>
              <w:rPr>
                <w:sz w:val="20"/>
                <w:szCs w:val="20"/>
              </w:rPr>
            </w:pPr>
            <w:r w:rsidRPr="00781F59">
              <w:rPr>
                <w:sz w:val="20"/>
                <w:szCs w:val="20"/>
              </w:rPr>
              <w:t xml:space="preserve">Mickens </w:t>
            </w:r>
            <w:proofErr w:type="gramStart"/>
            <w:r w:rsidRPr="00781F59">
              <w:rPr>
                <w:sz w:val="20"/>
                <w:szCs w:val="20"/>
              </w:rPr>
              <w:t>L.,Ameringer</w:t>
            </w:r>
            <w:proofErr w:type="gramEnd"/>
            <w:r w:rsidRPr="00781F59">
              <w:rPr>
                <w:sz w:val="20"/>
                <w:szCs w:val="20"/>
              </w:rPr>
              <w:t xml:space="preserve"> K.,Brightman M.,Leventhal A.M. 2010 Epidemiology, determinants, and consequences of cigarette smoking in African American women: An integrative review. Addictive Behaviors; 35.383.</w:t>
            </w:r>
          </w:p>
        </w:tc>
        <w:tc>
          <w:tcPr>
            <w:tcW w:w="0" w:type="auto"/>
            <w:tcBorders>
              <w:top w:val="single" w:sz="6" w:space="0" w:color="auto"/>
              <w:left w:val="single" w:sz="6" w:space="0" w:color="auto"/>
              <w:bottom w:val="single" w:sz="6" w:space="0" w:color="auto"/>
              <w:right w:val="single" w:sz="6" w:space="0" w:color="auto"/>
            </w:tcBorders>
            <w:hideMark/>
          </w:tcPr>
          <w:p w14:paraId="585E65C1"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7721F91E"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96A0A67" w14:textId="77777777" w:rsidR="00EA69AA" w:rsidRPr="00781F59" w:rsidRDefault="00EA69AA" w:rsidP="00EA69AA">
            <w:pPr>
              <w:contextualSpacing/>
              <w:rPr>
                <w:sz w:val="20"/>
                <w:szCs w:val="20"/>
              </w:rPr>
            </w:pPr>
            <w:r w:rsidRPr="00781F59">
              <w:rPr>
                <w:sz w:val="20"/>
                <w:szCs w:val="20"/>
              </w:rPr>
              <w:t>148</w:t>
            </w:r>
          </w:p>
        </w:tc>
        <w:tc>
          <w:tcPr>
            <w:tcW w:w="0" w:type="auto"/>
            <w:tcBorders>
              <w:top w:val="single" w:sz="6" w:space="0" w:color="auto"/>
              <w:left w:val="single" w:sz="6" w:space="0" w:color="auto"/>
              <w:bottom w:val="single" w:sz="6" w:space="0" w:color="auto"/>
              <w:right w:val="single" w:sz="6" w:space="0" w:color="auto"/>
            </w:tcBorders>
            <w:hideMark/>
          </w:tcPr>
          <w:p w14:paraId="141DD2FC" w14:textId="77777777" w:rsidR="00EA69AA" w:rsidRPr="00781F59" w:rsidRDefault="00EA69AA" w:rsidP="00EA69AA">
            <w:pPr>
              <w:contextualSpacing/>
              <w:rPr>
                <w:sz w:val="20"/>
                <w:szCs w:val="20"/>
              </w:rPr>
            </w:pPr>
            <w:r w:rsidRPr="00781F59">
              <w:rPr>
                <w:sz w:val="20"/>
                <w:szCs w:val="20"/>
              </w:rPr>
              <w:t xml:space="preserve">Shah </w:t>
            </w:r>
            <w:proofErr w:type="gramStart"/>
            <w:r w:rsidRPr="00781F59">
              <w:rPr>
                <w:sz w:val="20"/>
                <w:szCs w:val="20"/>
              </w:rPr>
              <w:t>L.,Press</w:t>
            </w:r>
            <w:proofErr w:type="gramEnd"/>
            <w:r w:rsidRPr="00781F59">
              <w:rPr>
                <w:sz w:val="20"/>
                <w:szCs w:val="20"/>
              </w:rPr>
              <w:t xml:space="preserve"> V.,Arora V.,King A.,Meltzer D.,Suresh K.,Krishnan J. 2010 Assessing impact of usual care on quit rates 4 weeks postdischarge among hospitalized smokers. Journal of Hospital Medicine; 5.71.</w:t>
            </w:r>
          </w:p>
        </w:tc>
        <w:tc>
          <w:tcPr>
            <w:tcW w:w="0" w:type="auto"/>
            <w:tcBorders>
              <w:top w:val="single" w:sz="6" w:space="0" w:color="auto"/>
              <w:left w:val="single" w:sz="6" w:space="0" w:color="auto"/>
              <w:bottom w:val="single" w:sz="6" w:space="0" w:color="auto"/>
              <w:right w:val="single" w:sz="6" w:space="0" w:color="auto"/>
            </w:tcBorders>
            <w:hideMark/>
          </w:tcPr>
          <w:p w14:paraId="5733BE8D"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7CEE4F97"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D5EE231" w14:textId="77777777" w:rsidR="00EA69AA" w:rsidRPr="00781F59" w:rsidRDefault="00EA69AA" w:rsidP="00EA69AA">
            <w:pPr>
              <w:contextualSpacing/>
              <w:rPr>
                <w:sz w:val="20"/>
                <w:szCs w:val="20"/>
              </w:rPr>
            </w:pPr>
            <w:r w:rsidRPr="00781F59">
              <w:rPr>
                <w:sz w:val="20"/>
                <w:szCs w:val="20"/>
              </w:rPr>
              <w:t>149</w:t>
            </w:r>
          </w:p>
        </w:tc>
        <w:tc>
          <w:tcPr>
            <w:tcW w:w="0" w:type="auto"/>
            <w:tcBorders>
              <w:top w:val="single" w:sz="6" w:space="0" w:color="auto"/>
              <w:left w:val="single" w:sz="6" w:space="0" w:color="auto"/>
              <w:bottom w:val="single" w:sz="6" w:space="0" w:color="auto"/>
              <w:right w:val="single" w:sz="6" w:space="0" w:color="auto"/>
            </w:tcBorders>
            <w:hideMark/>
          </w:tcPr>
          <w:p w14:paraId="6C185A06" w14:textId="77777777" w:rsidR="00EA69AA" w:rsidRPr="00781F59" w:rsidRDefault="00EA69AA" w:rsidP="00EA69AA">
            <w:pPr>
              <w:contextualSpacing/>
              <w:rPr>
                <w:sz w:val="20"/>
                <w:szCs w:val="20"/>
              </w:rPr>
            </w:pPr>
            <w:r w:rsidRPr="00781F59">
              <w:rPr>
                <w:sz w:val="20"/>
                <w:szCs w:val="20"/>
              </w:rPr>
              <w:t xml:space="preserve">Fu </w:t>
            </w:r>
            <w:proofErr w:type="gramStart"/>
            <w:r w:rsidRPr="00781F59">
              <w:rPr>
                <w:sz w:val="20"/>
                <w:szCs w:val="20"/>
              </w:rPr>
              <w:t>S.,Stahre</w:t>
            </w:r>
            <w:proofErr w:type="gramEnd"/>
            <w:r w:rsidRPr="00781F59">
              <w:rPr>
                <w:sz w:val="20"/>
                <w:szCs w:val="20"/>
              </w:rPr>
              <w:t xml:space="preserve"> M.,Okuyemi K.,Joseph A. 2010 Racial/ethnic differences in menthol cigarette smoking, prevalence of smoking cessation, and utilization of evidence-based tobacco cessation treatments. Journal of General Internal Medicine; </w:t>
            </w:r>
            <w:proofErr w:type="gramStart"/>
            <w:r w:rsidRPr="00781F59">
              <w:rPr>
                <w:sz w:val="20"/>
                <w:szCs w:val="20"/>
              </w:rPr>
              <w:t>25.S</w:t>
            </w:r>
            <w:proofErr w:type="gramEnd"/>
            <w:r w:rsidRPr="00781F59">
              <w:rPr>
                <w:sz w:val="20"/>
                <w:szCs w:val="20"/>
              </w:rPr>
              <w:t>377.</w:t>
            </w:r>
          </w:p>
        </w:tc>
        <w:tc>
          <w:tcPr>
            <w:tcW w:w="0" w:type="auto"/>
            <w:tcBorders>
              <w:top w:val="single" w:sz="6" w:space="0" w:color="auto"/>
              <w:left w:val="single" w:sz="6" w:space="0" w:color="auto"/>
              <w:bottom w:val="single" w:sz="6" w:space="0" w:color="auto"/>
              <w:right w:val="single" w:sz="6" w:space="0" w:color="auto"/>
            </w:tcBorders>
            <w:hideMark/>
          </w:tcPr>
          <w:p w14:paraId="7D428B7E" w14:textId="77777777" w:rsidR="00EA69AA" w:rsidRPr="00781F59" w:rsidRDefault="00EA69AA" w:rsidP="00EA69AA">
            <w:pPr>
              <w:contextualSpacing/>
              <w:rPr>
                <w:sz w:val="20"/>
                <w:szCs w:val="20"/>
              </w:rPr>
            </w:pPr>
            <w:r w:rsidRPr="00781F59">
              <w:rPr>
                <w:sz w:val="20"/>
                <w:szCs w:val="20"/>
              </w:rPr>
              <w:t>Duplicate article</w:t>
            </w:r>
          </w:p>
        </w:tc>
      </w:tr>
      <w:tr w:rsidR="00EA69AA" w:rsidRPr="00781F59" w14:paraId="04059D4A"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D704692" w14:textId="77777777" w:rsidR="00EA69AA" w:rsidRPr="00781F59" w:rsidRDefault="00EA69AA" w:rsidP="00EA69AA">
            <w:pPr>
              <w:contextualSpacing/>
              <w:rPr>
                <w:sz w:val="20"/>
                <w:szCs w:val="20"/>
              </w:rPr>
            </w:pPr>
            <w:r w:rsidRPr="00781F59">
              <w:rPr>
                <w:sz w:val="20"/>
                <w:szCs w:val="20"/>
              </w:rPr>
              <w:t>151</w:t>
            </w:r>
          </w:p>
        </w:tc>
        <w:tc>
          <w:tcPr>
            <w:tcW w:w="0" w:type="auto"/>
            <w:tcBorders>
              <w:top w:val="single" w:sz="6" w:space="0" w:color="auto"/>
              <w:left w:val="single" w:sz="6" w:space="0" w:color="auto"/>
              <w:bottom w:val="single" w:sz="6" w:space="0" w:color="auto"/>
              <w:right w:val="single" w:sz="6" w:space="0" w:color="auto"/>
            </w:tcBorders>
            <w:hideMark/>
          </w:tcPr>
          <w:p w14:paraId="37502C7A" w14:textId="77777777" w:rsidR="00EA69AA" w:rsidRPr="00781F59" w:rsidRDefault="00EA69AA" w:rsidP="00EA69AA">
            <w:pPr>
              <w:contextualSpacing/>
              <w:rPr>
                <w:sz w:val="20"/>
                <w:szCs w:val="20"/>
              </w:rPr>
            </w:pPr>
            <w:r w:rsidRPr="00781F59">
              <w:rPr>
                <w:sz w:val="20"/>
                <w:szCs w:val="20"/>
              </w:rPr>
              <w:t>Wigand J. 2009 Smoking and mental illness: A commentary and counterpoint. Journal of Dual Diagnosis; 5.219.</w:t>
            </w:r>
          </w:p>
        </w:tc>
        <w:tc>
          <w:tcPr>
            <w:tcW w:w="0" w:type="auto"/>
            <w:tcBorders>
              <w:top w:val="single" w:sz="6" w:space="0" w:color="auto"/>
              <w:left w:val="single" w:sz="6" w:space="0" w:color="auto"/>
              <w:bottom w:val="single" w:sz="6" w:space="0" w:color="auto"/>
              <w:right w:val="single" w:sz="6" w:space="0" w:color="auto"/>
            </w:tcBorders>
            <w:hideMark/>
          </w:tcPr>
          <w:p w14:paraId="19C70B35"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50A6DDC8"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66FD9BA" w14:textId="77777777" w:rsidR="00EA69AA" w:rsidRPr="00781F59" w:rsidRDefault="00EA69AA" w:rsidP="00EA69AA">
            <w:pPr>
              <w:contextualSpacing/>
              <w:rPr>
                <w:sz w:val="20"/>
                <w:szCs w:val="20"/>
              </w:rPr>
            </w:pPr>
            <w:r w:rsidRPr="00781F59">
              <w:rPr>
                <w:sz w:val="20"/>
                <w:szCs w:val="20"/>
              </w:rPr>
              <w:t>152</w:t>
            </w:r>
          </w:p>
        </w:tc>
        <w:tc>
          <w:tcPr>
            <w:tcW w:w="0" w:type="auto"/>
            <w:tcBorders>
              <w:top w:val="single" w:sz="6" w:space="0" w:color="auto"/>
              <w:left w:val="single" w:sz="6" w:space="0" w:color="auto"/>
              <w:bottom w:val="single" w:sz="6" w:space="0" w:color="auto"/>
              <w:right w:val="single" w:sz="6" w:space="0" w:color="auto"/>
            </w:tcBorders>
            <w:hideMark/>
          </w:tcPr>
          <w:p w14:paraId="6C009719" w14:textId="77777777" w:rsidR="00EA69AA" w:rsidRPr="00781F59" w:rsidRDefault="00EA69AA" w:rsidP="00EA69AA">
            <w:pPr>
              <w:contextualSpacing/>
              <w:rPr>
                <w:sz w:val="20"/>
                <w:szCs w:val="20"/>
              </w:rPr>
            </w:pPr>
            <w:r w:rsidRPr="00781F59">
              <w:rPr>
                <w:sz w:val="20"/>
                <w:szCs w:val="20"/>
              </w:rPr>
              <w:t>Gough N.R. 2009 Nicotine irritation. Science Signaling; 2.ec324.</w:t>
            </w:r>
          </w:p>
        </w:tc>
        <w:tc>
          <w:tcPr>
            <w:tcW w:w="0" w:type="auto"/>
            <w:tcBorders>
              <w:top w:val="single" w:sz="6" w:space="0" w:color="auto"/>
              <w:left w:val="single" w:sz="6" w:space="0" w:color="auto"/>
              <w:bottom w:val="single" w:sz="6" w:space="0" w:color="auto"/>
              <w:right w:val="single" w:sz="6" w:space="0" w:color="auto"/>
            </w:tcBorders>
            <w:hideMark/>
          </w:tcPr>
          <w:p w14:paraId="6DB194D0"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2A18515C"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C9722FD" w14:textId="77777777" w:rsidR="00EA69AA" w:rsidRPr="00781F59" w:rsidRDefault="00EA69AA" w:rsidP="00EA69AA">
            <w:pPr>
              <w:contextualSpacing/>
              <w:rPr>
                <w:sz w:val="20"/>
                <w:szCs w:val="20"/>
              </w:rPr>
            </w:pPr>
            <w:r w:rsidRPr="00781F59">
              <w:rPr>
                <w:sz w:val="20"/>
                <w:szCs w:val="20"/>
              </w:rPr>
              <w:t>153</w:t>
            </w:r>
          </w:p>
        </w:tc>
        <w:tc>
          <w:tcPr>
            <w:tcW w:w="0" w:type="auto"/>
            <w:tcBorders>
              <w:top w:val="single" w:sz="6" w:space="0" w:color="auto"/>
              <w:left w:val="single" w:sz="6" w:space="0" w:color="auto"/>
              <w:bottom w:val="single" w:sz="6" w:space="0" w:color="auto"/>
              <w:right w:val="single" w:sz="6" w:space="0" w:color="auto"/>
            </w:tcBorders>
            <w:hideMark/>
          </w:tcPr>
          <w:p w14:paraId="3D261BE0" w14:textId="77777777" w:rsidR="00EA69AA" w:rsidRPr="00781F59" w:rsidRDefault="00EA69AA" w:rsidP="00EA69AA">
            <w:pPr>
              <w:contextualSpacing/>
              <w:rPr>
                <w:sz w:val="20"/>
                <w:szCs w:val="20"/>
              </w:rPr>
            </w:pPr>
            <w:r w:rsidRPr="00781F59">
              <w:rPr>
                <w:sz w:val="20"/>
                <w:szCs w:val="20"/>
              </w:rPr>
              <w:t>Anonymous. 2009 Correction: Article on exposure biomarkers of menthol and nonmenthol smoking (Cancer Epidemiology, Biomarkers and Prevention (2009)). Cancer Epidemiology Biomarkers and Prevention; 18.2155.</w:t>
            </w:r>
          </w:p>
        </w:tc>
        <w:tc>
          <w:tcPr>
            <w:tcW w:w="0" w:type="auto"/>
            <w:tcBorders>
              <w:top w:val="single" w:sz="6" w:space="0" w:color="auto"/>
              <w:left w:val="single" w:sz="6" w:space="0" w:color="auto"/>
              <w:bottom w:val="single" w:sz="6" w:space="0" w:color="auto"/>
              <w:right w:val="single" w:sz="6" w:space="0" w:color="auto"/>
            </w:tcBorders>
            <w:hideMark/>
          </w:tcPr>
          <w:p w14:paraId="7A0843A7" w14:textId="77777777" w:rsidR="00EA69AA" w:rsidRPr="00781F59" w:rsidRDefault="00EA69AA" w:rsidP="00EA69AA">
            <w:pPr>
              <w:contextualSpacing/>
              <w:rPr>
                <w:sz w:val="20"/>
                <w:szCs w:val="20"/>
              </w:rPr>
            </w:pPr>
            <w:r w:rsidRPr="00781F59">
              <w:rPr>
                <w:sz w:val="20"/>
                <w:szCs w:val="20"/>
              </w:rPr>
              <w:t>Not original research / data</w:t>
            </w:r>
          </w:p>
        </w:tc>
      </w:tr>
      <w:tr w:rsidR="00EA69AA" w:rsidRPr="00781F59" w14:paraId="0C714324"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1F5FB49" w14:textId="77777777" w:rsidR="00EA69AA" w:rsidRPr="00781F59" w:rsidRDefault="00EA69AA" w:rsidP="00EA69AA">
            <w:pPr>
              <w:contextualSpacing/>
              <w:rPr>
                <w:sz w:val="20"/>
                <w:szCs w:val="20"/>
              </w:rPr>
            </w:pPr>
            <w:r w:rsidRPr="00781F59">
              <w:rPr>
                <w:sz w:val="20"/>
                <w:szCs w:val="20"/>
              </w:rPr>
              <w:t>155</w:t>
            </w:r>
          </w:p>
        </w:tc>
        <w:tc>
          <w:tcPr>
            <w:tcW w:w="0" w:type="auto"/>
            <w:tcBorders>
              <w:top w:val="single" w:sz="6" w:space="0" w:color="auto"/>
              <w:left w:val="single" w:sz="6" w:space="0" w:color="auto"/>
              <w:bottom w:val="single" w:sz="6" w:space="0" w:color="auto"/>
              <w:right w:val="single" w:sz="6" w:space="0" w:color="auto"/>
            </w:tcBorders>
            <w:hideMark/>
          </w:tcPr>
          <w:p w14:paraId="54B5D039" w14:textId="77777777" w:rsidR="00EA69AA" w:rsidRPr="00781F59" w:rsidRDefault="00EA69AA" w:rsidP="00EA69AA">
            <w:pPr>
              <w:contextualSpacing/>
              <w:rPr>
                <w:sz w:val="20"/>
                <w:szCs w:val="20"/>
              </w:rPr>
            </w:pPr>
            <w:r w:rsidRPr="00781F59">
              <w:rPr>
                <w:sz w:val="20"/>
                <w:szCs w:val="20"/>
              </w:rPr>
              <w:t xml:space="preserve">Peace </w:t>
            </w:r>
            <w:proofErr w:type="gramStart"/>
            <w:r w:rsidRPr="00781F59">
              <w:rPr>
                <w:sz w:val="20"/>
                <w:szCs w:val="20"/>
              </w:rPr>
              <w:t>J.,Wilson</w:t>
            </w:r>
            <w:proofErr w:type="gramEnd"/>
            <w:r w:rsidRPr="00781F59">
              <w:rPr>
                <w:sz w:val="20"/>
                <w:szCs w:val="20"/>
              </w:rPr>
              <w:t xml:space="preserve"> N.,Thomson G.,Edwards R. 2008 Recent changes in cigarette packaging in New Zealand may continue to mislead smokers [9]. New Zealand Medical Journal; 121.</w:t>
            </w:r>
          </w:p>
        </w:tc>
        <w:tc>
          <w:tcPr>
            <w:tcW w:w="0" w:type="auto"/>
            <w:tcBorders>
              <w:top w:val="single" w:sz="6" w:space="0" w:color="auto"/>
              <w:left w:val="single" w:sz="6" w:space="0" w:color="auto"/>
              <w:bottom w:val="single" w:sz="6" w:space="0" w:color="auto"/>
              <w:right w:val="single" w:sz="6" w:space="0" w:color="auto"/>
            </w:tcBorders>
            <w:hideMark/>
          </w:tcPr>
          <w:p w14:paraId="5E01F718" w14:textId="77777777" w:rsidR="00EA69AA" w:rsidRPr="00781F59" w:rsidRDefault="00EA69AA" w:rsidP="00EA69AA">
            <w:pPr>
              <w:contextualSpacing/>
              <w:rPr>
                <w:sz w:val="20"/>
                <w:szCs w:val="20"/>
              </w:rPr>
            </w:pPr>
            <w:r w:rsidRPr="00781F59">
              <w:rPr>
                <w:sz w:val="20"/>
                <w:szCs w:val="20"/>
              </w:rPr>
              <w:t>Ineligible population (not U.S., not humans)</w:t>
            </w:r>
          </w:p>
        </w:tc>
      </w:tr>
      <w:tr w:rsidR="00EA69AA" w:rsidRPr="00781F59" w14:paraId="28643397"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029735F" w14:textId="77777777" w:rsidR="00EA69AA" w:rsidRPr="00781F59" w:rsidRDefault="00EA69AA" w:rsidP="00EA69AA">
            <w:pPr>
              <w:contextualSpacing/>
              <w:rPr>
                <w:sz w:val="20"/>
                <w:szCs w:val="20"/>
              </w:rPr>
            </w:pPr>
            <w:r w:rsidRPr="00781F59">
              <w:rPr>
                <w:sz w:val="20"/>
                <w:szCs w:val="20"/>
              </w:rPr>
              <w:t>158</w:t>
            </w:r>
          </w:p>
        </w:tc>
        <w:tc>
          <w:tcPr>
            <w:tcW w:w="0" w:type="auto"/>
            <w:tcBorders>
              <w:top w:val="single" w:sz="6" w:space="0" w:color="auto"/>
              <w:left w:val="single" w:sz="6" w:space="0" w:color="auto"/>
              <w:bottom w:val="single" w:sz="6" w:space="0" w:color="auto"/>
              <w:right w:val="single" w:sz="6" w:space="0" w:color="auto"/>
            </w:tcBorders>
            <w:hideMark/>
          </w:tcPr>
          <w:p w14:paraId="013C05AB" w14:textId="77777777" w:rsidR="00EA69AA" w:rsidRPr="00781F59" w:rsidRDefault="00EA69AA" w:rsidP="00EA69AA">
            <w:pPr>
              <w:contextualSpacing/>
              <w:rPr>
                <w:sz w:val="20"/>
                <w:szCs w:val="20"/>
              </w:rPr>
            </w:pPr>
            <w:r w:rsidRPr="00781F59">
              <w:rPr>
                <w:sz w:val="20"/>
                <w:szCs w:val="20"/>
              </w:rPr>
              <w:t>Hebert R. 2008 What's new in nicotine &amp; tobacco research?. Nicotine and Tobacco Research; 10.559.</w:t>
            </w:r>
          </w:p>
        </w:tc>
        <w:tc>
          <w:tcPr>
            <w:tcW w:w="0" w:type="auto"/>
            <w:tcBorders>
              <w:top w:val="single" w:sz="6" w:space="0" w:color="auto"/>
              <w:left w:val="single" w:sz="6" w:space="0" w:color="auto"/>
              <w:bottom w:val="single" w:sz="6" w:space="0" w:color="auto"/>
              <w:right w:val="single" w:sz="6" w:space="0" w:color="auto"/>
            </w:tcBorders>
            <w:hideMark/>
          </w:tcPr>
          <w:p w14:paraId="76B211DD" w14:textId="77777777" w:rsidR="00EA69AA" w:rsidRPr="00781F59" w:rsidRDefault="00EA69AA" w:rsidP="00EA69AA">
            <w:pPr>
              <w:contextualSpacing/>
              <w:rPr>
                <w:sz w:val="20"/>
                <w:szCs w:val="20"/>
              </w:rPr>
            </w:pPr>
            <w:r w:rsidRPr="00781F59">
              <w:rPr>
                <w:sz w:val="20"/>
                <w:szCs w:val="20"/>
              </w:rPr>
              <w:t>Not original research / data</w:t>
            </w:r>
          </w:p>
        </w:tc>
      </w:tr>
      <w:tr w:rsidR="00EA69AA" w:rsidRPr="00781F59" w14:paraId="14311B58"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71BE0E1" w14:textId="77777777" w:rsidR="00EA69AA" w:rsidRPr="00781F59" w:rsidRDefault="00EA69AA" w:rsidP="00EA69AA">
            <w:pPr>
              <w:contextualSpacing/>
              <w:rPr>
                <w:sz w:val="20"/>
                <w:szCs w:val="20"/>
              </w:rPr>
            </w:pPr>
            <w:r w:rsidRPr="00781F59">
              <w:rPr>
                <w:sz w:val="20"/>
                <w:szCs w:val="20"/>
              </w:rPr>
              <w:t>159</w:t>
            </w:r>
          </w:p>
        </w:tc>
        <w:tc>
          <w:tcPr>
            <w:tcW w:w="0" w:type="auto"/>
            <w:tcBorders>
              <w:top w:val="single" w:sz="6" w:space="0" w:color="auto"/>
              <w:left w:val="single" w:sz="6" w:space="0" w:color="auto"/>
              <w:bottom w:val="single" w:sz="6" w:space="0" w:color="auto"/>
              <w:right w:val="single" w:sz="6" w:space="0" w:color="auto"/>
            </w:tcBorders>
            <w:hideMark/>
          </w:tcPr>
          <w:p w14:paraId="738ED3FA" w14:textId="77777777" w:rsidR="00EA69AA" w:rsidRPr="00781F59" w:rsidRDefault="00EA69AA" w:rsidP="00EA69AA">
            <w:pPr>
              <w:contextualSpacing/>
              <w:rPr>
                <w:sz w:val="20"/>
                <w:szCs w:val="20"/>
              </w:rPr>
            </w:pPr>
            <w:r w:rsidRPr="00781F59">
              <w:rPr>
                <w:sz w:val="20"/>
                <w:szCs w:val="20"/>
              </w:rPr>
              <w:t>Marshall S. 2008 Giving advice on sore throats. Pharmaceutical Journal; 280.127.</w:t>
            </w:r>
          </w:p>
        </w:tc>
        <w:tc>
          <w:tcPr>
            <w:tcW w:w="0" w:type="auto"/>
            <w:tcBorders>
              <w:top w:val="single" w:sz="6" w:space="0" w:color="auto"/>
              <w:left w:val="single" w:sz="6" w:space="0" w:color="auto"/>
              <w:bottom w:val="single" w:sz="6" w:space="0" w:color="auto"/>
              <w:right w:val="single" w:sz="6" w:space="0" w:color="auto"/>
            </w:tcBorders>
            <w:hideMark/>
          </w:tcPr>
          <w:p w14:paraId="49671F85"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28913A0F"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AF2B345" w14:textId="77777777" w:rsidR="00EA69AA" w:rsidRPr="00781F59" w:rsidRDefault="00EA69AA" w:rsidP="00EA69AA">
            <w:pPr>
              <w:contextualSpacing/>
              <w:rPr>
                <w:sz w:val="20"/>
                <w:szCs w:val="20"/>
              </w:rPr>
            </w:pPr>
            <w:r w:rsidRPr="00781F59">
              <w:rPr>
                <w:sz w:val="20"/>
                <w:szCs w:val="20"/>
              </w:rPr>
              <w:t>161</w:t>
            </w:r>
          </w:p>
        </w:tc>
        <w:tc>
          <w:tcPr>
            <w:tcW w:w="0" w:type="auto"/>
            <w:tcBorders>
              <w:top w:val="single" w:sz="6" w:space="0" w:color="auto"/>
              <w:left w:val="single" w:sz="6" w:space="0" w:color="auto"/>
              <w:bottom w:val="single" w:sz="6" w:space="0" w:color="auto"/>
              <w:right w:val="single" w:sz="6" w:space="0" w:color="auto"/>
            </w:tcBorders>
            <w:hideMark/>
          </w:tcPr>
          <w:p w14:paraId="0BD42FAB" w14:textId="77777777" w:rsidR="00EA69AA" w:rsidRPr="00781F59" w:rsidRDefault="00EA69AA" w:rsidP="00EA69AA">
            <w:pPr>
              <w:contextualSpacing/>
              <w:rPr>
                <w:sz w:val="20"/>
                <w:szCs w:val="20"/>
              </w:rPr>
            </w:pPr>
            <w:r w:rsidRPr="00781F59">
              <w:rPr>
                <w:sz w:val="20"/>
                <w:szCs w:val="20"/>
              </w:rPr>
              <w:t>Hebert R. 2008 What's new in nicotine &amp; tobacco research?. Nicotine and Tobacco Research; 10.1671.</w:t>
            </w:r>
          </w:p>
        </w:tc>
        <w:tc>
          <w:tcPr>
            <w:tcW w:w="0" w:type="auto"/>
            <w:tcBorders>
              <w:top w:val="single" w:sz="6" w:space="0" w:color="auto"/>
              <w:left w:val="single" w:sz="6" w:space="0" w:color="auto"/>
              <w:bottom w:val="single" w:sz="6" w:space="0" w:color="auto"/>
              <w:right w:val="single" w:sz="6" w:space="0" w:color="auto"/>
            </w:tcBorders>
            <w:hideMark/>
          </w:tcPr>
          <w:p w14:paraId="66355F2D" w14:textId="77777777" w:rsidR="00EA69AA" w:rsidRPr="00781F59" w:rsidRDefault="00EA69AA" w:rsidP="00EA69AA">
            <w:pPr>
              <w:contextualSpacing/>
              <w:rPr>
                <w:sz w:val="20"/>
                <w:szCs w:val="20"/>
              </w:rPr>
            </w:pPr>
            <w:r w:rsidRPr="00781F59">
              <w:rPr>
                <w:sz w:val="20"/>
                <w:szCs w:val="20"/>
              </w:rPr>
              <w:t>Duplicate article</w:t>
            </w:r>
          </w:p>
        </w:tc>
      </w:tr>
      <w:tr w:rsidR="00EA69AA" w:rsidRPr="00781F59" w14:paraId="49966CEA"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66D1CD3" w14:textId="77777777" w:rsidR="00EA69AA" w:rsidRPr="00781F59" w:rsidRDefault="00EA69AA" w:rsidP="00EA69AA">
            <w:pPr>
              <w:contextualSpacing/>
              <w:rPr>
                <w:sz w:val="20"/>
                <w:szCs w:val="20"/>
              </w:rPr>
            </w:pPr>
            <w:r w:rsidRPr="00781F59">
              <w:rPr>
                <w:sz w:val="20"/>
                <w:szCs w:val="20"/>
              </w:rPr>
              <w:t>162</w:t>
            </w:r>
          </w:p>
        </w:tc>
        <w:tc>
          <w:tcPr>
            <w:tcW w:w="0" w:type="auto"/>
            <w:tcBorders>
              <w:top w:val="single" w:sz="6" w:space="0" w:color="auto"/>
              <w:left w:val="single" w:sz="6" w:space="0" w:color="auto"/>
              <w:bottom w:val="single" w:sz="6" w:space="0" w:color="auto"/>
              <w:right w:val="single" w:sz="6" w:space="0" w:color="auto"/>
            </w:tcBorders>
            <w:hideMark/>
          </w:tcPr>
          <w:p w14:paraId="02F7C085" w14:textId="77777777" w:rsidR="00EA69AA" w:rsidRPr="00781F59" w:rsidRDefault="00EA69AA" w:rsidP="00EA69AA">
            <w:pPr>
              <w:contextualSpacing/>
              <w:rPr>
                <w:sz w:val="20"/>
                <w:szCs w:val="20"/>
              </w:rPr>
            </w:pPr>
            <w:r w:rsidRPr="00781F59">
              <w:rPr>
                <w:sz w:val="20"/>
                <w:szCs w:val="20"/>
              </w:rPr>
              <w:t>Marshall S. 2007 Over-the-counter advice for coughs. Pharmaceutical Journal; 278.85.</w:t>
            </w:r>
          </w:p>
        </w:tc>
        <w:tc>
          <w:tcPr>
            <w:tcW w:w="0" w:type="auto"/>
            <w:tcBorders>
              <w:top w:val="single" w:sz="6" w:space="0" w:color="auto"/>
              <w:left w:val="single" w:sz="6" w:space="0" w:color="auto"/>
              <w:bottom w:val="single" w:sz="6" w:space="0" w:color="auto"/>
              <w:right w:val="single" w:sz="6" w:space="0" w:color="auto"/>
            </w:tcBorders>
            <w:hideMark/>
          </w:tcPr>
          <w:p w14:paraId="75A15713"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4DF36091"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ADD24E6" w14:textId="77777777" w:rsidR="00EA69AA" w:rsidRPr="00781F59" w:rsidRDefault="00EA69AA" w:rsidP="00EA69AA">
            <w:pPr>
              <w:contextualSpacing/>
              <w:rPr>
                <w:sz w:val="20"/>
                <w:szCs w:val="20"/>
              </w:rPr>
            </w:pPr>
            <w:r w:rsidRPr="00781F59">
              <w:rPr>
                <w:sz w:val="20"/>
                <w:szCs w:val="20"/>
              </w:rPr>
              <w:t>163</w:t>
            </w:r>
          </w:p>
        </w:tc>
        <w:tc>
          <w:tcPr>
            <w:tcW w:w="0" w:type="auto"/>
            <w:tcBorders>
              <w:top w:val="single" w:sz="6" w:space="0" w:color="auto"/>
              <w:left w:val="single" w:sz="6" w:space="0" w:color="auto"/>
              <w:bottom w:val="single" w:sz="6" w:space="0" w:color="auto"/>
              <w:right w:val="single" w:sz="6" w:space="0" w:color="auto"/>
            </w:tcBorders>
            <w:hideMark/>
          </w:tcPr>
          <w:p w14:paraId="00DD67DF" w14:textId="77777777" w:rsidR="00EA69AA" w:rsidRPr="00781F59" w:rsidRDefault="00EA69AA" w:rsidP="00EA69AA">
            <w:pPr>
              <w:contextualSpacing/>
              <w:rPr>
                <w:sz w:val="20"/>
                <w:szCs w:val="20"/>
              </w:rPr>
            </w:pPr>
            <w:r w:rsidRPr="00781F59">
              <w:rPr>
                <w:sz w:val="20"/>
                <w:szCs w:val="20"/>
              </w:rPr>
              <w:t xml:space="preserve">Anonymous. 2007 Contents and design features of tobacco products: Their relationship to dependence potential and consumer appeal. The Scientific Basis of Tobacco Product </w:t>
            </w:r>
            <w:proofErr w:type="gramStart"/>
            <w:r w:rsidRPr="00781F59">
              <w:rPr>
                <w:sz w:val="20"/>
                <w:szCs w:val="20"/>
              </w:rPr>
              <w:t>Regulation,World</w:t>
            </w:r>
            <w:proofErr w:type="gramEnd"/>
            <w:r w:rsidRPr="00781F59">
              <w:rPr>
                <w:sz w:val="20"/>
                <w:szCs w:val="20"/>
              </w:rPr>
              <w:t xml:space="preserve"> Health Organization - Technical Report Series; .7.</w:t>
            </w:r>
          </w:p>
        </w:tc>
        <w:tc>
          <w:tcPr>
            <w:tcW w:w="0" w:type="auto"/>
            <w:tcBorders>
              <w:top w:val="single" w:sz="6" w:space="0" w:color="auto"/>
              <w:left w:val="single" w:sz="6" w:space="0" w:color="auto"/>
              <w:bottom w:val="single" w:sz="6" w:space="0" w:color="auto"/>
              <w:right w:val="single" w:sz="6" w:space="0" w:color="auto"/>
            </w:tcBorders>
            <w:hideMark/>
          </w:tcPr>
          <w:p w14:paraId="48E68118"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2395B33B"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CCC80BB" w14:textId="77777777" w:rsidR="00EA69AA" w:rsidRPr="00781F59" w:rsidRDefault="00EA69AA" w:rsidP="00EA69AA">
            <w:pPr>
              <w:contextualSpacing/>
              <w:rPr>
                <w:sz w:val="20"/>
                <w:szCs w:val="20"/>
              </w:rPr>
            </w:pPr>
            <w:r w:rsidRPr="00781F59">
              <w:rPr>
                <w:sz w:val="20"/>
                <w:szCs w:val="20"/>
              </w:rPr>
              <w:t>164</w:t>
            </w:r>
          </w:p>
        </w:tc>
        <w:tc>
          <w:tcPr>
            <w:tcW w:w="0" w:type="auto"/>
            <w:tcBorders>
              <w:top w:val="single" w:sz="6" w:space="0" w:color="auto"/>
              <w:left w:val="single" w:sz="6" w:space="0" w:color="auto"/>
              <w:bottom w:val="single" w:sz="6" w:space="0" w:color="auto"/>
              <w:right w:val="single" w:sz="6" w:space="0" w:color="auto"/>
            </w:tcBorders>
            <w:hideMark/>
          </w:tcPr>
          <w:p w14:paraId="1C73488C" w14:textId="77777777" w:rsidR="00EA69AA" w:rsidRPr="00781F59" w:rsidRDefault="00EA69AA" w:rsidP="00EA69AA">
            <w:pPr>
              <w:contextualSpacing/>
              <w:rPr>
                <w:sz w:val="20"/>
                <w:szCs w:val="20"/>
              </w:rPr>
            </w:pPr>
            <w:r w:rsidRPr="00781F59">
              <w:rPr>
                <w:sz w:val="20"/>
                <w:szCs w:val="20"/>
              </w:rPr>
              <w:t>Hebert R. 2007 What's new in Nicotine &amp; Tobacco Research?. Nicotine and Tobacco Research; 9.787.</w:t>
            </w:r>
          </w:p>
        </w:tc>
        <w:tc>
          <w:tcPr>
            <w:tcW w:w="0" w:type="auto"/>
            <w:tcBorders>
              <w:top w:val="single" w:sz="6" w:space="0" w:color="auto"/>
              <w:left w:val="single" w:sz="6" w:space="0" w:color="auto"/>
              <w:bottom w:val="single" w:sz="6" w:space="0" w:color="auto"/>
              <w:right w:val="single" w:sz="6" w:space="0" w:color="auto"/>
            </w:tcBorders>
            <w:hideMark/>
          </w:tcPr>
          <w:p w14:paraId="0DB2E8B2" w14:textId="77777777" w:rsidR="00EA69AA" w:rsidRPr="00781F59" w:rsidRDefault="00EA69AA" w:rsidP="00EA69AA">
            <w:pPr>
              <w:contextualSpacing/>
              <w:rPr>
                <w:sz w:val="20"/>
                <w:szCs w:val="20"/>
              </w:rPr>
            </w:pPr>
            <w:r w:rsidRPr="00781F59">
              <w:rPr>
                <w:sz w:val="20"/>
                <w:szCs w:val="20"/>
              </w:rPr>
              <w:t>Not original research / data</w:t>
            </w:r>
          </w:p>
        </w:tc>
      </w:tr>
      <w:tr w:rsidR="00EA69AA" w:rsidRPr="00781F59" w14:paraId="2FA592B3"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109AB9C" w14:textId="77777777" w:rsidR="00EA69AA" w:rsidRPr="00781F59" w:rsidRDefault="00EA69AA" w:rsidP="00EA69AA">
            <w:pPr>
              <w:contextualSpacing/>
              <w:rPr>
                <w:sz w:val="20"/>
                <w:szCs w:val="20"/>
              </w:rPr>
            </w:pPr>
            <w:r w:rsidRPr="00781F59">
              <w:rPr>
                <w:sz w:val="20"/>
                <w:szCs w:val="20"/>
              </w:rPr>
              <w:lastRenderedPageBreak/>
              <w:t>165</w:t>
            </w:r>
          </w:p>
        </w:tc>
        <w:tc>
          <w:tcPr>
            <w:tcW w:w="0" w:type="auto"/>
            <w:tcBorders>
              <w:top w:val="single" w:sz="6" w:space="0" w:color="auto"/>
              <w:left w:val="single" w:sz="6" w:space="0" w:color="auto"/>
              <w:bottom w:val="single" w:sz="6" w:space="0" w:color="auto"/>
              <w:right w:val="single" w:sz="6" w:space="0" w:color="auto"/>
            </w:tcBorders>
            <w:hideMark/>
          </w:tcPr>
          <w:p w14:paraId="2B095CF6" w14:textId="77777777" w:rsidR="00EA69AA" w:rsidRPr="00781F59" w:rsidRDefault="00EA69AA" w:rsidP="00EA69AA">
            <w:pPr>
              <w:contextualSpacing/>
              <w:rPr>
                <w:sz w:val="20"/>
                <w:szCs w:val="20"/>
              </w:rPr>
            </w:pPr>
            <w:r w:rsidRPr="00781F59">
              <w:rPr>
                <w:sz w:val="20"/>
                <w:szCs w:val="20"/>
              </w:rPr>
              <w:t xml:space="preserve">Tidey </w:t>
            </w:r>
            <w:proofErr w:type="gramStart"/>
            <w:r w:rsidRPr="00781F59">
              <w:rPr>
                <w:sz w:val="20"/>
                <w:szCs w:val="20"/>
              </w:rPr>
              <w:t>J.W.,Williams</w:t>
            </w:r>
            <w:proofErr w:type="gramEnd"/>
            <w:r w:rsidRPr="00781F59">
              <w:rPr>
                <w:sz w:val="20"/>
                <w:szCs w:val="20"/>
              </w:rPr>
              <w:t xml:space="preserve"> J. 2007 Clinical indices of tobacco use in people with schizophrenia. Journal of Dual Diagnosis; 3.79.</w:t>
            </w:r>
          </w:p>
        </w:tc>
        <w:tc>
          <w:tcPr>
            <w:tcW w:w="0" w:type="auto"/>
            <w:tcBorders>
              <w:top w:val="single" w:sz="6" w:space="0" w:color="auto"/>
              <w:left w:val="single" w:sz="6" w:space="0" w:color="auto"/>
              <w:bottom w:val="single" w:sz="6" w:space="0" w:color="auto"/>
              <w:right w:val="single" w:sz="6" w:space="0" w:color="auto"/>
            </w:tcBorders>
            <w:hideMark/>
          </w:tcPr>
          <w:p w14:paraId="21400251"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7B439D16"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DF9BC7C" w14:textId="77777777" w:rsidR="00EA69AA" w:rsidRPr="00781F59" w:rsidRDefault="00EA69AA" w:rsidP="00EA69AA">
            <w:pPr>
              <w:contextualSpacing/>
              <w:rPr>
                <w:sz w:val="20"/>
                <w:szCs w:val="20"/>
              </w:rPr>
            </w:pPr>
            <w:r w:rsidRPr="00781F59">
              <w:rPr>
                <w:sz w:val="20"/>
                <w:szCs w:val="20"/>
              </w:rPr>
              <w:t>166</w:t>
            </w:r>
          </w:p>
        </w:tc>
        <w:tc>
          <w:tcPr>
            <w:tcW w:w="0" w:type="auto"/>
            <w:tcBorders>
              <w:top w:val="single" w:sz="6" w:space="0" w:color="auto"/>
              <w:left w:val="single" w:sz="6" w:space="0" w:color="auto"/>
              <w:bottom w:val="single" w:sz="6" w:space="0" w:color="auto"/>
              <w:right w:val="single" w:sz="6" w:space="0" w:color="auto"/>
            </w:tcBorders>
            <w:hideMark/>
          </w:tcPr>
          <w:p w14:paraId="70C0CA9E" w14:textId="77777777" w:rsidR="00EA69AA" w:rsidRPr="00781F59" w:rsidRDefault="00EA69AA" w:rsidP="00EA69AA">
            <w:pPr>
              <w:contextualSpacing/>
              <w:rPr>
                <w:sz w:val="20"/>
                <w:szCs w:val="20"/>
              </w:rPr>
            </w:pPr>
            <w:r w:rsidRPr="00781F59">
              <w:rPr>
                <w:sz w:val="20"/>
                <w:szCs w:val="20"/>
              </w:rPr>
              <w:t xml:space="preserve">Foulds </w:t>
            </w:r>
            <w:proofErr w:type="gramStart"/>
            <w:r w:rsidRPr="00781F59">
              <w:rPr>
                <w:sz w:val="20"/>
                <w:szCs w:val="20"/>
              </w:rPr>
              <w:t>J.,Williams</w:t>
            </w:r>
            <w:proofErr w:type="gramEnd"/>
            <w:r w:rsidRPr="00781F59">
              <w:rPr>
                <w:sz w:val="20"/>
                <w:szCs w:val="20"/>
              </w:rPr>
              <w:t xml:space="preserve"> J.M.,Gandhi K.K. 2006 To the editor [5]. New England Journal of Medicine; 354.1952.</w:t>
            </w:r>
          </w:p>
        </w:tc>
        <w:tc>
          <w:tcPr>
            <w:tcW w:w="0" w:type="auto"/>
            <w:tcBorders>
              <w:top w:val="single" w:sz="6" w:space="0" w:color="auto"/>
              <w:left w:val="single" w:sz="6" w:space="0" w:color="auto"/>
              <w:bottom w:val="single" w:sz="6" w:space="0" w:color="auto"/>
              <w:right w:val="single" w:sz="6" w:space="0" w:color="auto"/>
            </w:tcBorders>
            <w:hideMark/>
          </w:tcPr>
          <w:p w14:paraId="2F2A0D0E" w14:textId="77777777" w:rsidR="00EA69AA" w:rsidRPr="00781F59" w:rsidRDefault="00EA69AA" w:rsidP="00EA69AA">
            <w:pPr>
              <w:contextualSpacing/>
              <w:rPr>
                <w:sz w:val="20"/>
                <w:szCs w:val="20"/>
              </w:rPr>
            </w:pPr>
            <w:r w:rsidRPr="00781F59">
              <w:rPr>
                <w:sz w:val="20"/>
                <w:szCs w:val="20"/>
              </w:rPr>
              <w:t>Not original research / data</w:t>
            </w:r>
          </w:p>
        </w:tc>
      </w:tr>
      <w:tr w:rsidR="00EA69AA" w:rsidRPr="00781F59" w14:paraId="087C5300"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BEE4E60" w14:textId="77777777" w:rsidR="00EA69AA" w:rsidRPr="00781F59" w:rsidRDefault="00EA69AA" w:rsidP="00EA69AA">
            <w:pPr>
              <w:contextualSpacing/>
              <w:rPr>
                <w:sz w:val="20"/>
                <w:szCs w:val="20"/>
              </w:rPr>
            </w:pPr>
            <w:r w:rsidRPr="00781F59">
              <w:rPr>
                <w:sz w:val="20"/>
                <w:szCs w:val="20"/>
              </w:rPr>
              <w:t>167</w:t>
            </w:r>
          </w:p>
        </w:tc>
        <w:tc>
          <w:tcPr>
            <w:tcW w:w="0" w:type="auto"/>
            <w:tcBorders>
              <w:top w:val="single" w:sz="6" w:space="0" w:color="auto"/>
              <w:left w:val="single" w:sz="6" w:space="0" w:color="auto"/>
              <w:bottom w:val="single" w:sz="6" w:space="0" w:color="auto"/>
              <w:right w:val="single" w:sz="6" w:space="0" w:color="auto"/>
            </w:tcBorders>
            <w:hideMark/>
          </w:tcPr>
          <w:p w14:paraId="30419C9B" w14:textId="77777777" w:rsidR="00EA69AA" w:rsidRPr="00781F59" w:rsidRDefault="00EA69AA" w:rsidP="00EA69AA">
            <w:pPr>
              <w:contextualSpacing/>
              <w:rPr>
                <w:sz w:val="20"/>
                <w:szCs w:val="20"/>
              </w:rPr>
            </w:pPr>
            <w:r w:rsidRPr="00781F59">
              <w:rPr>
                <w:sz w:val="20"/>
                <w:szCs w:val="20"/>
              </w:rPr>
              <w:t xml:space="preserve">Morice </w:t>
            </w:r>
            <w:proofErr w:type="gramStart"/>
            <w:r w:rsidRPr="00781F59">
              <w:rPr>
                <w:sz w:val="20"/>
                <w:szCs w:val="20"/>
              </w:rPr>
              <w:t>A.H.,McGarvey</w:t>
            </w:r>
            <w:proofErr w:type="gramEnd"/>
            <w:r w:rsidRPr="00781F59">
              <w:rPr>
                <w:sz w:val="20"/>
                <w:szCs w:val="20"/>
              </w:rPr>
              <w:t xml:space="preserve"> L.,Pavord I. 2006 Recommendations for the management of cough in adults. Thorax; 61.</w:t>
            </w:r>
          </w:p>
        </w:tc>
        <w:tc>
          <w:tcPr>
            <w:tcW w:w="0" w:type="auto"/>
            <w:tcBorders>
              <w:top w:val="single" w:sz="6" w:space="0" w:color="auto"/>
              <w:left w:val="single" w:sz="6" w:space="0" w:color="auto"/>
              <w:bottom w:val="single" w:sz="6" w:space="0" w:color="auto"/>
              <w:right w:val="single" w:sz="6" w:space="0" w:color="auto"/>
            </w:tcBorders>
            <w:hideMark/>
          </w:tcPr>
          <w:p w14:paraId="6021B728"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759B6369"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488D5D5" w14:textId="77777777" w:rsidR="00EA69AA" w:rsidRPr="00781F59" w:rsidRDefault="00EA69AA" w:rsidP="00EA69AA">
            <w:pPr>
              <w:contextualSpacing/>
              <w:rPr>
                <w:sz w:val="20"/>
                <w:szCs w:val="20"/>
              </w:rPr>
            </w:pPr>
            <w:r w:rsidRPr="00781F59">
              <w:rPr>
                <w:sz w:val="20"/>
                <w:szCs w:val="20"/>
              </w:rPr>
              <w:t>168</w:t>
            </w:r>
          </w:p>
        </w:tc>
        <w:tc>
          <w:tcPr>
            <w:tcW w:w="0" w:type="auto"/>
            <w:tcBorders>
              <w:top w:val="single" w:sz="6" w:space="0" w:color="auto"/>
              <w:left w:val="single" w:sz="6" w:space="0" w:color="auto"/>
              <w:bottom w:val="single" w:sz="6" w:space="0" w:color="auto"/>
              <w:right w:val="single" w:sz="6" w:space="0" w:color="auto"/>
            </w:tcBorders>
            <w:hideMark/>
          </w:tcPr>
          <w:p w14:paraId="30801403" w14:textId="77777777" w:rsidR="00EA69AA" w:rsidRPr="00781F59" w:rsidRDefault="00EA69AA" w:rsidP="00EA69AA">
            <w:pPr>
              <w:contextualSpacing/>
              <w:rPr>
                <w:sz w:val="20"/>
                <w:szCs w:val="20"/>
              </w:rPr>
            </w:pPr>
            <w:r w:rsidRPr="00781F59">
              <w:rPr>
                <w:sz w:val="20"/>
                <w:szCs w:val="20"/>
              </w:rPr>
              <w:t>Hebert R. 2005 What's new in nicotine &amp; tobacco research?. Nicotine and Tobacco Research; 7.485.</w:t>
            </w:r>
          </w:p>
        </w:tc>
        <w:tc>
          <w:tcPr>
            <w:tcW w:w="0" w:type="auto"/>
            <w:tcBorders>
              <w:top w:val="single" w:sz="6" w:space="0" w:color="auto"/>
              <w:left w:val="single" w:sz="6" w:space="0" w:color="auto"/>
              <w:bottom w:val="single" w:sz="6" w:space="0" w:color="auto"/>
              <w:right w:val="single" w:sz="6" w:space="0" w:color="auto"/>
            </w:tcBorders>
            <w:hideMark/>
          </w:tcPr>
          <w:p w14:paraId="3C8C8371" w14:textId="77777777" w:rsidR="00EA69AA" w:rsidRPr="00781F59" w:rsidRDefault="00EA69AA" w:rsidP="00EA69AA">
            <w:pPr>
              <w:contextualSpacing/>
              <w:rPr>
                <w:sz w:val="20"/>
                <w:szCs w:val="20"/>
              </w:rPr>
            </w:pPr>
            <w:r w:rsidRPr="00781F59">
              <w:rPr>
                <w:sz w:val="20"/>
                <w:szCs w:val="20"/>
              </w:rPr>
              <w:t>Not original research / data</w:t>
            </w:r>
          </w:p>
        </w:tc>
      </w:tr>
      <w:tr w:rsidR="00EA69AA" w:rsidRPr="00781F59" w14:paraId="1C104813"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541996B" w14:textId="77777777" w:rsidR="00EA69AA" w:rsidRPr="00781F59" w:rsidRDefault="00EA69AA" w:rsidP="00EA69AA">
            <w:pPr>
              <w:contextualSpacing/>
              <w:rPr>
                <w:sz w:val="20"/>
                <w:szCs w:val="20"/>
              </w:rPr>
            </w:pPr>
            <w:r w:rsidRPr="00781F59">
              <w:rPr>
                <w:sz w:val="20"/>
                <w:szCs w:val="20"/>
              </w:rPr>
              <w:t>170</w:t>
            </w:r>
          </w:p>
        </w:tc>
        <w:tc>
          <w:tcPr>
            <w:tcW w:w="0" w:type="auto"/>
            <w:tcBorders>
              <w:top w:val="single" w:sz="6" w:space="0" w:color="auto"/>
              <w:left w:val="single" w:sz="6" w:space="0" w:color="auto"/>
              <w:bottom w:val="single" w:sz="6" w:space="0" w:color="auto"/>
              <w:right w:val="single" w:sz="6" w:space="0" w:color="auto"/>
            </w:tcBorders>
            <w:hideMark/>
          </w:tcPr>
          <w:p w14:paraId="20A79BD4" w14:textId="77777777" w:rsidR="00EA69AA" w:rsidRPr="00781F59" w:rsidRDefault="00EA69AA" w:rsidP="00EA69AA">
            <w:pPr>
              <w:contextualSpacing/>
              <w:rPr>
                <w:sz w:val="20"/>
                <w:szCs w:val="20"/>
              </w:rPr>
            </w:pPr>
            <w:r w:rsidRPr="00781F59">
              <w:rPr>
                <w:sz w:val="20"/>
                <w:szCs w:val="20"/>
              </w:rPr>
              <w:t xml:space="preserve">Hebert R. 2004 What's new in Nicotine &amp; Tobacco Research?. Nicotine and Tobacco Research; </w:t>
            </w:r>
            <w:proofErr w:type="gramStart"/>
            <w:r w:rsidRPr="00781F59">
              <w:rPr>
                <w:sz w:val="20"/>
                <w:szCs w:val="20"/>
              </w:rPr>
              <w:t>6.S</w:t>
            </w:r>
            <w:proofErr w:type="gramEnd"/>
            <w:r w:rsidRPr="00781F59">
              <w:rPr>
                <w:sz w:val="20"/>
                <w:szCs w:val="20"/>
              </w:rPr>
              <w:t>279.</w:t>
            </w:r>
          </w:p>
        </w:tc>
        <w:tc>
          <w:tcPr>
            <w:tcW w:w="0" w:type="auto"/>
            <w:tcBorders>
              <w:top w:val="single" w:sz="6" w:space="0" w:color="auto"/>
              <w:left w:val="single" w:sz="6" w:space="0" w:color="auto"/>
              <w:bottom w:val="single" w:sz="6" w:space="0" w:color="auto"/>
              <w:right w:val="single" w:sz="6" w:space="0" w:color="auto"/>
            </w:tcBorders>
            <w:hideMark/>
          </w:tcPr>
          <w:p w14:paraId="5911D474" w14:textId="77777777" w:rsidR="00EA69AA" w:rsidRPr="00781F59" w:rsidRDefault="00EA69AA" w:rsidP="00EA69AA">
            <w:pPr>
              <w:contextualSpacing/>
              <w:rPr>
                <w:sz w:val="20"/>
                <w:szCs w:val="20"/>
              </w:rPr>
            </w:pPr>
            <w:r w:rsidRPr="00781F59">
              <w:rPr>
                <w:sz w:val="20"/>
                <w:szCs w:val="20"/>
              </w:rPr>
              <w:t>Not original research / data</w:t>
            </w:r>
          </w:p>
        </w:tc>
      </w:tr>
      <w:tr w:rsidR="00EA69AA" w:rsidRPr="00781F59" w14:paraId="64116377"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7A9C3E4" w14:textId="77777777" w:rsidR="00EA69AA" w:rsidRPr="00781F59" w:rsidRDefault="00EA69AA" w:rsidP="00EA69AA">
            <w:pPr>
              <w:contextualSpacing/>
              <w:rPr>
                <w:sz w:val="20"/>
                <w:szCs w:val="20"/>
              </w:rPr>
            </w:pPr>
            <w:r w:rsidRPr="00781F59">
              <w:rPr>
                <w:sz w:val="20"/>
                <w:szCs w:val="20"/>
              </w:rPr>
              <w:t>171</w:t>
            </w:r>
          </w:p>
        </w:tc>
        <w:tc>
          <w:tcPr>
            <w:tcW w:w="0" w:type="auto"/>
            <w:tcBorders>
              <w:top w:val="single" w:sz="6" w:space="0" w:color="auto"/>
              <w:left w:val="single" w:sz="6" w:space="0" w:color="auto"/>
              <w:bottom w:val="single" w:sz="6" w:space="0" w:color="auto"/>
              <w:right w:val="single" w:sz="6" w:space="0" w:color="auto"/>
            </w:tcBorders>
            <w:hideMark/>
          </w:tcPr>
          <w:p w14:paraId="06CCC425" w14:textId="77777777" w:rsidR="00EA69AA" w:rsidRPr="00781F59" w:rsidRDefault="00EA69AA" w:rsidP="00EA69AA">
            <w:pPr>
              <w:contextualSpacing/>
              <w:rPr>
                <w:sz w:val="20"/>
                <w:szCs w:val="20"/>
              </w:rPr>
            </w:pPr>
            <w:r w:rsidRPr="00781F59">
              <w:rPr>
                <w:sz w:val="20"/>
                <w:szCs w:val="20"/>
              </w:rPr>
              <w:t>Castro F.G. 2004 Erratum: "Physiological, psychological, social, and cultural influences on the use of menthol cigarettes among Blacks and Hispanics" (Nicotine &amp; Tobacco Research (2004) (S30-S43)). Nicotine and Tobacco Research; 6.575.</w:t>
            </w:r>
          </w:p>
        </w:tc>
        <w:tc>
          <w:tcPr>
            <w:tcW w:w="0" w:type="auto"/>
            <w:tcBorders>
              <w:top w:val="single" w:sz="6" w:space="0" w:color="auto"/>
              <w:left w:val="single" w:sz="6" w:space="0" w:color="auto"/>
              <w:bottom w:val="single" w:sz="6" w:space="0" w:color="auto"/>
              <w:right w:val="single" w:sz="6" w:space="0" w:color="auto"/>
            </w:tcBorders>
            <w:hideMark/>
          </w:tcPr>
          <w:p w14:paraId="788D6966"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37FF0BA6"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A21BE5A" w14:textId="77777777" w:rsidR="00EA69AA" w:rsidRPr="00781F59" w:rsidRDefault="00EA69AA" w:rsidP="00EA69AA">
            <w:pPr>
              <w:contextualSpacing/>
              <w:rPr>
                <w:sz w:val="20"/>
                <w:szCs w:val="20"/>
              </w:rPr>
            </w:pPr>
            <w:r w:rsidRPr="00781F59">
              <w:rPr>
                <w:sz w:val="20"/>
                <w:szCs w:val="20"/>
              </w:rPr>
              <w:t>173</w:t>
            </w:r>
          </w:p>
        </w:tc>
        <w:tc>
          <w:tcPr>
            <w:tcW w:w="0" w:type="auto"/>
            <w:tcBorders>
              <w:top w:val="single" w:sz="6" w:space="0" w:color="auto"/>
              <w:left w:val="single" w:sz="6" w:space="0" w:color="auto"/>
              <w:bottom w:val="single" w:sz="6" w:space="0" w:color="auto"/>
              <w:right w:val="single" w:sz="6" w:space="0" w:color="auto"/>
            </w:tcBorders>
            <w:hideMark/>
          </w:tcPr>
          <w:p w14:paraId="4B90284F" w14:textId="77777777" w:rsidR="00EA69AA" w:rsidRPr="00781F59" w:rsidRDefault="00EA69AA" w:rsidP="00EA69AA">
            <w:pPr>
              <w:contextualSpacing/>
              <w:rPr>
                <w:sz w:val="20"/>
                <w:szCs w:val="20"/>
              </w:rPr>
            </w:pPr>
            <w:r w:rsidRPr="00781F59">
              <w:rPr>
                <w:sz w:val="20"/>
                <w:szCs w:val="20"/>
              </w:rPr>
              <w:t xml:space="preserve">Gonzalez Castro F. 2004 Physiological, psychological, social, and cultural influences on the use of menthol cigarettes among Blacks and Hispanics. Nicotine and Tobacco Research; </w:t>
            </w:r>
            <w:proofErr w:type="gramStart"/>
            <w:r w:rsidRPr="00781F59">
              <w:rPr>
                <w:sz w:val="20"/>
                <w:szCs w:val="20"/>
              </w:rPr>
              <w:t>6.S</w:t>
            </w:r>
            <w:proofErr w:type="gramEnd"/>
            <w:r w:rsidRPr="00781F59">
              <w:rPr>
                <w:sz w:val="20"/>
                <w:szCs w:val="20"/>
              </w:rPr>
              <w:t>29.</w:t>
            </w:r>
          </w:p>
        </w:tc>
        <w:tc>
          <w:tcPr>
            <w:tcW w:w="0" w:type="auto"/>
            <w:tcBorders>
              <w:top w:val="single" w:sz="6" w:space="0" w:color="auto"/>
              <w:left w:val="single" w:sz="6" w:space="0" w:color="auto"/>
              <w:bottom w:val="single" w:sz="6" w:space="0" w:color="auto"/>
              <w:right w:val="single" w:sz="6" w:space="0" w:color="auto"/>
            </w:tcBorders>
            <w:hideMark/>
          </w:tcPr>
          <w:p w14:paraId="74673F94" w14:textId="77777777" w:rsidR="00EA69AA" w:rsidRPr="00781F59" w:rsidRDefault="00EA69AA" w:rsidP="00EA69AA">
            <w:pPr>
              <w:contextualSpacing/>
              <w:rPr>
                <w:sz w:val="20"/>
                <w:szCs w:val="20"/>
              </w:rPr>
            </w:pPr>
            <w:r w:rsidRPr="00781F59">
              <w:rPr>
                <w:sz w:val="20"/>
                <w:szCs w:val="20"/>
              </w:rPr>
              <w:t>Not original research / data</w:t>
            </w:r>
          </w:p>
        </w:tc>
      </w:tr>
      <w:tr w:rsidR="00EA69AA" w:rsidRPr="00781F59" w14:paraId="7BC935F7"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E6EB4F2" w14:textId="77777777" w:rsidR="00EA69AA" w:rsidRPr="00781F59" w:rsidRDefault="00EA69AA" w:rsidP="00EA69AA">
            <w:pPr>
              <w:contextualSpacing/>
              <w:rPr>
                <w:sz w:val="20"/>
                <w:szCs w:val="20"/>
              </w:rPr>
            </w:pPr>
            <w:r w:rsidRPr="00781F59">
              <w:rPr>
                <w:sz w:val="20"/>
                <w:szCs w:val="20"/>
              </w:rPr>
              <w:t>174</w:t>
            </w:r>
          </w:p>
        </w:tc>
        <w:tc>
          <w:tcPr>
            <w:tcW w:w="0" w:type="auto"/>
            <w:tcBorders>
              <w:top w:val="single" w:sz="6" w:space="0" w:color="auto"/>
              <w:left w:val="single" w:sz="6" w:space="0" w:color="auto"/>
              <w:bottom w:val="single" w:sz="6" w:space="0" w:color="auto"/>
              <w:right w:val="single" w:sz="6" w:space="0" w:color="auto"/>
            </w:tcBorders>
            <w:hideMark/>
          </w:tcPr>
          <w:p w14:paraId="0820995C" w14:textId="77777777" w:rsidR="00EA69AA" w:rsidRPr="00781F59" w:rsidRDefault="00EA69AA" w:rsidP="00EA69AA">
            <w:pPr>
              <w:contextualSpacing/>
              <w:rPr>
                <w:sz w:val="20"/>
                <w:szCs w:val="20"/>
              </w:rPr>
            </w:pPr>
            <w:r w:rsidRPr="00781F59">
              <w:rPr>
                <w:sz w:val="20"/>
                <w:szCs w:val="20"/>
              </w:rPr>
              <w:t xml:space="preserve">Sutton </w:t>
            </w:r>
            <w:proofErr w:type="gramStart"/>
            <w:r w:rsidRPr="00781F59">
              <w:rPr>
                <w:sz w:val="20"/>
                <w:szCs w:val="20"/>
              </w:rPr>
              <w:t>C.D.,Robinson</w:t>
            </w:r>
            <w:proofErr w:type="gramEnd"/>
            <w:r w:rsidRPr="00781F59">
              <w:rPr>
                <w:sz w:val="20"/>
                <w:szCs w:val="20"/>
              </w:rPr>
              <w:t xml:space="preserve"> R.G. 2004 The marketing of menthol cigarettes in the United States: Population, messages, and channels. Nicotine and Tobacco Research; </w:t>
            </w:r>
            <w:proofErr w:type="gramStart"/>
            <w:r w:rsidRPr="00781F59">
              <w:rPr>
                <w:sz w:val="20"/>
                <w:szCs w:val="20"/>
              </w:rPr>
              <w:t>6.S</w:t>
            </w:r>
            <w:proofErr w:type="gramEnd"/>
            <w:r w:rsidRPr="00781F59">
              <w:rPr>
                <w:sz w:val="20"/>
                <w:szCs w:val="20"/>
              </w:rPr>
              <w:t>83.</w:t>
            </w:r>
          </w:p>
        </w:tc>
        <w:tc>
          <w:tcPr>
            <w:tcW w:w="0" w:type="auto"/>
            <w:tcBorders>
              <w:top w:val="single" w:sz="6" w:space="0" w:color="auto"/>
              <w:left w:val="single" w:sz="6" w:space="0" w:color="auto"/>
              <w:bottom w:val="single" w:sz="6" w:space="0" w:color="auto"/>
              <w:right w:val="single" w:sz="6" w:space="0" w:color="auto"/>
            </w:tcBorders>
            <w:hideMark/>
          </w:tcPr>
          <w:p w14:paraId="65A8120C"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76833E81"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1283C3D" w14:textId="77777777" w:rsidR="00EA69AA" w:rsidRPr="00781F59" w:rsidRDefault="00EA69AA" w:rsidP="00EA69AA">
            <w:pPr>
              <w:contextualSpacing/>
              <w:rPr>
                <w:sz w:val="20"/>
                <w:szCs w:val="20"/>
              </w:rPr>
            </w:pPr>
            <w:r w:rsidRPr="00781F59">
              <w:rPr>
                <w:sz w:val="20"/>
                <w:szCs w:val="20"/>
              </w:rPr>
              <w:t>176</w:t>
            </w:r>
          </w:p>
        </w:tc>
        <w:tc>
          <w:tcPr>
            <w:tcW w:w="0" w:type="auto"/>
            <w:tcBorders>
              <w:top w:val="single" w:sz="6" w:space="0" w:color="auto"/>
              <w:left w:val="single" w:sz="6" w:space="0" w:color="auto"/>
              <w:bottom w:val="single" w:sz="6" w:space="0" w:color="auto"/>
              <w:right w:val="single" w:sz="6" w:space="0" w:color="auto"/>
            </w:tcBorders>
            <w:hideMark/>
          </w:tcPr>
          <w:p w14:paraId="2F9BE593" w14:textId="77777777" w:rsidR="00EA69AA" w:rsidRPr="00781F59" w:rsidRDefault="00EA69AA" w:rsidP="00EA69AA">
            <w:pPr>
              <w:contextualSpacing/>
              <w:rPr>
                <w:sz w:val="20"/>
                <w:szCs w:val="20"/>
              </w:rPr>
            </w:pPr>
            <w:r w:rsidRPr="00781F59">
              <w:rPr>
                <w:sz w:val="20"/>
                <w:szCs w:val="20"/>
              </w:rPr>
              <w:t xml:space="preserve">Brandwein-Gensler </w:t>
            </w:r>
            <w:proofErr w:type="gramStart"/>
            <w:r w:rsidRPr="00781F59">
              <w:rPr>
                <w:sz w:val="20"/>
                <w:szCs w:val="20"/>
              </w:rPr>
              <w:t>M.,Hille</w:t>
            </w:r>
            <w:proofErr w:type="gramEnd"/>
            <w:r w:rsidRPr="00781F59">
              <w:rPr>
                <w:sz w:val="20"/>
                <w:szCs w:val="20"/>
              </w:rPr>
              <w:t xml:space="preserve"> J.J. 2003 Behind the cover: The guthka story. Archives of Otolaryngology - Head and Neck Surgery; 129.699.</w:t>
            </w:r>
          </w:p>
        </w:tc>
        <w:tc>
          <w:tcPr>
            <w:tcW w:w="0" w:type="auto"/>
            <w:tcBorders>
              <w:top w:val="single" w:sz="6" w:space="0" w:color="auto"/>
              <w:left w:val="single" w:sz="6" w:space="0" w:color="auto"/>
              <w:bottom w:val="single" w:sz="6" w:space="0" w:color="auto"/>
              <w:right w:val="single" w:sz="6" w:space="0" w:color="auto"/>
            </w:tcBorders>
            <w:hideMark/>
          </w:tcPr>
          <w:p w14:paraId="0AC30429"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7CAAA7E1"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401E21C" w14:textId="77777777" w:rsidR="00EA69AA" w:rsidRPr="00781F59" w:rsidRDefault="00EA69AA" w:rsidP="00EA69AA">
            <w:pPr>
              <w:contextualSpacing/>
              <w:rPr>
                <w:sz w:val="20"/>
                <w:szCs w:val="20"/>
              </w:rPr>
            </w:pPr>
            <w:r w:rsidRPr="00781F59">
              <w:rPr>
                <w:sz w:val="20"/>
                <w:szCs w:val="20"/>
              </w:rPr>
              <w:t>177</w:t>
            </w:r>
          </w:p>
        </w:tc>
        <w:tc>
          <w:tcPr>
            <w:tcW w:w="0" w:type="auto"/>
            <w:tcBorders>
              <w:top w:val="single" w:sz="6" w:space="0" w:color="auto"/>
              <w:left w:val="single" w:sz="6" w:space="0" w:color="auto"/>
              <w:bottom w:val="single" w:sz="6" w:space="0" w:color="auto"/>
              <w:right w:val="single" w:sz="6" w:space="0" w:color="auto"/>
            </w:tcBorders>
            <w:hideMark/>
          </w:tcPr>
          <w:p w14:paraId="774C20C3" w14:textId="77777777" w:rsidR="00EA69AA" w:rsidRPr="00781F59" w:rsidRDefault="00EA69AA" w:rsidP="00EA69AA">
            <w:pPr>
              <w:contextualSpacing/>
              <w:rPr>
                <w:sz w:val="20"/>
                <w:szCs w:val="20"/>
              </w:rPr>
            </w:pPr>
            <w:r w:rsidRPr="00781F59">
              <w:rPr>
                <w:sz w:val="20"/>
                <w:szCs w:val="20"/>
              </w:rPr>
              <w:t>Hebert J.R. 2003 Invited commentary: Menthol cigarettes and risk of lung cancer. American Journal of Epidemiology; 158.617.</w:t>
            </w:r>
          </w:p>
        </w:tc>
        <w:tc>
          <w:tcPr>
            <w:tcW w:w="0" w:type="auto"/>
            <w:tcBorders>
              <w:top w:val="single" w:sz="6" w:space="0" w:color="auto"/>
              <w:left w:val="single" w:sz="6" w:space="0" w:color="auto"/>
              <w:bottom w:val="single" w:sz="6" w:space="0" w:color="auto"/>
              <w:right w:val="single" w:sz="6" w:space="0" w:color="auto"/>
            </w:tcBorders>
            <w:hideMark/>
          </w:tcPr>
          <w:p w14:paraId="3E91DBD1"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09947783"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9F76377" w14:textId="77777777" w:rsidR="00EA69AA" w:rsidRPr="00781F59" w:rsidRDefault="00EA69AA" w:rsidP="00EA69AA">
            <w:pPr>
              <w:contextualSpacing/>
              <w:rPr>
                <w:sz w:val="20"/>
                <w:szCs w:val="20"/>
              </w:rPr>
            </w:pPr>
            <w:r w:rsidRPr="00781F59">
              <w:rPr>
                <w:sz w:val="20"/>
                <w:szCs w:val="20"/>
              </w:rPr>
              <w:t>181</w:t>
            </w:r>
          </w:p>
        </w:tc>
        <w:tc>
          <w:tcPr>
            <w:tcW w:w="0" w:type="auto"/>
            <w:tcBorders>
              <w:top w:val="single" w:sz="6" w:space="0" w:color="auto"/>
              <w:left w:val="single" w:sz="6" w:space="0" w:color="auto"/>
              <w:bottom w:val="single" w:sz="6" w:space="0" w:color="auto"/>
              <w:right w:val="single" w:sz="6" w:space="0" w:color="auto"/>
            </w:tcBorders>
            <w:hideMark/>
          </w:tcPr>
          <w:p w14:paraId="62AFA877" w14:textId="77777777" w:rsidR="00EA69AA" w:rsidRPr="00781F59" w:rsidRDefault="00EA69AA" w:rsidP="00EA69AA">
            <w:pPr>
              <w:contextualSpacing/>
              <w:rPr>
                <w:sz w:val="20"/>
                <w:szCs w:val="20"/>
              </w:rPr>
            </w:pPr>
            <w:r w:rsidRPr="00781F59">
              <w:rPr>
                <w:sz w:val="20"/>
                <w:szCs w:val="20"/>
              </w:rPr>
              <w:t xml:space="preserve">Pickworth </w:t>
            </w:r>
            <w:proofErr w:type="gramStart"/>
            <w:r w:rsidRPr="00781F59">
              <w:rPr>
                <w:sz w:val="20"/>
                <w:szCs w:val="20"/>
              </w:rPr>
              <w:t>W.B.,Moolchan</w:t>
            </w:r>
            <w:proofErr w:type="gramEnd"/>
            <w:r w:rsidRPr="00781F59">
              <w:rPr>
                <w:sz w:val="20"/>
                <w:szCs w:val="20"/>
              </w:rPr>
              <w:t xml:space="preserve"> E.T.,Berlin I.,Murty R. 2002 Sensory and physiologic effects of menthol and nonmenthol cigarettes with differing nicotine delivery. Pharmacology Biochemistry and Behavior; 71.55.</w:t>
            </w:r>
          </w:p>
        </w:tc>
        <w:tc>
          <w:tcPr>
            <w:tcW w:w="0" w:type="auto"/>
            <w:tcBorders>
              <w:top w:val="single" w:sz="6" w:space="0" w:color="auto"/>
              <w:left w:val="single" w:sz="6" w:space="0" w:color="auto"/>
              <w:bottom w:val="single" w:sz="6" w:space="0" w:color="auto"/>
              <w:right w:val="single" w:sz="6" w:space="0" w:color="auto"/>
            </w:tcBorders>
            <w:hideMark/>
          </w:tcPr>
          <w:p w14:paraId="07DECE14"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07DAE4F3"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FB99071" w14:textId="77777777" w:rsidR="00EA69AA" w:rsidRPr="00781F59" w:rsidRDefault="00EA69AA" w:rsidP="00EA69AA">
            <w:pPr>
              <w:contextualSpacing/>
              <w:rPr>
                <w:sz w:val="20"/>
                <w:szCs w:val="20"/>
              </w:rPr>
            </w:pPr>
            <w:r w:rsidRPr="00781F59">
              <w:rPr>
                <w:sz w:val="20"/>
                <w:szCs w:val="20"/>
              </w:rPr>
              <w:t>182</w:t>
            </w:r>
          </w:p>
        </w:tc>
        <w:tc>
          <w:tcPr>
            <w:tcW w:w="0" w:type="auto"/>
            <w:tcBorders>
              <w:top w:val="single" w:sz="6" w:space="0" w:color="auto"/>
              <w:left w:val="single" w:sz="6" w:space="0" w:color="auto"/>
              <w:bottom w:val="single" w:sz="6" w:space="0" w:color="auto"/>
              <w:right w:val="single" w:sz="6" w:space="0" w:color="auto"/>
            </w:tcBorders>
            <w:hideMark/>
          </w:tcPr>
          <w:p w14:paraId="2CE70D34" w14:textId="77777777" w:rsidR="00EA69AA" w:rsidRPr="00781F59" w:rsidRDefault="00EA69AA" w:rsidP="00EA69AA">
            <w:pPr>
              <w:contextualSpacing/>
              <w:rPr>
                <w:sz w:val="20"/>
                <w:szCs w:val="20"/>
              </w:rPr>
            </w:pPr>
            <w:r w:rsidRPr="00781F59">
              <w:rPr>
                <w:sz w:val="20"/>
                <w:szCs w:val="20"/>
              </w:rPr>
              <w:t>Hebert R. 2002 What's new in Nicotine &amp; Tobacco Research?. Nicotine and Tobacco Research; 4.385.</w:t>
            </w:r>
          </w:p>
        </w:tc>
        <w:tc>
          <w:tcPr>
            <w:tcW w:w="0" w:type="auto"/>
            <w:tcBorders>
              <w:top w:val="single" w:sz="6" w:space="0" w:color="auto"/>
              <w:left w:val="single" w:sz="6" w:space="0" w:color="auto"/>
              <w:bottom w:val="single" w:sz="6" w:space="0" w:color="auto"/>
              <w:right w:val="single" w:sz="6" w:space="0" w:color="auto"/>
            </w:tcBorders>
            <w:hideMark/>
          </w:tcPr>
          <w:p w14:paraId="36F248AD"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706F7E49"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38DF86B" w14:textId="77777777" w:rsidR="00EA69AA" w:rsidRPr="00781F59" w:rsidRDefault="00EA69AA" w:rsidP="00EA69AA">
            <w:pPr>
              <w:contextualSpacing/>
              <w:rPr>
                <w:sz w:val="20"/>
                <w:szCs w:val="20"/>
              </w:rPr>
            </w:pPr>
            <w:r w:rsidRPr="00781F59">
              <w:rPr>
                <w:sz w:val="20"/>
                <w:szCs w:val="20"/>
              </w:rPr>
              <w:t>186</w:t>
            </w:r>
          </w:p>
        </w:tc>
        <w:tc>
          <w:tcPr>
            <w:tcW w:w="0" w:type="auto"/>
            <w:tcBorders>
              <w:top w:val="single" w:sz="6" w:space="0" w:color="auto"/>
              <w:left w:val="single" w:sz="6" w:space="0" w:color="auto"/>
              <w:bottom w:val="single" w:sz="6" w:space="0" w:color="auto"/>
              <w:right w:val="single" w:sz="6" w:space="0" w:color="auto"/>
            </w:tcBorders>
            <w:hideMark/>
          </w:tcPr>
          <w:p w14:paraId="28801F47" w14:textId="77777777" w:rsidR="00EA69AA" w:rsidRPr="00781F59" w:rsidRDefault="00EA69AA" w:rsidP="00EA69AA">
            <w:pPr>
              <w:contextualSpacing/>
              <w:rPr>
                <w:sz w:val="20"/>
                <w:szCs w:val="20"/>
              </w:rPr>
            </w:pPr>
            <w:r w:rsidRPr="00781F59">
              <w:rPr>
                <w:sz w:val="20"/>
                <w:szCs w:val="20"/>
              </w:rPr>
              <w:t xml:space="preserve">Newton </w:t>
            </w:r>
            <w:proofErr w:type="gramStart"/>
            <w:r w:rsidRPr="00781F59">
              <w:rPr>
                <w:sz w:val="20"/>
                <w:szCs w:val="20"/>
              </w:rPr>
              <w:t>G.D.,Pray</w:t>
            </w:r>
            <w:proofErr w:type="gramEnd"/>
            <w:r w:rsidRPr="00781F59">
              <w:rPr>
                <w:sz w:val="20"/>
                <w:szCs w:val="20"/>
              </w:rPr>
              <w:t xml:space="preserve"> W.S.,Popovich N.G. 1997 New OTC drugs and devices: A selective review. As the array of OTC drugs diversifies, pharmacists should be prepared to guide patients in selection and use of these products. Journal of the American Pharmaceutical Association; 37.165.</w:t>
            </w:r>
          </w:p>
        </w:tc>
        <w:tc>
          <w:tcPr>
            <w:tcW w:w="0" w:type="auto"/>
            <w:tcBorders>
              <w:top w:val="single" w:sz="6" w:space="0" w:color="auto"/>
              <w:left w:val="single" w:sz="6" w:space="0" w:color="auto"/>
              <w:bottom w:val="single" w:sz="6" w:space="0" w:color="auto"/>
              <w:right w:val="single" w:sz="6" w:space="0" w:color="auto"/>
            </w:tcBorders>
            <w:hideMark/>
          </w:tcPr>
          <w:p w14:paraId="563CAAC0"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3ACF6A8F"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04C9E00" w14:textId="77777777" w:rsidR="00EA69AA" w:rsidRPr="00781F59" w:rsidRDefault="00EA69AA" w:rsidP="00EA69AA">
            <w:pPr>
              <w:contextualSpacing/>
              <w:rPr>
                <w:sz w:val="20"/>
                <w:szCs w:val="20"/>
              </w:rPr>
            </w:pPr>
            <w:r w:rsidRPr="00781F59">
              <w:rPr>
                <w:sz w:val="20"/>
                <w:szCs w:val="20"/>
              </w:rPr>
              <w:t>188</w:t>
            </w:r>
          </w:p>
        </w:tc>
        <w:tc>
          <w:tcPr>
            <w:tcW w:w="0" w:type="auto"/>
            <w:tcBorders>
              <w:top w:val="single" w:sz="6" w:space="0" w:color="auto"/>
              <w:left w:val="single" w:sz="6" w:space="0" w:color="auto"/>
              <w:bottom w:val="single" w:sz="6" w:space="0" w:color="auto"/>
              <w:right w:val="single" w:sz="6" w:space="0" w:color="auto"/>
            </w:tcBorders>
            <w:hideMark/>
          </w:tcPr>
          <w:p w14:paraId="165613A2" w14:textId="77777777" w:rsidR="00EA69AA" w:rsidRPr="00781F59" w:rsidRDefault="00EA69AA" w:rsidP="00EA69AA">
            <w:pPr>
              <w:contextualSpacing/>
              <w:rPr>
                <w:sz w:val="20"/>
                <w:szCs w:val="20"/>
              </w:rPr>
            </w:pPr>
            <w:r w:rsidRPr="00781F59">
              <w:rPr>
                <w:sz w:val="20"/>
                <w:szCs w:val="20"/>
              </w:rPr>
              <w:t>Anonymous. 1995 Minerva. British Medical Journal; 310.1080.</w:t>
            </w:r>
          </w:p>
        </w:tc>
        <w:tc>
          <w:tcPr>
            <w:tcW w:w="0" w:type="auto"/>
            <w:tcBorders>
              <w:top w:val="single" w:sz="6" w:space="0" w:color="auto"/>
              <w:left w:val="single" w:sz="6" w:space="0" w:color="auto"/>
              <w:bottom w:val="single" w:sz="6" w:space="0" w:color="auto"/>
              <w:right w:val="single" w:sz="6" w:space="0" w:color="auto"/>
            </w:tcBorders>
            <w:hideMark/>
          </w:tcPr>
          <w:p w14:paraId="7F3BF914"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1ACA7E3F"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237CA63" w14:textId="77777777" w:rsidR="00EA69AA" w:rsidRPr="00781F59" w:rsidRDefault="00EA69AA" w:rsidP="00EA69AA">
            <w:pPr>
              <w:contextualSpacing/>
              <w:rPr>
                <w:sz w:val="20"/>
                <w:szCs w:val="20"/>
              </w:rPr>
            </w:pPr>
            <w:r w:rsidRPr="00781F59">
              <w:rPr>
                <w:sz w:val="20"/>
                <w:szCs w:val="20"/>
              </w:rPr>
              <w:t>189</w:t>
            </w:r>
          </w:p>
        </w:tc>
        <w:tc>
          <w:tcPr>
            <w:tcW w:w="0" w:type="auto"/>
            <w:tcBorders>
              <w:top w:val="single" w:sz="6" w:space="0" w:color="auto"/>
              <w:left w:val="single" w:sz="6" w:space="0" w:color="auto"/>
              <w:bottom w:val="single" w:sz="6" w:space="0" w:color="auto"/>
              <w:right w:val="single" w:sz="6" w:space="0" w:color="auto"/>
            </w:tcBorders>
            <w:hideMark/>
          </w:tcPr>
          <w:p w14:paraId="715C1B04" w14:textId="77777777" w:rsidR="00EA69AA" w:rsidRPr="00781F59" w:rsidRDefault="00EA69AA" w:rsidP="00EA69AA">
            <w:pPr>
              <w:contextualSpacing/>
              <w:rPr>
                <w:sz w:val="20"/>
                <w:szCs w:val="20"/>
              </w:rPr>
            </w:pPr>
            <w:r w:rsidRPr="00781F59">
              <w:rPr>
                <w:sz w:val="20"/>
                <w:szCs w:val="20"/>
              </w:rPr>
              <w:t xml:space="preserve">Royce </w:t>
            </w:r>
            <w:proofErr w:type="gramStart"/>
            <w:r w:rsidRPr="00781F59">
              <w:rPr>
                <w:sz w:val="20"/>
                <w:szCs w:val="20"/>
              </w:rPr>
              <w:t>J.M.,Hymowitz</w:t>
            </w:r>
            <w:proofErr w:type="gramEnd"/>
            <w:r w:rsidRPr="00781F59">
              <w:rPr>
                <w:sz w:val="20"/>
                <w:szCs w:val="20"/>
              </w:rPr>
              <w:t xml:space="preserve"> N.,Corbett K.,Hartwell T.D.,Orlandi M.A. 1993 Smoking cessation factors among African Americans and Whites. American Journal of Public Health; 83.220.</w:t>
            </w:r>
          </w:p>
        </w:tc>
        <w:tc>
          <w:tcPr>
            <w:tcW w:w="0" w:type="auto"/>
            <w:tcBorders>
              <w:top w:val="single" w:sz="6" w:space="0" w:color="auto"/>
              <w:left w:val="single" w:sz="6" w:space="0" w:color="auto"/>
              <w:bottom w:val="single" w:sz="6" w:space="0" w:color="auto"/>
              <w:right w:val="single" w:sz="6" w:space="0" w:color="auto"/>
            </w:tcBorders>
            <w:hideMark/>
          </w:tcPr>
          <w:p w14:paraId="75856D99"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21339FEF"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559ED82" w14:textId="77777777" w:rsidR="00EA69AA" w:rsidRPr="00781F59" w:rsidRDefault="00EA69AA" w:rsidP="00EA69AA">
            <w:pPr>
              <w:contextualSpacing/>
              <w:rPr>
                <w:sz w:val="20"/>
                <w:szCs w:val="20"/>
              </w:rPr>
            </w:pPr>
            <w:r w:rsidRPr="00781F59">
              <w:rPr>
                <w:sz w:val="20"/>
                <w:szCs w:val="20"/>
              </w:rPr>
              <w:t>190</w:t>
            </w:r>
          </w:p>
        </w:tc>
        <w:tc>
          <w:tcPr>
            <w:tcW w:w="0" w:type="auto"/>
            <w:tcBorders>
              <w:top w:val="single" w:sz="6" w:space="0" w:color="auto"/>
              <w:left w:val="single" w:sz="6" w:space="0" w:color="auto"/>
              <w:bottom w:val="single" w:sz="6" w:space="0" w:color="auto"/>
              <w:right w:val="single" w:sz="6" w:space="0" w:color="auto"/>
            </w:tcBorders>
            <w:hideMark/>
          </w:tcPr>
          <w:p w14:paraId="45F97E06" w14:textId="77777777" w:rsidR="00EA69AA" w:rsidRPr="00781F59" w:rsidRDefault="00EA69AA" w:rsidP="00EA69AA">
            <w:pPr>
              <w:contextualSpacing/>
              <w:rPr>
                <w:sz w:val="20"/>
                <w:szCs w:val="20"/>
              </w:rPr>
            </w:pPr>
            <w:r w:rsidRPr="00781F59">
              <w:rPr>
                <w:sz w:val="20"/>
                <w:szCs w:val="20"/>
              </w:rPr>
              <w:t xml:space="preserve">Sidney </w:t>
            </w:r>
            <w:proofErr w:type="gramStart"/>
            <w:r w:rsidRPr="00781F59">
              <w:rPr>
                <w:sz w:val="20"/>
                <w:szCs w:val="20"/>
              </w:rPr>
              <w:t>S.,Tekawa</w:t>
            </w:r>
            <w:proofErr w:type="gramEnd"/>
            <w:r w:rsidRPr="00781F59">
              <w:rPr>
                <w:sz w:val="20"/>
                <w:szCs w:val="20"/>
              </w:rPr>
              <w:t xml:space="preserve"> I.,Friedman G.D. 1989 Metholated cigarette use among multiphasic examinees, 1979-86. American Journal of Public Health; 79.1415.</w:t>
            </w:r>
          </w:p>
        </w:tc>
        <w:tc>
          <w:tcPr>
            <w:tcW w:w="0" w:type="auto"/>
            <w:tcBorders>
              <w:top w:val="single" w:sz="6" w:space="0" w:color="auto"/>
              <w:left w:val="single" w:sz="6" w:space="0" w:color="auto"/>
              <w:bottom w:val="single" w:sz="6" w:space="0" w:color="auto"/>
              <w:right w:val="single" w:sz="6" w:space="0" w:color="auto"/>
            </w:tcBorders>
            <w:hideMark/>
          </w:tcPr>
          <w:p w14:paraId="0F64984E"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4DB578CF"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48B651F" w14:textId="77777777" w:rsidR="00EA69AA" w:rsidRPr="00781F59" w:rsidRDefault="00EA69AA" w:rsidP="00EA69AA">
            <w:pPr>
              <w:contextualSpacing/>
              <w:rPr>
                <w:sz w:val="20"/>
                <w:szCs w:val="20"/>
              </w:rPr>
            </w:pPr>
            <w:r w:rsidRPr="00781F59">
              <w:rPr>
                <w:sz w:val="20"/>
                <w:szCs w:val="20"/>
              </w:rPr>
              <w:t>191</w:t>
            </w:r>
          </w:p>
        </w:tc>
        <w:tc>
          <w:tcPr>
            <w:tcW w:w="0" w:type="auto"/>
            <w:tcBorders>
              <w:top w:val="single" w:sz="6" w:space="0" w:color="auto"/>
              <w:left w:val="single" w:sz="6" w:space="0" w:color="auto"/>
              <w:bottom w:val="single" w:sz="6" w:space="0" w:color="auto"/>
              <w:right w:val="single" w:sz="6" w:space="0" w:color="auto"/>
            </w:tcBorders>
            <w:hideMark/>
          </w:tcPr>
          <w:p w14:paraId="02B3332D" w14:textId="77777777" w:rsidR="00EA69AA" w:rsidRPr="00781F59" w:rsidRDefault="00EA69AA" w:rsidP="00EA69AA">
            <w:pPr>
              <w:contextualSpacing/>
              <w:rPr>
                <w:sz w:val="20"/>
                <w:szCs w:val="20"/>
              </w:rPr>
            </w:pPr>
            <w:r w:rsidRPr="00781F59">
              <w:rPr>
                <w:sz w:val="20"/>
                <w:szCs w:val="20"/>
              </w:rPr>
              <w:t xml:space="preserve">McCarthy </w:t>
            </w:r>
            <w:proofErr w:type="gramStart"/>
            <w:r w:rsidRPr="00781F59">
              <w:rPr>
                <w:sz w:val="20"/>
                <w:szCs w:val="20"/>
              </w:rPr>
              <w:t>W.J.,Caskey</w:t>
            </w:r>
            <w:proofErr w:type="gramEnd"/>
            <w:r w:rsidRPr="00781F59">
              <w:rPr>
                <w:sz w:val="20"/>
                <w:szCs w:val="20"/>
              </w:rPr>
              <w:t xml:space="preserve"> N.H.,Jarvik M.E.,Perez-Stable E.J.,Marin B.,Marin G.,Benowitz N.,Wagenknecht L.E.,Haley N.J.,Jacobs Jr. D.R. 1992 Ethnic differences in nicotine exposure [1]. American Journal of Public Health; 82.1171.</w:t>
            </w:r>
          </w:p>
        </w:tc>
        <w:tc>
          <w:tcPr>
            <w:tcW w:w="0" w:type="auto"/>
            <w:tcBorders>
              <w:top w:val="single" w:sz="6" w:space="0" w:color="auto"/>
              <w:left w:val="single" w:sz="6" w:space="0" w:color="auto"/>
              <w:bottom w:val="single" w:sz="6" w:space="0" w:color="auto"/>
              <w:right w:val="single" w:sz="6" w:space="0" w:color="auto"/>
            </w:tcBorders>
            <w:hideMark/>
          </w:tcPr>
          <w:p w14:paraId="2FBF01D1" w14:textId="77777777" w:rsidR="00EA69AA" w:rsidRPr="00781F59" w:rsidRDefault="00EA69AA" w:rsidP="00EA69AA">
            <w:pPr>
              <w:contextualSpacing/>
              <w:rPr>
                <w:sz w:val="20"/>
                <w:szCs w:val="20"/>
              </w:rPr>
            </w:pPr>
            <w:r w:rsidRPr="00781F59">
              <w:rPr>
                <w:sz w:val="20"/>
                <w:szCs w:val="20"/>
              </w:rPr>
              <w:t>Not original research / data</w:t>
            </w:r>
          </w:p>
        </w:tc>
      </w:tr>
      <w:tr w:rsidR="00EA69AA" w:rsidRPr="00781F59" w14:paraId="66C0CF5E"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5E86B6D" w14:textId="77777777" w:rsidR="00EA69AA" w:rsidRPr="00781F59" w:rsidRDefault="00EA69AA" w:rsidP="00EA69AA">
            <w:pPr>
              <w:contextualSpacing/>
              <w:rPr>
                <w:sz w:val="20"/>
                <w:szCs w:val="20"/>
              </w:rPr>
            </w:pPr>
            <w:r w:rsidRPr="00781F59">
              <w:rPr>
                <w:sz w:val="20"/>
                <w:szCs w:val="20"/>
              </w:rPr>
              <w:t>192</w:t>
            </w:r>
          </w:p>
        </w:tc>
        <w:tc>
          <w:tcPr>
            <w:tcW w:w="0" w:type="auto"/>
            <w:tcBorders>
              <w:top w:val="single" w:sz="6" w:space="0" w:color="auto"/>
              <w:left w:val="single" w:sz="6" w:space="0" w:color="auto"/>
              <w:bottom w:val="single" w:sz="6" w:space="0" w:color="auto"/>
              <w:right w:val="single" w:sz="6" w:space="0" w:color="auto"/>
            </w:tcBorders>
            <w:hideMark/>
          </w:tcPr>
          <w:p w14:paraId="006E005B" w14:textId="77777777" w:rsidR="00EA69AA" w:rsidRPr="00781F59" w:rsidRDefault="00EA69AA" w:rsidP="00EA69AA">
            <w:pPr>
              <w:contextualSpacing/>
              <w:rPr>
                <w:sz w:val="20"/>
                <w:szCs w:val="20"/>
              </w:rPr>
            </w:pPr>
            <w:r w:rsidRPr="00781F59">
              <w:rPr>
                <w:sz w:val="20"/>
                <w:szCs w:val="20"/>
              </w:rPr>
              <w:t xml:space="preserve">Kabat </w:t>
            </w:r>
            <w:proofErr w:type="gramStart"/>
            <w:r w:rsidRPr="00781F59">
              <w:rPr>
                <w:sz w:val="20"/>
                <w:szCs w:val="20"/>
              </w:rPr>
              <w:t>G.C.,Morabia</w:t>
            </w:r>
            <w:proofErr w:type="gramEnd"/>
            <w:r w:rsidRPr="00781F59">
              <w:rPr>
                <w:sz w:val="20"/>
                <w:szCs w:val="20"/>
              </w:rPr>
              <w:t xml:space="preserve"> A.,Wynder E.L. 1991 Comparison of smoking habits of Blacks and Whites in a case-control study. American Journal of Public Health; 81.1483.</w:t>
            </w:r>
          </w:p>
        </w:tc>
        <w:tc>
          <w:tcPr>
            <w:tcW w:w="0" w:type="auto"/>
            <w:tcBorders>
              <w:top w:val="single" w:sz="6" w:space="0" w:color="auto"/>
              <w:left w:val="single" w:sz="6" w:space="0" w:color="auto"/>
              <w:bottom w:val="single" w:sz="6" w:space="0" w:color="auto"/>
              <w:right w:val="single" w:sz="6" w:space="0" w:color="auto"/>
            </w:tcBorders>
            <w:hideMark/>
          </w:tcPr>
          <w:p w14:paraId="171048AD"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025F3667"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DE0292C" w14:textId="77777777" w:rsidR="00EA69AA" w:rsidRPr="00781F59" w:rsidRDefault="00EA69AA" w:rsidP="00EA69AA">
            <w:pPr>
              <w:contextualSpacing/>
              <w:rPr>
                <w:sz w:val="20"/>
                <w:szCs w:val="20"/>
              </w:rPr>
            </w:pPr>
            <w:r w:rsidRPr="00781F59">
              <w:rPr>
                <w:sz w:val="20"/>
                <w:szCs w:val="20"/>
              </w:rPr>
              <w:lastRenderedPageBreak/>
              <w:t>194</w:t>
            </w:r>
          </w:p>
        </w:tc>
        <w:tc>
          <w:tcPr>
            <w:tcW w:w="0" w:type="auto"/>
            <w:tcBorders>
              <w:top w:val="single" w:sz="6" w:space="0" w:color="auto"/>
              <w:left w:val="single" w:sz="6" w:space="0" w:color="auto"/>
              <w:bottom w:val="single" w:sz="6" w:space="0" w:color="auto"/>
              <w:right w:val="single" w:sz="6" w:space="0" w:color="auto"/>
            </w:tcBorders>
            <w:hideMark/>
          </w:tcPr>
          <w:p w14:paraId="6B983ADF" w14:textId="77777777" w:rsidR="00EA69AA" w:rsidRPr="00781F59" w:rsidRDefault="00EA69AA" w:rsidP="00EA69AA">
            <w:pPr>
              <w:contextualSpacing/>
              <w:rPr>
                <w:sz w:val="20"/>
                <w:szCs w:val="20"/>
              </w:rPr>
            </w:pPr>
            <w:r w:rsidRPr="00781F59">
              <w:rPr>
                <w:sz w:val="20"/>
                <w:szCs w:val="20"/>
              </w:rPr>
              <w:t xml:space="preserve">Hill </w:t>
            </w:r>
            <w:proofErr w:type="gramStart"/>
            <w:r w:rsidRPr="00781F59">
              <w:rPr>
                <w:sz w:val="20"/>
                <w:szCs w:val="20"/>
              </w:rPr>
              <w:t>R.M.,Tennyson</w:t>
            </w:r>
            <w:proofErr w:type="gramEnd"/>
            <w:r w:rsidRPr="00781F59">
              <w:rPr>
                <w:sz w:val="20"/>
                <w:szCs w:val="20"/>
              </w:rPr>
              <w:t xml:space="preserve"> L.M. 1985 The effect of maternal allergy medications on the fetus. Immunology and Allergy Practice; 7.80.</w:t>
            </w:r>
          </w:p>
        </w:tc>
        <w:tc>
          <w:tcPr>
            <w:tcW w:w="0" w:type="auto"/>
            <w:tcBorders>
              <w:top w:val="single" w:sz="6" w:space="0" w:color="auto"/>
              <w:left w:val="single" w:sz="6" w:space="0" w:color="auto"/>
              <w:bottom w:val="single" w:sz="6" w:space="0" w:color="auto"/>
              <w:right w:val="single" w:sz="6" w:space="0" w:color="auto"/>
            </w:tcBorders>
            <w:hideMark/>
          </w:tcPr>
          <w:p w14:paraId="4A177E90"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68B548E7"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9B6C9F6" w14:textId="77777777" w:rsidR="00EA69AA" w:rsidRPr="00781F59" w:rsidRDefault="00EA69AA" w:rsidP="00EA69AA">
            <w:pPr>
              <w:contextualSpacing/>
              <w:rPr>
                <w:sz w:val="20"/>
                <w:szCs w:val="20"/>
              </w:rPr>
            </w:pPr>
            <w:r w:rsidRPr="00781F59">
              <w:rPr>
                <w:sz w:val="20"/>
                <w:szCs w:val="20"/>
              </w:rPr>
              <w:t>197</w:t>
            </w:r>
          </w:p>
        </w:tc>
        <w:tc>
          <w:tcPr>
            <w:tcW w:w="0" w:type="auto"/>
            <w:tcBorders>
              <w:top w:val="single" w:sz="6" w:space="0" w:color="auto"/>
              <w:left w:val="single" w:sz="6" w:space="0" w:color="auto"/>
              <w:bottom w:val="single" w:sz="6" w:space="0" w:color="auto"/>
              <w:right w:val="single" w:sz="6" w:space="0" w:color="auto"/>
            </w:tcBorders>
            <w:hideMark/>
          </w:tcPr>
          <w:p w14:paraId="146EB338" w14:textId="77777777" w:rsidR="00EA69AA" w:rsidRPr="00781F59" w:rsidRDefault="00EA69AA" w:rsidP="00EA69AA">
            <w:pPr>
              <w:contextualSpacing/>
              <w:rPr>
                <w:sz w:val="20"/>
                <w:szCs w:val="20"/>
              </w:rPr>
            </w:pPr>
            <w:r w:rsidRPr="00781F59">
              <w:rPr>
                <w:sz w:val="20"/>
                <w:szCs w:val="20"/>
              </w:rPr>
              <w:t>Fisher A.A. 1978 Reports from the second international contact dermatitis symposium. Part III. Cutis; 22.272.</w:t>
            </w:r>
          </w:p>
        </w:tc>
        <w:tc>
          <w:tcPr>
            <w:tcW w:w="0" w:type="auto"/>
            <w:tcBorders>
              <w:top w:val="single" w:sz="6" w:space="0" w:color="auto"/>
              <w:left w:val="single" w:sz="6" w:space="0" w:color="auto"/>
              <w:bottom w:val="single" w:sz="6" w:space="0" w:color="auto"/>
              <w:right w:val="single" w:sz="6" w:space="0" w:color="auto"/>
            </w:tcBorders>
            <w:hideMark/>
          </w:tcPr>
          <w:p w14:paraId="75DE3572"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47FFA32A"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DBAB4BE" w14:textId="77777777" w:rsidR="00EA69AA" w:rsidRPr="00781F59" w:rsidRDefault="00EA69AA" w:rsidP="00EA69AA">
            <w:pPr>
              <w:contextualSpacing/>
              <w:rPr>
                <w:sz w:val="20"/>
                <w:szCs w:val="20"/>
              </w:rPr>
            </w:pPr>
            <w:r w:rsidRPr="00781F59">
              <w:rPr>
                <w:sz w:val="20"/>
                <w:szCs w:val="20"/>
              </w:rPr>
              <w:t>198</w:t>
            </w:r>
          </w:p>
        </w:tc>
        <w:tc>
          <w:tcPr>
            <w:tcW w:w="0" w:type="auto"/>
            <w:tcBorders>
              <w:top w:val="single" w:sz="6" w:space="0" w:color="auto"/>
              <w:left w:val="single" w:sz="6" w:space="0" w:color="auto"/>
              <w:bottom w:val="single" w:sz="6" w:space="0" w:color="auto"/>
              <w:right w:val="single" w:sz="6" w:space="0" w:color="auto"/>
            </w:tcBorders>
            <w:hideMark/>
          </w:tcPr>
          <w:p w14:paraId="4EB482F0" w14:textId="77777777" w:rsidR="00EA69AA" w:rsidRPr="00781F59" w:rsidRDefault="00EA69AA" w:rsidP="00EA69AA">
            <w:pPr>
              <w:contextualSpacing/>
              <w:rPr>
                <w:sz w:val="20"/>
                <w:szCs w:val="20"/>
              </w:rPr>
            </w:pPr>
            <w:r w:rsidRPr="00781F59">
              <w:rPr>
                <w:sz w:val="20"/>
                <w:szCs w:val="20"/>
              </w:rPr>
              <w:t>Ziment I. 1974 Mucokinesis the methodology of moving mucus. #journal#; 4.15.</w:t>
            </w:r>
          </w:p>
        </w:tc>
        <w:tc>
          <w:tcPr>
            <w:tcW w:w="0" w:type="auto"/>
            <w:tcBorders>
              <w:top w:val="single" w:sz="6" w:space="0" w:color="auto"/>
              <w:left w:val="single" w:sz="6" w:space="0" w:color="auto"/>
              <w:bottom w:val="single" w:sz="6" w:space="0" w:color="auto"/>
              <w:right w:val="single" w:sz="6" w:space="0" w:color="auto"/>
            </w:tcBorders>
            <w:hideMark/>
          </w:tcPr>
          <w:p w14:paraId="7E100794"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1DB148CB"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5235967" w14:textId="77777777" w:rsidR="00EA69AA" w:rsidRPr="00781F59" w:rsidRDefault="00EA69AA" w:rsidP="00EA69AA">
            <w:pPr>
              <w:contextualSpacing/>
              <w:rPr>
                <w:sz w:val="20"/>
                <w:szCs w:val="20"/>
              </w:rPr>
            </w:pPr>
            <w:r w:rsidRPr="00781F59">
              <w:rPr>
                <w:sz w:val="20"/>
                <w:szCs w:val="20"/>
              </w:rPr>
              <w:t>200</w:t>
            </w:r>
          </w:p>
        </w:tc>
        <w:tc>
          <w:tcPr>
            <w:tcW w:w="0" w:type="auto"/>
            <w:tcBorders>
              <w:top w:val="single" w:sz="6" w:space="0" w:color="auto"/>
              <w:left w:val="single" w:sz="6" w:space="0" w:color="auto"/>
              <w:bottom w:val="single" w:sz="6" w:space="0" w:color="auto"/>
              <w:right w:val="single" w:sz="6" w:space="0" w:color="auto"/>
            </w:tcBorders>
            <w:hideMark/>
          </w:tcPr>
          <w:p w14:paraId="28298169" w14:textId="28E41B54" w:rsidR="00EA69AA" w:rsidRPr="00781F59" w:rsidRDefault="00EA69AA" w:rsidP="00EA69AA">
            <w:pPr>
              <w:contextualSpacing/>
              <w:rPr>
                <w:sz w:val="20"/>
                <w:szCs w:val="20"/>
              </w:rPr>
            </w:pPr>
            <w:r w:rsidRPr="00781F59">
              <w:rPr>
                <w:sz w:val="20"/>
                <w:szCs w:val="20"/>
              </w:rPr>
              <w:t>Lauren R Pacek, Jason A Oliver, Maggie M Sweitzer, F Joseph McClernon 2018 Young adult dual combusted cigarette and e-cigarette users' anticipated responses to a nicotine reduction policy and menthol ban in combusted cigarettes</w:t>
            </w:r>
            <w:r w:rsidR="007F2F01">
              <w:rPr>
                <w:sz w:val="20"/>
                <w:szCs w:val="20"/>
              </w:rPr>
              <w:t>.</w:t>
            </w:r>
            <w:r w:rsidRPr="00781F59">
              <w:rPr>
                <w:sz w:val="20"/>
                <w:szCs w:val="20"/>
              </w:rPr>
              <w:t xml:space="preserve"> Drug and alcohol dependence; 194.40.</w:t>
            </w:r>
          </w:p>
        </w:tc>
        <w:tc>
          <w:tcPr>
            <w:tcW w:w="0" w:type="auto"/>
            <w:tcBorders>
              <w:top w:val="single" w:sz="6" w:space="0" w:color="auto"/>
              <w:left w:val="single" w:sz="6" w:space="0" w:color="auto"/>
              <w:bottom w:val="single" w:sz="6" w:space="0" w:color="auto"/>
              <w:right w:val="single" w:sz="6" w:space="0" w:color="auto"/>
            </w:tcBorders>
            <w:hideMark/>
          </w:tcPr>
          <w:p w14:paraId="5B566D70"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1E8E213A"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54244D3" w14:textId="77777777" w:rsidR="00EA69AA" w:rsidRPr="00781F59" w:rsidRDefault="00EA69AA" w:rsidP="00EA69AA">
            <w:pPr>
              <w:contextualSpacing/>
              <w:rPr>
                <w:sz w:val="20"/>
                <w:szCs w:val="20"/>
              </w:rPr>
            </w:pPr>
            <w:r w:rsidRPr="00781F59">
              <w:rPr>
                <w:sz w:val="20"/>
                <w:szCs w:val="20"/>
              </w:rPr>
              <w:t>202</w:t>
            </w:r>
          </w:p>
        </w:tc>
        <w:tc>
          <w:tcPr>
            <w:tcW w:w="0" w:type="auto"/>
            <w:tcBorders>
              <w:top w:val="single" w:sz="6" w:space="0" w:color="auto"/>
              <w:left w:val="single" w:sz="6" w:space="0" w:color="auto"/>
              <w:bottom w:val="single" w:sz="6" w:space="0" w:color="auto"/>
              <w:right w:val="single" w:sz="6" w:space="0" w:color="auto"/>
            </w:tcBorders>
            <w:hideMark/>
          </w:tcPr>
          <w:p w14:paraId="4A572B84" w14:textId="51F92ECB" w:rsidR="00EA69AA" w:rsidRPr="00781F59" w:rsidRDefault="00EA69AA" w:rsidP="00EA69AA">
            <w:pPr>
              <w:contextualSpacing/>
              <w:rPr>
                <w:sz w:val="20"/>
                <w:szCs w:val="20"/>
              </w:rPr>
            </w:pPr>
            <w:r w:rsidRPr="00781F59">
              <w:rPr>
                <w:sz w:val="20"/>
                <w:szCs w:val="20"/>
              </w:rPr>
              <w:t>Guy Jaccard, Maxim Belushkin, Cyril Jeannet, Evi Nurlaili Aldilla, Andry Ongko Wijoyo 2018 Investigation of menthol content and transfer rates in cigarettes and Tobacco Heating System 2.2</w:t>
            </w:r>
            <w:r w:rsidR="007F2F01">
              <w:rPr>
                <w:sz w:val="20"/>
                <w:szCs w:val="20"/>
              </w:rPr>
              <w:t>.</w:t>
            </w:r>
            <w:r w:rsidRPr="00781F59">
              <w:rPr>
                <w:sz w:val="20"/>
                <w:szCs w:val="20"/>
              </w:rPr>
              <w:t xml:space="preserve"> Regulatory toxicology and </w:t>
            </w:r>
            <w:proofErr w:type="gramStart"/>
            <w:r w:rsidRPr="00781F59">
              <w:rPr>
                <w:sz w:val="20"/>
                <w:szCs w:val="20"/>
              </w:rPr>
              <w:t>pharmacology :</w:t>
            </w:r>
            <w:proofErr w:type="gramEnd"/>
            <w:r w:rsidRPr="00781F59">
              <w:rPr>
                <w:sz w:val="20"/>
                <w:szCs w:val="20"/>
              </w:rPr>
              <w:t xml:space="preserve"> RTP; 101.48.</w:t>
            </w:r>
          </w:p>
        </w:tc>
        <w:tc>
          <w:tcPr>
            <w:tcW w:w="0" w:type="auto"/>
            <w:tcBorders>
              <w:top w:val="single" w:sz="6" w:space="0" w:color="auto"/>
              <w:left w:val="single" w:sz="6" w:space="0" w:color="auto"/>
              <w:bottom w:val="single" w:sz="6" w:space="0" w:color="auto"/>
              <w:right w:val="single" w:sz="6" w:space="0" w:color="auto"/>
            </w:tcBorders>
            <w:hideMark/>
          </w:tcPr>
          <w:p w14:paraId="0D2D5121"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07E4FE8C"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D9D776D" w14:textId="77777777" w:rsidR="00EA69AA" w:rsidRPr="00781F59" w:rsidRDefault="00EA69AA" w:rsidP="00EA69AA">
            <w:pPr>
              <w:contextualSpacing/>
              <w:rPr>
                <w:sz w:val="20"/>
                <w:szCs w:val="20"/>
              </w:rPr>
            </w:pPr>
            <w:r w:rsidRPr="00781F59">
              <w:rPr>
                <w:sz w:val="20"/>
                <w:szCs w:val="20"/>
              </w:rPr>
              <w:t>206</w:t>
            </w:r>
          </w:p>
        </w:tc>
        <w:tc>
          <w:tcPr>
            <w:tcW w:w="0" w:type="auto"/>
            <w:tcBorders>
              <w:top w:val="single" w:sz="6" w:space="0" w:color="auto"/>
              <w:left w:val="single" w:sz="6" w:space="0" w:color="auto"/>
              <w:bottom w:val="single" w:sz="6" w:space="0" w:color="auto"/>
              <w:right w:val="single" w:sz="6" w:space="0" w:color="auto"/>
            </w:tcBorders>
            <w:hideMark/>
          </w:tcPr>
          <w:p w14:paraId="2CFB63C5" w14:textId="5F85144F" w:rsidR="00EA69AA" w:rsidRPr="00781F59" w:rsidRDefault="00EA69AA" w:rsidP="00EA69AA">
            <w:pPr>
              <w:contextualSpacing/>
              <w:rPr>
                <w:sz w:val="20"/>
                <w:szCs w:val="20"/>
              </w:rPr>
            </w:pPr>
            <w:r w:rsidRPr="00781F59">
              <w:rPr>
                <w:sz w:val="20"/>
                <w:szCs w:val="20"/>
              </w:rPr>
              <w:t>John Buckell, Joachim Marti, Jody L Sindelar 2018 Should flavours be banned in cigarettes and e-cigarettes? Evidence on adult smokers and recent quitters from a discrete choice experiment</w:t>
            </w:r>
            <w:r w:rsidR="007F2F01">
              <w:rPr>
                <w:sz w:val="20"/>
                <w:szCs w:val="20"/>
              </w:rPr>
              <w:t>.</w:t>
            </w:r>
            <w:r w:rsidRPr="00781F59">
              <w:rPr>
                <w:sz w:val="20"/>
                <w:szCs w:val="20"/>
              </w:rPr>
              <w:t xml:space="preserve"> Tobacco control</w:t>
            </w:r>
            <w:proofErr w:type="gramStart"/>
            <w:r w:rsidRPr="00781F59">
              <w:rPr>
                <w:sz w:val="20"/>
                <w:szCs w:val="20"/>
              </w:rPr>
              <w:t>; .</w:t>
            </w:r>
            <w:proofErr w:type="gramEnd"/>
          </w:p>
        </w:tc>
        <w:tc>
          <w:tcPr>
            <w:tcW w:w="0" w:type="auto"/>
            <w:tcBorders>
              <w:top w:val="single" w:sz="6" w:space="0" w:color="auto"/>
              <w:left w:val="single" w:sz="6" w:space="0" w:color="auto"/>
              <w:bottom w:val="single" w:sz="6" w:space="0" w:color="auto"/>
              <w:right w:val="single" w:sz="6" w:space="0" w:color="auto"/>
            </w:tcBorders>
            <w:hideMark/>
          </w:tcPr>
          <w:p w14:paraId="432F47DF"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18DA5F2E"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705EDBD" w14:textId="77777777" w:rsidR="00EA69AA" w:rsidRPr="00781F59" w:rsidRDefault="00EA69AA" w:rsidP="00EA69AA">
            <w:pPr>
              <w:contextualSpacing/>
              <w:rPr>
                <w:sz w:val="20"/>
                <w:szCs w:val="20"/>
              </w:rPr>
            </w:pPr>
            <w:r w:rsidRPr="00781F59">
              <w:rPr>
                <w:sz w:val="20"/>
                <w:szCs w:val="20"/>
              </w:rPr>
              <w:t>207</w:t>
            </w:r>
          </w:p>
        </w:tc>
        <w:tc>
          <w:tcPr>
            <w:tcW w:w="0" w:type="auto"/>
            <w:tcBorders>
              <w:top w:val="single" w:sz="6" w:space="0" w:color="auto"/>
              <w:left w:val="single" w:sz="6" w:space="0" w:color="auto"/>
              <w:bottom w:val="single" w:sz="6" w:space="0" w:color="auto"/>
              <w:right w:val="single" w:sz="6" w:space="0" w:color="auto"/>
            </w:tcBorders>
            <w:hideMark/>
          </w:tcPr>
          <w:p w14:paraId="397E644C" w14:textId="0F69107D" w:rsidR="00EA69AA" w:rsidRPr="00781F59" w:rsidRDefault="00EA69AA" w:rsidP="00EA69AA">
            <w:pPr>
              <w:contextualSpacing/>
              <w:rPr>
                <w:sz w:val="20"/>
                <w:szCs w:val="20"/>
              </w:rPr>
            </w:pPr>
            <w:r w:rsidRPr="00781F59">
              <w:rPr>
                <w:sz w:val="20"/>
                <w:szCs w:val="20"/>
              </w:rPr>
              <w:t>Yvette van der Eijk, Jeong Kyu Lee, Pamela Ling 2018 How Menthol Is Key to the Tobacco Industry's Strategy of Recruiting and Retaining Young Smokers in Singapore</w:t>
            </w:r>
            <w:r w:rsidR="007F2F01">
              <w:rPr>
                <w:sz w:val="20"/>
                <w:szCs w:val="20"/>
              </w:rPr>
              <w:t>.</w:t>
            </w:r>
            <w:r w:rsidRPr="00781F59">
              <w:rPr>
                <w:sz w:val="20"/>
                <w:szCs w:val="20"/>
              </w:rPr>
              <w:t xml:space="preserve"> The Journal of adolescent </w:t>
            </w:r>
            <w:proofErr w:type="gramStart"/>
            <w:r w:rsidRPr="00781F59">
              <w:rPr>
                <w:sz w:val="20"/>
                <w:szCs w:val="20"/>
              </w:rPr>
              <w:t>health :</w:t>
            </w:r>
            <w:proofErr w:type="gramEnd"/>
            <w:r w:rsidRPr="00781F59">
              <w:rPr>
                <w:sz w:val="20"/>
                <w:szCs w:val="20"/>
              </w:rPr>
              <w:t xml:space="preserve"> official publication of the Society for Adolescent Medicine; .</w:t>
            </w:r>
          </w:p>
        </w:tc>
        <w:tc>
          <w:tcPr>
            <w:tcW w:w="0" w:type="auto"/>
            <w:tcBorders>
              <w:top w:val="single" w:sz="6" w:space="0" w:color="auto"/>
              <w:left w:val="single" w:sz="6" w:space="0" w:color="auto"/>
              <w:bottom w:val="single" w:sz="6" w:space="0" w:color="auto"/>
              <w:right w:val="single" w:sz="6" w:space="0" w:color="auto"/>
            </w:tcBorders>
            <w:hideMark/>
          </w:tcPr>
          <w:p w14:paraId="40DA7C2B" w14:textId="77777777" w:rsidR="00EA69AA" w:rsidRPr="00781F59" w:rsidRDefault="00EA69AA" w:rsidP="00EA69AA">
            <w:pPr>
              <w:contextualSpacing/>
              <w:rPr>
                <w:sz w:val="20"/>
                <w:szCs w:val="20"/>
              </w:rPr>
            </w:pPr>
            <w:r w:rsidRPr="00781F59">
              <w:rPr>
                <w:sz w:val="20"/>
                <w:szCs w:val="20"/>
              </w:rPr>
              <w:t>Ineligible population (not U.S., not humans)</w:t>
            </w:r>
          </w:p>
        </w:tc>
      </w:tr>
      <w:tr w:rsidR="00EA69AA" w:rsidRPr="00781F59" w14:paraId="283CD71E"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C822E39" w14:textId="77777777" w:rsidR="00EA69AA" w:rsidRPr="00781F59" w:rsidRDefault="00EA69AA" w:rsidP="00EA69AA">
            <w:pPr>
              <w:contextualSpacing/>
              <w:rPr>
                <w:sz w:val="20"/>
                <w:szCs w:val="20"/>
              </w:rPr>
            </w:pPr>
            <w:r w:rsidRPr="00781F59">
              <w:rPr>
                <w:sz w:val="20"/>
                <w:szCs w:val="20"/>
              </w:rPr>
              <w:t>208</w:t>
            </w:r>
          </w:p>
        </w:tc>
        <w:tc>
          <w:tcPr>
            <w:tcW w:w="0" w:type="auto"/>
            <w:tcBorders>
              <w:top w:val="single" w:sz="6" w:space="0" w:color="auto"/>
              <w:left w:val="single" w:sz="6" w:space="0" w:color="auto"/>
              <w:bottom w:val="single" w:sz="6" w:space="0" w:color="auto"/>
              <w:right w:val="single" w:sz="6" w:space="0" w:color="auto"/>
            </w:tcBorders>
            <w:hideMark/>
          </w:tcPr>
          <w:p w14:paraId="7933F142" w14:textId="4CAA5391" w:rsidR="00EA69AA" w:rsidRPr="00781F59" w:rsidRDefault="00EA69AA" w:rsidP="00EA69AA">
            <w:pPr>
              <w:contextualSpacing/>
              <w:rPr>
                <w:sz w:val="20"/>
                <w:szCs w:val="20"/>
              </w:rPr>
            </w:pPr>
            <w:r w:rsidRPr="00781F59">
              <w:rPr>
                <w:sz w:val="20"/>
                <w:szCs w:val="20"/>
              </w:rPr>
              <w:t>Hongying Dai, Jianqiang Hao 2018 Flavored Tobacco Use Among U.S. Adults by Age Group: 2013-2014</w:t>
            </w:r>
            <w:r w:rsidR="007F2F01">
              <w:rPr>
                <w:sz w:val="20"/>
                <w:szCs w:val="20"/>
              </w:rPr>
              <w:t>.</w:t>
            </w:r>
            <w:r w:rsidRPr="00781F59">
              <w:rPr>
                <w:sz w:val="20"/>
                <w:szCs w:val="20"/>
              </w:rPr>
              <w:t xml:space="preserve"> Substance use &amp; misuse; .1.</w:t>
            </w:r>
          </w:p>
        </w:tc>
        <w:tc>
          <w:tcPr>
            <w:tcW w:w="0" w:type="auto"/>
            <w:tcBorders>
              <w:top w:val="single" w:sz="6" w:space="0" w:color="auto"/>
              <w:left w:val="single" w:sz="6" w:space="0" w:color="auto"/>
              <w:bottom w:val="single" w:sz="6" w:space="0" w:color="auto"/>
              <w:right w:val="single" w:sz="6" w:space="0" w:color="auto"/>
            </w:tcBorders>
            <w:hideMark/>
          </w:tcPr>
          <w:p w14:paraId="58BB65CA"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4F2EA22E"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115607B" w14:textId="77777777" w:rsidR="00EA69AA" w:rsidRPr="00781F59" w:rsidRDefault="00EA69AA" w:rsidP="00EA69AA">
            <w:pPr>
              <w:contextualSpacing/>
              <w:rPr>
                <w:sz w:val="20"/>
                <w:szCs w:val="20"/>
              </w:rPr>
            </w:pPr>
            <w:r w:rsidRPr="00781F59">
              <w:rPr>
                <w:sz w:val="20"/>
                <w:szCs w:val="20"/>
              </w:rPr>
              <w:t>210</w:t>
            </w:r>
          </w:p>
        </w:tc>
        <w:tc>
          <w:tcPr>
            <w:tcW w:w="0" w:type="auto"/>
            <w:tcBorders>
              <w:top w:val="single" w:sz="6" w:space="0" w:color="auto"/>
              <w:left w:val="single" w:sz="6" w:space="0" w:color="auto"/>
              <w:bottom w:val="single" w:sz="6" w:space="0" w:color="auto"/>
              <w:right w:val="single" w:sz="6" w:space="0" w:color="auto"/>
            </w:tcBorders>
            <w:hideMark/>
          </w:tcPr>
          <w:p w14:paraId="6C232C91" w14:textId="3D54B871" w:rsidR="00EA69AA" w:rsidRPr="00781F59" w:rsidRDefault="00EA69AA" w:rsidP="00EA69AA">
            <w:pPr>
              <w:contextualSpacing/>
              <w:rPr>
                <w:sz w:val="20"/>
                <w:szCs w:val="20"/>
              </w:rPr>
            </w:pPr>
            <w:r w:rsidRPr="00781F59">
              <w:rPr>
                <w:sz w:val="20"/>
                <w:szCs w:val="20"/>
              </w:rPr>
              <w:t>Amanda Y Kong, Shelley D Golden, Allison E Myers, Melissa A Little, Robert Klesges, Wayne Talcott, Sara M Vandegrift, Daniel G Cassidy, Kurt M Ribisl 2018 Availability, price and promotions for cigarettes and non-cigarette tobacco products: an observational comparison of US Air Force bases with nearby tobacco retailers, 2016</w:t>
            </w:r>
            <w:r w:rsidR="007F2F01">
              <w:rPr>
                <w:sz w:val="20"/>
                <w:szCs w:val="20"/>
              </w:rPr>
              <w:t>.</w:t>
            </w:r>
            <w:r w:rsidRPr="00781F59">
              <w:rPr>
                <w:sz w:val="20"/>
                <w:szCs w:val="20"/>
              </w:rPr>
              <w:t xml:space="preserve"> Tobacco control</w:t>
            </w:r>
            <w:proofErr w:type="gramStart"/>
            <w:r w:rsidRPr="00781F59">
              <w:rPr>
                <w:sz w:val="20"/>
                <w:szCs w:val="20"/>
              </w:rPr>
              <w:t>; .</w:t>
            </w:r>
            <w:proofErr w:type="gramEnd"/>
          </w:p>
        </w:tc>
        <w:tc>
          <w:tcPr>
            <w:tcW w:w="0" w:type="auto"/>
            <w:tcBorders>
              <w:top w:val="single" w:sz="6" w:space="0" w:color="auto"/>
              <w:left w:val="single" w:sz="6" w:space="0" w:color="auto"/>
              <w:bottom w:val="single" w:sz="6" w:space="0" w:color="auto"/>
              <w:right w:val="single" w:sz="6" w:space="0" w:color="auto"/>
            </w:tcBorders>
            <w:hideMark/>
          </w:tcPr>
          <w:p w14:paraId="1C71A75F"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182D65AD"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B10A12B" w14:textId="77777777" w:rsidR="00EA69AA" w:rsidRPr="00781F59" w:rsidRDefault="00EA69AA" w:rsidP="00EA69AA">
            <w:pPr>
              <w:contextualSpacing/>
              <w:rPr>
                <w:sz w:val="20"/>
                <w:szCs w:val="20"/>
              </w:rPr>
            </w:pPr>
            <w:r w:rsidRPr="00781F59">
              <w:rPr>
                <w:sz w:val="20"/>
                <w:szCs w:val="20"/>
              </w:rPr>
              <w:t>215</w:t>
            </w:r>
          </w:p>
        </w:tc>
        <w:tc>
          <w:tcPr>
            <w:tcW w:w="0" w:type="auto"/>
            <w:tcBorders>
              <w:top w:val="single" w:sz="6" w:space="0" w:color="auto"/>
              <w:left w:val="single" w:sz="6" w:space="0" w:color="auto"/>
              <w:bottom w:val="single" w:sz="6" w:space="0" w:color="auto"/>
              <w:right w:val="single" w:sz="6" w:space="0" w:color="auto"/>
            </w:tcBorders>
            <w:hideMark/>
          </w:tcPr>
          <w:p w14:paraId="5803BC05" w14:textId="7634ADED" w:rsidR="00EA69AA" w:rsidRPr="00781F59" w:rsidRDefault="00EA69AA" w:rsidP="00EA69AA">
            <w:pPr>
              <w:contextualSpacing/>
              <w:rPr>
                <w:sz w:val="20"/>
                <w:szCs w:val="20"/>
              </w:rPr>
            </w:pPr>
            <w:r w:rsidRPr="00781F59">
              <w:rPr>
                <w:sz w:val="20"/>
                <w:szCs w:val="20"/>
              </w:rPr>
              <w:t>Adolfo G Cuevas, Kasim Ortiz, Nancy Lopez, David R Williams 2018 Assessing racial differences in lifetime and current smoking status &amp; menthol consumption among Latinos in a nationally representative sample</w:t>
            </w:r>
            <w:r w:rsidR="007F2F01">
              <w:rPr>
                <w:sz w:val="20"/>
                <w:szCs w:val="20"/>
              </w:rPr>
              <w:t>.</w:t>
            </w:r>
            <w:r w:rsidRPr="00781F59">
              <w:rPr>
                <w:sz w:val="20"/>
                <w:szCs w:val="20"/>
              </w:rPr>
              <w:t xml:space="preserve"> Ethnicity &amp; health; .1.</w:t>
            </w:r>
          </w:p>
        </w:tc>
        <w:tc>
          <w:tcPr>
            <w:tcW w:w="0" w:type="auto"/>
            <w:tcBorders>
              <w:top w:val="single" w:sz="6" w:space="0" w:color="auto"/>
              <w:left w:val="single" w:sz="6" w:space="0" w:color="auto"/>
              <w:bottom w:val="single" w:sz="6" w:space="0" w:color="auto"/>
              <w:right w:val="single" w:sz="6" w:space="0" w:color="auto"/>
            </w:tcBorders>
            <w:hideMark/>
          </w:tcPr>
          <w:p w14:paraId="2250FE02"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34EAE221"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0A2543F" w14:textId="77777777" w:rsidR="00EA69AA" w:rsidRPr="00781F59" w:rsidRDefault="00EA69AA" w:rsidP="00EA69AA">
            <w:pPr>
              <w:contextualSpacing/>
              <w:rPr>
                <w:sz w:val="20"/>
                <w:szCs w:val="20"/>
              </w:rPr>
            </w:pPr>
            <w:r w:rsidRPr="00781F59">
              <w:rPr>
                <w:sz w:val="20"/>
                <w:szCs w:val="20"/>
              </w:rPr>
              <w:t>217</w:t>
            </w:r>
          </w:p>
        </w:tc>
        <w:tc>
          <w:tcPr>
            <w:tcW w:w="0" w:type="auto"/>
            <w:tcBorders>
              <w:top w:val="single" w:sz="6" w:space="0" w:color="auto"/>
              <w:left w:val="single" w:sz="6" w:space="0" w:color="auto"/>
              <w:bottom w:val="single" w:sz="6" w:space="0" w:color="auto"/>
              <w:right w:val="single" w:sz="6" w:space="0" w:color="auto"/>
            </w:tcBorders>
            <w:hideMark/>
          </w:tcPr>
          <w:p w14:paraId="0E86C9C9" w14:textId="5E0145FF" w:rsidR="00EA69AA" w:rsidRPr="00781F59" w:rsidRDefault="00EA69AA" w:rsidP="00EA69AA">
            <w:pPr>
              <w:contextualSpacing/>
              <w:rPr>
                <w:sz w:val="20"/>
                <w:szCs w:val="20"/>
              </w:rPr>
            </w:pPr>
            <w:r w:rsidRPr="00781F59">
              <w:rPr>
                <w:sz w:val="20"/>
                <w:szCs w:val="20"/>
              </w:rPr>
              <w:t>Mary J Sandage, Rita Patel 2018 Passive Upper Airway Thermoregulation and High-Speed Assessment for Conventional versus Menthol Cigarette: Implications for Laryngeal Physiology</w:t>
            </w:r>
            <w:r w:rsidR="007F2F01">
              <w:rPr>
                <w:sz w:val="20"/>
                <w:szCs w:val="20"/>
              </w:rPr>
              <w:t>.</w:t>
            </w:r>
            <w:r w:rsidRPr="00781F59">
              <w:rPr>
                <w:sz w:val="20"/>
                <w:szCs w:val="20"/>
              </w:rPr>
              <w:t xml:space="preserve"> Journal of </w:t>
            </w:r>
            <w:proofErr w:type="gramStart"/>
            <w:r w:rsidRPr="00781F59">
              <w:rPr>
                <w:sz w:val="20"/>
                <w:szCs w:val="20"/>
              </w:rPr>
              <w:t>voice :</w:t>
            </w:r>
            <w:proofErr w:type="gramEnd"/>
            <w:r w:rsidRPr="00781F59">
              <w:rPr>
                <w:sz w:val="20"/>
                <w:szCs w:val="20"/>
              </w:rPr>
              <w:t xml:space="preserve"> official journal of the Voice Foundation; .</w:t>
            </w:r>
          </w:p>
        </w:tc>
        <w:tc>
          <w:tcPr>
            <w:tcW w:w="0" w:type="auto"/>
            <w:tcBorders>
              <w:top w:val="single" w:sz="6" w:space="0" w:color="auto"/>
              <w:left w:val="single" w:sz="6" w:space="0" w:color="auto"/>
              <w:bottom w:val="single" w:sz="6" w:space="0" w:color="auto"/>
              <w:right w:val="single" w:sz="6" w:space="0" w:color="auto"/>
            </w:tcBorders>
            <w:hideMark/>
          </w:tcPr>
          <w:p w14:paraId="63F7CFC7"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023CCE38"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1F1E7DA" w14:textId="77777777" w:rsidR="00EA69AA" w:rsidRPr="00781F59" w:rsidRDefault="00EA69AA" w:rsidP="00EA69AA">
            <w:pPr>
              <w:contextualSpacing/>
              <w:rPr>
                <w:sz w:val="20"/>
                <w:szCs w:val="20"/>
              </w:rPr>
            </w:pPr>
            <w:r w:rsidRPr="00781F59">
              <w:rPr>
                <w:sz w:val="20"/>
                <w:szCs w:val="20"/>
              </w:rPr>
              <w:t>218</w:t>
            </w:r>
          </w:p>
        </w:tc>
        <w:tc>
          <w:tcPr>
            <w:tcW w:w="0" w:type="auto"/>
            <w:tcBorders>
              <w:top w:val="single" w:sz="6" w:space="0" w:color="auto"/>
              <w:left w:val="single" w:sz="6" w:space="0" w:color="auto"/>
              <w:bottom w:val="single" w:sz="6" w:space="0" w:color="auto"/>
              <w:right w:val="single" w:sz="6" w:space="0" w:color="auto"/>
            </w:tcBorders>
            <w:hideMark/>
          </w:tcPr>
          <w:p w14:paraId="28586433" w14:textId="71E72CDD" w:rsidR="00EA69AA" w:rsidRPr="00781F59" w:rsidRDefault="00EA69AA" w:rsidP="00EA69AA">
            <w:pPr>
              <w:contextualSpacing/>
              <w:rPr>
                <w:sz w:val="20"/>
                <w:szCs w:val="20"/>
              </w:rPr>
            </w:pPr>
            <w:r w:rsidRPr="00781F59">
              <w:rPr>
                <w:sz w:val="20"/>
                <w:szCs w:val="20"/>
              </w:rPr>
              <w:t>Lauren Czaplicki, Joanna E Cohen, Miranda R Jones, Katherine Clegg Smith, Lainie Rutkow, Jill Owczarzak 2018 Compliance with the City of Chicago's partial ban on menthol cigarette sales</w:t>
            </w:r>
            <w:r w:rsidR="007F2F01">
              <w:rPr>
                <w:sz w:val="20"/>
                <w:szCs w:val="20"/>
              </w:rPr>
              <w:t>.</w:t>
            </w:r>
            <w:r w:rsidRPr="00781F59">
              <w:rPr>
                <w:sz w:val="20"/>
                <w:szCs w:val="20"/>
              </w:rPr>
              <w:t xml:space="preserve"> Tobacco control</w:t>
            </w:r>
            <w:proofErr w:type="gramStart"/>
            <w:r w:rsidRPr="00781F59">
              <w:rPr>
                <w:sz w:val="20"/>
                <w:szCs w:val="20"/>
              </w:rPr>
              <w:t>; .</w:t>
            </w:r>
            <w:proofErr w:type="gramEnd"/>
          </w:p>
        </w:tc>
        <w:tc>
          <w:tcPr>
            <w:tcW w:w="0" w:type="auto"/>
            <w:tcBorders>
              <w:top w:val="single" w:sz="6" w:space="0" w:color="auto"/>
              <w:left w:val="single" w:sz="6" w:space="0" w:color="auto"/>
              <w:bottom w:val="single" w:sz="6" w:space="0" w:color="auto"/>
              <w:right w:val="single" w:sz="6" w:space="0" w:color="auto"/>
            </w:tcBorders>
            <w:hideMark/>
          </w:tcPr>
          <w:p w14:paraId="6208AF60"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64CE2917"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1BFF3BC" w14:textId="77777777" w:rsidR="00EA69AA" w:rsidRPr="00781F59" w:rsidRDefault="00EA69AA" w:rsidP="00EA69AA">
            <w:pPr>
              <w:contextualSpacing/>
              <w:rPr>
                <w:sz w:val="20"/>
                <w:szCs w:val="20"/>
              </w:rPr>
            </w:pPr>
            <w:r w:rsidRPr="00781F59">
              <w:rPr>
                <w:sz w:val="20"/>
                <w:szCs w:val="20"/>
              </w:rPr>
              <w:t>219</w:t>
            </w:r>
          </w:p>
        </w:tc>
        <w:tc>
          <w:tcPr>
            <w:tcW w:w="0" w:type="auto"/>
            <w:tcBorders>
              <w:top w:val="single" w:sz="6" w:space="0" w:color="auto"/>
              <w:left w:val="single" w:sz="6" w:space="0" w:color="auto"/>
              <w:bottom w:val="single" w:sz="6" w:space="0" w:color="auto"/>
              <w:right w:val="single" w:sz="6" w:space="0" w:color="auto"/>
            </w:tcBorders>
            <w:hideMark/>
          </w:tcPr>
          <w:p w14:paraId="6BF678BF" w14:textId="4CB10356" w:rsidR="00EA69AA" w:rsidRPr="00781F59" w:rsidRDefault="00EA69AA" w:rsidP="00EA69AA">
            <w:pPr>
              <w:contextualSpacing/>
              <w:rPr>
                <w:sz w:val="20"/>
                <w:szCs w:val="20"/>
              </w:rPr>
            </w:pPr>
            <w:r w:rsidRPr="00781F59">
              <w:rPr>
                <w:sz w:val="20"/>
                <w:szCs w:val="20"/>
              </w:rPr>
              <w:t>Karen Ahijevych, Laura Szalacha, Alai Tan 2018 Effects of menthol flavor cigarettes or total urinary menthol on biomarkers of nicotine and carcinogenic exposure and behavioral measures</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w:t>
            </w:r>
          </w:p>
        </w:tc>
        <w:tc>
          <w:tcPr>
            <w:tcW w:w="0" w:type="auto"/>
            <w:tcBorders>
              <w:top w:val="single" w:sz="6" w:space="0" w:color="auto"/>
              <w:left w:val="single" w:sz="6" w:space="0" w:color="auto"/>
              <w:bottom w:val="single" w:sz="6" w:space="0" w:color="auto"/>
              <w:right w:val="single" w:sz="6" w:space="0" w:color="auto"/>
            </w:tcBorders>
            <w:hideMark/>
          </w:tcPr>
          <w:p w14:paraId="6983151F"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772BEE33"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40B4799" w14:textId="77777777" w:rsidR="00EA69AA" w:rsidRPr="00781F59" w:rsidRDefault="00EA69AA" w:rsidP="00EA69AA">
            <w:pPr>
              <w:contextualSpacing/>
              <w:rPr>
                <w:sz w:val="20"/>
                <w:szCs w:val="20"/>
              </w:rPr>
            </w:pPr>
            <w:r w:rsidRPr="00781F59">
              <w:rPr>
                <w:sz w:val="20"/>
                <w:szCs w:val="20"/>
              </w:rPr>
              <w:t>225</w:t>
            </w:r>
          </w:p>
        </w:tc>
        <w:tc>
          <w:tcPr>
            <w:tcW w:w="0" w:type="auto"/>
            <w:tcBorders>
              <w:top w:val="single" w:sz="6" w:space="0" w:color="auto"/>
              <w:left w:val="single" w:sz="6" w:space="0" w:color="auto"/>
              <w:bottom w:val="single" w:sz="6" w:space="0" w:color="auto"/>
              <w:right w:val="single" w:sz="6" w:space="0" w:color="auto"/>
            </w:tcBorders>
            <w:hideMark/>
          </w:tcPr>
          <w:p w14:paraId="4FC6962B" w14:textId="3DD9C732" w:rsidR="00EA69AA" w:rsidRPr="00781F59" w:rsidRDefault="00EA69AA" w:rsidP="00EA69AA">
            <w:pPr>
              <w:contextualSpacing/>
              <w:rPr>
                <w:sz w:val="20"/>
                <w:szCs w:val="20"/>
              </w:rPr>
            </w:pPr>
            <w:r w:rsidRPr="00781F59">
              <w:rPr>
                <w:sz w:val="20"/>
                <w:szCs w:val="20"/>
              </w:rPr>
              <w:t>Erna J Z Krusemann, Marlou P Lasschuijt, C de Graaf, Rene A de Wijk, Pieter H Punter, Loes van Tiel, Johannes W J M Cremers, Suzanne van de Nobelen, Sanne Boesveldt, Reinskje Talhout 2018 Sensory analysis of characterising flavours: evaluating tobacco product odours using an expert panel</w:t>
            </w:r>
            <w:r w:rsidR="007F2F01">
              <w:rPr>
                <w:sz w:val="20"/>
                <w:szCs w:val="20"/>
              </w:rPr>
              <w:t>.</w:t>
            </w:r>
            <w:r w:rsidRPr="00781F59">
              <w:rPr>
                <w:sz w:val="20"/>
                <w:szCs w:val="20"/>
              </w:rPr>
              <w:t xml:space="preserve"> Tobacco control</w:t>
            </w:r>
            <w:proofErr w:type="gramStart"/>
            <w:r w:rsidRPr="00781F59">
              <w:rPr>
                <w:sz w:val="20"/>
                <w:szCs w:val="20"/>
              </w:rPr>
              <w:t>; .</w:t>
            </w:r>
            <w:proofErr w:type="gramEnd"/>
          </w:p>
        </w:tc>
        <w:tc>
          <w:tcPr>
            <w:tcW w:w="0" w:type="auto"/>
            <w:tcBorders>
              <w:top w:val="single" w:sz="6" w:space="0" w:color="auto"/>
              <w:left w:val="single" w:sz="6" w:space="0" w:color="auto"/>
              <w:bottom w:val="single" w:sz="6" w:space="0" w:color="auto"/>
              <w:right w:val="single" w:sz="6" w:space="0" w:color="auto"/>
            </w:tcBorders>
            <w:hideMark/>
          </w:tcPr>
          <w:p w14:paraId="107BC471"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55E8502B"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B5E21D8" w14:textId="77777777" w:rsidR="00EA69AA" w:rsidRPr="00781F59" w:rsidRDefault="00EA69AA" w:rsidP="00EA69AA">
            <w:pPr>
              <w:contextualSpacing/>
              <w:rPr>
                <w:sz w:val="20"/>
                <w:szCs w:val="20"/>
              </w:rPr>
            </w:pPr>
            <w:r w:rsidRPr="00781F59">
              <w:rPr>
                <w:sz w:val="20"/>
                <w:szCs w:val="20"/>
              </w:rPr>
              <w:lastRenderedPageBreak/>
              <w:t>227</w:t>
            </w:r>
          </w:p>
        </w:tc>
        <w:tc>
          <w:tcPr>
            <w:tcW w:w="0" w:type="auto"/>
            <w:tcBorders>
              <w:top w:val="single" w:sz="6" w:space="0" w:color="auto"/>
              <w:left w:val="single" w:sz="6" w:space="0" w:color="auto"/>
              <w:bottom w:val="single" w:sz="6" w:space="0" w:color="auto"/>
              <w:right w:val="single" w:sz="6" w:space="0" w:color="auto"/>
            </w:tcBorders>
            <w:hideMark/>
          </w:tcPr>
          <w:p w14:paraId="15455D79" w14:textId="66BB918B" w:rsidR="00EA69AA" w:rsidRPr="00781F59" w:rsidRDefault="00EA69AA" w:rsidP="00EA69AA">
            <w:pPr>
              <w:contextualSpacing/>
              <w:rPr>
                <w:sz w:val="20"/>
                <w:szCs w:val="20"/>
              </w:rPr>
            </w:pPr>
            <w:r w:rsidRPr="00781F59">
              <w:rPr>
                <w:sz w:val="20"/>
                <w:szCs w:val="20"/>
              </w:rPr>
              <w:t>Mary F Brunette, Joelle C Ferron, Pamela Geiger, Andrea C Villanti 2018 Menthol Cigarette use in Young Adult Smokers with Severe Mental Illnesses</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w:t>
            </w:r>
          </w:p>
        </w:tc>
        <w:tc>
          <w:tcPr>
            <w:tcW w:w="0" w:type="auto"/>
            <w:tcBorders>
              <w:top w:val="single" w:sz="6" w:space="0" w:color="auto"/>
              <w:left w:val="single" w:sz="6" w:space="0" w:color="auto"/>
              <w:bottom w:val="single" w:sz="6" w:space="0" w:color="auto"/>
              <w:right w:val="single" w:sz="6" w:space="0" w:color="auto"/>
            </w:tcBorders>
            <w:hideMark/>
          </w:tcPr>
          <w:p w14:paraId="211FA421"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1CC902BC"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C5854B7" w14:textId="77777777" w:rsidR="00EA69AA" w:rsidRPr="00781F59" w:rsidRDefault="00EA69AA" w:rsidP="00EA69AA">
            <w:pPr>
              <w:contextualSpacing/>
              <w:rPr>
                <w:sz w:val="20"/>
                <w:szCs w:val="20"/>
              </w:rPr>
            </w:pPr>
            <w:r w:rsidRPr="00781F59">
              <w:rPr>
                <w:sz w:val="20"/>
                <w:szCs w:val="20"/>
              </w:rPr>
              <w:t>228</w:t>
            </w:r>
          </w:p>
        </w:tc>
        <w:tc>
          <w:tcPr>
            <w:tcW w:w="0" w:type="auto"/>
            <w:tcBorders>
              <w:top w:val="single" w:sz="6" w:space="0" w:color="auto"/>
              <w:left w:val="single" w:sz="6" w:space="0" w:color="auto"/>
              <w:bottom w:val="single" w:sz="6" w:space="0" w:color="auto"/>
              <w:right w:val="single" w:sz="6" w:space="0" w:color="auto"/>
            </w:tcBorders>
            <w:hideMark/>
          </w:tcPr>
          <w:p w14:paraId="73B6DB2D" w14:textId="58CBAF9F" w:rsidR="00EA69AA" w:rsidRPr="00781F59" w:rsidRDefault="00EA69AA" w:rsidP="00EA69AA">
            <w:pPr>
              <w:contextualSpacing/>
              <w:rPr>
                <w:sz w:val="20"/>
                <w:szCs w:val="20"/>
              </w:rPr>
            </w:pPr>
            <w:r w:rsidRPr="00781F59">
              <w:rPr>
                <w:sz w:val="20"/>
                <w:szCs w:val="20"/>
              </w:rPr>
              <w:t xml:space="preserve">Amy M Cohn, Shyanika W Rose, Vinu Ilakkuvan, Tiffany Gray, Laurel Curry, Andrea C Villanti, Darren Mays, Eric Lindblom, Kenneth Tercyak, Charles Debnam, Ashley Mayo, Lexie Perreras 2018 Harm Perceptions of Menthol and Nonmenthol Cigarettes Differ by Brand, Race/Ethnicity, and Gender in US Adult Smokers: Results from PATH </w:t>
            </w:r>
            <w:r w:rsidR="00C840DE">
              <w:rPr>
                <w:sz w:val="20"/>
                <w:szCs w:val="20"/>
              </w:rPr>
              <w:t xml:space="preserve">wave 1. </w:t>
            </w:r>
            <w:r w:rsidRPr="00781F59">
              <w:rPr>
                <w:sz w:val="20"/>
                <w:szCs w:val="20"/>
              </w:rPr>
              <w:t xml:space="preserve">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w:t>
            </w:r>
          </w:p>
        </w:tc>
        <w:tc>
          <w:tcPr>
            <w:tcW w:w="0" w:type="auto"/>
            <w:tcBorders>
              <w:top w:val="single" w:sz="6" w:space="0" w:color="auto"/>
              <w:left w:val="single" w:sz="6" w:space="0" w:color="auto"/>
              <w:bottom w:val="single" w:sz="6" w:space="0" w:color="auto"/>
              <w:right w:val="single" w:sz="6" w:space="0" w:color="auto"/>
            </w:tcBorders>
            <w:hideMark/>
          </w:tcPr>
          <w:p w14:paraId="4903405D"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25872461"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67A9CB1" w14:textId="77777777" w:rsidR="00EA69AA" w:rsidRPr="00781F59" w:rsidRDefault="00EA69AA" w:rsidP="00EA69AA">
            <w:pPr>
              <w:contextualSpacing/>
              <w:rPr>
                <w:sz w:val="20"/>
                <w:szCs w:val="20"/>
              </w:rPr>
            </w:pPr>
            <w:r w:rsidRPr="00781F59">
              <w:rPr>
                <w:sz w:val="20"/>
                <w:szCs w:val="20"/>
              </w:rPr>
              <w:t>233</w:t>
            </w:r>
          </w:p>
        </w:tc>
        <w:tc>
          <w:tcPr>
            <w:tcW w:w="0" w:type="auto"/>
            <w:tcBorders>
              <w:top w:val="single" w:sz="6" w:space="0" w:color="auto"/>
              <w:left w:val="single" w:sz="6" w:space="0" w:color="auto"/>
              <w:bottom w:val="single" w:sz="6" w:space="0" w:color="auto"/>
              <w:right w:val="single" w:sz="6" w:space="0" w:color="auto"/>
            </w:tcBorders>
            <w:hideMark/>
          </w:tcPr>
          <w:p w14:paraId="08DA2D90" w14:textId="44CB6D2B" w:rsidR="00EA69AA" w:rsidRPr="00781F59" w:rsidRDefault="00EA69AA" w:rsidP="00EA69AA">
            <w:pPr>
              <w:contextualSpacing/>
              <w:rPr>
                <w:sz w:val="20"/>
                <w:szCs w:val="20"/>
              </w:rPr>
            </w:pPr>
            <w:r w:rsidRPr="00781F59">
              <w:rPr>
                <w:sz w:val="20"/>
                <w:szCs w:val="20"/>
              </w:rPr>
              <w:t>Jiu Ai, Kenneth M Taylor, Joseph G Lisko, Hang Tran, Clifford H Watson, Matthew R Holman 2018 Menthol levels in cigarettes from eight manufacturers</w:t>
            </w:r>
            <w:r w:rsidR="007F2F01">
              <w:rPr>
                <w:sz w:val="20"/>
                <w:szCs w:val="20"/>
              </w:rPr>
              <w:t>.</w:t>
            </w:r>
            <w:r w:rsidRPr="00781F59">
              <w:rPr>
                <w:sz w:val="20"/>
                <w:szCs w:val="20"/>
              </w:rPr>
              <w:t xml:space="preserve"> Tobacco control; 27.335.</w:t>
            </w:r>
          </w:p>
        </w:tc>
        <w:tc>
          <w:tcPr>
            <w:tcW w:w="0" w:type="auto"/>
            <w:tcBorders>
              <w:top w:val="single" w:sz="6" w:space="0" w:color="auto"/>
              <w:left w:val="single" w:sz="6" w:space="0" w:color="auto"/>
              <w:bottom w:val="single" w:sz="6" w:space="0" w:color="auto"/>
              <w:right w:val="single" w:sz="6" w:space="0" w:color="auto"/>
            </w:tcBorders>
            <w:hideMark/>
          </w:tcPr>
          <w:p w14:paraId="35129912"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1FD63CA7"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C8B52BD" w14:textId="77777777" w:rsidR="00EA69AA" w:rsidRPr="00781F59" w:rsidRDefault="00EA69AA" w:rsidP="00EA69AA">
            <w:pPr>
              <w:contextualSpacing/>
              <w:rPr>
                <w:sz w:val="20"/>
                <w:szCs w:val="20"/>
              </w:rPr>
            </w:pPr>
            <w:r w:rsidRPr="00781F59">
              <w:rPr>
                <w:sz w:val="20"/>
                <w:szCs w:val="20"/>
              </w:rPr>
              <w:t>237</w:t>
            </w:r>
          </w:p>
        </w:tc>
        <w:tc>
          <w:tcPr>
            <w:tcW w:w="0" w:type="auto"/>
            <w:tcBorders>
              <w:top w:val="single" w:sz="6" w:space="0" w:color="auto"/>
              <w:left w:val="single" w:sz="6" w:space="0" w:color="auto"/>
              <w:bottom w:val="single" w:sz="6" w:space="0" w:color="auto"/>
              <w:right w:val="single" w:sz="6" w:space="0" w:color="auto"/>
            </w:tcBorders>
            <w:hideMark/>
          </w:tcPr>
          <w:p w14:paraId="17F1EAAA" w14:textId="4B27E522" w:rsidR="00EA69AA" w:rsidRPr="00781F59" w:rsidRDefault="00EA69AA" w:rsidP="00EA69AA">
            <w:pPr>
              <w:contextualSpacing/>
              <w:rPr>
                <w:sz w:val="20"/>
                <w:szCs w:val="20"/>
              </w:rPr>
            </w:pPr>
            <w:r w:rsidRPr="00781F59">
              <w:rPr>
                <w:sz w:val="20"/>
                <w:szCs w:val="20"/>
              </w:rPr>
              <w:t>Anna Pagano, Noah R Gubner, Thao Le, Deborah Yip, Denise Williams, Kevin Delucchi, Joseph Guydish 2018 Differences in tobacco use prevalence, behaviors, and cessation services by race/ethnicity: A survey of persons in addiction treatment</w:t>
            </w:r>
            <w:r w:rsidR="007F2F01">
              <w:rPr>
                <w:sz w:val="20"/>
                <w:szCs w:val="20"/>
              </w:rPr>
              <w:t>.</w:t>
            </w:r>
            <w:r w:rsidRPr="00781F59">
              <w:rPr>
                <w:sz w:val="20"/>
                <w:szCs w:val="20"/>
              </w:rPr>
              <w:t xml:space="preserve"> Journal of substance abuse treatment; 94.9.</w:t>
            </w:r>
          </w:p>
        </w:tc>
        <w:tc>
          <w:tcPr>
            <w:tcW w:w="0" w:type="auto"/>
            <w:tcBorders>
              <w:top w:val="single" w:sz="6" w:space="0" w:color="auto"/>
              <w:left w:val="single" w:sz="6" w:space="0" w:color="auto"/>
              <w:bottom w:val="single" w:sz="6" w:space="0" w:color="auto"/>
              <w:right w:val="single" w:sz="6" w:space="0" w:color="auto"/>
            </w:tcBorders>
            <w:hideMark/>
          </w:tcPr>
          <w:p w14:paraId="36C4329B"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3470624A"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8E18C0F" w14:textId="77777777" w:rsidR="00EA69AA" w:rsidRPr="00781F59" w:rsidRDefault="00EA69AA" w:rsidP="00EA69AA">
            <w:pPr>
              <w:contextualSpacing/>
              <w:rPr>
                <w:sz w:val="20"/>
                <w:szCs w:val="20"/>
              </w:rPr>
            </w:pPr>
            <w:r w:rsidRPr="00781F59">
              <w:rPr>
                <w:sz w:val="20"/>
                <w:szCs w:val="20"/>
              </w:rPr>
              <w:t>240</w:t>
            </w:r>
          </w:p>
        </w:tc>
        <w:tc>
          <w:tcPr>
            <w:tcW w:w="0" w:type="auto"/>
            <w:tcBorders>
              <w:top w:val="single" w:sz="6" w:space="0" w:color="auto"/>
              <w:left w:val="single" w:sz="6" w:space="0" w:color="auto"/>
              <w:bottom w:val="single" w:sz="6" w:space="0" w:color="auto"/>
              <w:right w:val="single" w:sz="6" w:space="0" w:color="auto"/>
            </w:tcBorders>
            <w:hideMark/>
          </w:tcPr>
          <w:p w14:paraId="7FC720E5" w14:textId="548E3360" w:rsidR="00EA69AA" w:rsidRPr="00781F59" w:rsidRDefault="00EA69AA" w:rsidP="00EA69AA">
            <w:pPr>
              <w:contextualSpacing/>
              <w:rPr>
                <w:sz w:val="20"/>
                <w:szCs w:val="20"/>
              </w:rPr>
            </w:pPr>
            <w:r w:rsidRPr="00781F59">
              <w:rPr>
                <w:sz w:val="20"/>
                <w:szCs w:val="20"/>
              </w:rPr>
              <w:t>Hyung Soo Kim, Eun Chul Pack, Ye Ji Koo, Ye Jin Lee, Dae Kwan Sung, Seung Ha Lee, Young Soon Kim, Kyeng Hee Kwon, Kyung Min Lim, Dae Yong Jang, Dal Woong Choi 2018 Corrigendum to "Quantitative analysis of menthol and identification of other flavoring ingredients in capsule cigarettes marketed in Korea" [Regul. Toxicol. Pharmacol. 92C (2018) 420-428]</w:t>
            </w:r>
            <w:r w:rsidR="007F2F01">
              <w:rPr>
                <w:sz w:val="20"/>
                <w:szCs w:val="20"/>
              </w:rPr>
              <w:t>.</w:t>
            </w:r>
            <w:r w:rsidRPr="00781F59">
              <w:rPr>
                <w:sz w:val="20"/>
                <w:szCs w:val="20"/>
              </w:rPr>
              <w:t xml:space="preserve"> Regulatory toxicology and </w:t>
            </w:r>
            <w:proofErr w:type="gramStart"/>
            <w:r w:rsidRPr="00781F59">
              <w:rPr>
                <w:sz w:val="20"/>
                <w:szCs w:val="20"/>
              </w:rPr>
              <w:t>pharmacology :</w:t>
            </w:r>
            <w:proofErr w:type="gramEnd"/>
            <w:r w:rsidRPr="00781F59">
              <w:rPr>
                <w:sz w:val="20"/>
                <w:szCs w:val="20"/>
              </w:rPr>
              <w:t xml:space="preserve"> RTP; 95.448.</w:t>
            </w:r>
          </w:p>
        </w:tc>
        <w:tc>
          <w:tcPr>
            <w:tcW w:w="0" w:type="auto"/>
            <w:tcBorders>
              <w:top w:val="single" w:sz="6" w:space="0" w:color="auto"/>
              <w:left w:val="single" w:sz="6" w:space="0" w:color="auto"/>
              <w:bottom w:val="single" w:sz="6" w:space="0" w:color="auto"/>
              <w:right w:val="single" w:sz="6" w:space="0" w:color="auto"/>
            </w:tcBorders>
            <w:hideMark/>
          </w:tcPr>
          <w:p w14:paraId="1545DE5D"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553310A4"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67775D1" w14:textId="77777777" w:rsidR="00EA69AA" w:rsidRPr="00781F59" w:rsidRDefault="00EA69AA" w:rsidP="00EA69AA">
            <w:pPr>
              <w:contextualSpacing/>
              <w:rPr>
                <w:sz w:val="20"/>
                <w:szCs w:val="20"/>
              </w:rPr>
            </w:pPr>
            <w:r w:rsidRPr="00781F59">
              <w:rPr>
                <w:sz w:val="20"/>
                <w:szCs w:val="20"/>
              </w:rPr>
              <w:t>241</w:t>
            </w:r>
          </w:p>
        </w:tc>
        <w:tc>
          <w:tcPr>
            <w:tcW w:w="0" w:type="auto"/>
            <w:tcBorders>
              <w:top w:val="single" w:sz="6" w:space="0" w:color="auto"/>
              <w:left w:val="single" w:sz="6" w:space="0" w:color="auto"/>
              <w:bottom w:val="single" w:sz="6" w:space="0" w:color="auto"/>
              <w:right w:val="single" w:sz="6" w:space="0" w:color="auto"/>
            </w:tcBorders>
            <w:hideMark/>
          </w:tcPr>
          <w:p w14:paraId="3FEFB0F6" w14:textId="6E55C489" w:rsidR="00EA69AA" w:rsidRPr="00781F59" w:rsidRDefault="00EA69AA" w:rsidP="00EA69AA">
            <w:pPr>
              <w:contextualSpacing/>
              <w:rPr>
                <w:sz w:val="20"/>
                <w:szCs w:val="20"/>
              </w:rPr>
            </w:pPr>
            <w:r w:rsidRPr="00781F59">
              <w:rPr>
                <w:sz w:val="20"/>
                <w:szCs w:val="20"/>
              </w:rPr>
              <w:t xml:space="preserve">Andrea C Villanti, Diann E Gaalema, Jennifer W Tidey, Allison N Kurti, Stacey C Sigmon, Stephen T Higgins 2018 Co-occurring vulnerabilities and menthol use in U.S. young adult cigarette smokers: Findings from </w:t>
            </w:r>
            <w:r w:rsidR="00C840DE">
              <w:rPr>
                <w:sz w:val="20"/>
                <w:szCs w:val="20"/>
              </w:rPr>
              <w:t>wave 1</w:t>
            </w:r>
            <w:r w:rsidRPr="00781F59">
              <w:rPr>
                <w:sz w:val="20"/>
                <w:szCs w:val="20"/>
              </w:rPr>
              <w:t xml:space="preserve"> of the PATH Study, 2013-2014</w:t>
            </w:r>
            <w:r w:rsidR="007F2F01">
              <w:rPr>
                <w:sz w:val="20"/>
                <w:szCs w:val="20"/>
              </w:rPr>
              <w:t>.</w:t>
            </w:r>
            <w:r w:rsidRPr="00781F59">
              <w:rPr>
                <w:sz w:val="20"/>
                <w:szCs w:val="20"/>
              </w:rPr>
              <w:t xml:space="preserve"> Preventive medicine; 117.43.</w:t>
            </w:r>
          </w:p>
        </w:tc>
        <w:tc>
          <w:tcPr>
            <w:tcW w:w="0" w:type="auto"/>
            <w:tcBorders>
              <w:top w:val="single" w:sz="6" w:space="0" w:color="auto"/>
              <w:left w:val="single" w:sz="6" w:space="0" w:color="auto"/>
              <w:bottom w:val="single" w:sz="6" w:space="0" w:color="auto"/>
              <w:right w:val="single" w:sz="6" w:space="0" w:color="auto"/>
            </w:tcBorders>
            <w:hideMark/>
          </w:tcPr>
          <w:p w14:paraId="6964A5A1"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04F8300A"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31246C9" w14:textId="77777777" w:rsidR="00EA69AA" w:rsidRPr="00781F59" w:rsidRDefault="00EA69AA" w:rsidP="00EA69AA">
            <w:pPr>
              <w:contextualSpacing/>
              <w:rPr>
                <w:sz w:val="20"/>
                <w:szCs w:val="20"/>
              </w:rPr>
            </w:pPr>
            <w:r w:rsidRPr="00781F59">
              <w:rPr>
                <w:sz w:val="20"/>
                <w:szCs w:val="20"/>
              </w:rPr>
              <w:t>243</w:t>
            </w:r>
          </w:p>
        </w:tc>
        <w:tc>
          <w:tcPr>
            <w:tcW w:w="0" w:type="auto"/>
            <w:tcBorders>
              <w:top w:val="single" w:sz="6" w:space="0" w:color="auto"/>
              <w:left w:val="single" w:sz="6" w:space="0" w:color="auto"/>
              <w:bottom w:val="single" w:sz="6" w:space="0" w:color="auto"/>
              <w:right w:val="single" w:sz="6" w:space="0" w:color="auto"/>
            </w:tcBorders>
            <w:hideMark/>
          </w:tcPr>
          <w:p w14:paraId="0F325361" w14:textId="6B61B3BA" w:rsidR="00EA69AA" w:rsidRPr="00781F59" w:rsidRDefault="00EA69AA" w:rsidP="00EA69AA">
            <w:pPr>
              <w:contextualSpacing/>
              <w:rPr>
                <w:sz w:val="20"/>
                <w:szCs w:val="20"/>
              </w:rPr>
            </w:pPr>
            <w:r w:rsidRPr="00781F59">
              <w:rPr>
                <w:sz w:val="20"/>
                <w:szCs w:val="20"/>
              </w:rPr>
              <w:t>Eric Craig Leas, John P Pierce, Claudiu V Dimofte, Dennis R Trinidad, David R Strong 2018 Standardised cigarette packaging may reduce the implied safety of Natural American Spirit cigarettes</w:t>
            </w:r>
            <w:r w:rsidR="007F2F01">
              <w:rPr>
                <w:sz w:val="20"/>
                <w:szCs w:val="20"/>
              </w:rPr>
              <w:t>.</w:t>
            </w:r>
            <w:r w:rsidRPr="00781F59">
              <w:rPr>
                <w:sz w:val="20"/>
                <w:szCs w:val="20"/>
              </w:rPr>
              <w:t xml:space="preserve"> Tobacco control; </w:t>
            </w:r>
            <w:proofErr w:type="gramStart"/>
            <w:r w:rsidRPr="00781F59">
              <w:rPr>
                <w:sz w:val="20"/>
                <w:szCs w:val="20"/>
              </w:rPr>
              <w:t>27.e</w:t>
            </w:r>
            <w:proofErr w:type="gramEnd"/>
            <w:r w:rsidRPr="00781F59">
              <w:rPr>
                <w:sz w:val="20"/>
                <w:szCs w:val="20"/>
              </w:rPr>
              <w:t>118.</w:t>
            </w:r>
          </w:p>
        </w:tc>
        <w:tc>
          <w:tcPr>
            <w:tcW w:w="0" w:type="auto"/>
            <w:tcBorders>
              <w:top w:val="single" w:sz="6" w:space="0" w:color="auto"/>
              <w:left w:val="single" w:sz="6" w:space="0" w:color="auto"/>
              <w:bottom w:val="single" w:sz="6" w:space="0" w:color="auto"/>
              <w:right w:val="single" w:sz="6" w:space="0" w:color="auto"/>
            </w:tcBorders>
            <w:hideMark/>
          </w:tcPr>
          <w:p w14:paraId="18B57939"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5A8AABB8"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057A92E" w14:textId="77777777" w:rsidR="00EA69AA" w:rsidRPr="00781F59" w:rsidRDefault="00EA69AA" w:rsidP="00EA69AA">
            <w:pPr>
              <w:contextualSpacing/>
              <w:rPr>
                <w:sz w:val="20"/>
                <w:szCs w:val="20"/>
              </w:rPr>
            </w:pPr>
            <w:r w:rsidRPr="00781F59">
              <w:rPr>
                <w:sz w:val="20"/>
                <w:szCs w:val="20"/>
              </w:rPr>
              <w:t>245</w:t>
            </w:r>
          </w:p>
        </w:tc>
        <w:tc>
          <w:tcPr>
            <w:tcW w:w="0" w:type="auto"/>
            <w:tcBorders>
              <w:top w:val="single" w:sz="6" w:space="0" w:color="auto"/>
              <w:left w:val="single" w:sz="6" w:space="0" w:color="auto"/>
              <w:bottom w:val="single" w:sz="6" w:space="0" w:color="auto"/>
              <w:right w:val="single" w:sz="6" w:space="0" w:color="auto"/>
            </w:tcBorders>
            <w:hideMark/>
          </w:tcPr>
          <w:p w14:paraId="7E02105D" w14:textId="1E38DF6F" w:rsidR="00EA69AA" w:rsidRPr="00781F59" w:rsidRDefault="00EA69AA" w:rsidP="00EA69AA">
            <w:pPr>
              <w:contextualSpacing/>
              <w:rPr>
                <w:sz w:val="20"/>
                <w:szCs w:val="20"/>
              </w:rPr>
            </w:pPr>
            <w:r w:rsidRPr="00781F59">
              <w:rPr>
                <w:sz w:val="20"/>
                <w:szCs w:val="20"/>
              </w:rPr>
              <w:t>Sarah D Mills, Lisa Henriksen, Shelley D Golden, Rachel Kurtzman, Amanda Y Kong, Tara L Queen, Kurt M Ribisl 2018 Disparities in retail marketing for menthol cigarettes in the United States, 2015</w:t>
            </w:r>
            <w:r w:rsidR="007F2F01">
              <w:rPr>
                <w:sz w:val="20"/>
                <w:szCs w:val="20"/>
              </w:rPr>
              <w:t>.</w:t>
            </w:r>
            <w:r w:rsidRPr="00781F59">
              <w:rPr>
                <w:sz w:val="20"/>
                <w:szCs w:val="20"/>
              </w:rPr>
              <w:t xml:space="preserve"> Health &amp; place; 53.62.</w:t>
            </w:r>
          </w:p>
        </w:tc>
        <w:tc>
          <w:tcPr>
            <w:tcW w:w="0" w:type="auto"/>
            <w:tcBorders>
              <w:top w:val="single" w:sz="6" w:space="0" w:color="auto"/>
              <w:left w:val="single" w:sz="6" w:space="0" w:color="auto"/>
              <w:bottom w:val="single" w:sz="6" w:space="0" w:color="auto"/>
              <w:right w:val="single" w:sz="6" w:space="0" w:color="auto"/>
            </w:tcBorders>
            <w:hideMark/>
          </w:tcPr>
          <w:p w14:paraId="303ACB01"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03AD9837"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4EAA131" w14:textId="77777777" w:rsidR="00EA69AA" w:rsidRPr="00781F59" w:rsidRDefault="00EA69AA" w:rsidP="00EA69AA">
            <w:pPr>
              <w:contextualSpacing/>
              <w:rPr>
                <w:sz w:val="20"/>
                <w:szCs w:val="20"/>
              </w:rPr>
            </w:pPr>
            <w:r w:rsidRPr="00781F59">
              <w:rPr>
                <w:sz w:val="20"/>
                <w:szCs w:val="20"/>
              </w:rPr>
              <w:t>249</w:t>
            </w:r>
          </w:p>
        </w:tc>
        <w:tc>
          <w:tcPr>
            <w:tcW w:w="0" w:type="auto"/>
            <w:tcBorders>
              <w:top w:val="single" w:sz="6" w:space="0" w:color="auto"/>
              <w:left w:val="single" w:sz="6" w:space="0" w:color="auto"/>
              <w:bottom w:val="single" w:sz="6" w:space="0" w:color="auto"/>
              <w:right w:val="single" w:sz="6" w:space="0" w:color="auto"/>
            </w:tcBorders>
            <w:hideMark/>
          </w:tcPr>
          <w:p w14:paraId="08368522" w14:textId="06E0585B" w:rsidR="00EA69AA" w:rsidRPr="00781F59" w:rsidRDefault="00EA69AA" w:rsidP="00EA69AA">
            <w:pPr>
              <w:contextualSpacing/>
              <w:rPr>
                <w:sz w:val="20"/>
                <w:szCs w:val="20"/>
              </w:rPr>
            </w:pPr>
            <w:r w:rsidRPr="00781F59">
              <w:rPr>
                <w:sz w:val="20"/>
                <w:szCs w:val="20"/>
              </w:rPr>
              <w:t>Mark G LeSage, John R Smethells, Andrew C Harris 2018 Status and Future Directions of Preclinical Behavioral Pharmacology in Tobacco Regulatory Science</w:t>
            </w:r>
            <w:r w:rsidR="007F2F01">
              <w:rPr>
                <w:sz w:val="20"/>
                <w:szCs w:val="20"/>
              </w:rPr>
              <w:t>.</w:t>
            </w:r>
            <w:r w:rsidRPr="00781F59">
              <w:rPr>
                <w:sz w:val="20"/>
                <w:szCs w:val="20"/>
              </w:rPr>
              <w:t xml:space="preserve"> Behavior analysis (Washington, D.C.); 18.252.</w:t>
            </w:r>
          </w:p>
        </w:tc>
        <w:tc>
          <w:tcPr>
            <w:tcW w:w="0" w:type="auto"/>
            <w:tcBorders>
              <w:top w:val="single" w:sz="6" w:space="0" w:color="auto"/>
              <w:left w:val="single" w:sz="6" w:space="0" w:color="auto"/>
              <w:bottom w:val="single" w:sz="6" w:space="0" w:color="auto"/>
              <w:right w:val="single" w:sz="6" w:space="0" w:color="auto"/>
            </w:tcBorders>
            <w:hideMark/>
          </w:tcPr>
          <w:p w14:paraId="2E9E22E6"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775B80B0"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5B53479" w14:textId="77777777" w:rsidR="00EA69AA" w:rsidRPr="00781F59" w:rsidRDefault="00EA69AA" w:rsidP="00EA69AA">
            <w:pPr>
              <w:contextualSpacing/>
              <w:rPr>
                <w:sz w:val="20"/>
                <w:szCs w:val="20"/>
              </w:rPr>
            </w:pPr>
            <w:r w:rsidRPr="00781F59">
              <w:rPr>
                <w:sz w:val="20"/>
                <w:szCs w:val="20"/>
              </w:rPr>
              <w:t>251</w:t>
            </w:r>
          </w:p>
        </w:tc>
        <w:tc>
          <w:tcPr>
            <w:tcW w:w="0" w:type="auto"/>
            <w:tcBorders>
              <w:top w:val="single" w:sz="6" w:space="0" w:color="auto"/>
              <w:left w:val="single" w:sz="6" w:space="0" w:color="auto"/>
              <w:bottom w:val="single" w:sz="6" w:space="0" w:color="auto"/>
              <w:right w:val="single" w:sz="6" w:space="0" w:color="auto"/>
            </w:tcBorders>
            <w:hideMark/>
          </w:tcPr>
          <w:p w14:paraId="03AACC2B" w14:textId="67AA42EB" w:rsidR="00EA69AA" w:rsidRPr="00781F59" w:rsidRDefault="00EA69AA" w:rsidP="00EA69AA">
            <w:pPr>
              <w:contextualSpacing/>
              <w:rPr>
                <w:sz w:val="20"/>
                <w:szCs w:val="20"/>
              </w:rPr>
            </w:pPr>
            <w:r w:rsidRPr="00781F59">
              <w:rPr>
                <w:sz w:val="20"/>
                <w:szCs w:val="20"/>
              </w:rPr>
              <w:t xml:space="preserve">Phoenix Alicia Matthews, Amanda C Blok, Joseph G L Lee, Brian Hitsman, Lisa Sanchez-Johnsen, Karriem Watson, Elizabeth Breen, Raymond </w:t>
            </w:r>
            <w:proofErr w:type="gramStart"/>
            <w:r w:rsidRPr="00781F59">
              <w:rPr>
                <w:sz w:val="20"/>
                <w:szCs w:val="20"/>
              </w:rPr>
              <w:t>Ruiz,Scout</w:t>
            </w:r>
            <w:proofErr w:type="gramEnd"/>
            <w:r w:rsidRPr="00781F59">
              <w:rPr>
                <w:sz w:val="20"/>
                <w:szCs w:val="20"/>
              </w:rPr>
              <w:t>, Melissa A Simon, Marian Fitzgibbon, Laura C Hein, Robert Winn 2018 SBM recommends policy support to reduce smoking disparities for sexual and gender minorities</w:t>
            </w:r>
            <w:r w:rsidR="007F2F01">
              <w:rPr>
                <w:sz w:val="20"/>
                <w:szCs w:val="20"/>
              </w:rPr>
              <w:t>.</w:t>
            </w:r>
            <w:r w:rsidRPr="00781F59">
              <w:rPr>
                <w:sz w:val="20"/>
                <w:szCs w:val="20"/>
              </w:rPr>
              <w:t xml:space="preserve"> Translational behavioral medicine; 8.692.</w:t>
            </w:r>
          </w:p>
        </w:tc>
        <w:tc>
          <w:tcPr>
            <w:tcW w:w="0" w:type="auto"/>
            <w:tcBorders>
              <w:top w:val="single" w:sz="6" w:space="0" w:color="auto"/>
              <w:left w:val="single" w:sz="6" w:space="0" w:color="auto"/>
              <w:bottom w:val="single" w:sz="6" w:space="0" w:color="auto"/>
              <w:right w:val="single" w:sz="6" w:space="0" w:color="auto"/>
            </w:tcBorders>
            <w:hideMark/>
          </w:tcPr>
          <w:p w14:paraId="4A6748AA"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17A4CE7C"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C64E577" w14:textId="77777777" w:rsidR="00EA69AA" w:rsidRPr="00781F59" w:rsidRDefault="00EA69AA" w:rsidP="00EA69AA">
            <w:pPr>
              <w:contextualSpacing/>
              <w:rPr>
                <w:sz w:val="20"/>
                <w:szCs w:val="20"/>
              </w:rPr>
            </w:pPr>
            <w:r w:rsidRPr="00781F59">
              <w:rPr>
                <w:sz w:val="20"/>
                <w:szCs w:val="20"/>
              </w:rPr>
              <w:t>252</w:t>
            </w:r>
          </w:p>
        </w:tc>
        <w:tc>
          <w:tcPr>
            <w:tcW w:w="0" w:type="auto"/>
            <w:tcBorders>
              <w:top w:val="single" w:sz="6" w:space="0" w:color="auto"/>
              <w:left w:val="single" w:sz="6" w:space="0" w:color="auto"/>
              <w:bottom w:val="single" w:sz="6" w:space="0" w:color="auto"/>
              <w:right w:val="single" w:sz="6" w:space="0" w:color="auto"/>
            </w:tcBorders>
            <w:hideMark/>
          </w:tcPr>
          <w:p w14:paraId="15C3ADB8" w14:textId="77777777" w:rsidR="00EA69AA" w:rsidRPr="00781F59" w:rsidRDefault="00EA69AA" w:rsidP="00EA69AA">
            <w:pPr>
              <w:contextualSpacing/>
              <w:rPr>
                <w:sz w:val="20"/>
                <w:szCs w:val="20"/>
              </w:rPr>
            </w:pPr>
            <w:r w:rsidRPr="00781F59">
              <w:rPr>
                <w:sz w:val="20"/>
                <w:szCs w:val="20"/>
              </w:rPr>
              <w:t>Anna Pagano, Noah Gubner, Thao Le, Joseph Guydish 2018 Cigarette smoking and quit attempts among Latinos in substance use disorder treatment. The American journal of drug and alcohol abuse; 44.660.</w:t>
            </w:r>
          </w:p>
        </w:tc>
        <w:tc>
          <w:tcPr>
            <w:tcW w:w="0" w:type="auto"/>
            <w:tcBorders>
              <w:top w:val="single" w:sz="6" w:space="0" w:color="auto"/>
              <w:left w:val="single" w:sz="6" w:space="0" w:color="auto"/>
              <w:bottom w:val="single" w:sz="6" w:space="0" w:color="auto"/>
              <w:right w:val="single" w:sz="6" w:space="0" w:color="auto"/>
            </w:tcBorders>
            <w:hideMark/>
          </w:tcPr>
          <w:p w14:paraId="0EEC3B1F"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1CE42236"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89223B2" w14:textId="77777777" w:rsidR="00EA69AA" w:rsidRPr="00781F59" w:rsidRDefault="00EA69AA" w:rsidP="00EA69AA">
            <w:pPr>
              <w:contextualSpacing/>
              <w:rPr>
                <w:sz w:val="20"/>
                <w:szCs w:val="20"/>
              </w:rPr>
            </w:pPr>
            <w:r w:rsidRPr="00781F59">
              <w:rPr>
                <w:sz w:val="20"/>
                <w:szCs w:val="20"/>
              </w:rPr>
              <w:t>253</w:t>
            </w:r>
          </w:p>
        </w:tc>
        <w:tc>
          <w:tcPr>
            <w:tcW w:w="0" w:type="auto"/>
            <w:tcBorders>
              <w:top w:val="single" w:sz="6" w:space="0" w:color="auto"/>
              <w:left w:val="single" w:sz="6" w:space="0" w:color="auto"/>
              <w:bottom w:val="single" w:sz="6" w:space="0" w:color="auto"/>
              <w:right w:val="single" w:sz="6" w:space="0" w:color="auto"/>
            </w:tcBorders>
            <w:hideMark/>
          </w:tcPr>
          <w:p w14:paraId="0970236F" w14:textId="09D6237E" w:rsidR="00EA69AA" w:rsidRPr="00781F59" w:rsidRDefault="00EA69AA" w:rsidP="00EA69AA">
            <w:pPr>
              <w:contextualSpacing/>
              <w:rPr>
                <w:sz w:val="20"/>
                <w:szCs w:val="20"/>
              </w:rPr>
            </w:pPr>
            <w:r w:rsidRPr="00781F59">
              <w:rPr>
                <w:sz w:val="20"/>
                <w:szCs w:val="20"/>
              </w:rPr>
              <w:t>Saul Shiffman, Sarah Scholl 2018 Increases in Cigarette Consumption and Decreases in Smoking Intensity When Nondaily Smokers Are Provided With Free Cigarettes</w:t>
            </w:r>
            <w:r w:rsidR="007F2F01">
              <w:rPr>
                <w:sz w:val="20"/>
                <w:szCs w:val="20"/>
              </w:rPr>
              <w:t>.</w:t>
            </w:r>
            <w:r w:rsidRPr="00781F59">
              <w:rPr>
                <w:sz w:val="20"/>
                <w:szCs w:val="20"/>
              </w:rPr>
              <w:t xml:space="preserve"> Nicotine &amp; </w:t>
            </w:r>
            <w:r w:rsidRPr="00781F59">
              <w:rPr>
                <w:sz w:val="20"/>
                <w:szCs w:val="20"/>
              </w:rPr>
              <w:lastRenderedPageBreak/>
              <w:t xml:space="preserve">tobacco </w:t>
            </w:r>
            <w:proofErr w:type="gramStart"/>
            <w:r w:rsidRPr="00781F59">
              <w:rPr>
                <w:sz w:val="20"/>
                <w:szCs w:val="20"/>
              </w:rPr>
              <w:t>research :</w:t>
            </w:r>
            <w:proofErr w:type="gramEnd"/>
            <w:r w:rsidRPr="00781F59">
              <w:rPr>
                <w:sz w:val="20"/>
                <w:szCs w:val="20"/>
              </w:rPr>
              <w:t xml:space="preserve"> official journal of the Society for Research on Nicotine and Tobacco; 20.1237.</w:t>
            </w:r>
          </w:p>
        </w:tc>
        <w:tc>
          <w:tcPr>
            <w:tcW w:w="0" w:type="auto"/>
            <w:tcBorders>
              <w:top w:val="single" w:sz="6" w:space="0" w:color="auto"/>
              <w:left w:val="single" w:sz="6" w:space="0" w:color="auto"/>
              <w:bottom w:val="single" w:sz="6" w:space="0" w:color="auto"/>
              <w:right w:val="single" w:sz="6" w:space="0" w:color="auto"/>
            </w:tcBorders>
            <w:hideMark/>
          </w:tcPr>
          <w:p w14:paraId="2E0BFC8B" w14:textId="77777777" w:rsidR="00EA69AA" w:rsidRPr="00781F59" w:rsidRDefault="00EA69AA" w:rsidP="00EA69AA">
            <w:pPr>
              <w:contextualSpacing/>
              <w:rPr>
                <w:sz w:val="20"/>
                <w:szCs w:val="20"/>
              </w:rPr>
            </w:pPr>
            <w:r w:rsidRPr="00781F59">
              <w:rPr>
                <w:sz w:val="20"/>
                <w:szCs w:val="20"/>
              </w:rPr>
              <w:lastRenderedPageBreak/>
              <w:t>Does not address a KQ</w:t>
            </w:r>
          </w:p>
        </w:tc>
      </w:tr>
      <w:tr w:rsidR="00EA69AA" w:rsidRPr="00781F59" w14:paraId="399483F7"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701308E" w14:textId="77777777" w:rsidR="00EA69AA" w:rsidRPr="00781F59" w:rsidRDefault="00EA69AA" w:rsidP="00EA69AA">
            <w:pPr>
              <w:contextualSpacing/>
              <w:rPr>
                <w:sz w:val="20"/>
                <w:szCs w:val="20"/>
              </w:rPr>
            </w:pPr>
            <w:r w:rsidRPr="00781F59">
              <w:rPr>
                <w:sz w:val="20"/>
                <w:szCs w:val="20"/>
              </w:rPr>
              <w:t>258</w:t>
            </w:r>
          </w:p>
        </w:tc>
        <w:tc>
          <w:tcPr>
            <w:tcW w:w="0" w:type="auto"/>
            <w:tcBorders>
              <w:top w:val="single" w:sz="6" w:space="0" w:color="auto"/>
              <w:left w:val="single" w:sz="6" w:space="0" w:color="auto"/>
              <w:bottom w:val="single" w:sz="6" w:space="0" w:color="auto"/>
              <w:right w:val="single" w:sz="6" w:space="0" w:color="auto"/>
            </w:tcBorders>
            <w:hideMark/>
          </w:tcPr>
          <w:p w14:paraId="03B0A79C" w14:textId="771C3E62" w:rsidR="00EA69AA" w:rsidRPr="00781F59" w:rsidRDefault="00EA69AA" w:rsidP="00EA69AA">
            <w:pPr>
              <w:contextualSpacing/>
              <w:rPr>
                <w:sz w:val="20"/>
                <w:szCs w:val="20"/>
              </w:rPr>
            </w:pPr>
            <w:r w:rsidRPr="00781F59">
              <w:rPr>
                <w:sz w:val="20"/>
                <w:szCs w:val="20"/>
              </w:rPr>
              <w:t>Joanne D'Silva, Amy M Cohn, Amanda L Johnson, Andrea C Villanti 2018 Differences in Subjective Experiences to First Use of Menthol and Nonmenthol Cigarettes in a National Sample of Young Adult Cigarette Smokers</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20.1062.</w:t>
            </w:r>
          </w:p>
        </w:tc>
        <w:tc>
          <w:tcPr>
            <w:tcW w:w="0" w:type="auto"/>
            <w:tcBorders>
              <w:top w:val="single" w:sz="6" w:space="0" w:color="auto"/>
              <w:left w:val="single" w:sz="6" w:space="0" w:color="auto"/>
              <w:bottom w:val="single" w:sz="6" w:space="0" w:color="auto"/>
              <w:right w:val="single" w:sz="6" w:space="0" w:color="auto"/>
            </w:tcBorders>
            <w:hideMark/>
          </w:tcPr>
          <w:p w14:paraId="2B1AAE11"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003F3C98"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19760A4" w14:textId="77777777" w:rsidR="00EA69AA" w:rsidRPr="00781F59" w:rsidRDefault="00EA69AA" w:rsidP="00EA69AA">
            <w:pPr>
              <w:contextualSpacing/>
              <w:rPr>
                <w:sz w:val="20"/>
                <w:szCs w:val="20"/>
              </w:rPr>
            </w:pPr>
            <w:r w:rsidRPr="00781F59">
              <w:rPr>
                <w:sz w:val="20"/>
                <w:szCs w:val="20"/>
              </w:rPr>
              <w:t>259</w:t>
            </w:r>
          </w:p>
        </w:tc>
        <w:tc>
          <w:tcPr>
            <w:tcW w:w="0" w:type="auto"/>
            <w:tcBorders>
              <w:top w:val="single" w:sz="6" w:space="0" w:color="auto"/>
              <w:left w:val="single" w:sz="6" w:space="0" w:color="auto"/>
              <w:bottom w:val="single" w:sz="6" w:space="0" w:color="auto"/>
              <w:right w:val="single" w:sz="6" w:space="0" w:color="auto"/>
            </w:tcBorders>
            <w:hideMark/>
          </w:tcPr>
          <w:p w14:paraId="7763391C" w14:textId="11923CDA" w:rsidR="00EA69AA" w:rsidRPr="00781F59" w:rsidRDefault="00EA69AA" w:rsidP="00EA69AA">
            <w:pPr>
              <w:contextualSpacing/>
              <w:rPr>
                <w:sz w:val="20"/>
                <w:szCs w:val="20"/>
              </w:rPr>
            </w:pPr>
            <w:r w:rsidRPr="00781F59">
              <w:rPr>
                <w:sz w:val="20"/>
                <w:szCs w:val="20"/>
              </w:rPr>
              <w:t>Olivia A Wackowski, Kiameesha R Evans, Melissa B Harrell, Alexandra Loukas, M Jane Lewis, Cristine D Delnevo, Cheryl L Perry 2018 In Their Own Words: Young Adults' Menthol Cigarette Initiation, Perceptions, Experiences and Regulation Perspectives</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20.1076.</w:t>
            </w:r>
          </w:p>
        </w:tc>
        <w:tc>
          <w:tcPr>
            <w:tcW w:w="0" w:type="auto"/>
            <w:tcBorders>
              <w:top w:val="single" w:sz="6" w:space="0" w:color="auto"/>
              <w:left w:val="single" w:sz="6" w:space="0" w:color="auto"/>
              <w:bottom w:val="single" w:sz="6" w:space="0" w:color="auto"/>
              <w:right w:val="single" w:sz="6" w:space="0" w:color="auto"/>
            </w:tcBorders>
            <w:hideMark/>
          </w:tcPr>
          <w:p w14:paraId="3492D697"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3DD4246D"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5044F9D" w14:textId="77777777" w:rsidR="00EA69AA" w:rsidRPr="00781F59" w:rsidRDefault="00EA69AA" w:rsidP="00EA69AA">
            <w:pPr>
              <w:contextualSpacing/>
              <w:rPr>
                <w:sz w:val="20"/>
                <w:szCs w:val="20"/>
              </w:rPr>
            </w:pPr>
            <w:r w:rsidRPr="00781F59">
              <w:rPr>
                <w:sz w:val="20"/>
                <w:szCs w:val="20"/>
              </w:rPr>
              <w:t>262</w:t>
            </w:r>
          </w:p>
        </w:tc>
        <w:tc>
          <w:tcPr>
            <w:tcW w:w="0" w:type="auto"/>
            <w:tcBorders>
              <w:top w:val="single" w:sz="6" w:space="0" w:color="auto"/>
              <w:left w:val="single" w:sz="6" w:space="0" w:color="auto"/>
              <w:bottom w:val="single" w:sz="6" w:space="0" w:color="auto"/>
              <w:right w:val="single" w:sz="6" w:space="0" w:color="auto"/>
            </w:tcBorders>
            <w:hideMark/>
          </w:tcPr>
          <w:p w14:paraId="616EFCF2" w14:textId="3235256D" w:rsidR="00EA69AA" w:rsidRPr="00781F59" w:rsidRDefault="00EA69AA" w:rsidP="00EA69AA">
            <w:pPr>
              <w:contextualSpacing/>
              <w:rPr>
                <w:sz w:val="20"/>
                <w:szCs w:val="20"/>
              </w:rPr>
            </w:pPr>
            <w:r w:rsidRPr="00781F59">
              <w:rPr>
                <w:sz w:val="20"/>
                <w:szCs w:val="20"/>
              </w:rPr>
              <w:t>Jessica M Rath, Marisa Greenberg, Lindsay Pitzer, Brittany Emelle, Molly Green, Shiyang Michael Liu, Jeffrey Willett, Shyanika W Rose, Elizabeth C Hair, Donna Vallone 2018 The Association Between Menthol Perceptions and Support for a Policy Ban Among US Smokers</w:t>
            </w:r>
            <w:r w:rsidR="007F2F01">
              <w:rPr>
                <w:sz w:val="20"/>
                <w:szCs w:val="20"/>
              </w:rPr>
              <w:t>.</w:t>
            </w:r>
            <w:r w:rsidRPr="00781F59">
              <w:rPr>
                <w:sz w:val="20"/>
                <w:szCs w:val="20"/>
              </w:rPr>
              <w:t xml:space="preserve"> Ethnicity &amp; disease; 28.177.</w:t>
            </w:r>
          </w:p>
        </w:tc>
        <w:tc>
          <w:tcPr>
            <w:tcW w:w="0" w:type="auto"/>
            <w:tcBorders>
              <w:top w:val="single" w:sz="6" w:space="0" w:color="auto"/>
              <w:left w:val="single" w:sz="6" w:space="0" w:color="auto"/>
              <w:bottom w:val="single" w:sz="6" w:space="0" w:color="auto"/>
              <w:right w:val="single" w:sz="6" w:space="0" w:color="auto"/>
            </w:tcBorders>
            <w:hideMark/>
          </w:tcPr>
          <w:p w14:paraId="79EABFFC"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60A51D02"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E86496F" w14:textId="77777777" w:rsidR="00EA69AA" w:rsidRPr="00781F59" w:rsidRDefault="00EA69AA" w:rsidP="00EA69AA">
            <w:pPr>
              <w:contextualSpacing/>
              <w:rPr>
                <w:sz w:val="20"/>
                <w:szCs w:val="20"/>
              </w:rPr>
            </w:pPr>
            <w:r w:rsidRPr="00781F59">
              <w:rPr>
                <w:sz w:val="20"/>
                <w:szCs w:val="20"/>
              </w:rPr>
              <w:t>264</w:t>
            </w:r>
          </w:p>
        </w:tc>
        <w:tc>
          <w:tcPr>
            <w:tcW w:w="0" w:type="auto"/>
            <w:tcBorders>
              <w:top w:val="single" w:sz="6" w:space="0" w:color="auto"/>
              <w:left w:val="single" w:sz="6" w:space="0" w:color="auto"/>
              <w:bottom w:val="single" w:sz="6" w:space="0" w:color="auto"/>
              <w:right w:val="single" w:sz="6" w:space="0" w:color="auto"/>
            </w:tcBorders>
            <w:hideMark/>
          </w:tcPr>
          <w:p w14:paraId="50BBE703" w14:textId="3BE9A336" w:rsidR="00EA69AA" w:rsidRPr="00781F59" w:rsidRDefault="00EA69AA" w:rsidP="00EA69AA">
            <w:pPr>
              <w:contextualSpacing/>
              <w:rPr>
                <w:sz w:val="20"/>
                <w:szCs w:val="20"/>
              </w:rPr>
            </w:pPr>
            <w:r w:rsidRPr="00781F59">
              <w:rPr>
                <w:sz w:val="20"/>
                <w:szCs w:val="20"/>
              </w:rPr>
              <w:t>Monica Webb Hooper 2018 Editorial: Preventing Tobacco-Related Cancer Disparities: A Focus on Racial/Ethnic Minority Populations</w:t>
            </w:r>
            <w:r w:rsidR="007F2F01">
              <w:rPr>
                <w:sz w:val="20"/>
                <w:szCs w:val="20"/>
              </w:rPr>
              <w:t>.</w:t>
            </w:r>
            <w:r w:rsidRPr="00781F59">
              <w:rPr>
                <w:sz w:val="20"/>
                <w:szCs w:val="20"/>
              </w:rPr>
              <w:t xml:space="preserve"> Ethnicity &amp; disease; 28.129.</w:t>
            </w:r>
          </w:p>
        </w:tc>
        <w:tc>
          <w:tcPr>
            <w:tcW w:w="0" w:type="auto"/>
            <w:tcBorders>
              <w:top w:val="single" w:sz="6" w:space="0" w:color="auto"/>
              <w:left w:val="single" w:sz="6" w:space="0" w:color="auto"/>
              <w:bottom w:val="single" w:sz="6" w:space="0" w:color="auto"/>
              <w:right w:val="single" w:sz="6" w:space="0" w:color="auto"/>
            </w:tcBorders>
            <w:hideMark/>
          </w:tcPr>
          <w:p w14:paraId="539A4710"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16A94F72"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956BAA8" w14:textId="77777777" w:rsidR="00EA69AA" w:rsidRPr="00781F59" w:rsidRDefault="00EA69AA" w:rsidP="00EA69AA">
            <w:pPr>
              <w:contextualSpacing/>
              <w:rPr>
                <w:sz w:val="20"/>
                <w:szCs w:val="20"/>
              </w:rPr>
            </w:pPr>
            <w:r w:rsidRPr="00781F59">
              <w:rPr>
                <w:sz w:val="20"/>
                <w:szCs w:val="20"/>
              </w:rPr>
              <w:t>267</w:t>
            </w:r>
          </w:p>
        </w:tc>
        <w:tc>
          <w:tcPr>
            <w:tcW w:w="0" w:type="auto"/>
            <w:tcBorders>
              <w:top w:val="single" w:sz="6" w:space="0" w:color="auto"/>
              <w:left w:val="single" w:sz="6" w:space="0" w:color="auto"/>
              <w:bottom w:val="single" w:sz="6" w:space="0" w:color="auto"/>
              <w:right w:val="single" w:sz="6" w:space="0" w:color="auto"/>
            </w:tcBorders>
            <w:hideMark/>
          </w:tcPr>
          <w:p w14:paraId="4F438C35" w14:textId="0D271594" w:rsidR="00EA69AA" w:rsidRPr="00781F59" w:rsidRDefault="00EA69AA" w:rsidP="00EA69AA">
            <w:pPr>
              <w:contextualSpacing/>
              <w:rPr>
                <w:sz w:val="20"/>
                <w:szCs w:val="20"/>
              </w:rPr>
            </w:pPr>
            <w:r w:rsidRPr="00781F59">
              <w:rPr>
                <w:sz w:val="20"/>
                <w:szCs w:val="20"/>
              </w:rPr>
              <w:t>Jessica L Fetterman, Robert M Weisbrod, Bihua Feng, Reena Bastin, Shawn T Tuttle, Monica Holbrook, Gregory Baker, Rose Marie Robertson, Daniel J Conklin, Aruni Bhatnagar, Naomi M Hamburg 2018 Flavorings in Tobacco Products Induce Endothelial Cell Dysfunction</w:t>
            </w:r>
            <w:r w:rsidR="007F2F01">
              <w:rPr>
                <w:sz w:val="20"/>
                <w:szCs w:val="20"/>
              </w:rPr>
              <w:t>.</w:t>
            </w:r>
            <w:r w:rsidRPr="00781F59">
              <w:rPr>
                <w:sz w:val="20"/>
                <w:szCs w:val="20"/>
              </w:rPr>
              <w:t xml:space="preserve"> Arteriosclerosis, thrombosis, and vascular biology; 38.1607.</w:t>
            </w:r>
          </w:p>
        </w:tc>
        <w:tc>
          <w:tcPr>
            <w:tcW w:w="0" w:type="auto"/>
            <w:tcBorders>
              <w:top w:val="single" w:sz="6" w:space="0" w:color="auto"/>
              <w:left w:val="single" w:sz="6" w:space="0" w:color="auto"/>
              <w:bottom w:val="single" w:sz="6" w:space="0" w:color="auto"/>
              <w:right w:val="single" w:sz="6" w:space="0" w:color="auto"/>
            </w:tcBorders>
            <w:hideMark/>
          </w:tcPr>
          <w:p w14:paraId="6D66AA8A"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34D00BA9"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8597DAF" w14:textId="77777777" w:rsidR="00EA69AA" w:rsidRPr="00781F59" w:rsidRDefault="00EA69AA" w:rsidP="00EA69AA">
            <w:pPr>
              <w:contextualSpacing/>
              <w:rPr>
                <w:sz w:val="20"/>
                <w:szCs w:val="20"/>
              </w:rPr>
            </w:pPr>
            <w:r w:rsidRPr="00781F59">
              <w:rPr>
                <w:sz w:val="20"/>
                <w:szCs w:val="20"/>
              </w:rPr>
              <w:t>270</w:t>
            </w:r>
          </w:p>
        </w:tc>
        <w:tc>
          <w:tcPr>
            <w:tcW w:w="0" w:type="auto"/>
            <w:tcBorders>
              <w:top w:val="single" w:sz="6" w:space="0" w:color="auto"/>
              <w:left w:val="single" w:sz="6" w:space="0" w:color="auto"/>
              <w:bottom w:val="single" w:sz="6" w:space="0" w:color="auto"/>
              <w:right w:val="single" w:sz="6" w:space="0" w:color="auto"/>
            </w:tcBorders>
            <w:hideMark/>
          </w:tcPr>
          <w:p w14:paraId="1C37A866" w14:textId="2F7382C4" w:rsidR="00EA69AA" w:rsidRPr="00781F59" w:rsidRDefault="00EA69AA" w:rsidP="00EA69AA">
            <w:pPr>
              <w:contextualSpacing/>
              <w:rPr>
                <w:sz w:val="20"/>
                <w:szCs w:val="20"/>
              </w:rPr>
            </w:pPr>
            <w:r w:rsidRPr="00781F59">
              <w:rPr>
                <w:sz w:val="20"/>
                <w:szCs w:val="20"/>
              </w:rPr>
              <w:t>Allison J Lazard, Sarah D Kowitt, Li-Ling Huang, Seth M Noar, Kristen L Jarman, Adam O Goldstein 2018 Believability of Cigarette Warnings About Addiction: National Experiments of Adolescents and Adults</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20.867.</w:t>
            </w:r>
          </w:p>
        </w:tc>
        <w:tc>
          <w:tcPr>
            <w:tcW w:w="0" w:type="auto"/>
            <w:tcBorders>
              <w:top w:val="single" w:sz="6" w:space="0" w:color="auto"/>
              <w:left w:val="single" w:sz="6" w:space="0" w:color="auto"/>
              <w:bottom w:val="single" w:sz="6" w:space="0" w:color="auto"/>
              <w:right w:val="single" w:sz="6" w:space="0" w:color="auto"/>
            </w:tcBorders>
            <w:hideMark/>
          </w:tcPr>
          <w:p w14:paraId="1E44146B"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66C76F13"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C5C347A" w14:textId="77777777" w:rsidR="00EA69AA" w:rsidRPr="00781F59" w:rsidRDefault="00EA69AA" w:rsidP="00EA69AA">
            <w:pPr>
              <w:contextualSpacing/>
              <w:rPr>
                <w:sz w:val="20"/>
                <w:szCs w:val="20"/>
              </w:rPr>
            </w:pPr>
            <w:r w:rsidRPr="00781F59">
              <w:rPr>
                <w:sz w:val="20"/>
                <w:szCs w:val="20"/>
              </w:rPr>
              <w:t>271</w:t>
            </w:r>
          </w:p>
        </w:tc>
        <w:tc>
          <w:tcPr>
            <w:tcW w:w="0" w:type="auto"/>
            <w:tcBorders>
              <w:top w:val="single" w:sz="6" w:space="0" w:color="auto"/>
              <w:left w:val="single" w:sz="6" w:space="0" w:color="auto"/>
              <w:bottom w:val="single" w:sz="6" w:space="0" w:color="auto"/>
              <w:right w:val="single" w:sz="6" w:space="0" w:color="auto"/>
            </w:tcBorders>
            <w:hideMark/>
          </w:tcPr>
          <w:p w14:paraId="6855FD3E" w14:textId="7D6C7549" w:rsidR="00EA69AA" w:rsidRPr="00781F59" w:rsidRDefault="00EA69AA" w:rsidP="00EA69AA">
            <w:pPr>
              <w:contextualSpacing/>
              <w:rPr>
                <w:sz w:val="20"/>
                <w:szCs w:val="20"/>
              </w:rPr>
            </w:pPr>
            <w:r w:rsidRPr="00781F59">
              <w:rPr>
                <w:sz w:val="20"/>
                <w:szCs w:val="20"/>
              </w:rPr>
              <w:t>Nicole M Kuiper, Doris Gammon, Brett Loomis, Kyle Falvey, Teresa W Wang, Brian A King, Todd Rogers 2018 Trends in Sales of Flavored and Menthol Tobacco Products in the United States During 2011-2015</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20.698.</w:t>
            </w:r>
          </w:p>
        </w:tc>
        <w:tc>
          <w:tcPr>
            <w:tcW w:w="0" w:type="auto"/>
            <w:tcBorders>
              <w:top w:val="single" w:sz="6" w:space="0" w:color="auto"/>
              <w:left w:val="single" w:sz="6" w:space="0" w:color="auto"/>
              <w:bottom w:val="single" w:sz="6" w:space="0" w:color="auto"/>
              <w:right w:val="single" w:sz="6" w:space="0" w:color="auto"/>
            </w:tcBorders>
            <w:hideMark/>
          </w:tcPr>
          <w:p w14:paraId="45E113F5"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69E29FDE"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BFD1A46" w14:textId="77777777" w:rsidR="00EA69AA" w:rsidRPr="00781F59" w:rsidRDefault="00EA69AA" w:rsidP="00EA69AA">
            <w:pPr>
              <w:contextualSpacing/>
              <w:rPr>
                <w:sz w:val="20"/>
                <w:szCs w:val="20"/>
              </w:rPr>
            </w:pPr>
            <w:r w:rsidRPr="00781F59">
              <w:rPr>
                <w:sz w:val="20"/>
                <w:szCs w:val="20"/>
              </w:rPr>
              <w:t>273</w:t>
            </w:r>
          </w:p>
        </w:tc>
        <w:tc>
          <w:tcPr>
            <w:tcW w:w="0" w:type="auto"/>
            <w:tcBorders>
              <w:top w:val="single" w:sz="6" w:space="0" w:color="auto"/>
              <w:left w:val="single" w:sz="6" w:space="0" w:color="auto"/>
              <w:bottom w:val="single" w:sz="6" w:space="0" w:color="auto"/>
              <w:right w:val="single" w:sz="6" w:space="0" w:color="auto"/>
            </w:tcBorders>
            <w:hideMark/>
          </w:tcPr>
          <w:p w14:paraId="07E5B844" w14:textId="44DC7ACA" w:rsidR="00EA69AA" w:rsidRPr="00781F59" w:rsidRDefault="00EA69AA" w:rsidP="00EA69AA">
            <w:pPr>
              <w:contextualSpacing/>
              <w:rPr>
                <w:sz w:val="20"/>
                <w:szCs w:val="20"/>
              </w:rPr>
            </w:pPr>
            <w:r w:rsidRPr="00781F59">
              <w:rPr>
                <w:sz w:val="20"/>
                <w:szCs w:val="20"/>
              </w:rPr>
              <w:t>Michael Chaiton, Robert Schwartz, Joanna E Cohen, Eric Soule, Thomas Eissenberg 2018 Association of Ontario's Ban on Menthol Cigarettes With Smoking Behavior 1 Month After Implementation</w:t>
            </w:r>
            <w:r w:rsidR="007F2F01">
              <w:rPr>
                <w:sz w:val="20"/>
                <w:szCs w:val="20"/>
              </w:rPr>
              <w:t>.</w:t>
            </w:r>
            <w:r w:rsidRPr="00781F59">
              <w:rPr>
                <w:sz w:val="20"/>
                <w:szCs w:val="20"/>
              </w:rPr>
              <w:t xml:space="preserve"> JAMA internal medicine; 178.710.</w:t>
            </w:r>
          </w:p>
        </w:tc>
        <w:tc>
          <w:tcPr>
            <w:tcW w:w="0" w:type="auto"/>
            <w:tcBorders>
              <w:top w:val="single" w:sz="6" w:space="0" w:color="auto"/>
              <w:left w:val="single" w:sz="6" w:space="0" w:color="auto"/>
              <w:bottom w:val="single" w:sz="6" w:space="0" w:color="auto"/>
              <w:right w:val="single" w:sz="6" w:space="0" w:color="auto"/>
            </w:tcBorders>
            <w:hideMark/>
          </w:tcPr>
          <w:p w14:paraId="12DAAB19"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0E3E5CED"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61BF3EC" w14:textId="77777777" w:rsidR="00EA69AA" w:rsidRPr="00781F59" w:rsidRDefault="00EA69AA" w:rsidP="00EA69AA">
            <w:pPr>
              <w:contextualSpacing/>
              <w:rPr>
                <w:sz w:val="20"/>
                <w:szCs w:val="20"/>
              </w:rPr>
            </w:pPr>
            <w:r w:rsidRPr="00781F59">
              <w:rPr>
                <w:sz w:val="20"/>
                <w:szCs w:val="20"/>
              </w:rPr>
              <w:t>274</w:t>
            </w:r>
          </w:p>
        </w:tc>
        <w:tc>
          <w:tcPr>
            <w:tcW w:w="0" w:type="auto"/>
            <w:tcBorders>
              <w:top w:val="single" w:sz="6" w:space="0" w:color="auto"/>
              <w:left w:val="single" w:sz="6" w:space="0" w:color="auto"/>
              <w:bottom w:val="single" w:sz="6" w:space="0" w:color="auto"/>
              <w:right w:val="single" w:sz="6" w:space="0" w:color="auto"/>
            </w:tcBorders>
            <w:hideMark/>
          </w:tcPr>
          <w:p w14:paraId="69696A44" w14:textId="595F683B" w:rsidR="00EA69AA" w:rsidRPr="00781F59" w:rsidRDefault="00EA69AA" w:rsidP="00EA69AA">
            <w:pPr>
              <w:contextualSpacing/>
              <w:rPr>
                <w:sz w:val="20"/>
                <w:szCs w:val="20"/>
              </w:rPr>
            </w:pPr>
            <w:r w:rsidRPr="00781F59">
              <w:rPr>
                <w:sz w:val="20"/>
                <w:szCs w:val="20"/>
              </w:rPr>
              <w:t>Cendrine D Robinson, Christine Muench, Emily Brede, Romano Endrighi, Edwin H Szeto, Joanna R Sells, John P Lammers, Kolawole S Okuyemi, Grant Izmirlian, Andrew J Waters 2018 Pro-tobacco advertisement exposure among African American smokers: An ecological momentary assessment study</w:t>
            </w:r>
            <w:r w:rsidR="007F2F01">
              <w:rPr>
                <w:sz w:val="20"/>
                <w:szCs w:val="20"/>
              </w:rPr>
              <w:t>.</w:t>
            </w:r>
            <w:r w:rsidRPr="00781F59">
              <w:rPr>
                <w:sz w:val="20"/>
                <w:szCs w:val="20"/>
              </w:rPr>
              <w:t xml:space="preserve"> Addictive behaviors; 83.142.</w:t>
            </w:r>
          </w:p>
        </w:tc>
        <w:tc>
          <w:tcPr>
            <w:tcW w:w="0" w:type="auto"/>
            <w:tcBorders>
              <w:top w:val="single" w:sz="6" w:space="0" w:color="auto"/>
              <w:left w:val="single" w:sz="6" w:space="0" w:color="auto"/>
              <w:bottom w:val="single" w:sz="6" w:space="0" w:color="auto"/>
              <w:right w:val="single" w:sz="6" w:space="0" w:color="auto"/>
            </w:tcBorders>
            <w:hideMark/>
          </w:tcPr>
          <w:p w14:paraId="0C1EA220"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495F6ABE"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97FA586" w14:textId="77777777" w:rsidR="00EA69AA" w:rsidRPr="00781F59" w:rsidRDefault="00EA69AA" w:rsidP="00EA69AA">
            <w:pPr>
              <w:contextualSpacing/>
              <w:rPr>
                <w:sz w:val="20"/>
                <w:szCs w:val="20"/>
              </w:rPr>
            </w:pPr>
            <w:r w:rsidRPr="00781F59">
              <w:rPr>
                <w:sz w:val="20"/>
                <w:szCs w:val="20"/>
              </w:rPr>
              <w:t>275</w:t>
            </w:r>
          </w:p>
        </w:tc>
        <w:tc>
          <w:tcPr>
            <w:tcW w:w="0" w:type="auto"/>
            <w:tcBorders>
              <w:top w:val="single" w:sz="6" w:space="0" w:color="auto"/>
              <w:left w:val="single" w:sz="6" w:space="0" w:color="auto"/>
              <w:bottom w:val="single" w:sz="6" w:space="0" w:color="auto"/>
              <w:right w:val="single" w:sz="6" w:space="0" w:color="auto"/>
            </w:tcBorders>
            <w:hideMark/>
          </w:tcPr>
          <w:p w14:paraId="00FDCCB7" w14:textId="3C2E78E6" w:rsidR="00EA69AA" w:rsidRPr="00781F59" w:rsidRDefault="00EA69AA" w:rsidP="00EA69AA">
            <w:pPr>
              <w:contextualSpacing/>
              <w:rPr>
                <w:sz w:val="20"/>
                <w:szCs w:val="20"/>
              </w:rPr>
            </w:pPr>
            <w:r w:rsidRPr="00781F59">
              <w:rPr>
                <w:sz w:val="20"/>
                <w:szCs w:val="20"/>
              </w:rPr>
              <w:t>Julia Gerharz, Michael H K Bendels, Markus Braun, Doris Klingelhofer, David A Groneberg, Ruth Mueller 2018 Particulate matter emissions of different brands of mentholated cigarettes</w:t>
            </w:r>
            <w:r w:rsidR="007F2F01">
              <w:rPr>
                <w:sz w:val="20"/>
                <w:szCs w:val="20"/>
              </w:rPr>
              <w:t>.</w:t>
            </w:r>
            <w:r w:rsidRPr="00781F59">
              <w:rPr>
                <w:sz w:val="20"/>
                <w:szCs w:val="20"/>
              </w:rPr>
              <w:t xml:space="preserve"> Journal of the Air &amp; Waste Management Association (1995); 68.608.</w:t>
            </w:r>
          </w:p>
        </w:tc>
        <w:tc>
          <w:tcPr>
            <w:tcW w:w="0" w:type="auto"/>
            <w:tcBorders>
              <w:top w:val="single" w:sz="6" w:space="0" w:color="auto"/>
              <w:left w:val="single" w:sz="6" w:space="0" w:color="auto"/>
              <w:bottom w:val="single" w:sz="6" w:space="0" w:color="auto"/>
              <w:right w:val="single" w:sz="6" w:space="0" w:color="auto"/>
            </w:tcBorders>
            <w:hideMark/>
          </w:tcPr>
          <w:p w14:paraId="23A34373"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6A5FD188"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C8EE9CD" w14:textId="77777777" w:rsidR="00EA69AA" w:rsidRPr="00781F59" w:rsidRDefault="00EA69AA" w:rsidP="00EA69AA">
            <w:pPr>
              <w:contextualSpacing/>
              <w:rPr>
                <w:sz w:val="20"/>
                <w:szCs w:val="20"/>
              </w:rPr>
            </w:pPr>
            <w:r w:rsidRPr="00781F59">
              <w:rPr>
                <w:sz w:val="20"/>
                <w:szCs w:val="20"/>
              </w:rPr>
              <w:t>277</w:t>
            </w:r>
          </w:p>
        </w:tc>
        <w:tc>
          <w:tcPr>
            <w:tcW w:w="0" w:type="auto"/>
            <w:tcBorders>
              <w:top w:val="single" w:sz="6" w:space="0" w:color="auto"/>
              <w:left w:val="single" w:sz="6" w:space="0" w:color="auto"/>
              <w:bottom w:val="single" w:sz="6" w:space="0" w:color="auto"/>
              <w:right w:val="single" w:sz="6" w:space="0" w:color="auto"/>
            </w:tcBorders>
            <w:hideMark/>
          </w:tcPr>
          <w:p w14:paraId="41AC5FD9" w14:textId="5DE0E4BF" w:rsidR="00EA69AA" w:rsidRPr="00781F59" w:rsidRDefault="00EA69AA" w:rsidP="00EA69AA">
            <w:pPr>
              <w:contextualSpacing/>
              <w:rPr>
                <w:sz w:val="20"/>
                <w:szCs w:val="20"/>
              </w:rPr>
            </w:pPr>
            <w:r w:rsidRPr="00781F59">
              <w:rPr>
                <w:sz w:val="20"/>
                <w:szCs w:val="20"/>
              </w:rPr>
              <w:t>Alyssa Marie M Antonio, Pebbles Fagan, Faith D Hamamura, Ian Joseph N Lagua, Jenny Liu, Devin J Park, Pallav Pokhrel, Thaddeus A Herzog, Ian Pagano, Kevin Cassel, Angela Sy, Dorothy Jorgensen, Tania Lynch, Crissy Kawamoto, Carol J Boushey, Adrian Franke, Mark S Clanton, Eric T Moolchan, Linda A Alexander 2015 Menthol cigarette smoking and obesity in young adult daily smokers in Hawaii</w:t>
            </w:r>
            <w:r w:rsidR="007F2F01">
              <w:rPr>
                <w:sz w:val="20"/>
                <w:szCs w:val="20"/>
              </w:rPr>
              <w:t>.</w:t>
            </w:r>
            <w:r w:rsidRPr="00781F59">
              <w:rPr>
                <w:sz w:val="20"/>
                <w:szCs w:val="20"/>
              </w:rPr>
              <w:t xml:space="preserve"> Preventive medicine reports; 2.946.</w:t>
            </w:r>
          </w:p>
        </w:tc>
        <w:tc>
          <w:tcPr>
            <w:tcW w:w="0" w:type="auto"/>
            <w:tcBorders>
              <w:top w:val="single" w:sz="6" w:space="0" w:color="auto"/>
              <w:left w:val="single" w:sz="6" w:space="0" w:color="auto"/>
              <w:bottom w:val="single" w:sz="6" w:space="0" w:color="auto"/>
              <w:right w:val="single" w:sz="6" w:space="0" w:color="auto"/>
            </w:tcBorders>
            <w:hideMark/>
          </w:tcPr>
          <w:p w14:paraId="0CE5E3C6"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19FF829F"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8F64DDB" w14:textId="77777777" w:rsidR="00EA69AA" w:rsidRPr="00781F59" w:rsidRDefault="00EA69AA" w:rsidP="00EA69AA">
            <w:pPr>
              <w:contextualSpacing/>
              <w:rPr>
                <w:sz w:val="20"/>
                <w:szCs w:val="20"/>
              </w:rPr>
            </w:pPr>
            <w:r w:rsidRPr="00781F59">
              <w:rPr>
                <w:sz w:val="20"/>
                <w:szCs w:val="20"/>
              </w:rPr>
              <w:lastRenderedPageBreak/>
              <w:t>282</w:t>
            </w:r>
          </w:p>
        </w:tc>
        <w:tc>
          <w:tcPr>
            <w:tcW w:w="0" w:type="auto"/>
            <w:tcBorders>
              <w:top w:val="single" w:sz="6" w:space="0" w:color="auto"/>
              <w:left w:val="single" w:sz="6" w:space="0" w:color="auto"/>
              <w:bottom w:val="single" w:sz="6" w:space="0" w:color="auto"/>
              <w:right w:val="single" w:sz="6" w:space="0" w:color="auto"/>
            </w:tcBorders>
            <w:hideMark/>
          </w:tcPr>
          <w:p w14:paraId="1C15C9A4" w14:textId="17B46162" w:rsidR="00EA69AA" w:rsidRPr="00781F59" w:rsidRDefault="00EA69AA" w:rsidP="00EA69AA">
            <w:pPr>
              <w:contextualSpacing/>
              <w:rPr>
                <w:sz w:val="20"/>
                <w:szCs w:val="20"/>
              </w:rPr>
            </w:pPr>
            <w:r w:rsidRPr="00781F59">
              <w:rPr>
                <w:sz w:val="20"/>
                <w:szCs w:val="20"/>
              </w:rPr>
              <w:t>Peter Jatlow, Gerald Valentine, Ralitza Gueorguieva, Haleh Nadim, Ran Wu, Stephanie S O'Malley, Mehmet Sofuoglu 2018 Plasma Menthol Glucuronide as a Biomarker of Acute Menthol Inhalation</w:t>
            </w:r>
            <w:r w:rsidR="007F2F01">
              <w:rPr>
                <w:sz w:val="20"/>
                <w:szCs w:val="20"/>
              </w:rPr>
              <w:t>.</w:t>
            </w:r>
            <w:r w:rsidRPr="00781F59">
              <w:rPr>
                <w:sz w:val="20"/>
                <w:szCs w:val="20"/>
              </w:rPr>
              <w:t xml:space="preserve"> Tobacco regulatory science; 4.586.</w:t>
            </w:r>
          </w:p>
        </w:tc>
        <w:tc>
          <w:tcPr>
            <w:tcW w:w="0" w:type="auto"/>
            <w:tcBorders>
              <w:top w:val="single" w:sz="6" w:space="0" w:color="auto"/>
              <w:left w:val="single" w:sz="6" w:space="0" w:color="auto"/>
              <w:bottom w:val="single" w:sz="6" w:space="0" w:color="auto"/>
              <w:right w:val="single" w:sz="6" w:space="0" w:color="auto"/>
            </w:tcBorders>
            <w:hideMark/>
          </w:tcPr>
          <w:p w14:paraId="0AE54E75"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23CA030C"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A42D65D" w14:textId="77777777" w:rsidR="00EA69AA" w:rsidRPr="00781F59" w:rsidRDefault="00EA69AA" w:rsidP="00EA69AA">
            <w:pPr>
              <w:contextualSpacing/>
              <w:rPr>
                <w:sz w:val="20"/>
                <w:szCs w:val="20"/>
              </w:rPr>
            </w:pPr>
            <w:r w:rsidRPr="00781F59">
              <w:rPr>
                <w:sz w:val="20"/>
                <w:szCs w:val="20"/>
              </w:rPr>
              <w:t>284</w:t>
            </w:r>
          </w:p>
        </w:tc>
        <w:tc>
          <w:tcPr>
            <w:tcW w:w="0" w:type="auto"/>
            <w:tcBorders>
              <w:top w:val="single" w:sz="6" w:space="0" w:color="auto"/>
              <w:left w:val="single" w:sz="6" w:space="0" w:color="auto"/>
              <w:bottom w:val="single" w:sz="6" w:space="0" w:color="auto"/>
              <w:right w:val="single" w:sz="6" w:space="0" w:color="auto"/>
            </w:tcBorders>
            <w:hideMark/>
          </w:tcPr>
          <w:p w14:paraId="7126AE5C" w14:textId="7E08B8F3" w:rsidR="00EA69AA" w:rsidRPr="00781F59" w:rsidRDefault="00EA69AA" w:rsidP="00EA69AA">
            <w:pPr>
              <w:contextualSpacing/>
              <w:rPr>
                <w:sz w:val="20"/>
                <w:szCs w:val="20"/>
              </w:rPr>
            </w:pPr>
            <w:r w:rsidRPr="00781F59">
              <w:rPr>
                <w:sz w:val="20"/>
                <w:szCs w:val="20"/>
              </w:rPr>
              <w:t>Tameka S Lawler, Stephen B Stanfill, B Rey deCastro, Joseph G Lisko, Bryce W Duncan, Patricia Richter, Clifford H Watson 2017 Surveillance of Nicotine and pH in Cigarette and Cigar Filler</w:t>
            </w:r>
            <w:r w:rsidR="007F2F01">
              <w:rPr>
                <w:sz w:val="20"/>
                <w:szCs w:val="20"/>
              </w:rPr>
              <w:t>.</w:t>
            </w:r>
            <w:r w:rsidRPr="00781F59">
              <w:rPr>
                <w:sz w:val="20"/>
                <w:szCs w:val="20"/>
              </w:rPr>
              <w:t xml:space="preserve"> Tobacco regulatory science; 3.101.</w:t>
            </w:r>
          </w:p>
        </w:tc>
        <w:tc>
          <w:tcPr>
            <w:tcW w:w="0" w:type="auto"/>
            <w:tcBorders>
              <w:top w:val="single" w:sz="6" w:space="0" w:color="auto"/>
              <w:left w:val="single" w:sz="6" w:space="0" w:color="auto"/>
              <w:bottom w:val="single" w:sz="6" w:space="0" w:color="auto"/>
              <w:right w:val="single" w:sz="6" w:space="0" w:color="auto"/>
            </w:tcBorders>
            <w:hideMark/>
          </w:tcPr>
          <w:p w14:paraId="73FBF3EF"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17BD7E4D"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7E3BA81" w14:textId="77777777" w:rsidR="00EA69AA" w:rsidRPr="00781F59" w:rsidRDefault="00EA69AA" w:rsidP="00EA69AA">
            <w:pPr>
              <w:contextualSpacing/>
              <w:rPr>
                <w:sz w:val="20"/>
                <w:szCs w:val="20"/>
              </w:rPr>
            </w:pPr>
            <w:r w:rsidRPr="00781F59">
              <w:rPr>
                <w:sz w:val="20"/>
                <w:szCs w:val="20"/>
              </w:rPr>
              <w:t>286</w:t>
            </w:r>
          </w:p>
        </w:tc>
        <w:tc>
          <w:tcPr>
            <w:tcW w:w="0" w:type="auto"/>
            <w:tcBorders>
              <w:top w:val="single" w:sz="6" w:space="0" w:color="auto"/>
              <w:left w:val="single" w:sz="6" w:space="0" w:color="auto"/>
              <w:bottom w:val="single" w:sz="6" w:space="0" w:color="auto"/>
              <w:right w:val="single" w:sz="6" w:space="0" w:color="auto"/>
            </w:tcBorders>
            <w:hideMark/>
          </w:tcPr>
          <w:p w14:paraId="1676A3DC" w14:textId="2FAC4601" w:rsidR="00EA69AA" w:rsidRPr="00781F59" w:rsidRDefault="00EA69AA" w:rsidP="00EA69AA">
            <w:pPr>
              <w:contextualSpacing/>
              <w:rPr>
                <w:sz w:val="20"/>
                <w:szCs w:val="20"/>
              </w:rPr>
            </w:pPr>
            <w:r w:rsidRPr="00781F59">
              <w:rPr>
                <w:sz w:val="20"/>
                <w:szCs w:val="20"/>
              </w:rPr>
              <w:t>Kenneth A Perkins, Joshua L Karelitz, Nicole Kunkle 2018 Evaluation of menthol per se on acute perceptions and behavioral choice of cigarettes differing in nicotine content</w:t>
            </w:r>
            <w:r w:rsidR="007F2F01">
              <w:rPr>
                <w:sz w:val="20"/>
                <w:szCs w:val="20"/>
              </w:rPr>
              <w:t>.</w:t>
            </w:r>
            <w:r w:rsidRPr="00781F59">
              <w:rPr>
                <w:sz w:val="20"/>
                <w:szCs w:val="20"/>
              </w:rPr>
              <w:t xml:space="preserve"> Journal of psychopharmacology (Oxford, England); 32.324.</w:t>
            </w:r>
          </w:p>
        </w:tc>
        <w:tc>
          <w:tcPr>
            <w:tcW w:w="0" w:type="auto"/>
            <w:tcBorders>
              <w:top w:val="single" w:sz="6" w:space="0" w:color="auto"/>
              <w:left w:val="single" w:sz="6" w:space="0" w:color="auto"/>
              <w:bottom w:val="single" w:sz="6" w:space="0" w:color="auto"/>
              <w:right w:val="single" w:sz="6" w:space="0" w:color="auto"/>
            </w:tcBorders>
            <w:hideMark/>
          </w:tcPr>
          <w:p w14:paraId="6078DCDA"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4D4D1E5B"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BA3010D" w14:textId="77777777" w:rsidR="00EA69AA" w:rsidRPr="00781F59" w:rsidRDefault="00EA69AA" w:rsidP="00EA69AA">
            <w:pPr>
              <w:contextualSpacing/>
              <w:rPr>
                <w:sz w:val="20"/>
                <w:szCs w:val="20"/>
              </w:rPr>
            </w:pPr>
            <w:r w:rsidRPr="00781F59">
              <w:rPr>
                <w:sz w:val="20"/>
                <w:szCs w:val="20"/>
              </w:rPr>
              <w:t>289</w:t>
            </w:r>
          </w:p>
        </w:tc>
        <w:tc>
          <w:tcPr>
            <w:tcW w:w="0" w:type="auto"/>
            <w:tcBorders>
              <w:top w:val="single" w:sz="6" w:space="0" w:color="auto"/>
              <w:left w:val="single" w:sz="6" w:space="0" w:color="auto"/>
              <w:bottom w:val="single" w:sz="6" w:space="0" w:color="auto"/>
              <w:right w:val="single" w:sz="6" w:space="0" w:color="auto"/>
            </w:tcBorders>
            <w:hideMark/>
          </w:tcPr>
          <w:p w14:paraId="176C2897" w14:textId="7F06546C" w:rsidR="00EA69AA" w:rsidRPr="00781F59" w:rsidRDefault="00EA69AA" w:rsidP="00EA69AA">
            <w:pPr>
              <w:contextualSpacing/>
              <w:rPr>
                <w:sz w:val="20"/>
                <w:szCs w:val="20"/>
              </w:rPr>
            </w:pPr>
            <w:r w:rsidRPr="00781F59">
              <w:rPr>
                <w:sz w:val="20"/>
                <w:szCs w:val="20"/>
              </w:rPr>
              <w:t>Gillian L Schauer, Erica N Peters, Zachary R Rosenberry, Hyoshin Kim 2018 Trends in and Characteristics of Marijuana and Menthol Cigarette Use Among Current Cigarette Smokers, 2005-2014</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20.362.</w:t>
            </w:r>
          </w:p>
        </w:tc>
        <w:tc>
          <w:tcPr>
            <w:tcW w:w="0" w:type="auto"/>
            <w:tcBorders>
              <w:top w:val="single" w:sz="6" w:space="0" w:color="auto"/>
              <w:left w:val="single" w:sz="6" w:space="0" w:color="auto"/>
              <w:bottom w:val="single" w:sz="6" w:space="0" w:color="auto"/>
              <w:right w:val="single" w:sz="6" w:space="0" w:color="auto"/>
            </w:tcBorders>
            <w:hideMark/>
          </w:tcPr>
          <w:p w14:paraId="2B5DECAB"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6EEA554C"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29278C7" w14:textId="77777777" w:rsidR="00EA69AA" w:rsidRPr="00781F59" w:rsidRDefault="00EA69AA" w:rsidP="00EA69AA">
            <w:pPr>
              <w:contextualSpacing/>
              <w:rPr>
                <w:sz w:val="20"/>
                <w:szCs w:val="20"/>
              </w:rPr>
            </w:pPr>
            <w:r w:rsidRPr="00781F59">
              <w:rPr>
                <w:sz w:val="20"/>
                <w:szCs w:val="20"/>
              </w:rPr>
              <w:t>290</w:t>
            </w:r>
          </w:p>
        </w:tc>
        <w:tc>
          <w:tcPr>
            <w:tcW w:w="0" w:type="auto"/>
            <w:tcBorders>
              <w:top w:val="single" w:sz="6" w:space="0" w:color="auto"/>
              <w:left w:val="single" w:sz="6" w:space="0" w:color="auto"/>
              <w:bottom w:val="single" w:sz="6" w:space="0" w:color="auto"/>
              <w:right w:val="single" w:sz="6" w:space="0" w:color="auto"/>
            </w:tcBorders>
            <w:hideMark/>
          </w:tcPr>
          <w:p w14:paraId="68303D76" w14:textId="30E1BF0D" w:rsidR="00EA69AA" w:rsidRPr="00781F59" w:rsidRDefault="00EA69AA" w:rsidP="00EA69AA">
            <w:pPr>
              <w:contextualSpacing/>
              <w:rPr>
                <w:sz w:val="20"/>
                <w:szCs w:val="20"/>
              </w:rPr>
            </w:pPr>
            <w:r w:rsidRPr="00781F59">
              <w:rPr>
                <w:sz w:val="20"/>
                <w:szCs w:val="20"/>
              </w:rPr>
              <w:t>Philip H Smith, Ezinne Akpara, Raisa Haq, Mark El-Miniawi, Azure B Thompson 2017 Gender and Menthol Cigarette Use in the United States: A Systematic Review of the Recent Literature (2011 - May 2017)</w:t>
            </w:r>
            <w:r w:rsidR="007F2F01">
              <w:rPr>
                <w:sz w:val="20"/>
                <w:szCs w:val="20"/>
              </w:rPr>
              <w:t>.</w:t>
            </w:r>
            <w:r w:rsidRPr="00781F59">
              <w:rPr>
                <w:sz w:val="20"/>
                <w:szCs w:val="20"/>
              </w:rPr>
              <w:t xml:space="preserve"> Current addiction reports; 4.431.</w:t>
            </w:r>
          </w:p>
        </w:tc>
        <w:tc>
          <w:tcPr>
            <w:tcW w:w="0" w:type="auto"/>
            <w:tcBorders>
              <w:top w:val="single" w:sz="6" w:space="0" w:color="auto"/>
              <w:left w:val="single" w:sz="6" w:space="0" w:color="auto"/>
              <w:bottom w:val="single" w:sz="6" w:space="0" w:color="auto"/>
              <w:right w:val="single" w:sz="6" w:space="0" w:color="auto"/>
            </w:tcBorders>
            <w:hideMark/>
          </w:tcPr>
          <w:p w14:paraId="1DB2C989"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319EEBB6"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ED73E38" w14:textId="77777777" w:rsidR="00EA69AA" w:rsidRPr="00781F59" w:rsidRDefault="00EA69AA" w:rsidP="00EA69AA">
            <w:pPr>
              <w:contextualSpacing/>
              <w:rPr>
                <w:sz w:val="20"/>
                <w:szCs w:val="20"/>
              </w:rPr>
            </w:pPr>
            <w:r w:rsidRPr="00781F59">
              <w:rPr>
                <w:sz w:val="20"/>
                <w:szCs w:val="20"/>
              </w:rPr>
              <w:t>293</w:t>
            </w:r>
          </w:p>
        </w:tc>
        <w:tc>
          <w:tcPr>
            <w:tcW w:w="0" w:type="auto"/>
            <w:tcBorders>
              <w:top w:val="single" w:sz="6" w:space="0" w:color="auto"/>
              <w:left w:val="single" w:sz="6" w:space="0" w:color="auto"/>
              <w:bottom w:val="single" w:sz="6" w:space="0" w:color="auto"/>
              <w:right w:val="single" w:sz="6" w:space="0" w:color="auto"/>
            </w:tcBorders>
            <w:hideMark/>
          </w:tcPr>
          <w:p w14:paraId="127ABCB1" w14:textId="5F6B2D76" w:rsidR="00EA69AA" w:rsidRPr="00781F59" w:rsidRDefault="00EA69AA" w:rsidP="00EA69AA">
            <w:pPr>
              <w:contextualSpacing/>
              <w:rPr>
                <w:sz w:val="20"/>
                <w:szCs w:val="20"/>
              </w:rPr>
            </w:pPr>
            <w:r w:rsidRPr="00781F59">
              <w:rPr>
                <w:sz w:val="20"/>
                <w:szCs w:val="20"/>
              </w:rPr>
              <w:t>Patricia Richter, Pappas R Steven, Roberto Bravo, Joseph G Lisko, Maria Damian, Nathalie Gonzalez-Jimenez, Naudia Gray, Lisa M Keong, Jacob B Kimbrell, Peter Kuklenyik, Tameka S Lawler, Grace E Lee, Magaly Mendez, Jose Perez, Shakia Smith, Hang Tran, Robert Tyx, Clifford H Watson 2016 Characterization of SPECTRUM Variable Nicotine Research Cigarettes</w:t>
            </w:r>
            <w:r w:rsidR="007F2F01">
              <w:rPr>
                <w:sz w:val="20"/>
                <w:szCs w:val="20"/>
              </w:rPr>
              <w:t>.</w:t>
            </w:r>
            <w:r w:rsidRPr="00781F59">
              <w:rPr>
                <w:sz w:val="20"/>
                <w:szCs w:val="20"/>
              </w:rPr>
              <w:t xml:space="preserve"> Tobacco regulatory science; 2.94.</w:t>
            </w:r>
          </w:p>
        </w:tc>
        <w:tc>
          <w:tcPr>
            <w:tcW w:w="0" w:type="auto"/>
            <w:tcBorders>
              <w:top w:val="single" w:sz="6" w:space="0" w:color="auto"/>
              <w:left w:val="single" w:sz="6" w:space="0" w:color="auto"/>
              <w:bottom w:val="single" w:sz="6" w:space="0" w:color="auto"/>
              <w:right w:val="single" w:sz="6" w:space="0" w:color="auto"/>
            </w:tcBorders>
            <w:hideMark/>
          </w:tcPr>
          <w:p w14:paraId="09A59DAF"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05865165"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8C5743E" w14:textId="77777777" w:rsidR="00EA69AA" w:rsidRPr="00781F59" w:rsidRDefault="00EA69AA" w:rsidP="00EA69AA">
            <w:pPr>
              <w:contextualSpacing/>
              <w:rPr>
                <w:sz w:val="20"/>
                <w:szCs w:val="20"/>
              </w:rPr>
            </w:pPr>
            <w:r w:rsidRPr="00781F59">
              <w:rPr>
                <w:sz w:val="20"/>
                <w:szCs w:val="20"/>
              </w:rPr>
              <w:t>295</w:t>
            </w:r>
          </w:p>
        </w:tc>
        <w:tc>
          <w:tcPr>
            <w:tcW w:w="0" w:type="auto"/>
            <w:tcBorders>
              <w:top w:val="single" w:sz="6" w:space="0" w:color="auto"/>
              <w:left w:val="single" w:sz="6" w:space="0" w:color="auto"/>
              <w:bottom w:val="single" w:sz="6" w:space="0" w:color="auto"/>
              <w:right w:val="single" w:sz="6" w:space="0" w:color="auto"/>
            </w:tcBorders>
            <w:hideMark/>
          </w:tcPr>
          <w:p w14:paraId="0A09412C" w14:textId="2DBBFC9B" w:rsidR="00EA69AA" w:rsidRPr="00781F59" w:rsidRDefault="00EA69AA" w:rsidP="00EA69AA">
            <w:pPr>
              <w:contextualSpacing/>
              <w:rPr>
                <w:sz w:val="20"/>
                <w:szCs w:val="20"/>
              </w:rPr>
            </w:pPr>
            <w:r w:rsidRPr="00781F59">
              <w:rPr>
                <w:sz w:val="20"/>
                <w:szCs w:val="20"/>
              </w:rPr>
              <w:t>Amy Cohn, Amanda Johnson, Jennifer Pearson, Shyanika Rose, Sarah Ehlke, Ollie Ganz, Raymond Niaura 2017 Determining non-cigarette tobacco, alcohol, and substance use typologies across menthol and non-menthol smokers using latent class analysis</w:t>
            </w:r>
            <w:r w:rsidR="007F2F01">
              <w:rPr>
                <w:sz w:val="20"/>
                <w:szCs w:val="20"/>
              </w:rPr>
              <w:t>.</w:t>
            </w:r>
            <w:r w:rsidRPr="00781F59">
              <w:rPr>
                <w:sz w:val="20"/>
                <w:szCs w:val="20"/>
              </w:rPr>
              <w:t xml:space="preserve"> Tobacco induced diseases; 15.5.</w:t>
            </w:r>
          </w:p>
        </w:tc>
        <w:tc>
          <w:tcPr>
            <w:tcW w:w="0" w:type="auto"/>
            <w:tcBorders>
              <w:top w:val="single" w:sz="6" w:space="0" w:color="auto"/>
              <w:left w:val="single" w:sz="6" w:space="0" w:color="auto"/>
              <w:bottom w:val="single" w:sz="6" w:space="0" w:color="auto"/>
              <w:right w:val="single" w:sz="6" w:space="0" w:color="auto"/>
            </w:tcBorders>
            <w:hideMark/>
          </w:tcPr>
          <w:p w14:paraId="2015F5E0"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3E0F9A80"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CED39F4" w14:textId="77777777" w:rsidR="00EA69AA" w:rsidRPr="00781F59" w:rsidRDefault="00EA69AA" w:rsidP="00EA69AA">
            <w:pPr>
              <w:contextualSpacing/>
              <w:rPr>
                <w:sz w:val="20"/>
                <w:szCs w:val="20"/>
              </w:rPr>
            </w:pPr>
            <w:r w:rsidRPr="00781F59">
              <w:rPr>
                <w:sz w:val="20"/>
                <w:szCs w:val="20"/>
              </w:rPr>
              <w:t>296</w:t>
            </w:r>
          </w:p>
        </w:tc>
        <w:tc>
          <w:tcPr>
            <w:tcW w:w="0" w:type="auto"/>
            <w:tcBorders>
              <w:top w:val="single" w:sz="6" w:space="0" w:color="auto"/>
              <w:left w:val="single" w:sz="6" w:space="0" w:color="auto"/>
              <w:bottom w:val="single" w:sz="6" w:space="0" w:color="auto"/>
              <w:right w:val="single" w:sz="6" w:space="0" w:color="auto"/>
            </w:tcBorders>
            <w:hideMark/>
          </w:tcPr>
          <w:p w14:paraId="03D50A34" w14:textId="1FD6A000" w:rsidR="00EA69AA" w:rsidRPr="00781F59" w:rsidRDefault="00EA69AA" w:rsidP="00EA69AA">
            <w:pPr>
              <w:contextualSpacing/>
              <w:rPr>
                <w:sz w:val="20"/>
                <w:szCs w:val="20"/>
              </w:rPr>
            </w:pPr>
            <w:r w:rsidRPr="00781F59">
              <w:rPr>
                <w:sz w:val="20"/>
                <w:szCs w:val="20"/>
              </w:rPr>
              <w:t>Amy M Cohn, Amanda L Johnson, Elizabeth Hair, Jessica M Rath, Andrea C Villanti 2016 Menthol tobacco use is correlated with mental health symptoms in a national sample of young adults: implications for future health risks and policy recommendations</w:t>
            </w:r>
            <w:r w:rsidR="007F2F01">
              <w:rPr>
                <w:sz w:val="20"/>
                <w:szCs w:val="20"/>
              </w:rPr>
              <w:t>.</w:t>
            </w:r>
            <w:r w:rsidRPr="00781F59">
              <w:rPr>
                <w:sz w:val="20"/>
                <w:szCs w:val="20"/>
              </w:rPr>
              <w:t xml:space="preserve"> Tobacco induced diseases; 14.1.</w:t>
            </w:r>
          </w:p>
        </w:tc>
        <w:tc>
          <w:tcPr>
            <w:tcW w:w="0" w:type="auto"/>
            <w:tcBorders>
              <w:top w:val="single" w:sz="6" w:space="0" w:color="auto"/>
              <w:left w:val="single" w:sz="6" w:space="0" w:color="auto"/>
              <w:bottom w:val="single" w:sz="6" w:space="0" w:color="auto"/>
              <w:right w:val="single" w:sz="6" w:space="0" w:color="auto"/>
            </w:tcBorders>
            <w:hideMark/>
          </w:tcPr>
          <w:p w14:paraId="1EF52816"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091BBF44"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7A6F76A" w14:textId="77777777" w:rsidR="00EA69AA" w:rsidRPr="00781F59" w:rsidRDefault="00EA69AA" w:rsidP="00EA69AA">
            <w:pPr>
              <w:contextualSpacing/>
              <w:rPr>
                <w:sz w:val="20"/>
                <w:szCs w:val="20"/>
              </w:rPr>
            </w:pPr>
            <w:r w:rsidRPr="00781F59">
              <w:rPr>
                <w:sz w:val="20"/>
                <w:szCs w:val="20"/>
              </w:rPr>
              <w:t>299</w:t>
            </w:r>
          </w:p>
        </w:tc>
        <w:tc>
          <w:tcPr>
            <w:tcW w:w="0" w:type="auto"/>
            <w:tcBorders>
              <w:top w:val="single" w:sz="6" w:space="0" w:color="auto"/>
              <w:left w:val="single" w:sz="6" w:space="0" w:color="auto"/>
              <w:bottom w:val="single" w:sz="6" w:space="0" w:color="auto"/>
              <w:right w:val="single" w:sz="6" w:space="0" w:color="auto"/>
            </w:tcBorders>
            <w:hideMark/>
          </w:tcPr>
          <w:p w14:paraId="5B6E9252" w14:textId="07C4E3BD" w:rsidR="00EA69AA" w:rsidRPr="00781F59" w:rsidRDefault="00EA69AA" w:rsidP="00EA69AA">
            <w:pPr>
              <w:contextualSpacing/>
              <w:rPr>
                <w:sz w:val="20"/>
                <w:szCs w:val="20"/>
              </w:rPr>
            </w:pPr>
            <w:r w:rsidRPr="00781F59">
              <w:rPr>
                <w:sz w:val="20"/>
                <w:szCs w:val="20"/>
              </w:rPr>
              <w:t>Allison C Hoffman 2011 The health effects of menthol cigarettes as compared to non-menthol cigarettes</w:t>
            </w:r>
            <w:r w:rsidR="007F2F01">
              <w:rPr>
                <w:sz w:val="20"/>
                <w:szCs w:val="20"/>
              </w:rPr>
              <w:t>.</w:t>
            </w:r>
            <w:r w:rsidRPr="00781F59">
              <w:rPr>
                <w:sz w:val="20"/>
                <w:szCs w:val="20"/>
              </w:rPr>
              <w:t xml:space="preserve"> Tobacco induced diseases; 9 Suppl </w:t>
            </w:r>
            <w:proofErr w:type="gramStart"/>
            <w:r w:rsidRPr="00781F59">
              <w:rPr>
                <w:sz w:val="20"/>
                <w:szCs w:val="20"/>
              </w:rPr>
              <w:t>1.S</w:t>
            </w:r>
            <w:proofErr w:type="gramEnd"/>
            <w:r w:rsidRPr="00781F59">
              <w:rPr>
                <w:sz w:val="20"/>
                <w:szCs w:val="20"/>
              </w:rPr>
              <w:t>7.</w:t>
            </w:r>
          </w:p>
        </w:tc>
        <w:tc>
          <w:tcPr>
            <w:tcW w:w="0" w:type="auto"/>
            <w:tcBorders>
              <w:top w:val="single" w:sz="6" w:space="0" w:color="auto"/>
              <w:left w:val="single" w:sz="6" w:space="0" w:color="auto"/>
              <w:bottom w:val="single" w:sz="6" w:space="0" w:color="auto"/>
              <w:right w:val="single" w:sz="6" w:space="0" w:color="auto"/>
            </w:tcBorders>
            <w:hideMark/>
          </w:tcPr>
          <w:p w14:paraId="3BF03486"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25667A86"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8854B3B" w14:textId="77777777" w:rsidR="00EA69AA" w:rsidRPr="00781F59" w:rsidRDefault="00EA69AA" w:rsidP="00EA69AA">
            <w:pPr>
              <w:contextualSpacing/>
              <w:rPr>
                <w:sz w:val="20"/>
                <w:szCs w:val="20"/>
              </w:rPr>
            </w:pPr>
            <w:r w:rsidRPr="00781F59">
              <w:rPr>
                <w:sz w:val="20"/>
                <w:szCs w:val="20"/>
              </w:rPr>
              <w:t>300</w:t>
            </w:r>
          </w:p>
        </w:tc>
        <w:tc>
          <w:tcPr>
            <w:tcW w:w="0" w:type="auto"/>
            <w:tcBorders>
              <w:top w:val="single" w:sz="6" w:space="0" w:color="auto"/>
              <w:left w:val="single" w:sz="6" w:space="0" w:color="auto"/>
              <w:bottom w:val="single" w:sz="6" w:space="0" w:color="auto"/>
              <w:right w:val="single" w:sz="6" w:space="0" w:color="auto"/>
            </w:tcBorders>
            <w:hideMark/>
          </w:tcPr>
          <w:p w14:paraId="7CA3BA65" w14:textId="276184EE" w:rsidR="00EA69AA" w:rsidRPr="00781F59" w:rsidRDefault="00EA69AA" w:rsidP="00EA69AA">
            <w:pPr>
              <w:contextualSpacing/>
              <w:rPr>
                <w:sz w:val="20"/>
                <w:szCs w:val="20"/>
              </w:rPr>
            </w:pPr>
            <w:r w:rsidRPr="00781F59">
              <w:rPr>
                <w:sz w:val="20"/>
                <w:szCs w:val="20"/>
              </w:rPr>
              <w:t>Allison C Hoffman, Donna Miceli 2011 Menthol cigarettes and smoking cessation behavior</w:t>
            </w:r>
            <w:r w:rsidR="007F2F01">
              <w:rPr>
                <w:sz w:val="20"/>
                <w:szCs w:val="20"/>
              </w:rPr>
              <w:t>.</w:t>
            </w:r>
            <w:r w:rsidRPr="00781F59">
              <w:rPr>
                <w:sz w:val="20"/>
                <w:szCs w:val="20"/>
              </w:rPr>
              <w:t xml:space="preserve"> Tobacco induced diseases; 9 Suppl </w:t>
            </w:r>
            <w:proofErr w:type="gramStart"/>
            <w:r w:rsidRPr="00781F59">
              <w:rPr>
                <w:sz w:val="20"/>
                <w:szCs w:val="20"/>
              </w:rPr>
              <w:t>1.S</w:t>
            </w:r>
            <w:proofErr w:type="gramEnd"/>
            <w:r w:rsidRPr="00781F59">
              <w:rPr>
                <w:sz w:val="20"/>
                <w:szCs w:val="20"/>
              </w:rPr>
              <w:t>6.</w:t>
            </w:r>
          </w:p>
        </w:tc>
        <w:tc>
          <w:tcPr>
            <w:tcW w:w="0" w:type="auto"/>
            <w:tcBorders>
              <w:top w:val="single" w:sz="6" w:space="0" w:color="auto"/>
              <w:left w:val="single" w:sz="6" w:space="0" w:color="auto"/>
              <w:bottom w:val="single" w:sz="6" w:space="0" w:color="auto"/>
              <w:right w:val="single" w:sz="6" w:space="0" w:color="auto"/>
            </w:tcBorders>
            <w:hideMark/>
          </w:tcPr>
          <w:p w14:paraId="3032BC17" w14:textId="77777777" w:rsidR="00EA69AA" w:rsidRPr="00781F59" w:rsidRDefault="00EA69AA" w:rsidP="00EA69AA">
            <w:pPr>
              <w:contextualSpacing/>
              <w:rPr>
                <w:sz w:val="20"/>
                <w:szCs w:val="20"/>
              </w:rPr>
            </w:pPr>
            <w:r w:rsidRPr="00781F59">
              <w:rPr>
                <w:sz w:val="20"/>
                <w:szCs w:val="20"/>
              </w:rPr>
              <w:t>Not original research / data</w:t>
            </w:r>
          </w:p>
        </w:tc>
      </w:tr>
      <w:tr w:rsidR="00EA69AA" w:rsidRPr="00781F59" w14:paraId="7EC58764"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7773B0C" w14:textId="77777777" w:rsidR="00EA69AA" w:rsidRPr="00781F59" w:rsidRDefault="00EA69AA" w:rsidP="00EA69AA">
            <w:pPr>
              <w:contextualSpacing/>
              <w:rPr>
                <w:sz w:val="20"/>
                <w:szCs w:val="20"/>
              </w:rPr>
            </w:pPr>
            <w:r w:rsidRPr="00781F59">
              <w:rPr>
                <w:sz w:val="20"/>
                <w:szCs w:val="20"/>
              </w:rPr>
              <w:t>301</w:t>
            </w:r>
          </w:p>
        </w:tc>
        <w:tc>
          <w:tcPr>
            <w:tcW w:w="0" w:type="auto"/>
            <w:tcBorders>
              <w:top w:val="single" w:sz="6" w:space="0" w:color="auto"/>
              <w:left w:val="single" w:sz="6" w:space="0" w:color="auto"/>
              <w:bottom w:val="single" w:sz="6" w:space="0" w:color="auto"/>
              <w:right w:val="single" w:sz="6" w:space="0" w:color="auto"/>
            </w:tcBorders>
            <w:hideMark/>
          </w:tcPr>
          <w:p w14:paraId="6421296D" w14:textId="63356BEF" w:rsidR="00EA69AA" w:rsidRPr="00781F59" w:rsidRDefault="00EA69AA" w:rsidP="00EA69AA">
            <w:pPr>
              <w:contextualSpacing/>
              <w:rPr>
                <w:sz w:val="20"/>
                <w:szCs w:val="20"/>
              </w:rPr>
            </w:pPr>
            <w:r w:rsidRPr="00781F59">
              <w:rPr>
                <w:sz w:val="20"/>
                <w:szCs w:val="20"/>
              </w:rPr>
              <w:t>Allison C Hoffman, Dee Simmons 2011 Menthol cigarette smoking and nicotine dependence</w:t>
            </w:r>
            <w:r w:rsidR="007F2F01">
              <w:rPr>
                <w:sz w:val="20"/>
                <w:szCs w:val="20"/>
              </w:rPr>
              <w:t>.</w:t>
            </w:r>
            <w:r w:rsidRPr="00781F59">
              <w:rPr>
                <w:sz w:val="20"/>
                <w:szCs w:val="20"/>
              </w:rPr>
              <w:t xml:space="preserve"> Tobacco induced diseases; 9 Suppl </w:t>
            </w:r>
            <w:proofErr w:type="gramStart"/>
            <w:r w:rsidRPr="00781F59">
              <w:rPr>
                <w:sz w:val="20"/>
                <w:szCs w:val="20"/>
              </w:rPr>
              <w:t>1.S</w:t>
            </w:r>
            <w:proofErr w:type="gramEnd"/>
            <w:r w:rsidRPr="00781F59">
              <w:rPr>
                <w:sz w:val="20"/>
                <w:szCs w:val="20"/>
              </w:rPr>
              <w:t>5.</w:t>
            </w:r>
          </w:p>
        </w:tc>
        <w:tc>
          <w:tcPr>
            <w:tcW w:w="0" w:type="auto"/>
            <w:tcBorders>
              <w:top w:val="single" w:sz="6" w:space="0" w:color="auto"/>
              <w:left w:val="single" w:sz="6" w:space="0" w:color="auto"/>
              <w:bottom w:val="single" w:sz="6" w:space="0" w:color="auto"/>
              <w:right w:val="single" w:sz="6" w:space="0" w:color="auto"/>
            </w:tcBorders>
            <w:hideMark/>
          </w:tcPr>
          <w:p w14:paraId="673F3447" w14:textId="77777777" w:rsidR="00EA69AA" w:rsidRPr="00781F59" w:rsidRDefault="00EA69AA" w:rsidP="00EA69AA">
            <w:pPr>
              <w:contextualSpacing/>
              <w:rPr>
                <w:sz w:val="20"/>
                <w:szCs w:val="20"/>
              </w:rPr>
            </w:pPr>
            <w:r w:rsidRPr="00781F59">
              <w:rPr>
                <w:sz w:val="20"/>
                <w:szCs w:val="20"/>
              </w:rPr>
              <w:t>Not original research / data</w:t>
            </w:r>
          </w:p>
        </w:tc>
      </w:tr>
      <w:tr w:rsidR="00EA69AA" w:rsidRPr="00781F59" w14:paraId="2838E795"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AE81457" w14:textId="77777777" w:rsidR="00EA69AA" w:rsidRPr="00781F59" w:rsidRDefault="00EA69AA" w:rsidP="00EA69AA">
            <w:pPr>
              <w:contextualSpacing/>
              <w:rPr>
                <w:sz w:val="20"/>
                <w:szCs w:val="20"/>
              </w:rPr>
            </w:pPr>
            <w:r w:rsidRPr="00781F59">
              <w:rPr>
                <w:sz w:val="20"/>
                <w:szCs w:val="20"/>
              </w:rPr>
              <w:t>302</w:t>
            </w:r>
          </w:p>
        </w:tc>
        <w:tc>
          <w:tcPr>
            <w:tcW w:w="0" w:type="auto"/>
            <w:tcBorders>
              <w:top w:val="single" w:sz="6" w:space="0" w:color="auto"/>
              <w:left w:val="single" w:sz="6" w:space="0" w:color="auto"/>
              <w:bottom w:val="single" w:sz="6" w:space="0" w:color="auto"/>
              <w:right w:val="single" w:sz="6" w:space="0" w:color="auto"/>
            </w:tcBorders>
            <w:hideMark/>
          </w:tcPr>
          <w:p w14:paraId="3461481D" w14:textId="137AA8FC" w:rsidR="00EA69AA" w:rsidRPr="00781F59" w:rsidRDefault="00EA69AA" w:rsidP="00EA69AA">
            <w:pPr>
              <w:contextualSpacing/>
              <w:rPr>
                <w:sz w:val="20"/>
                <w:szCs w:val="20"/>
              </w:rPr>
            </w:pPr>
            <w:r w:rsidRPr="00781F59">
              <w:rPr>
                <w:sz w:val="20"/>
                <w:szCs w:val="20"/>
              </w:rPr>
              <w:t>Joshua Rising, Kristina Wasson-Blader 2011 Menthol and initiation of cigarette smoking</w:t>
            </w:r>
            <w:r w:rsidR="007F2F01">
              <w:rPr>
                <w:sz w:val="20"/>
                <w:szCs w:val="20"/>
              </w:rPr>
              <w:t>.</w:t>
            </w:r>
            <w:r w:rsidRPr="00781F59">
              <w:rPr>
                <w:sz w:val="20"/>
                <w:szCs w:val="20"/>
              </w:rPr>
              <w:t xml:space="preserve"> Tobacco induced diseases; 9 Suppl </w:t>
            </w:r>
            <w:proofErr w:type="gramStart"/>
            <w:r w:rsidRPr="00781F59">
              <w:rPr>
                <w:sz w:val="20"/>
                <w:szCs w:val="20"/>
              </w:rPr>
              <w:t>1.S</w:t>
            </w:r>
            <w:proofErr w:type="gramEnd"/>
            <w:r w:rsidRPr="00781F59">
              <w:rPr>
                <w:sz w:val="20"/>
                <w:szCs w:val="20"/>
              </w:rPr>
              <w:t>4.</w:t>
            </w:r>
          </w:p>
        </w:tc>
        <w:tc>
          <w:tcPr>
            <w:tcW w:w="0" w:type="auto"/>
            <w:tcBorders>
              <w:top w:val="single" w:sz="6" w:space="0" w:color="auto"/>
              <w:left w:val="single" w:sz="6" w:space="0" w:color="auto"/>
              <w:bottom w:val="single" w:sz="6" w:space="0" w:color="auto"/>
              <w:right w:val="single" w:sz="6" w:space="0" w:color="auto"/>
            </w:tcBorders>
            <w:hideMark/>
          </w:tcPr>
          <w:p w14:paraId="131859C7" w14:textId="77777777" w:rsidR="00EA69AA" w:rsidRPr="00781F59" w:rsidRDefault="00EA69AA" w:rsidP="00EA69AA">
            <w:pPr>
              <w:contextualSpacing/>
              <w:rPr>
                <w:sz w:val="20"/>
                <w:szCs w:val="20"/>
              </w:rPr>
            </w:pPr>
            <w:r w:rsidRPr="00781F59">
              <w:rPr>
                <w:sz w:val="20"/>
                <w:szCs w:val="20"/>
              </w:rPr>
              <w:t>Not original research / data</w:t>
            </w:r>
          </w:p>
        </w:tc>
      </w:tr>
      <w:tr w:rsidR="00EA69AA" w:rsidRPr="00781F59" w14:paraId="775408A0"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A191320" w14:textId="77777777" w:rsidR="00EA69AA" w:rsidRPr="00781F59" w:rsidRDefault="00EA69AA" w:rsidP="00EA69AA">
            <w:pPr>
              <w:contextualSpacing/>
              <w:rPr>
                <w:sz w:val="20"/>
                <w:szCs w:val="20"/>
              </w:rPr>
            </w:pPr>
            <w:r w:rsidRPr="00781F59">
              <w:rPr>
                <w:sz w:val="20"/>
                <w:szCs w:val="20"/>
              </w:rPr>
              <w:t>303</w:t>
            </w:r>
          </w:p>
        </w:tc>
        <w:tc>
          <w:tcPr>
            <w:tcW w:w="0" w:type="auto"/>
            <w:tcBorders>
              <w:top w:val="single" w:sz="6" w:space="0" w:color="auto"/>
              <w:left w:val="single" w:sz="6" w:space="0" w:color="auto"/>
              <w:bottom w:val="single" w:sz="6" w:space="0" w:color="auto"/>
              <w:right w:val="single" w:sz="6" w:space="0" w:color="auto"/>
            </w:tcBorders>
            <w:hideMark/>
          </w:tcPr>
          <w:p w14:paraId="1EFF7DDB" w14:textId="63B19A5F" w:rsidR="00EA69AA" w:rsidRPr="00781F59" w:rsidRDefault="00EA69AA" w:rsidP="00EA69AA">
            <w:pPr>
              <w:contextualSpacing/>
              <w:rPr>
                <w:sz w:val="20"/>
                <w:szCs w:val="20"/>
              </w:rPr>
            </w:pPr>
            <w:r w:rsidRPr="00781F59">
              <w:rPr>
                <w:sz w:val="20"/>
                <w:szCs w:val="20"/>
              </w:rPr>
              <w:t>Deirdre Lawrence, Brie Cadman, Allison C Hoffman 2011 Sensory properties of menthol and smoking topography</w:t>
            </w:r>
            <w:r w:rsidR="007F2F01">
              <w:rPr>
                <w:sz w:val="20"/>
                <w:szCs w:val="20"/>
              </w:rPr>
              <w:t>.</w:t>
            </w:r>
            <w:r w:rsidRPr="00781F59">
              <w:rPr>
                <w:sz w:val="20"/>
                <w:szCs w:val="20"/>
              </w:rPr>
              <w:t xml:space="preserve"> Tobacco induced diseases; 9 Suppl </w:t>
            </w:r>
            <w:proofErr w:type="gramStart"/>
            <w:r w:rsidRPr="00781F59">
              <w:rPr>
                <w:sz w:val="20"/>
                <w:szCs w:val="20"/>
              </w:rPr>
              <w:t>1.S</w:t>
            </w:r>
            <w:proofErr w:type="gramEnd"/>
            <w:r w:rsidRPr="00781F59">
              <w:rPr>
                <w:sz w:val="20"/>
                <w:szCs w:val="20"/>
              </w:rPr>
              <w:t>3.</w:t>
            </w:r>
          </w:p>
        </w:tc>
        <w:tc>
          <w:tcPr>
            <w:tcW w:w="0" w:type="auto"/>
            <w:tcBorders>
              <w:top w:val="single" w:sz="6" w:space="0" w:color="auto"/>
              <w:left w:val="single" w:sz="6" w:space="0" w:color="auto"/>
              <w:bottom w:val="single" w:sz="6" w:space="0" w:color="auto"/>
              <w:right w:val="single" w:sz="6" w:space="0" w:color="auto"/>
            </w:tcBorders>
            <w:hideMark/>
          </w:tcPr>
          <w:p w14:paraId="4A8BFC1F" w14:textId="77777777" w:rsidR="00EA69AA" w:rsidRPr="00781F59" w:rsidRDefault="00EA69AA" w:rsidP="00EA69AA">
            <w:pPr>
              <w:contextualSpacing/>
              <w:rPr>
                <w:sz w:val="20"/>
                <w:szCs w:val="20"/>
              </w:rPr>
            </w:pPr>
            <w:r w:rsidRPr="00781F59">
              <w:rPr>
                <w:sz w:val="20"/>
                <w:szCs w:val="20"/>
              </w:rPr>
              <w:t>Not original research / data</w:t>
            </w:r>
          </w:p>
        </w:tc>
      </w:tr>
      <w:tr w:rsidR="00EA69AA" w:rsidRPr="00781F59" w14:paraId="50365B82"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DDBDA62" w14:textId="77777777" w:rsidR="00EA69AA" w:rsidRPr="00781F59" w:rsidRDefault="00EA69AA" w:rsidP="00EA69AA">
            <w:pPr>
              <w:contextualSpacing/>
              <w:rPr>
                <w:sz w:val="20"/>
                <w:szCs w:val="20"/>
              </w:rPr>
            </w:pPr>
            <w:r w:rsidRPr="00781F59">
              <w:rPr>
                <w:sz w:val="20"/>
                <w:szCs w:val="20"/>
              </w:rPr>
              <w:t>306</w:t>
            </w:r>
          </w:p>
        </w:tc>
        <w:tc>
          <w:tcPr>
            <w:tcW w:w="0" w:type="auto"/>
            <w:tcBorders>
              <w:top w:val="single" w:sz="6" w:space="0" w:color="auto"/>
              <w:left w:val="single" w:sz="6" w:space="0" w:color="auto"/>
              <w:bottom w:val="single" w:sz="6" w:space="0" w:color="auto"/>
              <w:right w:val="single" w:sz="6" w:space="0" w:color="auto"/>
            </w:tcBorders>
            <w:hideMark/>
          </w:tcPr>
          <w:p w14:paraId="2655CFF9" w14:textId="2F7C0BA6" w:rsidR="00EA69AA" w:rsidRPr="00781F59" w:rsidRDefault="00EA69AA" w:rsidP="00EA69AA">
            <w:pPr>
              <w:contextualSpacing/>
              <w:rPr>
                <w:sz w:val="20"/>
                <w:szCs w:val="20"/>
              </w:rPr>
            </w:pPr>
            <w:r w:rsidRPr="00781F59">
              <w:rPr>
                <w:sz w:val="20"/>
                <w:szCs w:val="20"/>
              </w:rPr>
              <w:t>Allison C Hoffman 2011 Introduction: Mentholated cigarettes and public health</w:t>
            </w:r>
            <w:r w:rsidR="007F2F01">
              <w:rPr>
                <w:sz w:val="20"/>
                <w:szCs w:val="20"/>
              </w:rPr>
              <w:t>.</w:t>
            </w:r>
            <w:r w:rsidRPr="00781F59">
              <w:rPr>
                <w:sz w:val="20"/>
                <w:szCs w:val="20"/>
              </w:rPr>
              <w:t xml:space="preserve"> Tobacco induced diseases; 9 Suppl </w:t>
            </w:r>
            <w:proofErr w:type="gramStart"/>
            <w:r w:rsidRPr="00781F59">
              <w:rPr>
                <w:sz w:val="20"/>
                <w:szCs w:val="20"/>
              </w:rPr>
              <w:t>1.I</w:t>
            </w:r>
            <w:proofErr w:type="gramEnd"/>
            <w:r w:rsidRPr="00781F59">
              <w:rPr>
                <w:sz w:val="20"/>
                <w:szCs w:val="20"/>
              </w:rPr>
              <w:t>1.</w:t>
            </w:r>
          </w:p>
        </w:tc>
        <w:tc>
          <w:tcPr>
            <w:tcW w:w="0" w:type="auto"/>
            <w:tcBorders>
              <w:top w:val="single" w:sz="6" w:space="0" w:color="auto"/>
              <w:left w:val="single" w:sz="6" w:space="0" w:color="auto"/>
              <w:bottom w:val="single" w:sz="6" w:space="0" w:color="auto"/>
              <w:right w:val="single" w:sz="6" w:space="0" w:color="auto"/>
            </w:tcBorders>
            <w:hideMark/>
          </w:tcPr>
          <w:p w14:paraId="45184C5D"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04CF1383"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0616E41" w14:textId="77777777" w:rsidR="00EA69AA" w:rsidRPr="00781F59" w:rsidRDefault="00EA69AA" w:rsidP="00EA69AA">
            <w:pPr>
              <w:contextualSpacing/>
              <w:rPr>
                <w:sz w:val="20"/>
                <w:szCs w:val="20"/>
              </w:rPr>
            </w:pPr>
            <w:r w:rsidRPr="00781F59">
              <w:rPr>
                <w:sz w:val="20"/>
                <w:szCs w:val="20"/>
              </w:rPr>
              <w:t>311</w:t>
            </w:r>
          </w:p>
        </w:tc>
        <w:tc>
          <w:tcPr>
            <w:tcW w:w="0" w:type="auto"/>
            <w:tcBorders>
              <w:top w:val="single" w:sz="6" w:space="0" w:color="auto"/>
              <w:left w:val="single" w:sz="6" w:space="0" w:color="auto"/>
              <w:bottom w:val="single" w:sz="6" w:space="0" w:color="auto"/>
              <w:right w:val="single" w:sz="6" w:space="0" w:color="auto"/>
            </w:tcBorders>
            <w:hideMark/>
          </w:tcPr>
          <w:p w14:paraId="44CFA042" w14:textId="44D7B0AD" w:rsidR="00EA69AA" w:rsidRPr="00781F59" w:rsidRDefault="00EA69AA" w:rsidP="00EA69AA">
            <w:pPr>
              <w:contextualSpacing/>
              <w:rPr>
                <w:sz w:val="20"/>
                <w:szCs w:val="20"/>
              </w:rPr>
            </w:pPr>
            <w:r w:rsidRPr="00781F59">
              <w:rPr>
                <w:sz w:val="20"/>
                <w:szCs w:val="20"/>
              </w:rPr>
              <w:t>Eva O Hansen, Lars Arendt-Nielsen, Shellie A Boudreau 2017 A Comparison of Oral Sensory Effects of Three TRPA1 Agonists in Young Adult Smokers and Non-smokers</w:t>
            </w:r>
            <w:r w:rsidR="007F2F01">
              <w:rPr>
                <w:sz w:val="20"/>
                <w:szCs w:val="20"/>
              </w:rPr>
              <w:t>.</w:t>
            </w:r>
            <w:r w:rsidRPr="00781F59">
              <w:rPr>
                <w:sz w:val="20"/>
                <w:szCs w:val="20"/>
              </w:rPr>
              <w:t xml:space="preserve"> Frontiers in physiology; 8.663.</w:t>
            </w:r>
          </w:p>
        </w:tc>
        <w:tc>
          <w:tcPr>
            <w:tcW w:w="0" w:type="auto"/>
            <w:tcBorders>
              <w:top w:val="single" w:sz="6" w:space="0" w:color="auto"/>
              <w:left w:val="single" w:sz="6" w:space="0" w:color="auto"/>
              <w:bottom w:val="single" w:sz="6" w:space="0" w:color="auto"/>
              <w:right w:val="single" w:sz="6" w:space="0" w:color="auto"/>
            </w:tcBorders>
            <w:hideMark/>
          </w:tcPr>
          <w:p w14:paraId="6C43EC59"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21A27F58"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72C41C3" w14:textId="77777777" w:rsidR="00EA69AA" w:rsidRPr="00781F59" w:rsidRDefault="00EA69AA" w:rsidP="00EA69AA">
            <w:pPr>
              <w:contextualSpacing/>
              <w:rPr>
                <w:sz w:val="20"/>
                <w:szCs w:val="20"/>
              </w:rPr>
            </w:pPr>
            <w:r w:rsidRPr="00781F59">
              <w:rPr>
                <w:sz w:val="20"/>
                <w:szCs w:val="20"/>
              </w:rPr>
              <w:lastRenderedPageBreak/>
              <w:t>313</w:t>
            </w:r>
          </w:p>
        </w:tc>
        <w:tc>
          <w:tcPr>
            <w:tcW w:w="0" w:type="auto"/>
            <w:tcBorders>
              <w:top w:val="single" w:sz="6" w:space="0" w:color="auto"/>
              <w:left w:val="single" w:sz="6" w:space="0" w:color="auto"/>
              <w:bottom w:val="single" w:sz="6" w:space="0" w:color="auto"/>
              <w:right w:val="single" w:sz="6" w:space="0" w:color="auto"/>
            </w:tcBorders>
            <w:hideMark/>
          </w:tcPr>
          <w:p w14:paraId="17E3A006" w14:textId="21A1C0BB" w:rsidR="00EA69AA" w:rsidRPr="00781F59" w:rsidRDefault="00EA69AA" w:rsidP="00EA69AA">
            <w:pPr>
              <w:contextualSpacing/>
              <w:rPr>
                <w:sz w:val="20"/>
                <w:szCs w:val="20"/>
              </w:rPr>
            </w:pPr>
            <w:r w:rsidRPr="00781F59">
              <w:rPr>
                <w:sz w:val="20"/>
                <w:szCs w:val="20"/>
              </w:rPr>
              <w:t>An-Hsuan Lin, Meng-Han Liu, Hsin-Kuo B Ko, Diahn-Warng Perng, Tzong-Shyuan Lee, Yu Ru Kou 2017 Inflammatory Effects of Menthol vs. Non-menthol Cigarette Smoke Extract on Human Lung Epithelial Cells: A Double-Hit on TRPM8 by Reactive Oxygen Species and Menthol</w:t>
            </w:r>
            <w:r w:rsidR="007F2F01">
              <w:rPr>
                <w:sz w:val="20"/>
                <w:szCs w:val="20"/>
              </w:rPr>
              <w:t>.</w:t>
            </w:r>
            <w:r w:rsidRPr="00781F59">
              <w:rPr>
                <w:sz w:val="20"/>
                <w:szCs w:val="20"/>
              </w:rPr>
              <w:t xml:space="preserve"> Frontiers in physiology; 8.263.</w:t>
            </w:r>
          </w:p>
        </w:tc>
        <w:tc>
          <w:tcPr>
            <w:tcW w:w="0" w:type="auto"/>
            <w:tcBorders>
              <w:top w:val="single" w:sz="6" w:space="0" w:color="auto"/>
              <w:left w:val="single" w:sz="6" w:space="0" w:color="auto"/>
              <w:bottom w:val="single" w:sz="6" w:space="0" w:color="auto"/>
              <w:right w:val="single" w:sz="6" w:space="0" w:color="auto"/>
            </w:tcBorders>
            <w:hideMark/>
          </w:tcPr>
          <w:p w14:paraId="127EB2EA"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71476FC5"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1FC1F9E" w14:textId="77777777" w:rsidR="00EA69AA" w:rsidRPr="00781F59" w:rsidRDefault="00EA69AA" w:rsidP="00EA69AA">
            <w:pPr>
              <w:contextualSpacing/>
              <w:rPr>
                <w:sz w:val="20"/>
                <w:szCs w:val="20"/>
              </w:rPr>
            </w:pPr>
            <w:r w:rsidRPr="00781F59">
              <w:rPr>
                <w:sz w:val="20"/>
                <w:szCs w:val="20"/>
              </w:rPr>
              <w:t>314</w:t>
            </w:r>
          </w:p>
        </w:tc>
        <w:tc>
          <w:tcPr>
            <w:tcW w:w="0" w:type="auto"/>
            <w:tcBorders>
              <w:top w:val="single" w:sz="6" w:space="0" w:color="auto"/>
              <w:left w:val="single" w:sz="6" w:space="0" w:color="auto"/>
              <w:bottom w:val="single" w:sz="6" w:space="0" w:color="auto"/>
              <w:right w:val="single" w:sz="6" w:space="0" w:color="auto"/>
            </w:tcBorders>
            <w:hideMark/>
          </w:tcPr>
          <w:p w14:paraId="7055E9A1" w14:textId="556B7E47" w:rsidR="00EA69AA" w:rsidRPr="00781F59" w:rsidRDefault="00EA69AA" w:rsidP="00EA69AA">
            <w:pPr>
              <w:contextualSpacing/>
              <w:rPr>
                <w:sz w:val="20"/>
                <w:szCs w:val="20"/>
              </w:rPr>
            </w:pPr>
            <w:r w:rsidRPr="00781F59">
              <w:rPr>
                <w:sz w:val="20"/>
                <w:szCs w:val="20"/>
              </w:rPr>
              <w:t>Cynthia Van Landingham, William Fuller, Greg Mariano, Kristin Marano, Geoffrey Curtin, Sandra I Sulsky 2017 Data on cardiovascular and pulmonary diseases among smokers of menthol and non-menthol cigarettes compiled from the National Health and Nutrition Examination Survey (NHANES), 1999-2012</w:t>
            </w:r>
            <w:r w:rsidR="007F2F01">
              <w:rPr>
                <w:sz w:val="20"/>
                <w:szCs w:val="20"/>
              </w:rPr>
              <w:t>.</w:t>
            </w:r>
            <w:r w:rsidRPr="00781F59">
              <w:rPr>
                <w:sz w:val="20"/>
                <w:szCs w:val="20"/>
              </w:rPr>
              <w:t xml:space="preserve"> Data in brief; 12.386.</w:t>
            </w:r>
          </w:p>
        </w:tc>
        <w:tc>
          <w:tcPr>
            <w:tcW w:w="0" w:type="auto"/>
            <w:tcBorders>
              <w:top w:val="single" w:sz="6" w:space="0" w:color="auto"/>
              <w:left w:val="single" w:sz="6" w:space="0" w:color="auto"/>
              <w:bottom w:val="single" w:sz="6" w:space="0" w:color="auto"/>
              <w:right w:val="single" w:sz="6" w:space="0" w:color="auto"/>
            </w:tcBorders>
            <w:hideMark/>
          </w:tcPr>
          <w:p w14:paraId="2AF0C1CC"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6D2709E2"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C97CF67" w14:textId="77777777" w:rsidR="00EA69AA" w:rsidRPr="00781F59" w:rsidRDefault="00EA69AA" w:rsidP="00EA69AA">
            <w:pPr>
              <w:contextualSpacing/>
              <w:rPr>
                <w:sz w:val="20"/>
                <w:szCs w:val="20"/>
              </w:rPr>
            </w:pPr>
            <w:r w:rsidRPr="00781F59">
              <w:rPr>
                <w:sz w:val="20"/>
                <w:szCs w:val="20"/>
              </w:rPr>
              <w:t>320</w:t>
            </w:r>
          </w:p>
        </w:tc>
        <w:tc>
          <w:tcPr>
            <w:tcW w:w="0" w:type="auto"/>
            <w:tcBorders>
              <w:top w:val="single" w:sz="6" w:space="0" w:color="auto"/>
              <w:left w:val="single" w:sz="6" w:space="0" w:color="auto"/>
              <w:bottom w:val="single" w:sz="6" w:space="0" w:color="auto"/>
              <w:right w:val="single" w:sz="6" w:space="0" w:color="auto"/>
            </w:tcBorders>
            <w:hideMark/>
          </w:tcPr>
          <w:p w14:paraId="46FC7F8E" w14:textId="17D85A6A" w:rsidR="00EA69AA" w:rsidRPr="00781F59" w:rsidRDefault="00EA69AA" w:rsidP="00EA69AA">
            <w:pPr>
              <w:contextualSpacing/>
              <w:rPr>
                <w:sz w:val="20"/>
                <w:szCs w:val="20"/>
              </w:rPr>
            </w:pPr>
            <w:r w:rsidRPr="00781F59">
              <w:rPr>
                <w:sz w:val="20"/>
                <w:szCs w:val="20"/>
              </w:rPr>
              <w:t>Jeff Stier 2015 Even anti-tobacco studies must be held to basic scientific standards. A response to: Smoking intensity and intent to continue smoking among menthol and non-menthol adolescent smokers in Canada</w:t>
            </w:r>
            <w:r w:rsidR="007F2F01">
              <w:rPr>
                <w:sz w:val="20"/>
                <w:szCs w:val="20"/>
              </w:rPr>
              <w:t>.</w:t>
            </w:r>
            <w:r w:rsidRPr="00781F59">
              <w:rPr>
                <w:sz w:val="20"/>
                <w:szCs w:val="20"/>
              </w:rPr>
              <w:t xml:space="preserve"> Cancer causes &amp; </w:t>
            </w:r>
            <w:proofErr w:type="gramStart"/>
            <w:r w:rsidRPr="00781F59">
              <w:rPr>
                <w:sz w:val="20"/>
                <w:szCs w:val="20"/>
              </w:rPr>
              <w:t>control :</w:t>
            </w:r>
            <w:proofErr w:type="gramEnd"/>
            <w:r w:rsidRPr="00781F59">
              <w:rPr>
                <w:sz w:val="20"/>
                <w:szCs w:val="20"/>
              </w:rPr>
              <w:t xml:space="preserve"> CCC; 26.1053.</w:t>
            </w:r>
          </w:p>
        </w:tc>
        <w:tc>
          <w:tcPr>
            <w:tcW w:w="0" w:type="auto"/>
            <w:tcBorders>
              <w:top w:val="single" w:sz="6" w:space="0" w:color="auto"/>
              <w:left w:val="single" w:sz="6" w:space="0" w:color="auto"/>
              <w:bottom w:val="single" w:sz="6" w:space="0" w:color="auto"/>
              <w:right w:val="single" w:sz="6" w:space="0" w:color="auto"/>
            </w:tcBorders>
            <w:hideMark/>
          </w:tcPr>
          <w:p w14:paraId="5FB63BF5" w14:textId="77777777" w:rsidR="00EA69AA" w:rsidRPr="00781F59" w:rsidRDefault="00EA69AA" w:rsidP="00EA69AA">
            <w:pPr>
              <w:contextualSpacing/>
              <w:rPr>
                <w:sz w:val="20"/>
                <w:szCs w:val="20"/>
              </w:rPr>
            </w:pPr>
            <w:r w:rsidRPr="00781F59">
              <w:rPr>
                <w:sz w:val="20"/>
                <w:szCs w:val="20"/>
              </w:rPr>
              <w:t>Ineligible population (not U.S., not humans)</w:t>
            </w:r>
          </w:p>
        </w:tc>
      </w:tr>
      <w:tr w:rsidR="00EA69AA" w:rsidRPr="00781F59" w14:paraId="0D4BD17E"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DB301D0" w14:textId="77777777" w:rsidR="00EA69AA" w:rsidRPr="00781F59" w:rsidRDefault="00EA69AA" w:rsidP="00EA69AA">
            <w:pPr>
              <w:contextualSpacing/>
              <w:rPr>
                <w:sz w:val="20"/>
                <w:szCs w:val="20"/>
              </w:rPr>
            </w:pPr>
            <w:r w:rsidRPr="00781F59">
              <w:rPr>
                <w:sz w:val="20"/>
                <w:szCs w:val="20"/>
              </w:rPr>
              <w:t>322</w:t>
            </w:r>
          </w:p>
        </w:tc>
        <w:tc>
          <w:tcPr>
            <w:tcW w:w="0" w:type="auto"/>
            <w:tcBorders>
              <w:top w:val="single" w:sz="6" w:space="0" w:color="auto"/>
              <w:left w:val="single" w:sz="6" w:space="0" w:color="auto"/>
              <w:bottom w:val="single" w:sz="6" w:space="0" w:color="auto"/>
              <w:right w:val="single" w:sz="6" w:space="0" w:color="auto"/>
            </w:tcBorders>
            <w:hideMark/>
          </w:tcPr>
          <w:p w14:paraId="275952D1" w14:textId="4C0BFFD5" w:rsidR="00EA69AA" w:rsidRPr="00781F59" w:rsidRDefault="00EA69AA" w:rsidP="00EA69AA">
            <w:pPr>
              <w:contextualSpacing/>
              <w:rPr>
                <w:sz w:val="20"/>
                <w:szCs w:val="20"/>
              </w:rPr>
            </w:pPr>
            <w:r w:rsidRPr="00781F59">
              <w:rPr>
                <w:sz w:val="20"/>
                <w:szCs w:val="20"/>
              </w:rPr>
              <w:t>Md Mizanur Rahman, Mohd Taha Arif, Mohd Fadzillah Abd Razak, Mohd Raili Bin Suhaili, Zainab Tambi, Clifton Akoi, Deburra Peak Ngadan 2014 Does menthol-brand cigarette initiate early smoking? Evidence from a cross sectional study in sarawak, malaysia</w:t>
            </w:r>
            <w:r w:rsidR="007F2F01">
              <w:rPr>
                <w:sz w:val="20"/>
                <w:szCs w:val="20"/>
              </w:rPr>
              <w:t>.</w:t>
            </w:r>
            <w:r w:rsidRPr="00781F59">
              <w:rPr>
                <w:sz w:val="20"/>
                <w:szCs w:val="20"/>
              </w:rPr>
              <w:t xml:space="preserve"> Iranian journal of public health; 43.385.</w:t>
            </w:r>
          </w:p>
        </w:tc>
        <w:tc>
          <w:tcPr>
            <w:tcW w:w="0" w:type="auto"/>
            <w:tcBorders>
              <w:top w:val="single" w:sz="6" w:space="0" w:color="auto"/>
              <w:left w:val="single" w:sz="6" w:space="0" w:color="auto"/>
              <w:bottom w:val="single" w:sz="6" w:space="0" w:color="auto"/>
              <w:right w:val="single" w:sz="6" w:space="0" w:color="auto"/>
            </w:tcBorders>
            <w:hideMark/>
          </w:tcPr>
          <w:p w14:paraId="28CAF5FE" w14:textId="77777777" w:rsidR="00EA69AA" w:rsidRPr="00781F59" w:rsidRDefault="00EA69AA" w:rsidP="00EA69AA">
            <w:pPr>
              <w:contextualSpacing/>
              <w:rPr>
                <w:sz w:val="20"/>
                <w:szCs w:val="20"/>
              </w:rPr>
            </w:pPr>
            <w:r w:rsidRPr="00781F59">
              <w:rPr>
                <w:sz w:val="20"/>
                <w:szCs w:val="20"/>
              </w:rPr>
              <w:t>Ineligible population (not U.S., not humans)</w:t>
            </w:r>
          </w:p>
        </w:tc>
      </w:tr>
      <w:tr w:rsidR="00EA69AA" w:rsidRPr="00781F59" w14:paraId="56283453"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0B07570" w14:textId="77777777" w:rsidR="00EA69AA" w:rsidRPr="00781F59" w:rsidRDefault="00EA69AA" w:rsidP="00EA69AA">
            <w:pPr>
              <w:contextualSpacing/>
              <w:rPr>
                <w:sz w:val="20"/>
                <w:szCs w:val="20"/>
              </w:rPr>
            </w:pPr>
            <w:r w:rsidRPr="00781F59">
              <w:rPr>
                <w:sz w:val="20"/>
                <w:szCs w:val="20"/>
              </w:rPr>
              <w:t>324</w:t>
            </w:r>
          </w:p>
        </w:tc>
        <w:tc>
          <w:tcPr>
            <w:tcW w:w="0" w:type="auto"/>
            <w:tcBorders>
              <w:top w:val="single" w:sz="6" w:space="0" w:color="auto"/>
              <w:left w:val="single" w:sz="6" w:space="0" w:color="auto"/>
              <w:bottom w:val="single" w:sz="6" w:space="0" w:color="auto"/>
              <w:right w:val="single" w:sz="6" w:space="0" w:color="auto"/>
            </w:tcBorders>
            <w:hideMark/>
          </w:tcPr>
          <w:p w14:paraId="7C961908" w14:textId="03625B69" w:rsidR="00EA69AA" w:rsidRPr="00781F59" w:rsidRDefault="00EA69AA" w:rsidP="00EA69AA">
            <w:pPr>
              <w:contextualSpacing/>
              <w:rPr>
                <w:sz w:val="20"/>
                <w:szCs w:val="20"/>
              </w:rPr>
            </w:pPr>
            <w:r w:rsidRPr="00781F59">
              <w:rPr>
                <w:sz w:val="20"/>
                <w:szCs w:val="20"/>
              </w:rPr>
              <w:t>Nadine Kabbani 2013 Not so Cool? Menthol's discovered actions on the nicotinic receptor and its implications for nicotine addiction</w:t>
            </w:r>
            <w:r w:rsidR="007F2F01">
              <w:rPr>
                <w:sz w:val="20"/>
                <w:szCs w:val="20"/>
              </w:rPr>
              <w:t>.</w:t>
            </w:r>
            <w:r w:rsidRPr="00781F59">
              <w:rPr>
                <w:sz w:val="20"/>
                <w:szCs w:val="20"/>
              </w:rPr>
              <w:t xml:space="preserve"> Frontiers in pharmacology; 4.95.</w:t>
            </w:r>
          </w:p>
        </w:tc>
        <w:tc>
          <w:tcPr>
            <w:tcW w:w="0" w:type="auto"/>
            <w:tcBorders>
              <w:top w:val="single" w:sz="6" w:space="0" w:color="auto"/>
              <w:left w:val="single" w:sz="6" w:space="0" w:color="auto"/>
              <w:bottom w:val="single" w:sz="6" w:space="0" w:color="auto"/>
              <w:right w:val="single" w:sz="6" w:space="0" w:color="auto"/>
            </w:tcBorders>
            <w:hideMark/>
          </w:tcPr>
          <w:p w14:paraId="254B55D3"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1A65C98C"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F6C4897" w14:textId="77777777" w:rsidR="00EA69AA" w:rsidRPr="00781F59" w:rsidRDefault="00EA69AA" w:rsidP="00EA69AA">
            <w:pPr>
              <w:contextualSpacing/>
              <w:rPr>
                <w:sz w:val="20"/>
                <w:szCs w:val="20"/>
              </w:rPr>
            </w:pPr>
            <w:r w:rsidRPr="00781F59">
              <w:rPr>
                <w:sz w:val="20"/>
                <w:szCs w:val="20"/>
              </w:rPr>
              <w:t>327</w:t>
            </w:r>
          </w:p>
        </w:tc>
        <w:tc>
          <w:tcPr>
            <w:tcW w:w="0" w:type="auto"/>
            <w:tcBorders>
              <w:top w:val="single" w:sz="6" w:space="0" w:color="auto"/>
              <w:left w:val="single" w:sz="6" w:space="0" w:color="auto"/>
              <w:bottom w:val="single" w:sz="6" w:space="0" w:color="auto"/>
              <w:right w:val="single" w:sz="6" w:space="0" w:color="auto"/>
            </w:tcBorders>
            <w:hideMark/>
          </w:tcPr>
          <w:p w14:paraId="5829AD09" w14:textId="6F597421" w:rsidR="00EA69AA" w:rsidRPr="00781F59" w:rsidRDefault="00EA69AA" w:rsidP="00EA69AA">
            <w:pPr>
              <w:contextualSpacing/>
              <w:rPr>
                <w:sz w:val="20"/>
                <w:szCs w:val="20"/>
              </w:rPr>
            </w:pPr>
            <w:r w:rsidRPr="00781F59">
              <w:rPr>
                <w:sz w:val="20"/>
                <w:szCs w:val="20"/>
              </w:rPr>
              <w:t>Allison M Schmidt, Sarah D Kowitt, Allison E Myers, Adam O Goldstein 2018 Attitudes towards Potential New Tobacco Control Regulations among U.S. Adults</w:t>
            </w:r>
            <w:r w:rsidR="007F2F01">
              <w:rPr>
                <w:sz w:val="20"/>
                <w:szCs w:val="20"/>
              </w:rPr>
              <w:t>.</w:t>
            </w:r>
            <w:r w:rsidRPr="00781F59">
              <w:rPr>
                <w:sz w:val="20"/>
                <w:szCs w:val="20"/>
              </w:rPr>
              <w:t xml:space="preserve"> International journal of environmental research and public health; 15.</w:t>
            </w:r>
          </w:p>
        </w:tc>
        <w:tc>
          <w:tcPr>
            <w:tcW w:w="0" w:type="auto"/>
            <w:tcBorders>
              <w:top w:val="single" w:sz="6" w:space="0" w:color="auto"/>
              <w:left w:val="single" w:sz="6" w:space="0" w:color="auto"/>
              <w:bottom w:val="single" w:sz="6" w:space="0" w:color="auto"/>
              <w:right w:val="single" w:sz="6" w:space="0" w:color="auto"/>
            </w:tcBorders>
            <w:hideMark/>
          </w:tcPr>
          <w:p w14:paraId="51E0067D"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53BE20F1"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DF1B50F" w14:textId="77777777" w:rsidR="00EA69AA" w:rsidRPr="00781F59" w:rsidRDefault="00EA69AA" w:rsidP="00EA69AA">
            <w:pPr>
              <w:contextualSpacing/>
              <w:rPr>
                <w:sz w:val="20"/>
                <w:szCs w:val="20"/>
              </w:rPr>
            </w:pPr>
            <w:r w:rsidRPr="00781F59">
              <w:rPr>
                <w:sz w:val="20"/>
                <w:szCs w:val="20"/>
              </w:rPr>
              <w:t>329</w:t>
            </w:r>
          </w:p>
        </w:tc>
        <w:tc>
          <w:tcPr>
            <w:tcW w:w="0" w:type="auto"/>
            <w:tcBorders>
              <w:top w:val="single" w:sz="6" w:space="0" w:color="auto"/>
              <w:left w:val="single" w:sz="6" w:space="0" w:color="auto"/>
              <w:bottom w:val="single" w:sz="6" w:space="0" w:color="auto"/>
              <w:right w:val="single" w:sz="6" w:space="0" w:color="auto"/>
            </w:tcBorders>
            <w:hideMark/>
          </w:tcPr>
          <w:p w14:paraId="4CBBD8F0" w14:textId="55C8FD8A" w:rsidR="00EA69AA" w:rsidRPr="00781F59" w:rsidRDefault="00EA69AA" w:rsidP="00EA69AA">
            <w:pPr>
              <w:contextualSpacing/>
              <w:rPr>
                <w:sz w:val="20"/>
                <w:szCs w:val="20"/>
              </w:rPr>
            </w:pPr>
            <w:r w:rsidRPr="00781F59">
              <w:rPr>
                <w:sz w:val="20"/>
                <w:szCs w:val="20"/>
              </w:rPr>
              <w:t>Ruth E Malone 2017 It's the 21st century: isn't it past time to ban menthol cigarette sales?</w:t>
            </w:r>
            <w:r w:rsidR="007F2F01">
              <w:rPr>
                <w:sz w:val="20"/>
                <w:szCs w:val="20"/>
              </w:rPr>
              <w:t>.</w:t>
            </w:r>
            <w:r w:rsidRPr="00781F59">
              <w:rPr>
                <w:sz w:val="20"/>
                <w:szCs w:val="20"/>
              </w:rPr>
              <w:t xml:space="preserve"> Tobacco control; 26.359.</w:t>
            </w:r>
          </w:p>
        </w:tc>
        <w:tc>
          <w:tcPr>
            <w:tcW w:w="0" w:type="auto"/>
            <w:tcBorders>
              <w:top w:val="single" w:sz="6" w:space="0" w:color="auto"/>
              <w:left w:val="single" w:sz="6" w:space="0" w:color="auto"/>
              <w:bottom w:val="single" w:sz="6" w:space="0" w:color="auto"/>
              <w:right w:val="single" w:sz="6" w:space="0" w:color="auto"/>
            </w:tcBorders>
            <w:hideMark/>
          </w:tcPr>
          <w:p w14:paraId="5D7E5CE2"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0483F6B2"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002AB65" w14:textId="77777777" w:rsidR="00EA69AA" w:rsidRPr="00781F59" w:rsidRDefault="00EA69AA" w:rsidP="00EA69AA">
            <w:pPr>
              <w:contextualSpacing/>
              <w:rPr>
                <w:sz w:val="20"/>
                <w:szCs w:val="20"/>
              </w:rPr>
            </w:pPr>
            <w:r w:rsidRPr="00781F59">
              <w:rPr>
                <w:sz w:val="20"/>
                <w:szCs w:val="20"/>
              </w:rPr>
              <w:t>335</w:t>
            </w:r>
          </w:p>
        </w:tc>
        <w:tc>
          <w:tcPr>
            <w:tcW w:w="0" w:type="auto"/>
            <w:tcBorders>
              <w:top w:val="single" w:sz="6" w:space="0" w:color="auto"/>
              <w:left w:val="single" w:sz="6" w:space="0" w:color="auto"/>
              <w:bottom w:val="single" w:sz="6" w:space="0" w:color="auto"/>
              <w:right w:val="single" w:sz="6" w:space="0" w:color="auto"/>
            </w:tcBorders>
            <w:hideMark/>
          </w:tcPr>
          <w:p w14:paraId="41762678" w14:textId="1AB3722C" w:rsidR="00EA69AA" w:rsidRPr="00781F59" w:rsidRDefault="00EA69AA" w:rsidP="00EA69AA">
            <w:pPr>
              <w:contextualSpacing/>
              <w:rPr>
                <w:sz w:val="20"/>
                <w:szCs w:val="20"/>
              </w:rPr>
            </w:pPr>
            <w:r w:rsidRPr="00781F59">
              <w:rPr>
                <w:sz w:val="20"/>
                <w:szCs w:val="20"/>
              </w:rPr>
              <w:t>Jennifer Brown, Teresa DeAtley, Kevin Welding, Robert Schwartz, Michael Chaiton, Deirdre Lawrence Kittner, Joanna E Cohen 2017 Tobacco industry response to menthol cigarette bans in Alberta and Nova Scotia, Canada</w:t>
            </w:r>
            <w:r w:rsidR="007F2F01">
              <w:rPr>
                <w:sz w:val="20"/>
                <w:szCs w:val="20"/>
              </w:rPr>
              <w:t>.</w:t>
            </w:r>
            <w:r w:rsidRPr="00781F59">
              <w:rPr>
                <w:sz w:val="20"/>
                <w:szCs w:val="20"/>
              </w:rPr>
              <w:t xml:space="preserve"> Tobacco control; </w:t>
            </w:r>
            <w:proofErr w:type="gramStart"/>
            <w:r w:rsidRPr="00781F59">
              <w:rPr>
                <w:sz w:val="20"/>
                <w:szCs w:val="20"/>
              </w:rPr>
              <w:t>26.e</w:t>
            </w:r>
            <w:proofErr w:type="gramEnd"/>
            <w:r w:rsidRPr="00781F59">
              <w:rPr>
                <w:sz w:val="20"/>
                <w:szCs w:val="20"/>
              </w:rPr>
              <w:t>71.</w:t>
            </w:r>
          </w:p>
        </w:tc>
        <w:tc>
          <w:tcPr>
            <w:tcW w:w="0" w:type="auto"/>
            <w:tcBorders>
              <w:top w:val="single" w:sz="6" w:space="0" w:color="auto"/>
              <w:left w:val="single" w:sz="6" w:space="0" w:color="auto"/>
              <w:bottom w:val="single" w:sz="6" w:space="0" w:color="auto"/>
              <w:right w:val="single" w:sz="6" w:space="0" w:color="auto"/>
            </w:tcBorders>
            <w:hideMark/>
          </w:tcPr>
          <w:p w14:paraId="6CAEAF32"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69841F47"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59BC2EF" w14:textId="77777777" w:rsidR="00EA69AA" w:rsidRPr="00781F59" w:rsidRDefault="00EA69AA" w:rsidP="00EA69AA">
            <w:pPr>
              <w:contextualSpacing/>
              <w:rPr>
                <w:sz w:val="20"/>
                <w:szCs w:val="20"/>
              </w:rPr>
            </w:pPr>
            <w:r w:rsidRPr="00781F59">
              <w:rPr>
                <w:sz w:val="20"/>
                <w:szCs w:val="20"/>
              </w:rPr>
              <w:t>340</w:t>
            </w:r>
          </w:p>
        </w:tc>
        <w:tc>
          <w:tcPr>
            <w:tcW w:w="0" w:type="auto"/>
            <w:tcBorders>
              <w:top w:val="single" w:sz="6" w:space="0" w:color="auto"/>
              <w:left w:val="single" w:sz="6" w:space="0" w:color="auto"/>
              <w:bottom w:val="single" w:sz="6" w:space="0" w:color="auto"/>
              <w:right w:val="single" w:sz="6" w:space="0" w:color="auto"/>
            </w:tcBorders>
            <w:hideMark/>
          </w:tcPr>
          <w:p w14:paraId="53923479" w14:textId="712FD00F" w:rsidR="00EA69AA" w:rsidRPr="00781F59" w:rsidRDefault="00EA69AA" w:rsidP="00EA69AA">
            <w:pPr>
              <w:contextualSpacing/>
              <w:rPr>
                <w:sz w:val="20"/>
                <w:szCs w:val="20"/>
              </w:rPr>
            </w:pPr>
            <w:r w:rsidRPr="00781F59">
              <w:rPr>
                <w:sz w:val="20"/>
                <w:szCs w:val="20"/>
              </w:rPr>
              <w:t>Mathilde Marchand, Patrick Brossard, Henri Merdjan, Nicola Lama, Rolf Weitkunat, Frank Ludicke 2017 Nicotine Population Pharmacokinetics in Healthy Adult Smokers: A Retrospective Analysis</w:t>
            </w:r>
            <w:r w:rsidR="007F2F01">
              <w:rPr>
                <w:sz w:val="20"/>
                <w:szCs w:val="20"/>
              </w:rPr>
              <w:t>.</w:t>
            </w:r>
            <w:r w:rsidRPr="00781F59">
              <w:rPr>
                <w:sz w:val="20"/>
                <w:szCs w:val="20"/>
              </w:rPr>
              <w:t xml:space="preserve"> European journal of drug metabolism and pharmacokinetics; 42.943.</w:t>
            </w:r>
          </w:p>
        </w:tc>
        <w:tc>
          <w:tcPr>
            <w:tcW w:w="0" w:type="auto"/>
            <w:tcBorders>
              <w:top w:val="single" w:sz="6" w:space="0" w:color="auto"/>
              <w:left w:val="single" w:sz="6" w:space="0" w:color="auto"/>
              <w:bottom w:val="single" w:sz="6" w:space="0" w:color="auto"/>
              <w:right w:val="single" w:sz="6" w:space="0" w:color="auto"/>
            </w:tcBorders>
            <w:hideMark/>
          </w:tcPr>
          <w:p w14:paraId="2AF3E425"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094F1D84"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CB0DDB5" w14:textId="77777777" w:rsidR="00EA69AA" w:rsidRPr="00781F59" w:rsidRDefault="00EA69AA" w:rsidP="00EA69AA">
            <w:pPr>
              <w:contextualSpacing/>
              <w:rPr>
                <w:sz w:val="20"/>
                <w:szCs w:val="20"/>
              </w:rPr>
            </w:pPr>
            <w:r w:rsidRPr="00781F59">
              <w:rPr>
                <w:sz w:val="20"/>
                <w:szCs w:val="20"/>
              </w:rPr>
              <w:t>341</w:t>
            </w:r>
          </w:p>
        </w:tc>
        <w:tc>
          <w:tcPr>
            <w:tcW w:w="0" w:type="auto"/>
            <w:tcBorders>
              <w:top w:val="single" w:sz="6" w:space="0" w:color="auto"/>
              <w:left w:val="single" w:sz="6" w:space="0" w:color="auto"/>
              <w:bottom w:val="single" w:sz="6" w:space="0" w:color="auto"/>
              <w:right w:val="single" w:sz="6" w:space="0" w:color="auto"/>
            </w:tcBorders>
            <w:hideMark/>
          </w:tcPr>
          <w:p w14:paraId="78362658" w14:textId="524DB3A1" w:rsidR="00EA69AA" w:rsidRPr="00781F59" w:rsidRDefault="00EA69AA" w:rsidP="00EA69AA">
            <w:pPr>
              <w:contextualSpacing/>
              <w:rPr>
                <w:sz w:val="20"/>
                <w:szCs w:val="20"/>
              </w:rPr>
            </w:pPr>
            <w:r w:rsidRPr="00781F59">
              <w:rPr>
                <w:sz w:val="20"/>
                <w:szCs w:val="20"/>
              </w:rPr>
              <w:t>Jessica M Rath, Andrea C Villanti, Valerie F Williams, Amanda Richardson, Jennifer L Pearson, Donna M Vallone 2016 Correlates of current menthol cigarette and flavored other tobacco product use among U.S. young adults</w:t>
            </w:r>
            <w:r w:rsidR="007F2F01">
              <w:rPr>
                <w:sz w:val="20"/>
                <w:szCs w:val="20"/>
              </w:rPr>
              <w:t>.</w:t>
            </w:r>
            <w:r w:rsidRPr="00781F59">
              <w:rPr>
                <w:sz w:val="20"/>
                <w:szCs w:val="20"/>
              </w:rPr>
              <w:t xml:space="preserve"> Addictive behaviors; 62.35.</w:t>
            </w:r>
          </w:p>
        </w:tc>
        <w:tc>
          <w:tcPr>
            <w:tcW w:w="0" w:type="auto"/>
            <w:tcBorders>
              <w:top w:val="single" w:sz="6" w:space="0" w:color="auto"/>
              <w:left w:val="single" w:sz="6" w:space="0" w:color="auto"/>
              <w:bottom w:val="single" w:sz="6" w:space="0" w:color="auto"/>
              <w:right w:val="single" w:sz="6" w:space="0" w:color="auto"/>
            </w:tcBorders>
            <w:hideMark/>
          </w:tcPr>
          <w:p w14:paraId="5069E3A5"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7D44E639"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B2C0BFF" w14:textId="77777777" w:rsidR="00EA69AA" w:rsidRPr="00781F59" w:rsidRDefault="00EA69AA" w:rsidP="00EA69AA">
            <w:pPr>
              <w:contextualSpacing/>
              <w:rPr>
                <w:sz w:val="20"/>
                <w:szCs w:val="20"/>
              </w:rPr>
            </w:pPr>
            <w:r w:rsidRPr="00781F59">
              <w:rPr>
                <w:sz w:val="20"/>
                <w:szCs w:val="20"/>
              </w:rPr>
              <w:t>342</w:t>
            </w:r>
          </w:p>
        </w:tc>
        <w:tc>
          <w:tcPr>
            <w:tcW w:w="0" w:type="auto"/>
            <w:tcBorders>
              <w:top w:val="single" w:sz="6" w:space="0" w:color="auto"/>
              <w:left w:val="single" w:sz="6" w:space="0" w:color="auto"/>
              <w:bottom w:val="single" w:sz="6" w:space="0" w:color="auto"/>
              <w:right w:val="single" w:sz="6" w:space="0" w:color="auto"/>
            </w:tcBorders>
            <w:hideMark/>
          </w:tcPr>
          <w:p w14:paraId="23D51493" w14:textId="09F0FBC9" w:rsidR="00EA69AA" w:rsidRPr="00781F59" w:rsidRDefault="00EA69AA" w:rsidP="00EA69AA">
            <w:pPr>
              <w:contextualSpacing/>
              <w:rPr>
                <w:sz w:val="20"/>
                <w:szCs w:val="20"/>
              </w:rPr>
            </w:pPr>
            <w:r w:rsidRPr="00781F59">
              <w:rPr>
                <w:sz w:val="20"/>
                <w:szCs w:val="20"/>
              </w:rPr>
              <w:t>Brandon J Henderson, Teagan R Wall, Beverley M Henley, Charlene H Kim, Sheri McKinney, Henry A Lester 2017 Menthol Enhances Nicotine Reward-Related Behavior by Potentiating Nicotine-Induced Changes in nAChR Function, nAChR Upregulation, and DA Neuron Excitability</w:t>
            </w:r>
            <w:r w:rsidR="007F2F01">
              <w:rPr>
                <w:sz w:val="20"/>
                <w:szCs w:val="20"/>
              </w:rPr>
              <w:t>.</w:t>
            </w:r>
            <w:r w:rsidRPr="00781F59">
              <w:rPr>
                <w:sz w:val="20"/>
                <w:szCs w:val="20"/>
              </w:rPr>
              <w:t xml:space="preserve"> </w:t>
            </w:r>
            <w:proofErr w:type="gramStart"/>
            <w:r w:rsidRPr="00781F59">
              <w:rPr>
                <w:sz w:val="20"/>
                <w:szCs w:val="20"/>
              </w:rPr>
              <w:t>Neuropsychopharmacology :</w:t>
            </w:r>
            <w:proofErr w:type="gramEnd"/>
            <w:r w:rsidRPr="00781F59">
              <w:rPr>
                <w:sz w:val="20"/>
                <w:szCs w:val="20"/>
              </w:rPr>
              <w:t xml:space="preserve"> official publication of the American College of Neuropsychopharmacology; 42.2285.</w:t>
            </w:r>
          </w:p>
        </w:tc>
        <w:tc>
          <w:tcPr>
            <w:tcW w:w="0" w:type="auto"/>
            <w:tcBorders>
              <w:top w:val="single" w:sz="6" w:space="0" w:color="auto"/>
              <w:left w:val="single" w:sz="6" w:space="0" w:color="auto"/>
              <w:bottom w:val="single" w:sz="6" w:space="0" w:color="auto"/>
              <w:right w:val="single" w:sz="6" w:space="0" w:color="auto"/>
            </w:tcBorders>
            <w:hideMark/>
          </w:tcPr>
          <w:p w14:paraId="40830433"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3C19B5D0"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74126C5" w14:textId="77777777" w:rsidR="00EA69AA" w:rsidRPr="00781F59" w:rsidRDefault="00EA69AA" w:rsidP="00EA69AA">
            <w:pPr>
              <w:contextualSpacing/>
              <w:rPr>
                <w:sz w:val="20"/>
                <w:szCs w:val="20"/>
              </w:rPr>
            </w:pPr>
            <w:r w:rsidRPr="00781F59">
              <w:rPr>
                <w:sz w:val="20"/>
                <w:szCs w:val="20"/>
              </w:rPr>
              <w:t>346</w:t>
            </w:r>
          </w:p>
        </w:tc>
        <w:tc>
          <w:tcPr>
            <w:tcW w:w="0" w:type="auto"/>
            <w:tcBorders>
              <w:top w:val="single" w:sz="6" w:space="0" w:color="auto"/>
              <w:left w:val="single" w:sz="6" w:space="0" w:color="auto"/>
              <w:bottom w:val="single" w:sz="6" w:space="0" w:color="auto"/>
              <w:right w:val="single" w:sz="6" w:space="0" w:color="auto"/>
            </w:tcBorders>
            <w:hideMark/>
          </w:tcPr>
          <w:p w14:paraId="79793C63" w14:textId="7CF80EC1" w:rsidR="00EA69AA" w:rsidRPr="00781F59" w:rsidRDefault="00EA69AA" w:rsidP="00EA69AA">
            <w:pPr>
              <w:contextualSpacing/>
              <w:rPr>
                <w:sz w:val="20"/>
                <w:szCs w:val="20"/>
              </w:rPr>
            </w:pPr>
            <w:r w:rsidRPr="00781F59">
              <w:rPr>
                <w:sz w:val="20"/>
                <w:szCs w:val="20"/>
              </w:rPr>
              <w:t>Andrea C Villanti, Lauren K Collins, Raymond S Niaura, Stacey Y Gagosian, David B Abrams 2017 Menthol cigarettes and the public health standard: a systematic review</w:t>
            </w:r>
            <w:r w:rsidR="007F2F01">
              <w:rPr>
                <w:sz w:val="20"/>
                <w:szCs w:val="20"/>
              </w:rPr>
              <w:t>.</w:t>
            </w:r>
            <w:r w:rsidRPr="00781F59">
              <w:rPr>
                <w:sz w:val="20"/>
                <w:szCs w:val="20"/>
              </w:rPr>
              <w:t xml:space="preserve"> BMC public health; 17.983.</w:t>
            </w:r>
          </w:p>
        </w:tc>
        <w:tc>
          <w:tcPr>
            <w:tcW w:w="0" w:type="auto"/>
            <w:tcBorders>
              <w:top w:val="single" w:sz="6" w:space="0" w:color="auto"/>
              <w:left w:val="single" w:sz="6" w:space="0" w:color="auto"/>
              <w:bottom w:val="single" w:sz="6" w:space="0" w:color="auto"/>
              <w:right w:val="single" w:sz="6" w:space="0" w:color="auto"/>
            </w:tcBorders>
            <w:hideMark/>
          </w:tcPr>
          <w:p w14:paraId="3B0EA697"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2A0CC508"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160C6ED" w14:textId="77777777" w:rsidR="00EA69AA" w:rsidRPr="00781F59" w:rsidRDefault="00EA69AA" w:rsidP="00EA69AA">
            <w:pPr>
              <w:contextualSpacing/>
              <w:rPr>
                <w:sz w:val="20"/>
                <w:szCs w:val="20"/>
              </w:rPr>
            </w:pPr>
            <w:r w:rsidRPr="00781F59">
              <w:rPr>
                <w:sz w:val="20"/>
                <w:szCs w:val="20"/>
              </w:rPr>
              <w:t>347</w:t>
            </w:r>
          </w:p>
        </w:tc>
        <w:tc>
          <w:tcPr>
            <w:tcW w:w="0" w:type="auto"/>
            <w:tcBorders>
              <w:top w:val="single" w:sz="6" w:space="0" w:color="auto"/>
              <w:left w:val="single" w:sz="6" w:space="0" w:color="auto"/>
              <w:bottom w:val="single" w:sz="6" w:space="0" w:color="auto"/>
              <w:right w:val="single" w:sz="6" w:space="0" w:color="auto"/>
            </w:tcBorders>
            <w:hideMark/>
          </w:tcPr>
          <w:p w14:paraId="38BC4E2F" w14:textId="535AFFEB" w:rsidR="00EA69AA" w:rsidRPr="00781F59" w:rsidRDefault="00EA69AA" w:rsidP="00EA69AA">
            <w:pPr>
              <w:contextualSpacing/>
              <w:rPr>
                <w:sz w:val="20"/>
                <w:szCs w:val="20"/>
              </w:rPr>
            </w:pPr>
            <w:r w:rsidRPr="00781F59">
              <w:rPr>
                <w:sz w:val="20"/>
                <w:szCs w:val="20"/>
              </w:rPr>
              <w:t xml:space="preserve">Christina Vaughan Watson, Patricia Richter, B Rey de Castro, Connie Sosnoff, Jennifer Potts, Pamela Clark, Joan McCraw, Xizheng Yan, David Chambers, Clifford Watson 2017 </w:t>
            </w:r>
            <w:r w:rsidRPr="00781F59">
              <w:rPr>
                <w:sz w:val="20"/>
                <w:szCs w:val="20"/>
              </w:rPr>
              <w:lastRenderedPageBreak/>
              <w:t>Smoking Behavior and Exposure: Results of a Menthol Cigarette Cross-over Study</w:t>
            </w:r>
            <w:r w:rsidR="007F2F01">
              <w:rPr>
                <w:sz w:val="20"/>
                <w:szCs w:val="20"/>
              </w:rPr>
              <w:t>.</w:t>
            </w:r>
            <w:r w:rsidRPr="00781F59">
              <w:rPr>
                <w:sz w:val="20"/>
                <w:szCs w:val="20"/>
              </w:rPr>
              <w:t xml:space="preserve"> American journal of health behavior; 41.309.</w:t>
            </w:r>
          </w:p>
        </w:tc>
        <w:tc>
          <w:tcPr>
            <w:tcW w:w="0" w:type="auto"/>
            <w:tcBorders>
              <w:top w:val="single" w:sz="6" w:space="0" w:color="auto"/>
              <w:left w:val="single" w:sz="6" w:space="0" w:color="auto"/>
              <w:bottom w:val="single" w:sz="6" w:space="0" w:color="auto"/>
              <w:right w:val="single" w:sz="6" w:space="0" w:color="auto"/>
            </w:tcBorders>
            <w:hideMark/>
          </w:tcPr>
          <w:p w14:paraId="2B1043FB" w14:textId="77777777" w:rsidR="00EA69AA" w:rsidRPr="00781F59" w:rsidRDefault="00EA69AA" w:rsidP="00EA69AA">
            <w:pPr>
              <w:contextualSpacing/>
              <w:rPr>
                <w:sz w:val="20"/>
                <w:szCs w:val="20"/>
              </w:rPr>
            </w:pPr>
            <w:r w:rsidRPr="00781F59">
              <w:rPr>
                <w:sz w:val="20"/>
                <w:szCs w:val="20"/>
              </w:rPr>
              <w:lastRenderedPageBreak/>
              <w:t>Does not address a KQ</w:t>
            </w:r>
          </w:p>
        </w:tc>
      </w:tr>
      <w:tr w:rsidR="00EA69AA" w:rsidRPr="00781F59" w14:paraId="5407F751"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6EF9D5F" w14:textId="77777777" w:rsidR="00EA69AA" w:rsidRPr="00781F59" w:rsidRDefault="00EA69AA" w:rsidP="00EA69AA">
            <w:pPr>
              <w:contextualSpacing/>
              <w:rPr>
                <w:sz w:val="20"/>
                <w:szCs w:val="20"/>
              </w:rPr>
            </w:pPr>
            <w:r w:rsidRPr="00781F59">
              <w:rPr>
                <w:sz w:val="20"/>
                <w:szCs w:val="20"/>
              </w:rPr>
              <w:t>348</w:t>
            </w:r>
          </w:p>
        </w:tc>
        <w:tc>
          <w:tcPr>
            <w:tcW w:w="0" w:type="auto"/>
            <w:tcBorders>
              <w:top w:val="single" w:sz="6" w:space="0" w:color="auto"/>
              <w:left w:val="single" w:sz="6" w:space="0" w:color="auto"/>
              <w:bottom w:val="single" w:sz="6" w:space="0" w:color="auto"/>
              <w:right w:val="single" w:sz="6" w:space="0" w:color="auto"/>
            </w:tcBorders>
            <w:hideMark/>
          </w:tcPr>
          <w:p w14:paraId="71751AB4" w14:textId="6518B34F" w:rsidR="00EA69AA" w:rsidRPr="00781F59" w:rsidRDefault="00EA69AA" w:rsidP="00EA69AA">
            <w:pPr>
              <w:contextualSpacing/>
              <w:rPr>
                <w:sz w:val="20"/>
                <w:szCs w:val="20"/>
              </w:rPr>
            </w:pPr>
            <w:r w:rsidRPr="00781F59">
              <w:rPr>
                <w:sz w:val="20"/>
                <w:szCs w:val="20"/>
              </w:rPr>
              <w:t>Kathryn C Ross, Delia A Dempsey, Gideon St Helen, Kevin Delucchi, Neal L Benowitz 2016 The Influence of Puff Characteristics, Nicotine Dependence, and Rate of Nicotine Metabolism on Daily Nicotine Exposure in African American Smokers</w:t>
            </w:r>
            <w:r w:rsidR="007F2F01">
              <w:rPr>
                <w:sz w:val="20"/>
                <w:szCs w:val="20"/>
              </w:rPr>
              <w:t>.</w:t>
            </w:r>
            <w:r w:rsidRPr="00781F59">
              <w:rPr>
                <w:sz w:val="20"/>
                <w:szCs w:val="20"/>
              </w:rPr>
              <w:t xml:space="preserve"> Cancer epidemiology, biomarkers &amp; </w:t>
            </w:r>
            <w:proofErr w:type="gramStart"/>
            <w:r w:rsidRPr="00781F59">
              <w:rPr>
                <w:sz w:val="20"/>
                <w:szCs w:val="20"/>
              </w:rPr>
              <w:t>prevention :</w:t>
            </w:r>
            <w:proofErr w:type="gramEnd"/>
            <w:r w:rsidRPr="00781F59">
              <w:rPr>
                <w:sz w:val="20"/>
                <w:szCs w:val="20"/>
              </w:rPr>
              <w:t xml:space="preserve"> a publication of the American Association for Cancer Research, cosponsored by the American Society of Preventive Oncology; 25.936.</w:t>
            </w:r>
          </w:p>
        </w:tc>
        <w:tc>
          <w:tcPr>
            <w:tcW w:w="0" w:type="auto"/>
            <w:tcBorders>
              <w:top w:val="single" w:sz="6" w:space="0" w:color="auto"/>
              <w:left w:val="single" w:sz="6" w:space="0" w:color="auto"/>
              <w:bottom w:val="single" w:sz="6" w:space="0" w:color="auto"/>
              <w:right w:val="single" w:sz="6" w:space="0" w:color="auto"/>
            </w:tcBorders>
            <w:hideMark/>
          </w:tcPr>
          <w:p w14:paraId="348E5963"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1C77AE76"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0A7BBC9" w14:textId="77777777" w:rsidR="00EA69AA" w:rsidRPr="00781F59" w:rsidRDefault="00EA69AA" w:rsidP="00EA69AA">
            <w:pPr>
              <w:contextualSpacing/>
              <w:rPr>
                <w:sz w:val="20"/>
                <w:szCs w:val="20"/>
              </w:rPr>
            </w:pPr>
            <w:r w:rsidRPr="00781F59">
              <w:rPr>
                <w:sz w:val="20"/>
                <w:szCs w:val="20"/>
              </w:rPr>
              <w:t>350</w:t>
            </w:r>
          </w:p>
        </w:tc>
        <w:tc>
          <w:tcPr>
            <w:tcW w:w="0" w:type="auto"/>
            <w:tcBorders>
              <w:top w:val="single" w:sz="6" w:space="0" w:color="auto"/>
              <w:left w:val="single" w:sz="6" w:space="0" w:color="auto"/>
              <w:bottom w:val="single" w:sz="6" w:space="0" w:color="auto"/>
              <w:right w:val="single" w:sz="6" w:space="0" w:color="auto"/>
            </w:tcBorders>
            <w:hideMark/>
          </w:tcPr>
          <w:p w14:paraId="4DDBF44C" w14:textId="7FA3CED6" w:rsidR="00EA69AA" w:rsidRPr="00781F59" w:rsidRDefault="00EA69AA" w:rsidP="00EA69AA">
            <w:pPr>
              <w:contextualSpacing/>
              <w:rPr>
                <w:sz w:val="20"/>
                <w:szCs w:val="20"/>
              </w:rPr>
            </w:pPr>
            <w:r w:rsidRPr="00781F59">
              <w:rPr>
                <w:sz w:val="20"/>
                <w:szCs w:val="20"/>
              </w:rPr>
              <w:t>Won S Choi, Niaman Nazir, Christina M Pacheco, Melissa K Filippi, Joseph Pacheco, Julia White Bull, Christi Nance, Babalola Faseru, K Allen Greiner, Christine Makosky Daley 2016 Recruitment and Baseline Characteristics of American Indian Tribal College Students Participating in a Tribal College Tobacco and Behavioral Survey</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18.1488.</w:t>
            </w:r>
          </w:p>
        </w:tc>
        <w:tc>
          <w:tcPr>
            <w:tcW w:w="0" w:type="auto"/>
            <w:tcBorders>
              <w:top w:val="single" w:sz="6" w:space="0" w:color="auto"/>
              <w:left w:val="single" w:sz="6" w:space="0" w:color="auto"/>
              <w:bottom w:val="single" w:sz="6" w:space="0" w:color="auto"/>
              <w:right w:val="single" w:sz="6" w:space="0" w:color="auto"/>
            </w:tcBorders>
            <w:hideMark/>
          </w:tcPr>
          <w:p w14:paraId="0A37DF21"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07700660"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66CA48F" w14:textId="77777777" w:rsidR="00EA69AA" w:rsidRPr="00781F59" w:rsidRDefault="00EA69AA" w:rsidP="00EA69AA">
            <w:pPr>
              <w:contextualSpacing/>
              <w:rPr>
                <w:sz w:val="20"/>
                <w:szCs w:val="20"/>
              </w:rPr>
            </w:pPr>
            <w:r w:rsidRPr="00781F59">
              <w:rPr>
                <w:sz w:val="20"/>
                <w:szCs w:val="20"/>
              </w:rPr>
              <w:t>351</w:t>
            </w:r>
          </w:p>
        </w:tc>
        <w:tc>
          <w:tcPr>
            <w:tcW w:w="0" w:type="auto"/>
            <w:tcBorders>
              <w:top w:val="single" w:sz="6" w:space="0" w:color="auto"/>
              <w:left w:val="single" w:sz="6" w:space="0" w:color="auto"/>
              <w:bottom w:val="single" w:sz="6" w:space="0" w:color="auto"/>
              <w:right w:val="single" w:sz="6" w:space="0" w:color="auto"/>
            </w:tcBorders>
            <w:hideMark/>
          </w:tcPr>
          <w:p w14:paraId="00F1C491" w14:textId="4A42F296" w:rsidR="00EA69AA" w:rsidRPr="00781F59" w:rsidRDefault="00EA69AA" w:rsidP="00EA69AA">
            <w:pPr>
              <w:contextualSpacing/>
              <w:rPr>
                <w:sz w:val="20"/>
                <w:szCs w:val="20"/>
              </w:rPr>
            </w:pPr>
            <w:r w:rsidRPr="00781F59">
              <w:rPr>
                <w:sz w:val="20"/>
                <w:szCs w:val="20"/>
              </w:rPr>
              <w:t>Erna Jz Krusemann, Wouter F Visser, Johannes Wjm Cremers, Jeroen LA Pennings, Reinskje Talhout 2018 Identification of flavour additives in tobacco products to develop a flavour library</w:t>
            </w:r>
            <w:r w:rsidR="007F2F01">
              <w:rPr>
                <w:sz w:val="20"/>
                <w:szCs w:val="20"/>
              </w:rPr>
              <w:t>.</w:t>
            </w:r>
            <w:r w:rsidRPr="00781F59">
              <w:rPr>
                <w:sz w:val="20"/>
                <w:szCs w:val="20"/>
              </w:rPr>
              <w:t xml:space="preserve"> Tobacco control; 27.105.</w:t>
            </w:r>
          </w:p>
        </w:tc>
        <w:tc>
          <w:tcPr>
            <w:tcW w:w="0" w:type="auto"/>
            <w:tcBorders>
              <w:top w:val="single" w:sz="6" w:space="0" w:color="auto"/>
              <w:left w:val="single" w:sz="6" w:space="0" w:color="auto"/>
              <w:bottom w:val="single" w:sz="6" w:space="0" w:color="auto"/>
              <w:right w:val="single" w:sz="6" w:space="0" w:color="auto"/>
            </w:tcBorders>
            <w:hideMark/>
          </w:tcPr>
          <w:p w14:paraId="560E8E25"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5B789DEE"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FB14326" w14:textId="77777777" w:rsidR="00EA69AA" w:rsidRPr="00781F59" w:rsidRDefault="00EA69AA" w:rsidP="00EA69AA">
            <w:pPr>
              <w:contextualSpacing/>
              <w:rPr>
                <w:sz w:val="20"/>
                <w:szCs w:val="20"/>
              </w:rPr>
            </w:pPr>
            <w:r w:rsidRPr="00781F59">
              <w:rPr>
                <w:sz w:val="20"/>
                <w:szCs w:val="20"/>
              </w:rPr>
              <w:t>353</w:t>
            </w:r>
          </w:p>
        </w:tc>
        <w:tc>
          <w:tcPr>
            <w:tcW w:w="0" w:type="auto"/>
            <w:tcBorders>
              <w:top w:val="single" w:sz="6" w:space="0" w:color="auto"/>
              <w:left w:val="single" w:sz="6" w:space="0" w:color="auto"/>
              <w:bottom w:val="single" w:sz="6" w:space="0" w:color="auto"/>
              <w:right w:val="single" w:sz="6" w:space="0" w:color="auto"/>
            </w:tcBorders>
            <w:hideMark/>
          </w:tcPr>
          <w:p w14:paraId="7E6A046F" w14:textId="05612E4D" w:rsidR="00EA69AA" w:rsidRPr="00781F59" w:rsidRDefault="00EA69AA" w:rsidP="00EA69AA">
            <w:pPr>
              <w:contextualSpacing/>
              <w:rPr>
                <w:sz w:val="20"/>
                <w:szCs w:val="20"/>
              </w:rPr>
            </w:pPr>
            <w:r w:rsidRPr="00781F59">
              <w:rPr>
                <w:sz w:val="20"/>
                <w:szCs w:val="20"/>
              </w:rPr>
              <w:t>Erna J Z Krusemann, Johannes W J M Cremers, Wouter F Visser, Pieter H Punter, Reinskje Talhout 2017 The Sensory Difference Threshold of Menthol Odor in Flavored Tobacco Determined by Combining Sensory and Chemical Analysis</w:t>
            </w:r>
            <w:r w:rsidR="007F2F01">
              <w:rPr>
                <w:sz w:val="20"/>
                <w:szCs w:val="20"/>
              </w:rPr>
              <w:t>.</w:t>
            </w:r>
            <w:r w:rsidRPr="00781F59">
              <w:rPr>
                <w:sz w:val="20"/>
                <w:szCs w:val="20"/>
              </w:rPr>
              <w:t xml:space="preserve"> Chemical senses; 42.233.</w:t>
            </w:r>
          </w:p>
        </w:tc>
        <w:tc>
          <w:tcPr>
            <w:tcW w:w="0" w:type="auto"/>
            <w:tcBorders>
              <w:top w:val="single" w:sz="6" w:space="0" w:color="auto"/>
              <w:left w:val="single" w:sz="6" w:space="0" w:color="auto"/>
              <w:bottom w:val="single" w:sz="6" w:space="0" w:color="auto"/>
              <w:right w:val="single" w:sz="6" w:space="0" w:color="auto"/>
            </w:tcBorders>
            <w:hideMark/>
          </w:tcPr>
          <w:p w14:paraId="44390B70"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35051D34"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D4F8FEC" w14:textId="77777777" w:rsidR="00EA69AA" w:rsidRPr="00781F59" w:rsidRDefault="00EA69AA" w:rsidP="00EA69AA">
            <w:pPr>
              <w:contextualSpacing/>
              <w:rPr>
                <w:sz w:val="20"/>
                <w:szCs w:val="20"/>
              </w:rPr>
            </w:pPr>
            <w:r w:rsidRPr="00781F59">
              <w:rPr>
                <w:sz w:val="20"/>
                <w:szCs w:val="20"/>
              </w:rPr>
              <w:t>355</w:t>
            </w:r>
          </w:p>
        </w:tc>
        <w:tc>
          <w:tcPr>
            <w:tcW w:w="0" w:type="auto"/>
            <w:tcBorders>
              <w:top w:val="single" w:sz="6" w:space="0" w:color="auto"/>
              <w:left w:val="single" w:sz="6" w:space="0" w:color="auto"/>
              <w:bottom w:val="single" w:sz="6" w:space="0" w:color="auto"/>
              <w:right w:val="single" w:sz="6" w:space="0" w:color="auto"/>
            </w:tcBorders>
            <w:hideMark/>
          </w:tcPr>
          <w:p w14:paraId="3051301F" w14:textId="7C39F039" w:rsidR="00EA69AA" w:rsidRPr="00781F59" w:rsidRDefault="00EA69AA" w:rsidP="00EA69AA">
            <w:pPr>
              <w:contextualSpacing/>
              <w:rPr>
                <w:sz w:val="20"/>
                <w:szCs w:val="20"/>
              </w:rPr>
            </w:pPr>
            <w:r w:rsidRPr="00781F59">
              <w:rPr>
                <w:sz w:val="20"/>
                <w:szCs w:val="20"/>
              </w:rPr>
              <w:t>Shyanika W Rose, Catherine L Jo, Steven Binns, Melissa Buenger, Sherry Emery, Kurt M Ribisl 2017 Perceptions of Menthol Cigarettes Among Twitter Users: Content and Sentiment Analysis</w:t>
            </w:r>
            <w:r w:rsidR="007F2F01">
              <w:rPr>
                <w:sz w:val="20"/>
                <w:szCs w:val="20"/>
              </w:rPr>
              <w:t>.</w:t>
            </w:r>
            <w:r w:rsidRPr="00781F59">
              <w:rPr>
                <w:sz w:val="20"/>
                <w:szCs w:val="20"/>
              </w:rPr>
              <w:t xml:space="preserve"> Journal of medical Internet research; </w:t>
            </w:r>
            <w:proofErr w:type="gramStart"/>
            <w:r w:rsidRPr="00781F59">
              <w:rPr>
                <w:sz w:val="20"/>
                <w:szCs w:val="20"/>
              </w:rPr>
              <w:t>19.e</w:t>
            </w:r>
            <w:proofErr w:type="gramEnd"/>
            <w:r w:rsidRPr="00781F59">
              <w:rPr>
                <w:sz w:val="20"/>
                <w:szCs w:val="20"/>
              </w:rPr>
              <w:t>56.</w:t>
            </w:r>
          </w:p>
        </w:tc>
        <w:tc>
          <w:tcPr>
            <w:tcW w:w="0" w:type="auto"/>
            <w:tcBorders>
              <w:top w:val="single" w:sz="6" w:space="0" w:color="auto"/>
              <w:left w:val="single" w:sz="6" w:space="0" w:color="auto"/>
              <w:bottom w:val="single" w:sz="6" w:space="0" w:color="auto"/>
              <w:right w:val="single" w:sz="6" w:space="0" w:color="auto"/>
            </w:tcBorders>
            <w:hideMark/>
          </w:tcPr>
          <w:p w14:paraId="35AFD181" w14:textId="77777777" w:rsidR="00EA69AA" w:rsidRPr="00781F59" w:rsidRDefault="00EA69AA" w:rsidP="00EA69AA">
            <w:pPr>
              <w:contextualSpacing/>
              <w:rPr>
                <w:sz w:val="20"/>
                <w:szCs w:val="20"/>
              </w:rPr>
            </w:pPr>
            <w:r w:rsidRPr="00781F59">
              <w:rPr>
                <w:sz w:val="20"/>
                <w:szCs w:val="20"/>
              </w:rPr>
              <w:t>Does not address a KQ</w:t>
            </w:r>
          </w:p>
        </w:tc>
      </w:tr>
      <w:tr w:rsidR="009014AD" w:rsidRPr="00781F59" w14:paraId="2CB62C08" w14:textId="77777777" w:rsidTr="00EA69AA">
        <w:tc>
          <w:tcPr>
            <w:tcW w:w="0" w:type="auto"/>
            <w:tcBorders>
              <w:top w:val="single" w:sz="6" w:space="0" w:color="auto"/>
              <w:left w:val="single" w:sz="6" w:space="0" w:color="auto"/>
              <w:bottom w:val="single" w:sz="6" w:space="0" w:color="auto"/>
              <w:right w:val="single" w:sz="6" w:space="0" w:color="auto"/>
            </w:tcBorders>
          </w:tcPr>
          <w:p w14:paraId="203E177A" w14:textId="77777777" w:rsidR="009014AD" w:rsidRPr="00781F59" w:rsidRDefault="009014AD" w:rsidP="00EA69AA">
            <w:pPr>
              <w:contextualSpacing/>
              <w:rPr>
                <w:sz w:val="20"/>
                <w:szCs w:val="20"/>
              </w:rPr>
            </w:pPr>
            <w:r>
              <w:rPr>
                <w:sz w:val="20"/>
                <w:szCs w:val="20"/>
              </w:rPr>
              <w:t>356</w:t>
            </w:r>
          </w:p>
        </w:tc>
        <w:tc>
          <w:tcPr>
            <w:tcW w:w="0" w:type="auto"/>
            <w:tcBorders>
              <w:top w:val="single" w:sz="6" w:space="0" w:color="auto"/>
              <w:left w:val="single" w:sz="6" w:space="0" w:color="auto"/>
              <w:bottom w:val="single" w:sz="6" w:space="0" w:color="auto"/>
              <w:right w:val="single" w:sz="6" w:space="0" w:color="auto"/>
            </w:tcBorders>
          </w:tcPr>
          <w:p w14:paraId="09177705" w14:textId="55C1BA02" w:rsidR="009014AD" w:rsidRPr="00781F59" w:rsidRDefault="009014AD" w:rsidP="00EA69AA">
            <w:pPr>
              <w:contextualSpacing/>
              <w:rPr>
                <w:sz w:val="20"/>
                <w:szCs w:val="20"/>
              </w:rPr>
            </w:pPr>
            <w:r w:rsidRPr="00204223">
              <w:rPr>
                <w:rFonts w:ascii="Calibri" w:hAnsi="Calibri"/>
                <w:noProof/>
                <w:sz w:val="20"/>
                <w:szCs w:val="20"/>
              </w:rPr>
              <w:t>Natalie Nardone,​ Eric C Donny,​ Dorothy K Hatsukami,​ Joseph S Koopmeiners,​ Sharon E Murphy,​ Andrew A Strasser,​ Jennifer W Tidey,​ Ryan Vandrey,​ Neal L Benowitz 2016 Estimations and predictors of non-compliance in switchers to reduced nicotine content cigarettes</w:t>
            </w:r>
            <w:r w:rsidR="007F2F01">
              <w:rPr>
                <w:rFonts w:ascii="Calibri" w:hAnsi="Calibri"/>
                <w:noProof/>
                <w:sz w:val="20"/>
                <w:szCs w:val="20"/>
              </w:rPr>
              <w:t>.</w:t>
            </w:r>
            <w:r w:rsidRPr="00204223">
              <w:rPr>
                <w:rFonts w:ascii="Calibri" w:hAnsi="Calibri"/>
                <w:noProof/>
                <w:sz w:val="20"/>
                <w:szCs w:val="20"/>
              </w:rPr>
              <w:t xml:space="preserve"> Addiction (Abingdon,​ England); 111.2208.</w:t>
            </w:r>
          </w:p>
        </w:tc>
        <w:tc>
          <w:tcPr>
            <w:tcW w:w="0" w:type="auto"/>
            <w:tcBorders>
              <w:top w:val="single" w:sz="6" w:space="0" w:color="auto"/>
              <w:left w:val="single" w:sz="6" w:space="0" w:color="auto"/>
              <w:bottom w:val="single" w:sz="6" w:space="0" w:color="auto"/>
              <w:right w:val="single" w:sz="6" w:space="0" w:color="auto"/>
            </w:tcBorders>
          </w:tcPr>
          <w:p w14:paraId="643DAA2B" w14:textId="77777777" w:rsidR="009014AD" w:rsidRPr="00781F59" w:rsidRDefault="009014AD" w:rsidP="00EA69AA">
            <w:pPr>
              <w:contextualSpacing/>
              <w:rPr>
                <w:sz w:val="20"/>
                <w:szCs w:val="20"/>
              </w:rPr>
            </w:pPr>
            <w:r w:rsidRPr="00781F59">
              <w:rPr>
                <w:sz w:val="20"/>
                <w:szCs w:val="20"/>
              </w:rPr>
              <w:t>Does not address a KQ</w:t>
            </w:r>
          </w:p>
        </w:tc>
      </w:tr>
      <w:tr w:rsidR="00EA69AA" w:rsidRPr="00781F59" w14:paraId="6A770495"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3C404C6" w14:textId="77777777" w:rsidR="00EA69AA" w:rsidRPr="00781F59" w:rsidRDefault="00EA69AA" w:rsidP="00EA69AA">
            <w:pPr>
              <w:contextualSpacing/>
              <w:rPr>
                <w:sz w:val="20"/>
                <w:szCs w:val="20"/>
              </w:rPr>
            </w:pPr>
            <w:r w:rsidRPr="00781F59">
              <w:rPr>
                <w:sz w:val="20"/>
                <w:szCs w:val="20"/>
              </w:rPr>
              <w:t>357</w:t>
            </w:r>
          </w:p>
        </w:tc>
        <w:tc>
          <w:tcPr>
            <w:tcW w:w="0" w:type="auto"/>
            <w:tcBorders>
              <w:top w:val="single" w:sz="6" w:space="0" w:color="auto"/>
              <w:left w:val="single" w:sz="6" w:space="0" w:color="auto"/>
              <w:bottom w:val="single" w:sz="6" w:space="0" w:color="auto"/>
              <w:right w:val="single" w:sz="6" w:space="0" w:color="auto"/>
            </w:tcBorders>
            <w:hideMark/>
          </w:tcPr>
          <w:p w14:paraId="71F7FFE9" w14:textId="0409CFF2" w:rsidR="00EA69AA" w:rsidRPr="00781F59" w:rsidRDefault="00EA69AA" w:rsidP="00EA69AA">
            <w:pPr>
              <w:contextualSpacing/>
              <w:rPr>
                <w:sz w:val="20"/>
                <w:szCs w:val="20"/>
              </w:rPr>
            </w:pPr>
            <w:r w:rsidRPr="00781F59">
              <w:rPr>
                <w:sz w:val="20"/>
                <w:szCs w:val="20"/>
              </w:rPr>
              <w:t>Elizabeth Needham Waddell, Rachel Sacks, Shannon M Farley, Michael Johns 2016 Point-of-Sale Tobacco Marketing to Youth in New York State</w:t>
            </w:r>
            <w:r w:rsidR="007F2F01">
              <w:rPr>
                <w:sz w:val="20"/>
                <w:szCs w:val="20"/>
              </w:rPr>
              <w:t>.</w:t>
            </w:r>
            <w:r w:rsidRPr="00781F59">
              <w:rPr>
                <w:sz w:val="20"/>
                <w:szCs w:val="20"/>
              </w:rPr>
              <w:t xml:space="preserve"> The Journal of adolescent </w:t>
            </w:r>
            <w:proofErr w:type="gramStart"/>
            <w:r w:rsidRPr="00781F59">
              <w:rPr>
                <w:sz w:val="20"/>
                <w:szCs w:val="20"/>
              </w:rPr>
              <w:t>health :</w:t>
            </w:r>
            <w:proofErr w:type="gramEnd"/>
            <w:r w:rsidRPr="00781F59">
              <w:rPr>
                <w:sz w:val="20"/>
                <w:szCs w:val="20"/>
              </w:rPr>
              <w:t xml:space="preserve"> official publication of the Society for Adolescent Medicine; 59.365.</w:t>
            </w:r>
          </w:p>
        </w:tc>
        <w:tc>
          <w:tcPr>
            <w:tcW w:w="0" w:type="auto"/>
            <w:tcBorders>
              <w:top w:val="single" w:sz="6" w:space="0" w:color="auto"/>
              <w:left w:val="single" w:sz="6" w:space="0" w:color="auto"/>
              <w:bottom w:val="single" w:sz="6" w:space="0" w:color="auto"/>
              <w:right w:val="single" w:sz="6" w:space="0" w:color="auto"/>
            </w:tcBorders>
            <w:hideMark/>
          </w:tcPr>
          <w:p w14:paraId="522181A2"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73FBE904"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2F7B512" w14:textId="77777777" w:rsidR="00EA69AA" w:rsidRPr="00781F59" w:rsidRDefault="00EA69AA" w:rsidP="00EA69AA">
            <w:pPr>
              <w:contextualSpacing/>
              <w:rPr>
                <w:sz w:val="20"/>
                <w:szCs w:val="20"/>
              </w:rPr>
            </w:pPr>
            <w:r w:rsidRPr="00781F59">
              <w:rPr>
                <w:sz w:val="20"/>
                <w:szCs w:val="20"/>
              </w:rPr>
              <w:t>360</w:t>
            </w:r>
          </w:p>
        </w:tc>
        <w:tc>
          <w:tcPr>
            <w:tcW w:w="0" w:type="auto"/>
            <w:tcBorders>
              <w:top w:val="single" w:sz="6" w:space="0" w:color="auto"/>
              <w:left w:val="single" w:sz="6" w:space="0" w:color="auto"/>
              <w:bottom w:val="single" w:sz="6" w:space="0" w:color="auto"/>
              <w:right w:val="single" w:sz="6" w:space="0" w:color="auto"/>
            </w:tcBorders>
            <w:hideMark/>
          </w:tcPr>
          <w:p w14:paraId="23EA77CA" w14:textId="077B3C00" w:rsidR="00EA69AA" w:rsidRPr="00781F59" w:rsidRDefault="00EA69AA" w:rsidP="00EA69AA">
            <w:pPr>
              <w:contextualSpacing/>
              <w:rPr>
                <w:sz w:val="20"/>
                <w:szCs w:val="20"/>
              </w:rPr>
            </w:pPr>
            <w:r w:rsidRPr="00781F59">
              <w:rPr>
                <w:sz w:val="20"/>
                <w:szCs w:val="20"/>
              </w:rPr>
              <w:t>Shannon M Farley, Michael Johns 2017 New York City flavoured tobacco product sales ban evaluation</w:t>
            </w:r>
            <w:r w:rsidR="007F2F01">
              <w:rPr>
                <w:sz w:val="20"/>
                <w:szCs w:val="20"/>
              </w:rPr>
              <w:t>.</w:t>
            </w:r>
            <w:r w:rsidRPr="00781F59">
              <w:rPr>
                <w:sz w:val="20"/>
                <w:szCs w:val="20"/>
              </w:rPr>
              <w:t xml:space="preserve"> Tobacco control; 26.78.</w:t>
            </w:r>
          </w:p>
        </w:tc>
        <w:tc>
          <w:tcPr>
            <w:tcW w:w="0" w:type="auto"/>
            <w:tcBorders>
              <w:top w:val="single" w:sz="6" w:space="0" w:color="auto"/>
              <w:left w:val="single" w:sz="6" w:space="0" w:color="auto"/>
              <w:bottom w:val="single" w:sz="6" w:space="0" w:color="auto"/>
              <w:right w:val="single" w:sz="6" w:space="0" w:color="auto"/>
            </w:tcBorders>
            <w:hideMark/>
          </w:tcPr>
          <w:p w14:paraId="75024AC9"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6285EAF0"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2274327" w14:textId="77777777" w:rsidR="00EA69AA" w:rsidRPr="00781F59" w:rsidRDefault="00EA69AA" w:rsidP="00EA69AA">
            <w:pPr>
              <w:contextualSpacing/>
              <w:rPr>
                <w:sz w:val="20"/>
                <w:szCs w:val="20"/>
              </w:rPr>
            </w:pPr>
            <w:r w:rsidRPr="00781F59">
              <w:rPr>
                <w:sz w:val="20"/>
                <w:szCs w:val="20"/>
              </w:rPr>
              <w:t>367</w:t>
            </w:r>
          </w:p>
        </w:tc>
        <w:tc>
          <w:tcPr>
            <w:tcW w:w="0" w:type="auto"/>
            <w:tcBorders>
              <w:top w:val="single" w:sz="6" w:space="0" w:color="auto"/>
              <w:left w:val="single" w:sz="6" w:space="0" w:color="auto"/>
              <w:bottom w:val="single" w:sz="6" w:space="0" w:color="auto"/>
              <w:right w:val="single" w:sz="6" w:space="0" w:color="auto"/>
            </w:tcBorders>
            <w:hideMark/>
          </w:tcPr>
          <w:p w14:paraId="5747FD04" w14:textId="1DB9919C" w:rsidR="00EA69AA" w:rsidRPr="00781F59" w:rsidRDefault="00EA69AA" w:rsidP="00EA69AA">
            <w:pPr>
              <w:contextualSpacing/>
              <w:rPr>
                <w:sz w:val="20"/>
                <w:szCs w:val="20"/>
              </w:rPr>
            </w:pPr>
            <w:r w:rsidRPr="00781F59">
              <w:rPr>
                <w:sz w:val="20"/>
                <w:szCs w:val="20"/>
              </w:rPr>
              <w:t>Andrea C Villanti, Amanda L Johnson, Bridget K Ambrose, K Michael Cummings, Cassandra A Stanton, Shyanika W Rose, Shari P Feirman, Cindy Tworek, Allison M Glasser, Jennifer L Pearson, Amy M Cohn, Kevin P Conway, Raymond S Niaura, Maansi Bansal-Travers, Andrew Hyland 2017 Flavored Tobacco Product Use in Youth and Adults: Findings From the First Wave of the PATH Study (2013-2014)</w:t>
            </w:r>
            <w:r w:rsidR="007F2F01">
              <w:rPr>
                <w:sz w:val="20"/>
                <w:szCs w:val="20"/>
              </w:rPr>
              <w:t>.</w:t>
            </w:r>
            <w:r w:rsidRPr="00781F59">
              <w:rPr>
                <w:sz w:val="20"/>
                <w:szCs w:val="20"/>
              </w:rPr>
              <w:t xml:space="preserve"> American journal of preventive medicine; 53.139.</w:t>
            </w:r>
          </w:p>
        </w:tc>
        <w:tc>
          <w:tcPr>
            <w:tcW w:w="0" w:type="auto"/>
            <w:tcBorders>
              <w:top w:val="single" w:sz="6" w:space="0" w:color="auto"/>
              <w:left w:val="single" w:sz="6" w:space="0" w:color="auto"/>
              <w:bottom w:val="single" w:sz="6" w:space="0" w:color="auto"/>
              <w:right w:val="single" w:sz="6" w:space="0" w:color="auto"/>
            </w:tcBorders>
            <w:hideMark/>
          </w:tcPr>
          <w:p w14:paraId="7FC27816"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158BC0EF"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692D845" w14:textId="77777777" w:rsidR="00EA69AA" w:rsidRPr="00781F59" w:rsidRDefault="00EA69AA" w:rsidP="00EA69AA">
            <w:pPr>
              <w:contextualSpacing/>
              <w:rPr>
                <w:sz w:val="20"/>
                <w:szCs w:val="20"/>
              </w:rPr>
            </w:pPr>
            <w:r w:rsidRPr="00781F59">
              <w:rPr>
                <w:sz w:val="20"/>
                <w:szCs w:val="20"/>
              </w:rPr>
              <w:t>369</w:t>
            </w:r>
          </w:p>
        </w:tc>
        <w:tc>
          <w:tcPr>
            <w:tcW w:w="0" w:type="auto"/>
            <w:tcBorders>
              <w:top w:val="single" w:sz="6" w:space="0" w:color="auto"/>
              <w:left w:val="single" w:sz="6" w:space="0" w:color="auto"/>
              <w:bottom w:val="single" w:sz="6" w:space="0" w:color="auto"/>
              <w:right w:val="single" w:sz="6" w:space="0" w:color="auto"/>
            </w:tcBorders>
            <w:hideMark/>
          </w:tcPr>
          <w:p w14:paraId="0A7FBC2A" w14:textId="7313DDB1" w:rsidR="00EA69AA" w:rsidRPr="00781F59" w:rsidRDefault="00EA69AA" w:rsidP="00EA69AA">
            <w:pPr>
              <w:contextualSpacing/>
              <w:rPr>
                <w:sz w:val="20"/>
                <w:szCs w:val="20"/>
              </w:rPr>
            </w:pPr>
            <w:r w:rsidRPr="00781F59">
              <w:rPr>
                <w:sz w:val="20"/>
                <w:szCs w:val="20"/>
              </w:rPr>
              <w:t>K Sterling, C Fryer, I Pagano, D Jones, P Fagan 2016 Association between menthol-flavoured cigarette smoking and flavoured little cigar and cigarillo use among African-American, Hispanic, and white young and middle-aged adult smokers</w:t>
            </w:r>
            <w:r w:rsidR="007F2F01">
              <w:rPr>
                <w:sz w:val="20"/>
                <w:szCs w:val="20"/>
              </w:rPr>
              <w:t>.</w:t>
            </w:r>
            <w:r w:rsidRPr="00781F59">
              <w:rPr>
                <w:sz w:val="20"/>
                <w:szCs w:val="20"/>
              </w:rPr>
              <w:t xml:space="preserve"> Tobacco control; </w:t>
            </w:r>
            <w:proofErr w:type="gramStart"/>
            <w:r w:rsidRPr="00781F59">
              <w:rPr>
                <w:sz w:val="20"/>
                <w:szCs w:val="20"/>
              </w:rPr>
              <w:t>25.ii</w:t>
            </w:r>
            <w:proofErr w:type="gramEnd"/>
            <w:r w:rsidRPr="00781F59">
              <w:rPr>
                <w:sz w:val="20"/>
                <w:szCs w:val="20"/>
              </w:rPr>
              <w:t>21.</w:t>
            </w:r>
          </w:p>
        </w:tc>
        <w:tc>
          <w:tcPr>
            <w:tcW w:w="0" w:type="auto"/>
            <w:tcBorders>
              <w:top w:val="single" w:sz="6" w:space="0" w:color="auto"/>
              <w:left w:val="single" w:sz="6" w:space="0" w:color="auto"/>
              <w:bottom w:val="single" w:sz="6" w:space="0" w:color="auto"/>
              <w:right w:val="single" w:sz="6" w:space="0" w:color="auto"/>
            </w:tcBorders>
            <w:hideMark/>
          </w:tcPr>
          <w:p w14:paraId="61625CB7"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1BE3EE9A"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D754C3E" w14:textId="77777777" w:rsidR="00EA69AA" w:rsidRPr="00781F59" w:rsidRDefault="00EA69AA" w:rsidP="00EA69AA">
            <w:pPr>
              <w:contextualSpacing/>
              <w:rPr>
                <w:sz w:val="20"/>
                <w:szCs w:val="20"/>
              </w:rPr>
            </w:pPr>
            <w:r w:rsidRPr="00781F59">
              <w:rPr>
                <w:sz w:val="20"/>
                <w:szCs w:val="20"/>
              </w:rPr>
              <w:t>376</w:t>
            </w:r>
          </w:p>
        </w:tc>
        <w:tc>
          <w:tcPr>
            <w:tcW w:w="0" w:type="auto"/>
            <w:tcBorders>
              <w:top w:val="single" w:sz="6" w:space="0" w:color="auto"/>
              <w:left w:val="single" w:sz="6" w:space="0" w:color="auto"/>
              <w:bottom w:val="single" w:sz="6" w:space="0" w:color="auto"/>
              <w:right w:val="single" w:sz="6" w:space="0" w:color="auto"/>
            </w:tcBorders>
            <w:hideMark/>
          </w:tcPr>
          <w:p w14:paraId="07FAC1F1" w14:textId="5C2CCF34" w:rsidR="00EA69AA" w:rsidRPr="00781F59" w:rsidRDefault="00EA69AA" w:rsidP="00EA69AA">
            <w:pPr>
              <w:contextualSpacing/>
              <w:rPr>
                <w:sz w:val="20"/>
                <w:szCs w:val="20"/>
              </w:rPr>
            </w:pPr>
            <w:r w:rsidRPr="00781F59">
              <w:rPr>
                <w:sz w:val="20"/>
                <w:szCs w:val="20"/>
              </w:rPr>
              <w:t>P Clemmey, R Brooner, M A Chutuape, M Kidorf, M Stitzer 1997 Smoking habits and attitudes in a methadone maintenance treatment population</w:t>
            </w:r>
            <w:r w:rsidR="007F2F01">
              <w:rPr>
                <w:sz w:val="20"/>
                <w:szCs w:val="20"/>
              </w:rPr>
              <w:t>.</w:t>
            </w:r>
            <w:r w:rsidRPr="00781F59">
              <w:rPr>
                <w:sz w:val="20"/>
                <w:szCs w:val="20"/>
              </w:rPr>
              <w:t xml:space="preserve"> Drug and alcohol dependence; 44.123.</w:t>
            </w:r>
          </w:p>
        </w:tc>
        <w:tc>
          <w:tcPr>
            <w:tcW w:w="0" w:type="auto"/>
            <w:tcBorders>
              <w:top w:val="single" w:sz="6" w:space="0" w:color="auto"/>
              <w:left w:val="single" w:sz="6" w:space="0" w:color="auto"/>
              <w:bottom w:val="single" w:sz="6" w:space="0" w:color="auto"/>
              <w:right w:val="single" w:sz="6" w:space="0" w:color="auto"/>
            </w:tcBorders>
            <w:hideMark/>
          </w:tcPr>
          <w:p w14:paraId="39EEDEBE"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54A02492"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24539AE" w14:textId="77777777" w:rsidR="00EA69AA" w:rsidRPr="00781F59" w:rsidRDefault="00EA69AA" w:rsidP="00EA69AA">
            <w:pPr>
              <w:contextualSpacing/>
              <w:rPr>
                <w:sz w:val="20"/>
                <w:szCs w:val="20"/>
              </w:rPr>
            </w:pPr>
            <w:r w:rsidRPr="00781F59">
              <w:rPr>
                <w:sz w:val="20"/>
                <w:szCs w:val="20"/>
              </w:rPr>
              <w:lastRenderedPageBreak/>
              <w:t>379</w:t>
            </w:r>
          </w:p>
        </w:tc>
        <w:tc>
          <w:tcPr>
            <w:tcW w:w="0" w:type="auto"/>
            <w:tcBorders>
              <w:top w:val="single" w:sz="6" w:space="0" w:color="auto"/>
              <w:left w:val="single" w:sz="6" w:space="0" w:color="auto"/>
              <w:bottom w:val="single" w:sz="6" w:space="0" w:color="auto"/>
              <w:right w:val="single" w:sz="6" w:space="0" w:color="auto"/>
            </w:tcBorders>
            <w:hideMark/>
          </w:tcPr>
          <w:p w14:paraId="04C27060" w14:textId="3E15DA21" w:rsidR="00EA69AA" w:rsidRPr="00781F59" w:rsidRDefault="00EA69AA" w:rsidP="00EA69AA">
            <w:pPr>
              <w:contextualSpacing/>
              <w:rPr>
                <w:sz w:val="20"/>
                <w:szCs w:val="20"/>
              </w:rPr>
            </w:pPr>
            <w:r w:rsidRPr="00781F59">
              <w:rPr>
                <w:sz w:val="20"/>
                <w:szCs w:val="20"/>
              </w:rPr>
              <w:t>Nancy C Jao, Anna K Veluz-Wilkins, Matthew J Smith, Allison J Carroll, Sonja Blazekovic, Frank T Leone, Rachel F Tyndale, Robert A Schnoll, Brian Hitsman 2017 Does menthol cigarette use moderate the effect of nicotine metabolism on short-term smoking cessation?</w:t>
            </w:r>
            <w:r w:rsidR="007F2F01">
              <w:rPr>
                <w:sz w:val="20"/>
                <w:szCs w:val="20"/>
              </w:rPr>
              <w:t>.</w:t>
            </w:r>
            <w:r w:rsidRPr="00781F59">
              <w:rPr>
                <w:sz w:val="20"/>
                <w:szCs w:val="20"/>
              </w:rPr>
              <w:t xml:space="preserve"> Experimental and clinical psychopharmacology; 25.216.</w:t>
            </w:r>
          </w:p>
        </w:tc>
        <w:tc>
          <w:tcPr>
            <w:tcW w:w="0" w:type="auto"/>
            <w:tcBorders>
              <w:top w:val="single" w:sz="6" w:space="0" w:color="auto"/>
              <w:left w:val="single" w:sz="6" w:space="0" w:color="auto"/>
              <w:bottom w:val="single" w:sz="6" w:space="0" w:color="auto"/>
              <w:right w:val="single" w:sz="6" w:space="0" w:color="auto"/>
            </w:tcBorders>
            <w:hideMark/>
          </w:tcPr>
          <w:p w14:paraId="325DD424"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1082C51D"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EA7D76C" w14:textId="77777777" w:rsidR="00EA69AA" w:rsidRPr="00781F59" w:rsidRDefault="00EA69AA" w:rsidP="00EA69AA">
            <w:pPr>
              <w:contextualSpacing/>
              <w:rPr>
                <w:sz w:val="20"/>
                <w:szCs w:val="20"/>
              </w:rPr>
            </w:pPr>
            <w:r w:rsidRPr="00781F59">
              <w:rPr>
                <w:sz w:val="20"/>
                <w:szCs w:val="20"/>
              </w:rPr>
              <w:t>380</w:t>
            </w:r>
          </w:p>
        </w:tc>
        <w:tc>
          <w:tcPr>
            <w:tcW w:w="0" w:type="auto"/>
            <w:tcBorders>
              <w:top w:val="single" w:sz="6" w:space="0" w:color="auto"/>
              <w:left w:val="single" w:sz="6" w:space="0" w:color="auto"/>
              <w:bottom w:val="single" w:sz="6" w:space="0" w:color="auto"/>
              <w:right w:val="single" w:sz="6" w:space="0" w:color="auto"/>
            </w:tcBorders>
            <w:hideMark/>
          </w:tcPr>
          <w:p w14:paraId="280010AB" w14:textId="675DEE77" w:rsidR="00EA69AA" w:rsidRPr="00781F59" w:rsidRDefault="00EA69AA" w:rsidP="00EA69AA">
            <w:pPr>
              <w:contextualSpacing/>
              <w:rPr>
                <w:sz w:val="20"/>
                <w:szCs w:val="20"/>
              </w:rPr>
            </w:pPr>
            <w:r w:rsidRPr="00781F59">
              <w:rPr>
                <w:sz w:val="20"/>
                <w:szCs w:val="20"/>
              </w:rPr>
              <w:t>N H Caskey, M E Jarvik, W J McCarthy, M R Rosenblatt, T M Gross, C L Carpenter 1993 Rapid smoking of menthol and nonmenthol cigarettes by black and white smokers</w:t>
            </w:r>
            <w:r w:rsidR="007F2F01">
              <w:rPr>
                <w:sz w:val="20"/>
                <w:szCs w:val="20"/>
              </w:rPr>
              <w:t>.</w:t>
            </w:r>
            <w:r w:rsidRPr="00781F59">
              <w:rPr>
                <w:sz w:val="20"/>
                <w:szCs w:val="20"/>
              </w:rPr>
              <w:t xml:space="preserve"> Pharmacology, biochemistry, and behavior; 46.259.</w:t>
            </w:r>
          </w:p>
        </w:tc>
        <w:tc>
          <w:tcPr>
            <w:tcW w:w="0" w:type="auto"/>
            <w:tcBorders>
              <w:top w:val="single" w:sz="6" w:space="0" w:color="auto"/>
              <w:left w:val="single" w:sz="6" w:space="0" w:color="auto"/>
              <w:bottom w:val="single" w:sz="6" w:space="0" w:color="auto"/>
              <w:right w:val="single" w:sz="6" w:space="0" w:color="auto"/>
            </w:tcBorders>
            <w:hideMark/>
          </w:tcPr>
          <w:p w14:paraId="258C4012"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0D06962D"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3D0A375" w14:textId="77777777" w:rsidR="00EA69AA" w:rsidRPr="00781F59" w:rsidRDefault="00EA69AA" w:rsidP="00EA69AA">
            <w:pPr>
              <w:contextualSpacing/>
              <w:rPr>
                <w:sz w:val="20"/>
                <w:szCs w:val="20"/>
              </w:rPr>
            </w:pPr>
            <w:r w:rsidRPr="00781F59">
              <w:rPr>
                <w:sz w:val="20"/>
                <w:szCs w:val="20"/>
              </w:rPr>
              <w:t>385</w:t>
            </w:r>
          </w:p>
        </w:tc>
        <w:tc>
          <w:tcPr>
            <w:tcW w:w="0" w:type="auto"/>
            <w:tcBorders>
              <w:top w:val="single" w:sz="6" w:space="0" w:color="auto"/>
              <w:left w:val="single" w:sz="6" w:space="0" w:color="auto"/>
              <w:bottom w:val="single" w:sz="6" w:space="0" w:color="auto"/>
              <w:right w:val="single" w:sz="6" w:space="0" w:color="auto"/>
            </w:tcBorders>
            <w:hideMark/>
          </w:tcPr>
          <w:p w14:paraId="761B82A3" w14:textId="19923A34" w:rsidR="00EA69AA" w:rsidRPr="00781F59" w:rsidRDefault="00EA69AA" w:rsidP="00EA69AA">
            <w:pPr>
              <w:contextualSpacing/>
              <w:rPr>
                <w:sz w:val="20"/>
                <w:szCs w:val="20"/>
              </w:rPr>
            </w:pPr>
            <w:r w:rsidRPr="00781F59">
              <w:rPr>
                <w:sz w:val="20"/>
                <w:szCs w:val="20"/>
              </w:rPr>
              <w:t>Pamela Valera, F Joseph McClernon, Greer Burkholder, Michael J Mugavero, James Willig, Conall O'Cleirigh, Karen L Cropsey 2017 A Pilot Trial Examining African American and White Responses to Algorithm-Guided Smoking Cessation Medication Selection in Persons Living with HIV</w:t>
            </w:r>
            <w:r w:rsidR="007F2F01">
              <w:rPr>
                <w:sz w:val="20"/>
                <w:szCs w:val="20"/>
              </w:rPr>
              <w:t>.</w:t>
            </w:r>
            <w:r w:rsidRPr="00781F59">
              <w:rPr>
                <w:sz w:val="20"/>
                <w:szCs w:val="20"/>
              </w:rPr>
              <w:t xml:space="preserve"> AIDS and behavior; 21.1975.</w:t>
            </w:r>
          </w:p>
        </w:tc>
        <w:tc>
          <w:tcPr>
            <w:tcW w:w="0" w:type="auto"/>
            <w:tcBorders>
              <w:top w:val="single" w:sz="6" w:space="0" w:color="auto"/>
              <w:left w:val="single" w:sz="6" w:space="0" w:color="auto"/>
              <w:bottom w:val="single" w:sz="6" w:space="0" w:color="auto"/>
              <w:right w:val="single" w:sz="6" w:space="0" w:color="auto"/>
            </w:tcBorders>
            <w:hideMark/>
          </w:tcPr>
          <w:p w14:paraId="186F9DD4"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44E5EA68"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0BBECC0" w14:textId="77777777" w:rsidR="00EA69AA" w:rsidRPr="00781F59" w:rsidRDefault="00EA69AA" w:rsidP="00EA69AA">
            <w:pPr>
              <w:contextualSpacing/>
              <w:rPr>
                <w:sz w:val="20"/>
                <w:szCs w:val="20"/>
              </w:rPr>
            </w:pPr>
            <w:r w:rsidRPr="00781F59">
              <w:rPr>
                <w:sz w:val="20"/>
                <w:szCs w:val="20"/>
              </w:rPr>
              <w:t>387</w:t>
            </w:r>
          </w:p>
        </w:tc>
        <w:tc>
          <w:tcPr>
            <w:tcW w:w="0" w:type="auto"/>
            <w:tcBorders>
              <w:top w:val="single" w:sz="6" w:space="0" w:color="auto"/>
              <w:left w:val="single" w:sz="6" w:space="0" w:color="auto"/>
              <w:bottom w:val="single" w:sz="6" w:space="0" w:color="auto"/>
              <w:right w:val="single" w:sz="6" w:space="0" w:color="auto"/>
            </w:tcBorders>
            <w:hideMark/>
          </w:tcPr>
          <w:p w14:paraId="547668A0" w14:textId="4AF0972C" w:rsidR="00EA69AA" w:rsidRPr="00781F59" w:rsidRDefault="00EA69AA" w:rsidP="00EA69AA">
            <w:pPr>
              <w:contextualSpacing/>
              <w:rPr>
                <w:sz w:val="20"/>
                <w:szCs w:val="20"/>
              </w:rPr>
            </w:pPr>
            <w:r w:rsidRPr="00781F59">
              <w:rPr>
                <w:sz w:val="20"/>
                <w:szCs w:val="20"/>
              </w:rPr>
              <w:t>Charles J Courtemanche, Makayla K Palmer, Michael F Pesko 2017 Influence of the Flavored Cigarette Ban on Adolescent Tobacco Use</w:t>
            </w:r>
            <w:r w:rsidR="007F2F01">
              <w:rPr>
                <w:sz w:val="20"/>
                <w:szCs w:val="20"/>
              </w:rPr>
              <w:t>.</w:t>
            </w:r>
            <w:r w:rsidRPr="00781F59">
              <w:rPr>
                <w:sz w:val="20"/>
                <w:szCs w:val="20"/>
              </w:rPr>
              <w:t xml:space="preserve"> American journal of preventive medicine; </w:t>
            </w:r>
            <w:proofErr w:type="gramStart"/>
            <w:r w:rsidRPr="00781F59">
              <w:rPr>
                <w:sz w:val="20"/>
                <w:szCs w:val="20"/>
              </w:rPr>
              <w:t>52.e</w:t>
            </w:r>
            <w:proofErr w:type="gramEnd"/>
            <w:r w:rsidRPr="00781F59">
              <w:rPr>
                <w:sz w:val="20"/>
                <w:szCs w:val="20"/>
              </w:rPr>
              <w:t>139.</w:t>
            </w:r>
          </w:p>
        </w:tc>
        <w:tc>
          <w:tcPr>
            <w:tcW w:w="0" w:type="auto"/>
            <w:tcBorders>
              <w:top w:val="single" w:sz="6" w:space="0" w:color="auto"/>
              <w:left w:val="single" w:sz="6" w:space="0" w:color="auto"/>
              <w:bottom w:val="single" w:sz="6" w:space="0" w:color="auto"/>
              <w:right w:val="single" w:sz="6" w:space="0" w:color="auto"/>
            </w:tcBorders>
            <w:hideMark/>
          </w:tcPr>
          <w:p w14:paraId="5D98AB06"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275A44DE"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35E80D5" w14:textId="77777777" w:rsidR="00EA69AA" w:rsidRPr="00781F59" w:rsidRDefault="00EA69AA" w:rsidP="00EA69AA">
            <w:pPr>
              <w:contextualSpacing/>
              <w:rPr>
                <w:sz w:val="20"/>
                <w:szCs w:val="20"/>
              </w:rPr>
            </w:pPr>
            <w:r w:rsidRPr="00781F59">
              <w:rPr>
                <w:sz w:val="20"/>
                <w:szCs w:val="20"/>
              </w:rPr>
              <w:t>389</w:t>
            </w:r>
          </w:p>
        </w:tc>
        <w:tc>
          <w:tcPr>
            <w:tcW w:w="0" w:type="auto"/>
            <w:tcBorders>
              <w:top w:val="single" w:sz="6" w:space="0" w:color="auto"/>
              <w:left w:val="single" w:sz="6" w:space="0" w:color="auto"/>
              <w:bottom w:val="single" w:sz="6" w:space="0" w:color="auto"/>
              <w:right w:val="single" w:sz="6" w:space="0" w:color="auto"/>
            </w:tcBorders>
            <w:hideMark/>
          </w:tcPr>
          <w:p w14:paraId="1B81382F" w14:textId="0AE45E23" w:rsidR="00EA69AA" w:rsidRPr="00781F59" w:rsidRDefault="00EA69AA" w:rsidP="00EA69AA">
            <w:pPr>
              <w:contextualSpacing/>
              <w:rPr>
                <w:sz w:val="20"/>
                <w:szCs w:val="20"/>
              </w:rPr>
            </w:pPr>
            <w:r w:rsidRPr="00781F59">
              <w:rPr>
                <w:sz w:val="20"/>
                <w:szCs w:val="20"/>
              </w:rPr>
              <w:t>Arnab Mukherjea, Olivia A Wackowski, Youn Ok Lee, Cristine D Delnevo 2014 Asian American, Native Hawaiian and Pacific Islander tobacco use patterns</w:t>
            </w:r>
            <w:r w:rsidR="007F2F01">
              <w:rPr>
                <w:sz w:val="20"/>
                <w:szCs w:val="20"/>
              </w:rPr>
              <w:t>.</w:t>
            </w:r>
            <w:r w:rsidRPr="00781F59">
              <w:rPr>
                <w:sz w:val="20"/>
                <w:szCs w:val="20"/>
              </w:rPr>
              <w:t xml:space="preserve"> American journal of health behavior; 38.362.</w:t>
            </w:r>
          </w:p>
        </w:tc>
        <w:tc>
          <w:tcPr>
            <w:tcW w:w="0" w:type="auto"/>
            <w:tcBorders>
              <w:top w:val="single" w:sz="6" w:space="0" w:color="auto"/>
              <w:left w:val="single" w:sz="6" w:space="0" w:color="auto"/>
              <w:bottom w:val="single" w:sz="6" w:space="0" w:color="auto"/>
              <w:right w:val="single" w:sz="6" w:space="0" w:color="auto"/>
            </w:tcBorders>
            <w:hideMark/>
          </w:tcPr>
          <w:p w14:paraId="47551D85"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51ADAFD7"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D10D269" w14:textId="77777777" w:rsidR="00EA69AA" w:rsidRPr="00781F59" w:rsidRDefault="00EA69AA" w:rsidP="00EA69AA">
            <w:pPr>
              <w:contextualSpacing/>
              <w:rPr>
                <w:sz w:val="20"/>
                <w:szCs w:val="20"/>
              </w:rPr>
            </w:pPr>
            <w:r w:rsidRPr="00781F59">
              <w:rPr>
                <w:sz w:val="20"/>
                <w:szCs w:val="20"/>
              </w:rPr>
              <w:t>390</w:t>
            </w:r>
          </w:p>
        </w:tc>
        <w:tc>
          <w:tcPr>
            <w:tcW w:w="0" w:type="auto"/>
            <w:tcBorders>
              <w:top w:val="single" w:sz="6" w:space="0" w:color="auto"/>
              <w:left w:val="single" w:sz="6" w:space="0" w:color="auto"/>
              <w:bottom w:val="single" w:sz="6" w:space="0" w:color="auto"/>
              <w:right w:val="single" w:sz="6" w:space="0" w:color="auto"/>
            </w:tcBorders>
            <w:hideMark/>
          </w:tcPr>
          <w:p w14:paraId="1964F737" w14:textId="75FC0E72" w:rsidR="00EA69AA" w:rsidRPr="00781F59" w:rsidRDefault="00EA69AA" w:rsidP="00EA69AA">
            <w:pPr>
              <w:contextualSpacing/>
              <w:rPr>
                <w:sz w:val="20"/>
                <w:szCs w:val="20"/>
              </w:rPr>
            </w:pPr>
            <w:r w:rsidRPr="00781F59">
              <w:rPr>
                <w:sz w:val="20"/>
                <w:szCs w:val="20"/>
              </w:rPr>
              <w:t>Ping-Ching Hsu, Renny S Lan, Theodore M Brasky, Catalin Marian, Amrita K Cheema, Habtom W Ressom, Christopher A Loffredo, Wallace B Pickworth, Peter G Shields 2017 Menthol Smokers: Metabolomic Profiling and Smoking Behavior</w:t>
            </w:r>
            <w:r w:rsidR="007F2F01">
              <w:rPr>
                <w:sz w:val="20"/>
                <w:szCs w:val="20"/>
              </w:rPr>
              <w:t>.</w:t>
            </w:r>
            <w:r w:rsidRPr="00781F59">
              <w:rPr>
                <w:sz w:val="20"/>
                <w:szCs w:val="20"/>
              </w:rPr>
              <w:t xml:space="preserve"> Cancer epidemiology, biomarkers &amp; </w:t>
            </w:r>
            <w:proofErr w:type="gramStart"/>
            <w:r w:rsidRPr="00781F59">
              <w:rPr>
                <w:sz w:val="20"/>
                <w:szCs w:val="20"/>
              </w:rPr>
              <w:t>prevention :</w:t>
            </w:r>
            <w:proofErr w:type="gramEnd"/>
            <w:r w:rsidRPr="00781F59">
              <w:rPr>
                <w:sz w:val="20"/>
                <w:szCs w:val="20"/>
              </w:rPr>
              <w:t xml:space="preserve"> a publication of the American Association for Cancer Research, cosponsored by the American Society of Preventive Oncology; 26.51.</w:t>
            </w:r>
          </w:p>
        </w:tc>
        <w:tc>
          <w:tcPr>
            <w:tcW w:w="0" w:type="auto"/>
            <w:tcBorders>
              <w:top w:val="single" w:sz="6" w:space="0" w:color="auto"/>
              <w:left w:val="single" w:sz="6" w:space="0" w:color="auto"/>
              <w:bottom w:val="single" w:sz="6" w:space="0" w:color="auto"/>
              <w:right w:val="single" w:sz="6" w:space="0" w:color="auto"/>
            </w:tcBorders>
            <w:hideMark/>
          </w:tcPr>
          <w:p w14:paraId="516CB021"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55B657BC"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F3F9A62" w14:textId="77777777" w:rsidR="00EA69AA" w:rsidRPr="00781F59" w:rsidRDefault="00EA69AA" w:rsidP="00EA69AA">
            <w:pPr>
              <w:contextualSpacing/>
              <w:rPr>
                <w:sz w:val="20"/>
                <w:szCs w:val="20"/>
              </w:rPr>
            </w:pPr>
            <w:r w:rsidRPr="00781F59">
              <w:rPr>
                <w:sz w:val="20"/>
                <w:szCs w:val="20"/>
              </w:rPr>
              <w:t>391</w:t>
            </w:r>
          </w:p>
        </w:tc>
        <w:tc>
          <w:tcPr>
            <w:tcW w:w="0" w:type="auto"/>
            <w:tcBorders>
              <w:top w:val="single" w:sz="6" w:space="0" w:color="auto"/>
              <w:left w:val="single" w:sz="6" w:space="0" w:color="auto"/>
              <w:bottom w:val="single" w:sz="6" w:space="0" w:color="auto"/>
              <w:right w:val="single" w:sz="6" w:space="0" w:color="auto"/>
            </w:tcBorders>
            <w:hideMark/>
          </w:tcPr>
          <w:p w14:paraId="16125BD3" w14:textId="61C33249" w:rsidR="00EA69AA" w:rsidRPr="00781F59" w:rsidRDefault="00EA69AA" w:rsidP="00EA69AA">
            <w:pPr>
              <w:contextualSpacing/>
              <w:rPr>
                <w:sz w:val="20"/>
                <w:szCs w:val="20"/>
              </w:rPr>
            </w:pPr>
            <w:r w:rsidRPr="00781F59">
              <w:rPr>
                <w:sz w:val="20"/>
                <w:szCs w:val="20"/>
              </w:rPr>
              <w:t>Ping-Ching Hsu, Renny S Lan, Theodore M Brasky, Catalin Marian, Amrita K Cheema, Habtom W Ressom, Christopher A Loffredo, Wallace B Pickworth, Peter G Shields 2017 Metabolomic profiles of current cigarette smokers</w:t>
            </w:r>
            <w:r w:rsidR="007F2F01">
              <w:rPr>
                <w:sz w:val="20"/>
                <w:szCs w:val="20"/>
              </w:rPr>
              <w:t>.</w:t>
            </w:r>
            <w:r w:rsidRPr="00781F59">
              <w:rPr>
                <w:sz w:val="20"/>
                <w:szCs w:val="20"/>
              </w:rPr>
              <w:t xml:space="preserve"> Molecular carcinogenesis; 56.594.</w:t>
            </w:r>
          </w:p>
        </w:tc>
        <w:tc>
          <w:tcPr>
            <w:tcW w:w="0" w:type="auto"/>
            <w:tcBorders>
              <w:top w:val="single" w:sz="6" w:space="0" w:color="auto"/>
              <w:left w:val="single" w:sz="6" w:space="0" w:color="auto"/>
              <w:bottom w:val="single" w:sz="6" w:space="0" w:color="auto"/>
              <w:right w:val="single" w:sz="6" w:space="0" w:color="auto"/>
            </w:tcBorders>
            <w:hideMark/>
          </w:tcPr>
          <w:p w14:paraId="5959664C"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216D251A"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F50B73D" w14:textId="77777777" w:rsidR="00EA69AA" w:rsidRPr="00781F59" w:rsidRDefault="00EA69AA" w:rsidP="00EA69AA">
            <w:pPr>
              <w:contextualSpacing/>
              <w:rPr>
                <w:sz w:val="20"/>
                <w:szCs w:val="20"/>
              </w:rPr>
            </w:pPr>
            <w:r w:rsidRPr="00781F59">
              <w:rPr>
                <w:sz w:val="20"/>
                <w:szCs w:val="20"/>
              </w:rPr>
              <w:t>393</w:t>
            </w:r>
          </w:p>
        </w:tc>
        <w:tc>
          <w:tcPr>
            <w:tcW w:w="0" w:type="auto"/>
            <w:tcBorders>
              <w:top w:val="single" w:sz="6" w:space="0" w:color="auto"/>
              <w:left w:val="single" w:sz="6" w:space="0" w:color="auto"/>
              <w:bottom w:val="single" w:sz="6" w:space="0" w:color="auto"/>
              <w:right w:val="single" w:sz="6" w:space="0" w:color="auto"/>
            </w:tcBorders>
            <w:hideMark/>
          </w:tcPr>
          <w:p w14:paraId="6692873C" w14:textId="186CF290" w:rsidR="00EA69AA" w:rsidRPr="00781F59" w:rsidRDefault="00EA69AA" w:rsidP="00EA69AA">
            <w:pPr>
              <w:contextualSpacing/>
              <w:rPr>
                <w:sz w:val="20"/>
                <w:szCs w:val="20"/>
              </w:rPr>
            </w:pPr>
            <w:r w:rsidRPr="00781F59">
              <w:rPr>
                <w:sz w:val="20"/>
                <w:szCs w:val="20"/>
              </w:rPr>
              <w:t>Stacey J Anderson 2011 Menthol cigarettes and smoking cessation behaviour: a review of tobacco industry documents</w:t>
            </w:r>
            <w:r w:rsidR="007F2F01">
              <w:rPr>
                <w:sz w:val="20"/>
                <w:szCs w:val="20"/>
              </w:rPr>
              <w:t>.</w:t>
            </w:r>
            <w:r w:rsidRPr="00781F59">
              <w:rPr>
                <w:sz w:val="20"/>
                <w:szCs w:val="20"/>
              </w:rPr>
              <w:t xml:space="preserve"> Tobacco control; 20 Suppl </w:t>
            </w:r>
            <w:proofErr w:type="gramStart"/>
            <w:r w:rsidRPr="00781F59">
              <w:rPr>
                <w:sz w:val="20"/>
                <w:szCs w:val="20"/>
              </w:rPr>
              <w:t>2.ii</w:t>
            </w:r>
            <w:proofErr w:type="gramEnd"/>
            <w:r w:rsidRPr="00781F59">
              <w:rPr>
                <w:sz w:val="20"/>
                <w:szCs w:val="20"/>
              </w:rPr>
              <w:t>49.</w:t>
            </w:r>
          </w:p>
        </w:tc>
        <w:tc>
          <w:tcPr>
            <w:tcW w:w="0" w:type="auto"/>
            <w:tcBorders>
              <w:top w:val="single" w:sz="6" w:space="0" w:color="auto"/>
              <w:left w:val="single" w:sz="6" w:space="0" w:color="auto"/>
              <w:bottom w:val="single" w:sz="6" w:space="0" w:color="auto"/>
              <w:right w:val="single" w:sz="6" w:space="0" w:color="auto"/>
            </w:tcBorders>
            <w:hideMark/>
          </w:tcPr>
          <w:p w14:paraId="1E5AEE1A" w14:textId="77777777" w:rsidR="00EA69AA" w:rsidRPr="00781F59" w:rsidRDefault="00EA69AA" w:rsidP="00EA69AA">
            <w:pPr>
              <w:contextualSpacing/>
              <w:rPr>
                <w:sz w:val="20"/>
                <w:szCs w:val="20"/>
              </w:rPr>
            </w:pPr>
            <w:r w:rsidRPr="00781F59">
              <w:rPr>
                <w:sz w:val="20"/>
                <w:szCs w:val="20"/>
              </w:rPr>
              <w:t>Not original research / data</w:t>
            </w:r>
          </w:p>
        </w:tc>
      </w:tr>
      <w:tr w:rsidR="00EA69AA" w:rsidRPr="00781F59" w14:paraId="68DA5676"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3351F1F" w14:textId="77777777" w:rsidR="00EA69AA" w:rsidRPr="00781F59" w:rsidRDefault="00EA69AA" w:rsidP="00EA69AA">
            <w:pPr>
              <w:contextualSpacing/>
              <w:rPr>
                <w:sz w:val="20"/>
                <w:szCs w:val="20"/>
              </w:rPr>
            </w:pPr>
            <w:r w:rsidRPr="00781F59">
              <w:rPr>
                <w:sz w:val="20"/>
                <w:szCs w:val="20"/>
              </w:rPr>
              <w:t>395</w:t>
            </w:r>
          </w:p>
        </w:tc>
        <w:tc>
          <w:tcPr>
            <w:tcW w:w="0" w:type="auto"/>
            <w:tcBorders>
              <w:top w:val="single" w:sz="6" w:space="0" w:color="auto"/>
              <w:left w:val="single" w:sz="6" w:space="0" w:color="auto"/>
              <w:bottom w:val="single" w:sz="6" w:space="0" w:color="auto"/>
              <w:right w:val="single" w:sz="6" w:space="0" w:color="auto"/>
            </w:tcBorders>
            <w:hideMark/>
          </w:tcPr>
          <w:p w14:paraId="57F7EFCE" w14:textId="26A24233" w:rsidR="00EA69AA" w:rsidRPr="00781F59" w:rsidRDefault="00EA69AA" w:rsidP="00EA69AA">
            <w:pPr>
              <w:contextualSpacing/>
              <w:rPr>
                <w:sz w:val="20"/>
                <w:szCs w:val="20"/>
              </w:rPr>
            </w:pPr>
            <w:r w:rsidRPr="00781F59">
              <w:rPr>
                <w:sz w:val="20"/>
                <w:szCs w:val="20"/>
              </w:rPr>
              <w:t>Valerie B Yerger, Phyra M McCandless 2011 Menthol sensory qualities and smoking topography: a review of tobacco industry documents</w:t>
            </w:r>
            <w:r w:rsidR="007F2F01">
              <w:rPr>
                <w:sz w:val="20"/>
                <w:szCs w:val="20"/>
              </w:rPr>
              <w:t>.</w:t>
            </w:r>
            <w:r w:rsidRPr="00781F59">
              <w:rPr>
                <w:sz w:val="20"/>
                <w:szCs w:val="20"/>
              </w:rPr>
              <w:t xml:space="preserve"> Tobacco control; 20 Suppl </w:t>
            </w:r>
            <w:proofErr w:type="gramStart"/>
            <w:r w:rsidRPr="00781F59">
              <w:rPr>
                <w:sz w:val="20"/>
                <w:szCs w:val="20"/>
              </w:rPr>
              <w:t>2.ii</w:t>
            </w:r>
            <w:proofErr w:type="gramEnd"/>
            <w:r w:rsidRPr="00781F59">
              <w:rPr>
                <w:sz w:val="20"/>
                <w:szCs w:val="20"/>
              </w:rPr>
              <w:t>37.</w:t>
            </w:r>
          </w:p>
        </w:tc>
        <w:tc>
          <w:tcPr>
            <w:tcW w:w="0" w:type="auto"/>
            <w:tcBorders>
              <w:top w:val="single" w:sz="6" w:space="0" w:color="auto"/>
              <w:left w:val="single" w:sz="6" w:space="0" w:color="auto"/>
              <w:bottom w:val="single" w:sz="6" w:space="0" w:color="auto"/>
              <w:right w:val="single" w:sz="6" w:space="0" w:color="auto"/>
            </w:tcBorders>
            <w:hideMark/>
          </w:tcPr>
          <w:p w14:paraId="5DB7A24D" w14:textId="77777777" w:rsidR="00EA69AA" w:rsidRPr="00781F59" w:rsidRDefault="00EA69AA" w:rsidP="00EA69AA">
            <w:pPr>
              <w:contextualSpacing/>
              <w:rPr>
                <w:sz w:val="20"/>
                <w:szCs w:val="20"/>
              </w:rPr>
            </w:pPr>
            <w:r w:rsidRPr="00781F59">
              <w:rPr>
                <w:sz w:val="20"/>
                <w:szCs w:val="20"/>
              </w:rPr>
              <w:t>Not original research / data</w:t>
            </w:r>
          </w:p>
        </w:tc>
      </w:tr>
      <w:tr w:rsidR="00EA69AA" w:rsidRPr="00781F59" w14:paraId="30143DE9"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B33DBB0" w14:textId="77777777" w:rsidR="00EA69AA" w:rsidRPr="00781F59" w:rsidRDefault="00EA69AA" w:rsidP="00EA69AA">
            <w:pPr>
              <w:contextualSpacing/>
              <w:rPr>
                <w:sz w:val="20"/>
                <w:szCs w:val="20"/>
              </w:rPr>
            </w:pPr>
            <w:r w:rsidRPr="00781F59">
              <w:rPr>
                <w:sz w:val="20"/>
                <w:szCs w:val="20"/>
              </w:rPr>
              <w:t>396</w:t>
            </w:r>
          </w:p>
        </w:tc>
        <w:tc>
          <w:tcPr>
            <w:tcW w:w="0" w:type="auto"/>
            <w:tcBorders>
              <w:top w:val="single" w:sz="6" w:space="0" w:color="auto"/>
              <w:left w:val="single" w:sz="6" w:space="0" w:color="auto"/>
              <w:bottom w:val="single" w:sz="6" w:space="0" w:color="auto"/>
              <w:right w:val="single" w:sz="6" w:space="0" w:color="auto"/>
            </w:tcBorders>
            <w:hideMark/>
          </w:tcPr>
          <w:p w14:paraId="2F7FBB37" w14:textId="39D267BC" w:rsidR="00EA69AA" w:rsidRPr="00781F59" w:rsidRDefault="00EA69AA" w:rsidP="00EA69AA">
            <w:pPr>
              <w:contextualSpacing/>
              <w:rPr>
                <w:sz w:val="20"/>
                <w:szCs w:val="20"/>
              </w:rPr>
            </w:pPr>
            <w:r w:rsidRPr="00781F59">
              <w:rPr>
                <w:sz w:val="20"/>
                <w:szCs w:val="20"/>
              </w:rPr>
              <w:t>Valerie B Yerger 2011 Menthol's potential effects on nicotine dependence: a tobacco industry perspective</w:t>
            </w:r>
            <w:r w:rsidR="007F2F01">
              <w:rPr>
                <w:sz w:val="20"/>
                <w:szCs w:val="20"/>
              </w:rPr>
              <w:t>.</w:t>
            </w:r>
            <w:r w:rsidRPr="00781F59">
              <w:rPr>
                <w:sz w:val="20"/>
                <w:szCs w:val="20"/>
              </w:rPr>
              <w:t xml:space="preserve"> Tobacco control; 20 Suppl </w:t>
            </w:r>
            <w:proofErr w:type="gramStart"/>
            <w:r w:rsidRPr="00781F59">
              <w:rPr>
                <w:sz w:val="20"/>
                <w:szCs w:val="20"/>
              </w:rPr>
              <w:t>2.ii</w:t>
            </w:r>
            <w:proofErr w:type="gramEnd"/>
            <w:r w:rsidRPr="00781F59">
              <w:rPr>
                <w:sz w:val="20"/>
                <w:szCs w:val="20"/>
              </w:rPr>
              <w:t>29.</w:t>
            </w:r>
          </w:p>
        </w:tc>
        <w:tc>
          <w:tcPr>
            <w:tcW w:w="0" w:type="auto"/>
            <w:tcBorders>
              <w:top w:val="single" w:sz="6" w:space="0" w:color="auto"/>
              <w:left w:val="single" w:sz="6" w:space="0" w:color="auto"/>
              <w:bottom w:val="single" w:sz="6" w:space="0" w:color="auto"/>
              <w:right w:val="single" w:sz="6" w:space="0" w:color="auto"/>
            </w:tcBorders>
            <w:hideMark/>
          </w:tcPr>
          <w:p w14:paraId="523E035F" w14:textId="77777777" w:rsidR="00EA69AA" w:rsidRPr="00781F59" w:rsidRDefault="00EA69AA" w:rsidP="00EA69AA">
            <w:pPr>
              <w:contextualSpacing/>
              <w:rPr>
                <w:sz w:val="20"/>
                <w:szCs w:val="20"/>
              </w:rPr>
            </w:pPr>
            <w:r w:rsidRPr="00781F59">
              <w:rPr>
                <w:sz w:val="20"/>
                <w:szCs w:val="20"/>
              </w:rPr>
              <w:t>Not original research / data</w:t>
            </w:r>
          </w:p>
        </w:tc>
      </w:tr>
      <w:tr w:rsidR="00EA69AA" w:rsidRPr="00781F59" w14:paraId="002677BA"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397EACA" w14:textId="77777777" w:rsidR="00EA69AA" w:rsidRPr="00781F59" w:rsidRDefault="00EA69AA" w:rsidP="00EA69AA">
            <w:pPr>
              <w:contextualSpacing/>
              <w:rPr>
                <w:sz w:val="20"/>
                <w:szCs w:val="20"/>
              </w:rPr>
            </w:pPr>
            <w:r w:rsidRPr="00781F59">
              <w:rPr>
                <w:sz w:val="20"/>
                <w:szCs w:val="20"/>
              </w:rPr>
              <w:t>401</w:t>
            </w:r>
          </w:p>
        </w:tc>
        <w:tc>
          <w:tcPr>
            <w:tcW w:w="0" w:type="auto"/>
            <w:tcBorders>
              <w:top w:val="single" w:sz="6" w:space="0" w:color="auto"/>
              <w:left w:val="single" w:sz="6" w:space="0" w:color="auto"/>
              <w:bottom w:val="single" w:sz="6" w:space="0" w:color="auto"/>
              <w:right w:val="single" w:sz="6" w:space="0" w:color="auto"/>
            </w:tcBorders>
            <w:hideMark/>
          </w:tcPr>
          <w:p w14:paraId="46170460" w14:textId="57E25C88" w:rsidR="00EA69AA" w:rsidRPr="00781F59" w:rsidRDefault="00EA69AA" w:rsidP="00EA69AA">
            <w:pPr>
              <w:contextualSpacing/>
              <w:rPr>
                <w:sz w:val="20"/>
                <w:szCs w:val="20"/>
              </w:rPr>
            </w:pPr>
            <w:r w:rsidRPr="00781F59">
              <w:rPr>
                <w:sz w:val="20"/>
                <w:szCs w:val="20"/>
              </w:rPr>
              <w:t>Megan E Roberts, Nathan J Doogan, Allison N Kurti, Ryan Redner, Diann E Gaalema, Cassandra A Stanton, Thomas J White, Stephen T Higgins 2016 Rural tobacco use across the United States: How rural and urban areas differ, broken down by census regions and divisions</w:t>
            </w:r>
            <w:r w:rsidR="007F2F01">
              <w:rPr>
                <w:sz w:val="20"/>
                <w:szCs w:val="20"/>
              </w:rPr>
              <w:t>.</w:t>
            </w:r>
            <w:r w:rsidRPr="00781F59">
              <w:rPr>
                <w:sz w:val="20"/>
                <w:szCs w:val="20"/>
              </w:rPr>
              <w:t xml:space="preserve"> Health &amp; place; 39.153.</w:t>
            </w:r>
          </w:p>
        </w:tc>
        <w:tc>
          <w:tcPr>
            <w:tcW w:w="0" w:type="auto"/>
            <w:tcBorders>
              <w:top w:val="single" w:sz="6" w:space="0" w:color="auto"/>
              <w:left w:val="single" w:sz="6" w:space="0" w:color="auto"/>
              <w:bottom w:val="single" w:sz="6" w:space="0" w:color="auto"/>
              <w:right w:val="single" w:sz="6" w:space="0" w:color="auto"/>
            </w:tcBorders>
            <w:hideMark/>
          </w:tcPr>
          <w:p w14:paraId="7C0FAB2A"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65A38283"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ECBCBA6" w14:textId="77777777" w:rsidR="00EA69AA" w:rsidRPr="00781F59" w:rsidRDefault="00EA69AA" w:rsidP="00EA69AA">
            <w:pPr>
              <w:contextualSpacing/>
              <w:rPr>
                <w:sz w:val="20"/>
                <w:szCs w:val="20"/>
              </w:rPr>
            </w:pPr>
            <w:r w:rsidRPr="00781F59">
              <w:rPr>
                <w:sz w:val="20"/>
                <w:szCs w:val="20"/>
              </w:rPr>
              <w:t>402</w:t>
            </w:r>
          </w:p>
        </w:tc>
        <w:tc>
          <w:tcPr>
            <w:tcW w:w="0" w:type="auto"/>
            <w:tcBorders>
              <w:top w:val="single" w:sz="6" w:space="0" w:color="auto"/>
              <w:left w:val="single" w:sz="6" w:space="0" w:color="auto"/>
              <w:bottom w:val="single" w:sz="6" w:space="0" w:color="auto"/>
              <w:right w:val="single" w:sz="6" w:space="0" w:color="auto"/>
            </w:tcBorders>
            <w:hideMark/>
          </w:tcPr>
          <w:p w14:paraId="4B50782C" w14:textId="2204A0F4" w:rsidR="00EA69AA" w:rsidRPr="00781F59" w:rsidRDefault="00EA69AA" w:rsidP="00EA69AA">
            <w:pPr>
              <w:contextualSpacing/>
              <w:rPr>
                <w:sz w:val="20"/>
                <w:szCs w:val="20"/>
              </w:rPr>
            </w:pPr>
            <w:r w:rsidRPr="00781F59">
              <w:rPr>
                <w:sz w:val="20"/>
                <w:szCs w:val="20"/>
              </w:rPr>
              <w:t>Olivia A Wackowski, Cristine D Delnevo 2016 Young Adults' Risk Perceptions of Various Tobacco Products Relative to Cigarettes: Results From the National Young Adult Health Survey</w:t>
            </w:r>
            <w:r w:rsidR="007F2F01">
              <w:rPr>
                <w:sz w:val="20"/>
                <w:szCs w:val="20"/>
              </w:rPr>
              <w:t>.</w:t>
            </w:r>
            <w:r w:rsidRPr="00781F59">
              <w:rPr>
                <w:sz w:val="20"/>
                <w:szCs w:val="20"/>
              </w:rPr>
              <w:t xml:space="preserve"> Health education &amp; </w:t>
            </w:r>
            <w:proofErr w:type="gramStart"/>
            <w:r w:rsidRPr="00781F59">
              <w:rPr>
                <w:sz w:val="20"/>
                <w:szCs w:val="20"/>
              </w:rPr>
              <w:t>behavior :</w:t>
            </w:r>
            <w:proofErr w:type="gramEnd"/>
            <w:r w:rsidRPr="00781F59">
              <w:rPr>
                <w:sz w:val="20"/>
                <w:szCs w:val="20"/>
              </w:rPr>
              <w:t xml:space="preserve"> the official publication of the Society for Public Health Education; 43.328.</w:t>
            </w:r>
          </w:p>
        </w:tc>
        <w:tc>
          <w:tcPr>
            <w:tcW w:w="0" w:type="auto"/>
            <w:tcBorders>
              <w:top w:val="single" w:sz="6" w:space="0" w:color="auto"/>
              <w:left w:val="single" w:sz="6" w:space="0" w:color="auto"/>
              <w:bottom w:val="single" w:sz="6" w:space="0" w:color="auto"/>
              <w:right w:val="single" w:sz="6" w:space="0" w:color="auto"/>
            </w:tcBorders>
            <w:hideMark/>
          </w:tcPr>
          <w:p w14:paraId="691F022E"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61FA58E3"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CD2D9B2" w14:textId="77777777" w:rsidR="00EA69AA" w:rsidRPr="00781F59" w:rsidRDefault="00EA69AA" w:rsidP="00EA69AA">
            <w:pPr>
              <w:contextualSpacing/>
              <w:rPr>
                <w:sz w:val="20"/>
                <w:szCs w:val="20"/>
              </w:rPr>
            </w:pPr>
            <w:r w:rsidRPr="00781F59">
              <w:rPr>
                <w:sz w:val="20"/>
                <w:szCs w:val="20"/>
              </w:rPr>
              <w:t>403</w:t>
            </w:r>
          </w:p>
        </w:tc>
        <w:tc>
          <w:tcPr>
            <w:tcW w:w="0" w:type="auto"/>
            <w:tcBorders>
              <w:top w:val="single" w:sz="6" w:space="0" w:color="auto"/>
              <w:left w:val="single" w:sz="6" w:space="0" w:color="auto"/>
              <w:bottom w:val="single" w:sz="6" w:space="0" w:color="auto"/>
              <w:right w:val="single" w:sz="6" w:space="0" w:color="auto"/>
            </w:tcBorders>
            <w:hideMark/>
          </w:tcPr>
          <w:p w14:paraId="4FF6500A" w14:textId="269F786C" w:rsidR="00EA69AA" w:rsidRPr="00781F59" w:rsidRDefault="00EA69AA" w:rsidP="00EA69AA">
            <w:pPr>
              <w:contextualSpacing/>
              <w:rPr>
                <w:sz w:val="20"/>
                <w:szCs w:val="20"/>
              </w:rPr>
            </w:pPr>
            <w:r w:rsidRPr="00781F59">
              <w:rPr>
                <w:sz w:val="20"/>
                <w:szCs w:val="20"/>
              </w:rPr>
              <w:t>Patricia Folan, Raisa Abramova, Christine Fardellone 2017 What Is Menthol?</w:t>
            </w:r>
            <w:r w:rsidR="007F2F01">
              <w:rPr>
                <w:sz w:val="20"/>
                <w:szCs w:val="20"/>
              </w:rPr>
              <w:t>.</w:t>
            </w:r>
            <w:r w:rsidRPr="00781F59">
              <w:rPr>
                <w:sz w:val="20"/>
                <w:szCs w:val="20"/>
              </w:rPr>
              <w:t xml:space="preserve"> American journal of respiratory and critical care medicine; 196.P9.</w:t>
            </w:r>
          </w:p>
        </w:tc>
        <w:tc>
          <w:tcPr>
            <w:tcW w:w="0" w:type="auto"/>
            <w:tcBorders>
              <w:top w:val="single" w:sz="6" w:space="0" w:color="auto"/>
              <w:left w:val="single" w:sz="6" w:space="0" w:color="auto"/>
              <w:bottom w:val="single" w:sz="6" w:space="0" w:color="auto"/>
              <w:right w:val="single" w:sz="6" w:space="0" w:color="auto"/>
            </w:tcBorders>
            <w:hideMark/>
          </w:tcPr>
          <w:p w14:paraId="37696953"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6BD8F035"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C30DE18" w14:textId="77777777" w:rsidR="00EA69AA" w:rsidRPr="00781F59" w:rsidRDefault="00EA69AA" w:rsidP="00EA69AA">
            <w:pPr>
              <w:contextualSpacing/>
              <w:rPr>
                <w:sz w:val="20"/>
                <w:szCs w:val="20"/>
              </w:rPr>
            </w:pPr>
            <w:r w:rsidRPr="00781F59">
              <w:rPr>
                <w:sz w:val="20"/>
                <w:szCs w:val="20"/>
              </w:rPr>
              <w:t>404</w:t>
            </w:r>
          </w:p>
        </w:tc>
        <w:tc>
          <w:tcPr>
            <w:tcW w:w="0" w:type="auto"/>
            <w:tcBorders>
              <w:top w:val="single" w:sz="6" w:space="0" w:color="auto"/>
              <w:left w:val="single" w:sz="6" w:space="0" w:color="auto"/>
              <w:bottom w:val="single" w:sz="6" w:space="0" w:color="auto"/>
              <w:right w:val="single" w:sz="6" w:space="0" w:color="auto"/>
            </w:tcBorders>
            <w:hideMark/>
          </w:tcPr>
          <w:p w14:paraId="59C5328E" w14:textId="4EDBA186" w:rsidR="00EA69AA" w:rsidRPr="00781F59" w:rsidRDefault="00EA69AA" w:rsidP="00EA69AA">
            <w:pPr>
              <w:contextualSpacing/>
              <w:rPr>
                <w:sz w:val="20"/>
                <w:szCs w:val="20"/>
              </w:rPr>
            </w:pPr>
            <w:r w:rsidRPr="00781F59">
              <w:rPr>
                <w:sz w:val="20"/>
                <w:szCs w:val="20"/>
              </w:rPr>
              <w:t>Joelle M Lester, Stacey Younger Gagosian 2017 Finished with Menthol: An Evidence-Based Policy Option That Will Save Lives</w:t>
            </w:r>
            <w:r w:rsidR="007F2F01">
              <w:rPr>
                <w:sz w:val="20"/>
                <w:szCs w:val="20"/>
              </w:rPr>
              <w:t>.</w:t>
            </w:r>
            <w:r w:rsidRPr="00781F59">
              <w:rPr>
                <w:sz w:val="20"/>
                <w:szCs w:val="20"/>
              </w:rPr>
              <w:t xml:space="preserve"> The Journal of law, medicine &amp; </w:t>
            </w:r>
            <w:proofErr w:type="gramStart"/>
            <w:r w:rsidRPr="00781F59">
              <w:rPr>
                <w:sz w:val="20"/>
                <w:szCs w:val="20"/>
              </w:rPr>
              <w:t>ethics :</w:t>
            </w:r>
            <w:proofErr w:type="gramEnd"/>
            <w:r w:rsidRPr="00781F59">
              <w:rPr>
                <w:sz w:val="20"/>
                <w:szCs w:val="20"/>
              </w:rPr>
              <w:t xml:space="preserve"> a journal of the American Society of Law, Medicine &amp; Ethics; 45.41.</w:t>
            </w:r>
          </w:p>
        </w:tc>
        <w:tc>
          <w:tcPr>
            <w:tcW w:w="0" w:type="auto"/>
            <w:tcBorders>
              <w:top w:val="single" w:sz="6" w:space="0" w:color="auto"/>
              <w:left w:val="single" w:sz="6" w:space="0" w:color="auto"/>
              <w:bottom w:val="single" w:sz="6" w:space="0" w:color="auto"/>
              <w:right w:val="single" w:sz="6" w:space="0" w:color="auto"/>
            </w:tcBorders>
            <w:hideMark/>
          </w:tcPr>
          <w:p w14:paraId="7D316ABE"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0DBB5DA6"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C8424C0" w14:textId="77777777" w:rsidR="00EA69AA" w:rsidRPr="00781F59" w:rsidRDefault="00EA69AA" w:rsidP="00EA69AA">
            <w:pPr>
              <w:contextualSpacing/>
              <w:rPr>
                <w:sz w:val="20"/>
                <w:szCs w:val="20"/>
              </w:rPr>
            </w:pPr>
            <w:r w:rsidRPr="00781F59">
              <w:rPr>
                <w:sz w:val="20"/>
                <w:szCs w:val="20"/>
              </w:rPr>
              <w:lastRenderedPageBreak/>
              <w:t>407</w:t>
            </w:r>
          </w:p>
        </w:tc>
        <w:tc>
          <w:tcPr>
            <w:tcW w:w="0" w:type="auto"/>
            <w:tcBorders>
              <w:top w:val="single" w:sz="6" w:space="0" w:color="auto"/>
              <w:left w:val="single" w:sz="6" w:space="0" w:color="auto"/>
              <w:bottom w:val="single" w:sz="6" w:space="0" w:color="auto"/>
              <w:right w:val="single" w:sz="6" w:space="0" w:color="auto"/>
            </w:tcBorders>
            <w:hideMark/>
          </w:tcPr>
          <w:p w14:paraId="7482D18F" w14:textId="5AD066CC" w:rsidR="00EA69AA" w:rsidRPr="00781F59" w:rsidRDefault="00EA69AA" w:rsidP="00EA69AA">
            <w:pPr>
              <w:contextualSpacing/>
              <w:rPr>
                <w:sz w:val="20"/>
                <w:szCs w:val="20"/>
              </w:rPr>
            </w:pPr>
            <w:r w:rsidRPr="00781F59">
              <w:rPr>
                <w:sz w:val="20"/>
                <w:szCs w:val="20"/>
              </w:rPr>
              <w:t>Nathan Gale, Mike McEwan, Alison C Eldridge, Neil Sherwood, Edward Bowen, Simon McDermott, Emma Holmes, Andrew Hedge, Stuart Hossack, Oscar M Camacho, Graham Errington, John McAughey, James Murphy, Chuan Liu, Christopher J Proctor, Ian M Fearon 2017 A randomised, controlled, two-Centre open-label study in healthy Japanese subjects to evaluate the effect on biomarkers of exposure of switching from a conventional cigarette to a tobacco heating product</w:t>
            </w:r>
            <w:r w:rsidR="007F2F01">
              <w:rPr>
                <w:sz w:val="20"/>
                <w:szCs w:val="20"/>
              </w:rPr>
              <w:t>.</w:t>
            </w:r>
            <w:r w:rsidRPr="00781F59">
              <w:rPr>
                <w:sz w:val="20"/>
                <w:szCs w:val="20"/>
              </w:rPr>
              <w:t xml:space="preserve"> BMC public health; 17.673.</w:t>
            </w:r>
          </w:p>
        </w:tc>
        <w:tc>
          <w:tcPr>
            <w:tcW w:w="0" w:type="auto"/>
            <w:tcBorders>
              <w:top w:val="single" w:sz="6" w:space="0" w:color="auto"/>
              <w:left w:val="single" w:sz="6" w:space="0" w:color="auto"/>
              <w:bottom w:val="single" w:sz="6" w:space="0" w:color="auto"/>
              <w:right w:val="single" w:sz="6" w:space="0" w:color="auto"/>
            </w:tcBorders>
            <w:hideMark/>
          </w:tcPr>
          <w:p w14:paraId="59AE45DF"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7F679A0C"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804506A" w14:textId="77777777" w:rsidR="00EA69AA" w:rsidRPr="00781F59" w:rsidRDefault="00EA69AA" w:rsidP="00EA69AA">
            <w:pPr>
              <w:contextualSpacing/>
              <w:rPr>
                <w:sz w:val="20"/>
                <w:szCs w:val="20"/>
              </w:rPr>
            </w:pPr>
            <w:r w:rsidRPr="00781F59">
              <w:rPr>
                <w:sz w:val="20"/>
                <w:szCs w:val="20"/>
              </w:rPr>
              <w:t>409</w:t>
            </w:r>
          </w:p>
        </w:tc>
        <w:tc>
          <w:tcPr>
            <w:tcW w:w="0" w:type="auto"/>
            <w:tcBorders>
              <w:top w:val="single" w:sz="6" w:space="0" w:color="auto"/>
              <w:left w:val="single" w:sz="6" w:space="0" w:color="auto"/>
              <w:bottom w:val="single" w:sz="6" w:space="0" w:color="auto"/>
              <w:right w:val="single" w:sz="6" w:space="0" w:color="auto"/>
            </w:tcBorders>
            <w:hideMark/>
          </w:tcPr>
          <w:p w14:paraId="088DEBAC" w14:textId="08048724" w:rsidR="00EA69AA" w:rsidRPr="00781F59" w:rsidRDefault="00EA69AA" w:rsidP="00EA69AA">
            <w:pPr>
              <w:contextualSpacing/>
              <w:rPr>
                <w:sz w:val="20"/>
                <w:szCs w:val="20"/>
              </w:rPr>
            </w:pPr>
            <w:r w:rsidRPr="00781F59">
              <w:rPr>
                <w:sz w:val="20"/>
                <w:szCs w:val="20"/>
              </w:rPr>
              <w:t>Andrea C Villanti, Paul D Mowery, Cristine D Delnevo, Raymond S Niaura, David B Abrams, Gary A Giovino 2016 Changes in the prevalence and correlates of menthol cigarette use in the USA, 2004-2014</w:t>
            </w:r>
            <w:r w:rsidR="007F2F01">
              <w:rPr>
                <w:sz w:val="20"/>
                <w:szCs w:val="20"/>
              </w:rPr>
              <w:t>.</w:t>
            </w:r>
            <w:r w:rsidRPr="00781F59">
              <w:rPr>
                <w:sz w:val="20"/>
                <w:szCs w:val="20"/>
              </w:rPr>
              <w:t xml:space="preserve"> Tobacco control; </w:t>
            </w:r>
            <w:proofErr w:type="gramStart"/>
            <w:r w:rsidRPr="00781F59">
              <w:rPr>
                <w:sz w:val="20"/>
                <w:szCs w:val="20"/>
              </w:rPr>
              <w:t>25.ii</w:t>
            </w:r>
            <w:proofErr w:type="gramEnd"/>
            <w:r w:rsidRPr="00781F59">
              <w:rPr>
                <w:sz w:val="20"/>
                <w:szCs w:val="20"/>
              </w:rPr>
              <w:t>14.</w:t>
            </w:r>
          </w:p>
        </w:tc>
        <w:tc>
          <w:tcPr>
            <w:tcW w:w="0" w:type="auto"/>
            <w:tcBorders>
              <w:top w:val="single" w:sz="6" w:space="0" w:color="auto"/>
              <w:left w:val="single" w:sz="6" w:space="0" w:color="auto"/>
              <w:bottom w:val="single" w:sz="6" w:space="0" w:color="auto"/>
              <w:right w:val="single" w:sz="6" w:space="0" w:color="auto"/>
            </w:tcBorders>
            <w:hideMark/>
          </w:tcPr>
          <w:p w14:paraId="4796CDF2"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225FE149"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48DB618" w14:textId="77777777" w:rsidR="00EA69AA" w:rsidRPr="00781F59" w:rsidRDefault="00EA69AA" w:rsidP="00EA69AA">
            <w:pPr>
              <w:contextualSpacing/>
              <w:rPr>
                <w:sz w:val="20"/>
                <w:szCs w:val="20"/>
              </w:rPr>
            </w:pPr>
            <w:r w:rsidRPr="00781F59">
              <w:rPr>
                <w:sz w:val="20"/>
                <w:szCs w:val="20"/>
              </w:rPr>
              <w:t>411</w:t>
            </w:r>
          </w:p>
        </w:tc>
        <w:tc>
          <w:tcPr>
            <w:tcW w:w="0" w:type="auto"/>
            <w:tcBorders>
              <w:top w:val="single" w:sz="6" w:space="0" w:color="auto"/>
              <w:left w:val="single" w:sz="6" w:space="0" w:color="auto"/>
              <w:bottom w:val="single" w:sz="6" w:space="0" w:color="auto"/>
              <w:right w:val="single" w:sz="6" w:space="0" w:color="auto"/>
            </w:tcBorders>
            <w:hideMark/>
          </w:tcPr>
          <w:p w14:paraId="0B8F9AC0" w14:textId="30C11A30" w:rsidR="00EA69AA" w:rsidRPr="00781F59" w:rsidRDefault="00EA69AA" w:rsidP="00EA69AA">
            <w:pPr>
              <w:contextualSpacing/>
              <w:rPr>
                <w:sz w:val="20"/>
                <w:szCs w:val="20"/>
              </w:rPr>
            </w:pPr>
            <w:r w:rsidRPr="00781F59">
              <w:rPr>
                <w:sz w:val="20"/>
                <w:szCs w:val="20"/>
              </w:rPr>
              <w:t>Danielle M Smith, Maansi Bansal-Travers, Jidong Huang, Dianne Barker, Andrew J Hyland, Frank Chaloupka 2016 Association between use of flavoured tobacco products and quit behaviours: findings from a cross-sectional survey of US adult tobacco users</w:t>
            </w:r>
            <w:r w:rsidR="007F2F01">
              <w:rPr>
                <w:sz w:val="20"/>
                <w:szCs w:val="20"/>
              </w:rPr>
              <w:t>.</w:t>
            </w:r>
            <w:r w:rsidRPr="00781F59">
              <w:rPr>
                <w:sz w:val="20"/>
                <w:szCs w:val="20"/>
              </w:rPr>
              <w:t xml:space="preserve"> Tobacco control; </w:t>
            </w:r>
            <w:proofErr w:type="gramStart"/>
            <w:r w:rsidRPr="00781F59">
              <w:rPr>
                <w:sz w:val="20"/>
                <w:szCs w:val="20"/>
              </w:rPr>
              <w:t>25.ii</w:t>
            </w:r>
            <w:proofErr w:type="gramEnd"/>
            <w:r w:rsidRPr="00781F59">
              <w:rPr>
                <w:sz w:val="20"/>
                <w:szCs w:val="20"/>
              </w:rPr>
              <w:t>73.</w:t>
            </w:r>
          </w:p>
        </w:tc>
        <w:tc>
          <w:tcPr>
            <w:tcW w:w="0" w:type="auto"/>
            <w:tcBorders>
              <w:top w:val="single" w:sz="6" w:space="0" w:color="auto"/>
              <w:left w:val="single" w:sz="6" w:space="0" w:color="auto"/>
              <w:bottom w:val="single" w:sz="6" w:space="0" w:color="auto"/>
              <w:right w:val="single" w:sz="6" w:space="0" w:color="auto"/>
            </w:tcBorders>
            <w:hideMark/>
          </w:tcPr>
          <w:p w14:paraId="1F307E09"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639D6B37"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35261F8" w14:textId="77777777" w:rsidR="00EA69AA" w:rsidRPr="00781F59" w:rsidRDefault="00EA69AA" w:rsidP="00EA69AA">
            <w:pPr>
              <w:contextualSpacing/>
              <w:rPr>
                <w:sz w:val="20"/>
                <w:szCs w:val="20"/>
              </w:rPr>
            </w:pPr>
            <w:r w:rsidRPr="00781F59">
              <w:rPr>
                <w:sz w:val="20"/>
                <w:szCs w:val="20"/>
              </w:rPr>
              <w:t>414</w:t>
            </w:r>
          </w:p>
        </w:tc>
        <w:tc>
          <w:tcPr>
            <w:tcW w:w="0" w:type="auto"/>
            <w:tcBorders>
              <w:top w:val="single" w:sz="6" w:space="0" w:color="auto"/>
              <w:left w:val="single" w:sz="6" w:space="0" w:color="auto"/>
              <w:bottom w:val="single" w:sz="6" w:space="0" w:color="auto"/>
              <w:right w:val="single" w:sz="6" w:space="0" w:color="auto"/>
            </w:tcBorders>
            <w:hideMark/>
          </w:tcPr>
          <w:p w14:paraId="1A8546A1" w14:textId="7B16806C" w:rsidR="00EA69AA" w:rsidRPr="00781F59" w:rsidRDefault="00EA69AA" w:rsidP="00EA69AA">
            <w:pPr>
              <w:contextualSpacing/>
              <w:rPr>
                <w:sz w:val="20"/>
                <w:szCs w:val="20"/>
              </w:rPr>
            </w:pPr>
            <w:r w:rsidRPr="00781F59">
              <w:rPr>
                <w:sz w:val="20"/>
                <w:szCs w:val="20"/>
              </w:rPr>
              <w:t>Jonathan M Samet, Mary Ann Pentz, Jennifer B Unger 2016 Flavoured tobacco products and the public's health: lessons from the TPSAC menthol report</w:t>
            </w:r>
            <w:r w:rsidR="007F2F01">
              <w:rPr>
                <w:sz w:val="20"/>
                <w:szCs w:val="20"/>
              </w:rPr>
              <w:t>.</w:t>
            </w:r>
            <w:r w:rsidRPr="00781F59">
              <w:rPr>
                <w:sz w:val="20"/>
                <w:szCs w:val="20"/>
              </w:rPr>
              <w:t xml:space="preserve"> Tobacco control; </w:t>
            </w:r>
            <w:proofErr w:type="gramStart"/>
            <w:r w:rsidRPr="00781F59">
              <w:rPr>
                <w:sz w:val="20"/>
                <w:szCs w:val="20"/>
              </w:rPr>
              <w:t>25.ii</w:t>
            </w:r>
            <w:proofErr w:type="gramEnd"/>
            <w:r w:rsidRPr="00781F59">
              <w:rPr>
                <w:sz w:val="20"/>
                <w:szCs w:val="20"/>
              </w:rPr>
              <w:t>103.</w:t>
            </w:r>
          </w:p>
        </w:tc>
        <w:tc>
          <w:tcPr>
            <w:tcW w:w="0" w:type="auto"/>
            <w:tcBorders>
              <w:top w:val="single" w:sz="6" w:space="0" w:color="auto"/>
              <w:left w:val="single" w:sz="6" w:space="0" w:color="auto"/>
              <w:bottom w:val="single" w:sz="6" w:space="0" w:color="auto"/>
              <w:right w:val="single" w:sz="6" w:space="0" w:color="auto"/>
            </w:tcBorders>
            <w:hideMark/>
          </w:tcPr>
          <w:p w14:paraId="05F358AC"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41EC9B53"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92707AE" w14:textId="77777777" w:rsidR="00EA69AA" w:rsidRPr="00781F59" w:rsidRDefault="00EA69AA" w:rsidP="00EA69AA">
            <w:pPr>
              <w:contextualSpacing/>
              <w:rPr>
                <w:sz w:val="20"/>
                <w:szCs w:val="20"/>
              </w:rPr>
            </w:pPr>
            <w:r w:rsidRPr="00781F59">
              <w:rPr>
                <w:sz w:val="20"/>
                <w:szCs w:val="20"/>
              </w:rPr>
              <w:t>418</w:t>
            </w:r>
          </w:p>
        </w:tc>
        <w:tc>
          <w:tcPr>
            <w:tcW w:w="0" w:type="auto"/>
            <w:tcBorders>
              <w:top w:val="single" w:sz="6" w:space="0" w:color="auto"/>
              <w:left w:val="single" w:sz="6" w:space="0" w:color="auto"/>
              <w:bottom w:val="single" w:sz="6" w:space="0" w:color="auto"/>
              <w:right w:val="single" w:sz="6" w:space="0" w:color="auto"/>
            </w:tcBorders>
            <w:hideMark/>
          </w:tcPr>
          <w:p w14:paraId="595E6ADD" w14:textId="29499909" w:rsidR="00EA69AA" w:rsidRPr="00781F59" w:rsidRDefault="00EA69AA" w:rsidP="00EA69AA">
            <w:pPr>
              <w:contextualSpacing/>
              <w:rPr>
                <w:sz w:val="20"/>
                <w:szCs w:val="20"/>
              </w:rPr>
            </w:pPr>
            <w:proofErr w:type="gramStart"/>
            <w:r w:rsidRPr="00781F59">
              <w:rPr>
                <w:sz w:val="20"/>
                <w:szCs w:val="20"/>
              </w:rPr>
              <w:t>Man</w:t>
            </w:r>
            <w:proofErr w:type="gramEnd"/>
            <w:r w:rsidRPr="00781F59">
              <w:rPr>
                <w:sz w:val="20"/>
                <w:szCs w:val="20"/>
              </w:rPr>
              <w:t xml:space="preserve"> Ki Ho, Babalola Faseru, Won S Choi, Nicole L Nollen, Matthew S Mayo, Janet L Thomas, Kolawole S Okuyemi, Jasjit S Ahluwalia, Neal L Benowitz, Rachel F Tyndale 2009 Utility and relationships of biomarkers of smoking in African-American light smokers</w:t>
            </w:r>
            <w:r w:rsidR="007F2F01">
              <w:rPr>
                <w:sz w:val="20"/>
                <w:szCs w:val="20"/>
              </w:rPr>
              <w:t>.</w:t>
            </w:r>
            <w:r w:rsidRPr="00781F59">
              <w:rPr>
                <w:sz w:val="20"/>
                <w:szCs w:val="20"/>
              </w:rPr>
              <w:t xml:space="preserve"> Cancer epidemiology, biomarkers &amp; </w:t>
            </w:r>
            <w:proofErr w:type="gramStart"/>
            <w:r w:rsidRPr="00781F59">
              <w:rPr>
                <w:sz w:val="20"/>
                <w:szCs w:val="20"/>
              </w:rPr>
              <w:t>prevention :</w:t>
            </w:r>
            <w:proofErr w:type="gramEnd"/>
            <w:r w:rsidRPr="00781F59">
              <w:rPr>
                <w:sz w:val="20"/>
                <w:szCs w:val="20"/>
              </w:rPr>
              <w:t xml:space="preserve"> a publication of the American Association for Cancer Research, cosponsored by the American Society of Preventive Oncology; 18.3426.</w:t>
            </w:r>
          </w:p>
        </w:tc>
        <w:tc>
          <w:tcPr>
            <w:tcW w:w="0" w:type="auto"/>
            <w:tcBorders>
              <w:top w:val="single" w:sz="6" w:space="0" w:color="auto"/>
              <w:left w:val="single" w:sz="6" w:space="0" w:color="auto"/>
              <w:bottom w:val="single" w:sz="6" w:space="0" w:color="auto"/>
              <w:right w:val="single" w:sz="6" w:space="0" w:color="auto"/>
            </w:tcBorders>
            <w:hideMark/>
          </w:tcPr>
          <w:p w14:paraId="16367329" w14:textId="77777777" w:rsidR="00EA69AA" w:rsidRPr="00781F59" w:rsidRDefault="00EA69AA" w:rsidP="00EA69AA">
            <w:pPr>
              <w:contextualSpacing/>
              <w:rPr>
                <w:sz w:val="20"/>
                <w:szCs w:val="20"/>
              </w:rPr>
            </w:pPr>
            <w:r w:rsidRPr="00781F59">
              <w:rPr>
                <w:sz w:val="20"/>
                <w:szCs w:val="20"/>
              </w:rPr>
              <w:t>Duplicate article</w:t>
            </w:r>
          </w:p>
        </w:tc>
      </w:tr>
      <w:tr w:rsidR="00EA69AA" w:rsidRPr="00781F59" w14:paraId="44143655"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D0F982B" w14:textId="77777777" w:rsidR="00EA69AA" w:rsidRPr="00781F59" w:rsidRDefault="00EA69AA" w:rsidP="00EA69AA">
            <w:pPr>
              <w:contextualSpacing/>
              <w:rPr>
                <w:sz w:val="20"/>
                <w:szCs w:val="20"/>
              </w:rPr>
            </w:pPr>
            <w:r w:rsidRPr="00781F59">
              <w:rPr>
                <w:sz w:val="20"/>
                <w:szCs w:val="20"/>
              </w:rPr>
              <w:t>419</w:t>
            </w:r>
          </w:p>
        </w:tc>
        <w:tc>
          <w:tcPr>
            <w:tcW w:w="0" w:type="auto"/>
            <w:tcBorders>
              <w:top w:val="single" w:sz="6" w:space="0" w:color="auto"/>
              <w:left w:val="single" w:sz="6" w:space="0" w:color="auto"/>
              <w:bottom w:val="single" w:sz="6" w:space="0" w:color="auto"/>
              <w:right w:val="single" w:sz="6" w:space="0" w:color="auto"/>
            </w:tcBorders>
            <w:hideMark/>
          </w:tcPr>
          <w:p w14:paraId="4A4D7B5E" w14:textId="0780B408" w:rsidR="00EA69AA" w:rsidRPr="00781F59" w:rsidRDefault="00EA69AA" w:rsidP="00EA69AA">
            <w:pPr>
              <w:contextualSpacing/>
              <w:rPr>
                <w:sz w:val="20"/>
                <w:szCs w:val="20"/>
              </w:rPr>
            </w:pPr>
            <w:r w:rsidRPr="00781F59">
              <w:rPr>
                <w:sz w:val="20"/>
                <w:szCs w:val="20"/>
              </w:rPr>
              <w:t>Jill C Mwenifumbo, Edward M Sellers, Rachel F Tyndale 2008 Socioeconomic and drug use determinants of smoking status in an urban adult population of Black African descent</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10.1319.</w:t>
            </w:r>
          </w:p>
        </w:tc>
        <w:tc>
          <w:tcPr>
            <w:tcW w:w="0" w:type="auto"/>
            <w:tcBorders>
              <w:top w:val="single" w:sz="6" w:space="0" w:color="auto"/>
              <w:left w:val="single" w:sz="6" w:space="0" w:color="auto"/>
              <w:bottom w:val="single" w:sz="6" w:space="0" w:color="auto"/>
              <w:right w:val="single" w:sz="6" w:space="0" w:color="auto"/>
            </w:tcBorders>
            <w:hideMark/>
          </w:tcPr>
          <w:p w14:paraId="1982A582" w14:textId="77777777" w:rsidR="00EA69AA" w:rsidRPr="00781F59" w:rsidRDefault="00EA69AA" w:rsidP="00EA69AA">
            <w:pPr>
              <w:contextualSpacing/>
              <w:rPr>
                <w:sz w:val="20"/>
                <w:szCs w:val="20"/>
              </w:rPr>
            </w:pPr>
            <w:r w:rsidRPr="00781F59">
              <w:rPr>
                <w:sz w:val="20"/>
                <w:szCs w:val="20"/>
              </w:rPr>
              <w:t>Ineligible population (not U.S., not humans)</w:t>
            </w:r>
          </w:p>
        </w:tc>
      </w:tr>
      <w:tr w:rsidR="00EA69AA" w:rsidRPr="00781F59" w14:paraId="4FC1AE16"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6752701" w14:textId="77777777" w:rsidR="00EA69AA" w:rsidRPr="00781F59" w:rsidRDefault="00EA69AA" w:rsidP="00EA69AA">
            <w:pPr>
              <w:contextualSpacing/>
              <w:rPr>
                <w:sz w:val="20"/>
                <w:szCs w:val="20"/>
              </w:rPr>
            </w:pPr>
            <w:r w:rsidRPr="00781F59">
              <w:rPr>
                <w:sz w:val="20"/>
                <w:szCs w:val="20"/>
              </w:rPr>
              <w:t>421</w:t>
            </w:r>
          </w:p>
        </w:tc>
        <w:tc>
          <w:tcPr>
            <w:tcW w:w="0" w:type="auto"/>
            <w:tcBorders>
              <w:top w:val="single" w:sz="6" w:space="0" w:color="auto"/>
              <w:left w:val="single" w:sz="6" w:space="0" w:color="auto"/>
              <w:bottom w:val="single" w:sz="6" w:space="0" w:color="auto"/>
              <w:right w:val="single" w:sz="6" w:space="0" w:color="auto"/>
            </w:tcBorders>
            <w:hideMark/>
          </w:tcPr>
          <w:p w14:paraId="6766402E" w14:textId="6F874E80" w:rsidR="00EA69AA" w:rsidRPr="00781F59" w:rsidRDefault="00EA69AA" w:rsidP="00EA69AA">
            <w:pPr>
              <w:contextualSpacing/>
              <w:rPr>
                <w:sz w:val="20"/>
                <w:szCs w:val="20"/>
              </w:rPr>
            </w:pPr>
            <w:r w:rsidRPr="00781F59">
              <w:rPr>
                <w:sz w:val="20"/>
                <w:szCs w:val="20"/>
              </w:rPr>
              <w:t>Wenlin Huang, Benjamin C Blount, Clifford H Watson, Christina Watson, David M Chambers 2017 Quantitative analysis of menthol in human urine using solid phase microextraction and stable isotope dilution gas chromatography-mass spectrometry</w:t>
            </w:r>
            <w:r w:rsidR="007F2F01">
              <w:rPr>
                <w:sz w:val="20"/>
                <w:szCs w:val="20"/>
              </w:rPr>
              <w:t>.</w:t>
            </w:r>
            <w:r w:rsidRPr="00781F59">
              <w:rPr>
                <w:sz w:val="20"/>
                <w:szCs w:val="20"/>
              </w:rPr>
              <w:t xml:space="preserve"> Journal of chromatography. B, Analytical technologies in the biomedical and life sciences; 1044-1045.200.</w:t>
            </w:r>
          </w:p>
        </w:tc>
        <w:tc>
          <w:tcPr>
            <w:tcW w:w="0" w:type="auto"/>
            <w:tcBorders>
              <w:top w:val="single" w:sz="6" w:space="0" w:color="auto"/>
              <w:left w:val="single" w:sz="6" w:space="0" w:color="auto"/>
              <w:bottom w:val="single" w:sz="6" w:space="0" w:color="auto"/>
              <w:right w:val="single" w:sz="6" w:space="0" w:color="auto"/>
            </w:tcBorders>
            <w:hideMark/>
          </w:tcPr>
          <w:p w14:paraId="58B9175A"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489DAB92"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4406C64" w14:textId="77777777" w:rsidR="00EA69AA" w:rsidRPr="00781F59" w:rsidRDefault="00EA69AA" w:rsidP="00EA69AA">
            <w:pPr>
              <w:contextualSpacing/>
              <w:rPr>
                <w:sz w:val="20"/>
                <w:szCs w:val="20"/>
              </w:rPr>
            </w:pPr>
            <w:r w:rsidRPr="00781F59">
              <w:rPr>
                <w:sz w:val="20"/>
                <w:szCs w:val="20"/>
              </w:rPr>
              <w:t>425</w:t>
            </w:r>
          </w:p>
        </w:tc>
        <w:tc>
          <w:tcPr>
            <w:tcW w:w="0" w:type="auto"/>
            <w:tcBorders>
              <w:top w:val="single" w:sz="6" w:space="0" w:color="auto"/>
              <w:left w:val="single" w:sz="6" w:space="0" w:color="auto"/>
              <w:bottom w:val="single" w:sz="6" w:space="0" w:color="auto"/>
              <w:right w:val="single" w:sz="6" w:space="0" w:color="auto"/>
            </w:tcBorders>
            <w:hideMark/>
          </w:tcPr>
          <w:p w14:paraId="468B0F78" w14:textId="34DB7C29" w:rsidR="00EA69AA" w:rsidRPr="00781F59" w:rsidRDefault="00EA69AA" w:rsidP="00EA69AA">
            <w:pPr>
              <w:contextualSpacing/>
              <w:rPr>
                <w:sz w:val="20"/>
                <w:szCs w:val="20"/>
              </w:rPr>
            </w:pPr>
            <w:r w:rsidRPr="00781F59">
              <w:rPr>
                <w:sz w:val="20"/>
                <w:szCs w:val="20"/>
              </w:rPr>
              <w:t>Amanda Fallin, Amie J Goodin, Brian A King 2015 Menthol cigarette smoking among lesbian, gay, bisexual, and transgender adults</w:t>
            </w:r>
            <w:r w:rsidR="007F2F01">
              <w:rPr>
                <w:sz w:val="20"/>
                <w:szCs w:val="20"/>
              </w:rPr>
              <w:t>.</w:t>
            </w:r>
            <w:r w:rsidRPr="00781F59">
              <w:rPr>
                <w:sz w:val="20"/>
                <w:szCs w:val="20"/>
              </w:rPr>
              <w:t xml:space="preserve"> American journal of preventive medicine; 48.93.</w:t>
            </w:r>
          </w:p>
        </w:tc>
        <w:tc>
          <w:tcPr>
            <w:tcW w:w="0" w:type="auto"/>
            <w:tcBorders>
              <w:top w:val="single" w:sz="6" w:space="0" w:color="auto"/>
              <w:left w:val="single" w:sz="6" w:space="0" w:color="auto"/>
              <w:bottom w:val="single" w:sz="6" w:space="0" w:color="auto"/>
              <w:right w:val="single" w:sz="6" w:space="0" w:color="auto"/>
            </w:tcBorders>
            <w:hideMark/>
          </w:tcPr>
          <w:p w14:paraId="5FDD51F2"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7396B8E2"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3CBE723" w14:textId="77777777" w:rsidR="00EA69AA" w:rsidRPr="00781F59" w:rsidRDefault="00EA69AA" w:rsidP="00EA69AA">
            <w:pPr>
              <w:contextualSpacing/>
              <w:rPr>
                <w:sz w:val="20"/>
                <w:szCs w:val="20"/>
              </w:rPr>
            </w:pPr>
            <w:r w:rsidRPr="00781F59">
              <w:rPr>
                <w:sz w:val="20"/>
                <w:szCs w:val="20"/>
              </w:rPr>
              <w:t>428</w:t>
            </w:r>
          </w:p>
        </w:tc>
        <w:tc>
          <w:tcPr>
            <w:tcW w:w="0" w:type="auto"/>
            <w:tcBorders>
              <w:top w:val="single" w:sz="6" w:space="0" w:color="auto"/>
              <w:left w:val="single" w:sz="6" w:space="0" w:color="auto"/>
              <w:bottom w:val="single" w:sz="6" w:space="0" w:color="auto"/>
              <w:right w:val="single" w:sz="6" w:space="0" w:color="auto"/>
            </w:tcBorders>
            <w:hideMark/>
          </w:tcPr>
          <w:p w14:paraId="206F2786" w14:textId="63370DE1" w:rsidR="00EA69AA" w:rsidRPr="00781F59" w:rsidRDefault="00EA69AA" w:rsidP="00EA69AA">
            <w:pPr>
              <w:contextualSpacing/>
              <w:rPr>
                <w:sz w:val="20"/>
                <w:szCs w:val="20"/>
              </w:rPr>
            </w:pPr>
            <w:r w:rsidRPr="00781F59">
              <w:rPr>
                <w:sz w:val="20"/>
                <w:szCs w:val="20"/>
              </w:rPr>
              <w:t>Cheyenne E Allenby, Kelly A Boylan, Caryn Lerman, Mary Falcone 2016 Precision Medicine for Tobacco Dependence: Development and Validation of the Nicotine Metabolite Ratio</w:t>
            </w:r>
            <w:r w:rsidR="007F2F01">
              <w:rPr>
                <w:sz w:val="20"/>
                <w:szCs w:val="20"/>
              </w:rPr>
              <w:t>.</w:t>
            </w:r>
            <w:r w:rsidRPr="00781F59">
              <w:rPr>
                <w:sz w:val="20"/>
                <w:szCs w:val="20"/>
              </w:rPr>
              <w:t xml:space="preserve"> Journal of neuroimmune </w:t>
            </w:r>
            <w:proofErr w:type="gramStart"/>
            <w:r w:rsidRPr="00781F59">
              <w:rPr>
                <w:sz w:val="20"/>
                <w:szCs w:val="20"/>
              </w:rPr>
              <w:t>pharmacology :</w:t>
            </w:r>
            <w:proofErr w:type="gramEnd"/>
            <w:r w:rsidRPr="00781F59">
              <w:rPr>
                <w:sz w:val="20"/>
                <w:szCs w:val="20"/>
              </w:rPr>
              <w:t xml:space="preserve"> the official journal of the Society on NeuroImmune Pharmacology; 11.471.</w:t>
            </w:r>
          </w:p>
        </w:tc>
        <w:tc>
          <w:tcPr>
            <w:tcW w:w="0" w:type="auto"/>
            <w:tcBorders>
              <w:top w:val="single" w:sz="6" w:space="0" w:color="auto"/>
              <w:left w:val="single" w:sz="6" w:space="0" w:color="auto"/>
              <w:bottom w:val="single" w:sz="6" w:space="0" w:color="auto"/>
              <w:right w:val="single" w:sz="6" w:space="0" w:color="auto"/>
            </w:tcBorders>
            <w:hideMark/>
          </w:tcPr>
          <w:p w14:paraId="634BF22E"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513EEB1F"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83F9EB3" w14:textId="77777777" w:rsidR="00EA69AA" w:rsidRPr="00781F59" w:rsidRDefault="00EA69AA" w:rsidP="00EA69AA">
            <w:pPr>
              <w:contextualSpacing/>
              <w:rPr>
                <w:sz w:val="20"/>
                <w:szCs w:val="20"/>
              </w:rPr>
            </w:pPr>
            <w:r w:rsidRPr="00781F59">
              <w:rPr>
                <w:sz w:val="20"/>
                <w:szCs w:val="20"/>
              </w:rPr>
              <w:t>429</w:t>
            </w:r>
          </w:p>
        </w:tc>
        <w:tc>
          <w:tcPr>
            <w:tcW w:w="0" w:type="auto"/>
            <w:tcBorders>
              <w:top w:val="single" w:sz="6" w:space="0" w:color="auto"/>
              <w:left w:val="single" w:sz="6" w:space="0" w:color="auto"/>
              <w:bottom w:val="single" w:sz="6" w:space="0" w:color="auto"/>
              <w:right w:val="single" w:sz="6" w:space="0" w:color="auto"/>
            </w:tcBorders>
            <w:hideMark/>
          </w:tcPr>
          <w:p w14:paraId="3BB828BF" w14:textId="521C5A89" w:rsidR="00EA69AA" w:rsidRPr="00781F59" w:rsidRDefault="00EA69AA" w:rsidP="00EA69AA">
            <w:pPr>
              <w:contextualSpacing/>
              <w:rPr>
                <w:sz w:val="20"/>
                <w:szCs w:val="20"/>
              </w:rPr>
            </w:pPr>
            <w:r w:rsidRPr="00781F59">
              <w:rPr>
                <w:sz w:val="20"/>
                <w:szCs w:val="20"/>
              </w:rPr>
              <w:t>Naoto Ogura, Yuta Kono, Masako To, Shintaro Mikami, Seiko Soeda, Hiroko Hara, Yasuo To 2017 Menthol-Flavored Cigarettes: Potentially a Strong Trigger of Acute Eosinophilic Pneumonia</w:t>
            </w:r>
            <w:r w:rsidR="007F2F01">
              <w:rPr>
                <w:sz w:val="20"/>
                <w:szCs w:val="20"/>
              </w:rPr>
              <w:t>.</w:t>
            </w:r>
            <w:r w:rsidRPr="00781F59">
              <w:rPr>
                <w:sz w:val="20"/>
                <w:szCs w:val="20"/>
              </w:rPr>
              <w:t xml:space="preserve"> The American journal of medicine; 130.e63.</w:t>
            </w:r>
          </w:p>
        </w:tc>
        <w:tc>
          <w:tcPr>
            <w:tcW w:w="0" w:type="auto"/>
            <w:tcBorders>
              <w:top w:val="single" w:sz="6" w:space="0" w:color="auto"/>
              <w:left w:val="single" w:sz="6" w:space="0" w:color="auto"/>
              <w:bottom w:val="single" w:sz="6" w:space="0" w:color="auto"/>
              <w:right w:val="single" w:sz="6" w:space="0" w:color="auto"/>
            </w:tcBorders>
            <w:hideMark/>
          </w:tcPr>
          <w:p w14:paraId="22FFFAA2"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7188AFEE"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5CEEF08" w14:textId="77777777" w:rsidR="00EA69AA" w:rsidRPr="00781F59" w:rsidRDefault="00EA69AA" w:rsidP="00EA69AA">
            <w:pPr>
              <w:contextualSpacing/>
              <w:rPr>
                <w:sz w:val="20"/>
                <w:szCs w:val="20"/>
              </w:rPr>
            </w:pPr>
            <w:r w:rsidRPr="00781F59">
              <w:rPr>
                <w:sz w:val="20"/>
                <w:szCs w:val="20"/>
              </w:rPr>
              <w:t>430</w:t>
            </w:r>
          </w:p>
        </w:tc>
        <w:tc>
          <w:tcPr>
            <w:tcW w:w="0" w:type="auto"/>
            <w:tcBorders>
              <w:top w:val="single" w:sz="6" w:space="0" w:color="auto"/>
              <w:left w:val="single" w:sz="6" w:space="0" w:color="auto"/>
              <w:bottom w:val="single" w:sz="6" w:space="0" w:color="auto"/>
              <w:right w:val="single" w:sz="6" w:space="0" w:color="auto"/>
            </w:tcBorders>
            <w:hideMark/>
          </w:tcPr>
          <w:p w14:paraId="1EB4FFE4" w14:textId="24CA25E5" w:rsidR="00EA69AA" w:rsidRPr="00781F59" w:rsidRDefault="00EA69AA" w:rsidP="00EA69AA">
            <w:pPr>
              <w:contextualSpacing/>
              <w:rPr>
                <w:sz w:val="20"/>
                <w:szCs w:val="20"/>
              </w:rPr>
            </w:pPr>
            <w:r w:rsidRPr="00781F59">
              <w:rPr>
                <w:sz w:val="20"/>
                <w:szCs w:val="20"/>
              </w:rPr>
              <w:t xml:space="preserve">Jessica Chopyk, Suhana Chattopadhyay, Prachi Kulkarni, Emma Claye, Kelsey R Babik, Molly C Reid, Eoghan M Smyth, Lauren E Hittle, Joseph N Paulson, Raul Cruz-Cano, Mihai Pop, Stephanie S Buehler, Pamela I Clark, Amy R Sapkota, Emmanuel F Mongodin 2017 Mentholation affects the cigarette microbiota by selecting for bacteria resistant to harsh </w:t>
            </w:r>
            <w:r w:rsidRPr="00781F59">
              <w:rPr>
                <w:sz w:val="20"/>
                <w:szCs w:val="20"/>
              </w:rPr>
              <w:lastRenderedPageBreak/>
              <w:t>environmental conditions and selecting against potential bacterial pathogens</w:t>
            </w:r>
            <w:r w:rsidR="007F2F01">
              <w:rPr>
                <w:sz w:val="20"/>
                <w:szCs w:val="20"/>
              </w:rPr>
              <w:t>.</w:t>
            </w:r>
            <w:r w:rsidRPr="00781F59">
              <w:rPr>
                <w:sz w:val="20"/>
                <w:szCs w:val="20"/>
              </w:rPr>
              <w:t xml:space="preserve"> Microbiome; 5.22.</w:t>
            </w:r>
          </w:p>
        </w:tc>
        <w:tc>
          <w:tcPr>
            <w:tcW w:w="0" w:type="auto"/>
            <w:tcBorders>
              <w:top w:val="single" w:sz="6" w:space="0" w:color="auto"/>
              <w:left w:val="single" w:sz="6" w:space="0" w:color="auto"/>
              <w:bottom w:val="single" w:sz="6" w:space="0" w:color="auto"/>
              <w:right w:val="single" w:sz="6" w:space="0" w:color="auto"/>
            </w:tcBorders>
            <w:hideMark/>
          </w:tcPr>
          <w:p w14:paraId="20C99C94" w14:textId="77777777" w:rsidR="00EA69AA" w:rsidRPr="00781F59" w:rsidRDefault="00EA69AA" w:rsidP="00EA69AA">
            <w:pPr>
              <w:contextualSpacing/>
              <w:rPr>
                <w:sz w:val="20"/>
                <w:szCs w:val="20"/>
              </w:rPr>
            </w:pPr>
            <w:r w:rsidRPr="00781F59">
              <w:rPr>
                <w:sz w:val="20"/>
                <w:szCs w:val="20"/>
              </w:rPr>
              <w:lastRenderedPageBreak/>
              <w:t>Does not address a KQ</w:t>
            </w:r>
          </w:p>
        </w:tc>
      </w:tr>
      <w:tr w:rsidR="00EA69AA" w:rsidRPr="00781F59" w14:paraId="438F7E0D"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3D23952" w14:textId="77777777" w:rsidR="00EA69AA" w:rsidRPr="00781F59" w:rsidRDefault="00EA69AA" w:rsidP="00EA69AA">
            <w:pPr>
              <w:contextualSpacing/>
              <w:rPr>
                <w:sz w:val="20"/>
                <w:szCs w:val="20"/>
              </w:rPr>
            </w:pPr>
            <w:r w:rsidRPr="00781F59">
              <w:rPr>
                <w:sz w:val="20"/>
                <w:szCs w:val="20"/>
              </w:rPr>
              <w:t>432</w:t>
            </w:r>
          </w:p>
        </w:tc>
        <w:tc>
          <w:tcPr>
            <w:tcW w:w="0" w:type="auto"/>
            <w:tcBorders>
              <w:top w:val="single" w:sz="6" w:space="0" w:color="auto"/>
              <w:left w:val="single" w:sz="6" w:space="0" w:color="auto"/>
              <w:bottom w:val="single" w:sz="6" w:space="0" w:color="auto"/>
              <w:right w:val="single" w:sz="6" w:space="0" w:color="auto"/>
            </w:tcBorders>
            <w:hideMark/>
          </w:tcPr>
          <w:p w14:paraId="52EDBC01" w14:textId="7A1C79C9" w:rsidR="00EA69AA" w:rsidRPr="00781F59" w:rsidRDefault="00EA69AA" w:rsidP="00EA69AA">
            <w:pPr>
              <w:contextualSpacing/>
              <w:rPr>
                <w:sz w:val="20"/>
                <w:szCs w:val="20"/>
              </w:rPr>
            </w:pPr>
            <w:r w:rsidRPr="00781F59">
              <w:rPr>
                <w:sz w:val="20"/>
                <w:szCs w:val="20"/>
              </w:rPr>
              <w:t>Shelley D Golden, Amanda Y Kong, Kurt M Ribisl 2016 Racial and Ethnic Differences in What Smokers Report Paying for Their Cigarettes</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18.1649.</w:t>
            </w:r>
          </w:p>
        </w:tc>
        <w:tc>
          <w:tcPr>
            <w:tcW w:w="0" w:type="auto"/>
            <w:tcBorders>
              <w:top w:val="single" w:sz="6" w:space="0" w:color="auto"/>
              <w:left w:val="single" w:sz="6" w:space="0" w:color="auto"/>
              <w:bottom w:val="single" w:sz="6" w:space="0" w:color="auto"/>
              <w:right w:val="single" w:sz="6" w:space="0" w:color="auto"/>
            </w:tcBorders>
            <w:hideMark/>
          </w:tcPr>
          <w:p w14:paraId="05525B91"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33C124D6"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2E39149" w14:textId="77777777" w:rsidR="00EA69AA" w:rsidRPr="00781F59" w:rsidRDefault="00EA69AA" w:rsidP="00EA69AA">
            <w:pPr>
              <w:contextualSpacing/>
              <w:rPr>
                <w:sz w:val="20"/>
                <w:szCs w:val="20"/>
              </w:rPr>
            </w:pPr>
            <w:r w:rsidRPr="00781F59">
              <w:rPr>
                <w:sz w:val="20"/>
                <w:szCs w:val="20"/>
              </w:rPr>
              <w:t>436</w:t>
            </w:r>
          </w:p>
        </w:tc>
        <w:tc>
          <w:tcPr>
            <w:tcW w:w="0" w:type="auto"/>
            <w:tcBorders>
              <w:top w:val="single" w:sz="6" w:space="0" w:color="auto"/>
              <w:left w:val="single" w:sz="6" w:space="0" w:color="auto"/>
              <w:bottom w:val="single" w:sz="6" w:space="0" w:color="auto"/>
              <w:right w:val="single" w:sz="6" w:space="0" w:color="auto"/>
            </w:tcBorders>
            <w:hideMark/>
          </w:tcPr>
          <w:p w14:paraId="1F49922F" w14:textId="31790BAE" w:rsidR="00EA69AA" w:rsidRPr="00781F59" w:rsidRDefault="00EA69AA" w:rsidP="00EA69AA">
            <w:pPr>
              <w:contextualSpacing/>
              <w:rPr>
                <w:sz w:val="20"/>
                <w:szCs w:val="20"/>
              </w:rPr>
            </w:pPr>
            <w:r w:rsidRPr="00781F59">
              <w:rPr>
                <w:sz w:val="20"/>
                <w:szCs w:val="20"/>
              </w:rPr>
              <w:t>Meike Paschke, Anna Tkachenko, Katja Ackermann, Christoph Hutzler, Frank Henkler, Andreas Luch 2017 Activation of the cold-receptor TRPM8 by low levels of menthol in tobacco products</w:t>
            </w:r>
            <w:r w:rsidR="007F2F01">
              <w:rPr>
                <w:sz w:val="20"/>
                <w:szCs w:val="20"/>
              </w:rPr>
              <w:t>.</w:t>
            </w:r>
            <w:r w:rsidRPr="00781F59">
              <w:rPr>
                <w:sz w:val="20"/>
                <w:szCs w:val="20"/>
              </w:rPr>
              <w:t xml:space="preserve"> Toxicology letters; 271.50.</w:t>
            </w:r>
          </w:p>
        </w:tc>
        <w:tc>
          <w:tcPr>
            <w:tcW w:w="0" w:type="auto"/>
            <w:tcBorders>
              <w:top w:val="single" w:sz="6" w:space="0" w:color="auto"/>
              <w:left w:val="single" w:sz="6" w:space="0" w:color="auto"/>
              <w:bottom w:val="single" w:sz="6" w:space="0" w:color="auto"/>
              <w:right w:val="single" w:sz="6" w:space="0" w:color="auto"/>
            </w:tcBorders>
            <w:hideMark/>
          </w:tcPr>
          <w:p w14:paraId="6479E7DE"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25316A6F"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3AF02E2" w14:textId="77777777" w:rsidR="00EA69AA" w:rsidRPr="00781F59" w:rsidRDefault="00EA69AA" w:rsidP="00EA69AA">
            <w:pPr>
              <w:contextualSpacing/>
              <w:rPr>
                <w:sz w:val="20"/>
                <w:szCs w:val="20"/>
              </w:rPr>
            </w:pPr>
            <w:r w:rsidRPr="00781F59">
              <w:rPr>
                <w:sz w:val="20"/>
                <w:szCs w:val="20"/>
              </w:rPr>
              <w:t>437</w:t>
            </w:r>
          </w:p>
        </w:tc>
        <w:tc>
          <w:tcPr>
            <w:tcW w:w="0" w:type="auto"/>
            <w:tcBorders>
              <w:top w:val="single" w:sz="6" w:space="0" w:color="auto"/>
              <w:left w:val="single" w:sz="6" w:space="0" w:color="auto"/>
              <w:bottom w:val="single" w:sz="6" w:space="0" w:color="auto"/>
              <w:right w:val="single" w:sz="6" w:space="0" w:color="auto"/>
            </w:tcBorders>
            <w:hideMark/>
          </w:tcPr>
          <w:p w14:paraId="3C0E431C" w14:textId="0BC1EF33" w:rsidR="00EA69AA" w:rsidRPr="00781F59" w:rsidRDefault="00EA69AA" w:rsidP="00EA69AA">
            <w:pPr>
              <w:contextualSpacing/>
              <w:rPr>
                <w:sz w:val="20"/>
                <w:szCs w:val="20"/>
              </w:rPr>
            </w:pPr>
            <w:r w:rsidRPr="00781F59">
              <w:rPr>
                <w:sz w:val="20"/>
                <w:szCs w:val="20"/>
              </w:rPr>
              <w:t>Cynthia Van Landingham, William Fuller, Greg Mariano, Kristin Marano, Geoffrey Curtin, Sandra I Sulsky 2017 Stroke risk among menthol versus non-menthol cigarette smokers in the United States: Analysis of the National Health and Nutrition Examination Survey (NHANES)</w:t>
            </w:r>
            <w:r w:rsidR="007F2F01">
              <w:rPr>
                <w:sz w:val="20"/>
                <w:szCs w:val="20"/>
              </w:rPr>
              <w:t>.</w:t>
            </w:r>
            <w:r w:rsidRPr="00781F59">
              <w:rPr>
                <w:sz w:val="20"/>
                <w:szCs w:val="20"/>
              </w:rPr>
              <w:t xml:space="preserve"> Regulatory toxicology and </w:t>
            </w:r>
            <w:proofErr w:type="gramStart"/>
            <w:r w:rsidRPr="00781F59">
              <w:rPr>
                <w:sz w:val="20"/>
                <w:szCs w:val="20"/>
              </w:rPr>
              <w:t>pharmacology :</w:t>
            </w:r>
            <w:proofErr w:type="gramEnd"/>
            <w:r w:rsidRPr="00781F59">
              <w:rPr>
                <w:sz w:val="20"/>
                <w:szCs w:val="20"/>
              </w:rPr>
              <w:t xml:space="preserve"> RTP; 85.64.</w:t>
            </w:r>
          </w:p>
        </w:tc>
        <w:tc>
          <w:tcPr>
            <w:tcW w:w="0" w:type="auto"/>
            <w:tcBorders>
              <w:top w:val="single" w:sz="6" w:space="0" w:color="auto"/>
              <w:left w:val="single" w:sz="6" w:space="0" w:color="auto"/>
              <w:bottom w:val="single" w:sz="6" w:space="0" w:color="auto"/>
              <w:right w:val="single" w:sz="6" w:space="0" w:color="auto"/>
            </w:tcBorders>
            <w:hideMark/>
          </w:tcPr>
          <w:p w14:paraId="0A316D0E"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066197FE"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3CCEE93" w14:textId="77777777" w:rsidR="00EA69AA" w:rsidRPr="00781F59" w:rsidRDefault="00EA69AA" w:rsidP="00EA69AA">
            <w:pPr>
              <w:contextualSpacing/>
              <w:rPr>
                <w:sz w:val="20"/>
                <w:szCs w:val="20"/>
              </w:rPr>
            </w:pPr>
            <w:r w:rsidRPr="00781F59">
              <w:rPr>
                <w:sz w:val="20"/>
                <w:szCs w:val="20"/>
              </w:rPr>
              <w:t>438</w:t>
            </w:r>
          </w:p>
        </w:tc>
        <w:tc>
          <w:tcPr>
            <w:tcW w:w="0" w:type="auto"/>
            <w:tcBorders>
              <w:top w:val="single" w:sz="6" w:space="0" w:color="auto"/>
              <w:left w:val="single" w:sz="6" w:space="0" w:color="auto"/>
              <w:bottom w:val="single" w:sz="6" w:space="0" w:color="auto"/>
              <w:right w:val="single" w:sz="6" w:space="0" w:color="auto"/>
            </w:tcBorders>
            <w:hideMark/>
          </w:tcPr>
          <w:p w14:paraId="17E97DD5" w14:textId="2A023AF7" w:rsidR="00EA69AA" w:rsidRPr="00781F59" w:rsidRDefault="00EA69AA" w:rsidP="00EA69AA">
            <w:pPr>
              <w:contextualSpacing/>
              <w:rPr>
                <w:sz w:val="20"/>
                <w:szCs w:val="20"/>
              </w:rPr>
            </w:pPr>
            <w:r w:rsidRPr="00781F59">
              <w:rPr>
                <w:sz w:val="20"/>
                <w:szCs w:val="20"/>
              </w:rPr>
              <w:t>Lauren K Lempert, Valerie Yerger, Stanton A Glantz 2016 Letter by Lempert et al Regarding Article, "Menthol and Nonmenthol Cigarette Smoking: All-Cause Deaths, Cardiovascular Disease Deaths, and Other Causes of Death Among Blacks and Whites"</w:t>
            </w:r>
            <w:r w:rsidR="007F2F01">
              <w:rPr>
                <w:sz w:val="20"/>
                <w:szCs w:val="20"/>
              </w:rPr>
              <w:t>.</w:t>
            </w:r>
            <w:r w:rsidRPr="00781F59">
              <w:rPr>
                <w:sz w:val="20"/>
                <w:szCs w:val="20"/>
              </w:rPr>
              <w:t xml:space="preserve"> Circulation; 134.e119.</w:t>
            </w:r>
          </w:p>
        </w:tc>
        <w:tc>
          <w:tcPr>
            <w:tcW w:w="0" w:type="auto"/>
            <w:tcBorders>
              <w:top w:val="single" w:sz="6" w:space="0" w:color="auto"/>
              <w:left w:val="single" w:sz="6" w:space="0" w:color="auto"/>
              <w:bottom w:val="single" w:sz="6" w:space="0" w:color="auto"/>
              <w:right w:val="single" w:sz="6" w:space="0" w:color="auto"/>
            </w:tcBorders>
            <w:hideMark/>
          </w:tcPr>
          <w:p w14:paraId="738D14BD"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05D8A311"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9108C2A" w14:textId="77777777" w:rsidR="00EA69AA" w:rsidRPr="00781F59" w:rsidRDefault="00EA69AA" w:rsidP="00EA69AA">
            <w:pPr>
              <w:contextualSpacing/>
              <w:rPr>
                <w:sz w:val="20"/>
                <w:szCs w:val="20"/>
              </w:rPr>
            </w:pPr>
            <w:r w:rsidRPr="00781F59">
              <w:rPr>
                <w:sz w:val="20"/>
                <w:szCs w:val="20"/>
              </w:rPr>
              <w:t>441</w:t>
            </w:r>
          </w:p>
        </w:tc>
        <w:tc>
          <w:tcPr>
            <w:tcW w:w="0" w:type="auto"/>
            <w:tcBorders>
              <w:top w:val="single" w:sz="6" w:space="0" w:color="auto"/>
              <w:left w:val="single" w:sz="6" w:space="0" w:color="auto"/>
              <w:bottom w:val="single" w:sz="6" w:space="0" w:color="auto"/>
              <w:right w:val="single" w:sz="6" w:space="0" w:color="auto"/>
            </w:tcBorders>
            <w:hideMark/>
          </w:tcPr>
          <w:p w14:paraId="3ADE1D7F" w14:textId="329CDB7D" w:rsidR="00EA69AA" w:rsidRPr="00781F59" w:rsidRDefault="00EA69AA" w:rsidP="00EA69AA">
            <w:pPr>
              <w:contextualSpacing/>
              <w:rPr>
                <w:sz w:val="20"/>
                <w:szCs w:val="20"/>
              </w:rPr>
            </w:pPr>
            <w:r w:rsidRPr="00781F59">
              <w:rPr>
                <w:sz w:val="20"/>
                <w:szCs w:val="20"/>
              </w:rPr>
              <w:t>Heather M Munro, Robert E Tarone, Thomas J Wang, William J Blot 2016 Menthol and Nonmenthol Cigarette Smoking: All-Cause Deaths, Cardiovascular Disease Deaths, and Other Causes of Death Among Blacks and Whites</w:t>
            </w:r>
            <w:r w:rsidR="007F2F01">
              <w:rPr>
                <w:sz w:val="20"/>
                <w:szCs w:val="20"/>
              </w:rPr>
              <w:t>.</w:t>
            </w:r>
            <w:r w:rsidRPr="00781F59">
              <w:rPr>
                <w:sz w:val="20"/>
                <w:szCs w:val="20"/>
              </w:rPr>
              <w:t xml:space="preserve"> Circulation; 133.1861.</w:t>
            </w:r>
          </w:p>
        </w:tc>
        <w:tc>
          <w:tcPr>
            <w:tcW w:w="0" w:type="auto"/>
            <w:tcBorders>
              <w:top w:val="single" w:sz="6" w:space="0" w:color="auto"/>
              <w:left w:val="single" w:sz="6" w:space="0" w:color="auto"/>
              <w:bottom w:val="single" w:sz="6" w:space="0" w:color="auto"/>
              <w:right w:val="single" w:sz="6" w:space="0" w:color="auto"/>
            </w:tcBorders>
            <w:hideMark/>
          </w:tcPr>
          <w:p w14:paraId="761E5CBD"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021AEE3B"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2F485EF" w14:textId="77777777" w:rsidR="00EA69AA" w:rsidRPr="00781F59" w:rsidRDefault="00EA69AA" w:rsidP="00EA69AA">
            <w:pPr>
              <w:contextualSpacing/>
              <w:rPr>
                <w:sz w:val="20"/>
                <w:szCs w:val="20"/>
              </w:rPr>
            </w:pPr>
            <w:r w:rsidRPr="00781F59">
              <w:rPr>
                <w:sz w:val="20"/>
                <w:szCs w:val="20"/>
              </w:rPr>
              <w:t>442</w:t>
            </w:r>
          </w:p>
        </w:tc>
        <w:tc>
          <w:tcPr>
            <w:tcW w:w="0" w:type="auto"/>
            <w:tcBorders>
              <w:top w:val="single" w:sz="6" w:space="0" w:color="auto"/>
              <w:left w:val="single" w:sz="6" w:space="0" w:color="auto"/>
              <w:bottom w:val="single" w:sz="6" w:space="0" w:color="auto"/>
              <w:right w:val="single" w:sz="6" w:space="0" w:color="auto"/>
            </w:tcBorders>
            <w:hideMark/>
          </w:tcPr>
          <w:p w14:paraId="59C31BF5" w14:textId="469D285F" w:rsidR="00EA69AA" w:rsidRPr="00781F59" w:rsidRDefault="00EA69AA" w:rsidP="00EA69AA">
            <w:pPr>
              <w:contextualSpacing/>
              <w:rPr>
                <w:sz w:val="20"/>
                <w:szCs w:val="20"/>
              </w:rPr>
            </w:pPr>
            <w:r w:rsidRPr="00781F59">
              <w:rPr>
                <w:sz w:val="20"/>
                <w:szCs w:val="20"/>
              </w:rPr>
              <w:t>Linda A Alexander, Dennis R Trinidad, Kari-Lyn K Sakuma, Pallav Pokhrel, Thaddeus A Herzog, Mark S Clanton, Eric T Moolchan, Pebbles Fagan 2016 Why We Must Continue to Investigate Menthol's Role in the African American Smoking Paradox</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18 Suppl 1.S91.</w:t>
            </w:r>
          </w:p>
        </w:tc>
        <w:tc>
          <w:tcPr>
            <w:tcW w:w="0" w:type="auto"/>
            <w:tcBorders>
              <w:top w:val="single" w:sz="6" w:space="0" w:color="auto"/>
              <w:left w:val="single" w:sz="6" w:space="0" w:color="auto"/>
              <w:bottom w:val="single" w:sz="6" w:space="0" w:color="auto"/>
              <w:right w:val="single" w:sz="6" w:space="0" w:color="auto"/>
            </w:tcBorders>
            <w:hideMark/>
          </w:tcPr>
          <w:p w14:paraId="2D1462B1"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4F0BB6B7"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E31FD50" w14:textId="77777777" w:rsidR="00EA69AA" w:rsidRPr="00781F59" w:rsidRDefault="00EA69AA" w:rsidP="00EA69AA">
            <w:pPr>
              <w:contextualSpacing/>
              <w:rPr>
                <w:sz w:val="20"/>
                <w:szCs w:val="20"/>
              </w:rPr>
            </w:pPr>
            <w:r w:rsidRPr="00781F59">
              <w:rPr>
                <w:sz w:val="20"/>
                <w:szCs w:val="20"/>
              </w:rPr>
              <w:t>443</w:t>
            </w:r>
          </w:p>
        </w:tc>
        <w:tc>
          <w:tcPr>
            <w:tcW w:w="0" w:type="auto"/>
            <w:tcBorders>
              <w:top w:val="single" w:sz="6" w:space="0" w:color="auto"/>
              <w:left w:val="single" w:sz="6" w:space="0" w:color="auto"/>
              <w:bottom w:val="single" w:sz="6" w:space="0" w:color="auto"/>
              <w:right w:val="single" w:sz="6" w:space="0" w:color="auto"/>
            </w:tcBorders>
            <w:hideMark/>
          </w:tcPr>
          <w:p w14:paraId="3ECFC287" w14:textId="162295D0" w:rsidR="00EA69AA" w:rsidRPr="00781F59" w:rsidRDefault="00EA69AA" w:rsidP="00EA69AA">
            <w:pPr>
              <w:contextualSpacing/>
              <w:rPr>
                <w:sz w:val="20"/>
                <w:szCs w:val="20"/>
              </w:rPr>
            </w:pPr>
            <w:r w:rsidRPr="00781F59">
              <w:rPr>
                <w:sz w:val="20"/>
                <w:szCs w:val="20"/>
              </w:rPr>
              <w:t>Gary A Giovino, Phillip S Gardiner 2016 Understanding Tobacco Use Behaviors Among African Americans: Progress, Critical Gaps, and Opportunities</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18 Suppl 1.S1.</w:t>
            </w:r>
          </w:p>
        </w:tc>
        <w:tc>
          <w:tcPr>
            <w:tcW w:w="0" w:type="auto"/>
            <w:tcBorders>
              <w:top w:val="single" w:sz="6" w:space="0" w:color="auto"/>
              <w:left w:val="single" w:sz="6" w:space="0" w:color="auto"/>
              <w:bottom w:val="single" w:sz="6" w:space="0" w:color="auto"/>
              <w:right w:val="single" w:sz="6" w:space="0" w:color="auto"/>
            </w:tcBorders>
            <w:hideMark/>
          </w:tcPr>
          <w:p w14:paraId="43668511"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0783F77E"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F6D66A5" w14:textId="77777777" w:rsidR="00EA69AA" w:rsidRPr="00781F59" w:rsidRDefault="00EA69AA" w:rsidP="00EA69AA">
            <w:pPr>
              <w:contextualSpacing/>
              <w:rPr>
                <w:sz w:val="20"/>
                <w:szCs w:val="20"/>
              </w:rPr>
            </w:pPr>
            <w:r w:rsidRPr="00781F59">
              <w:rPr>
                <w:sz w:val="20"/>
                <w:szCs w:val="20"/>
              </w:rPr>
              <w:t>445</w:t>
            </w:r>
          </w:p>
        </w:tc>
        <w:tc>
          <w:tcPr>
            <w:tcW w:w="0" w:type="auto"/>
            <w:tcBorders>
              <w:top w:val="single" w:sz="6" w:space="0" w:color="auto"/>
              <w:left w:val="single" w:sz="6" w:space="0" w:color="auto"/>
              <w:bottom w:val="single" w:sz="6" w:space="0" w:color="auto"/>
              <w:right w:val="single" w:sz="6" w:space="0" w:color="auto"/>
            </w:tcBorders>
            <w:hideMark/>
          </w:tcPr>
          <w:p w14:paraId="73078B73" w14:textId="23620D6E" w:rsidR="00EA69AA" w:rsidRPr="00781F59" w:rsidRDefault="00EA69AA" w:rsidP="00EA69AA">
            <w:pPr>
              <w:contextualSpacing/>
              <w:rPr>
                <w:sz w:val="20"/>
                <w:szCs w:val="20"/>
              </w:rPr>
            </w:pPr>
            <w:r w:rsidRPr="00781F59">
              <w:rPr>
                <w:sz w:val="20"/>
                <w:szCs w:val="20"/>
              </w:rPr>
              <w:t>Wen Qi Gan, Steve Estus, Jonathan H Smith 2016 Association Between Overall and Mentholated Cigarette Smoking With Headache in a Nationally Representative Sample</w:t>
            </w:r>
            <w:r w:rsidR="007F2F01">
              <w:rPr>
                <w:sz w:val="20"/>
                <w:szCs w:val="20"/>
              </w:rPr>
              <w:t>.</w:t>
            </w:r>
            <w:r w:rsidRPr="00781F59">
              <w:rPr>
                <w:sz w:val="20"/>
                <w:szCs w:val="20"/>
              </w:rPr>
              <w:t xml:space="preserve"> Headache; 56.511.</w:t>
            </w:r>
          </w:p>
        </w:tc>
        <w:tc>
          <w:tcPr>
            <w:tcW w:w="0" w:type="auto"/>
            <w:tcBorders>
              <w:top w:val="single" w:sz="6" w:space="0" w:color="auto"/>
              <w:left w:val="single" w:sz="6" w:space="0" w:color="auto"/>
              <w:bottom w:val="single" w:sz="6" w:space="0" w:color="auto"/>
              <w:right w:val="single" w:sz="6" w:space="0" w:color="auto"/>
            </w:tcBorders>
            <w:hideMark/>
          </w:tcPr>
          <w:p w14:paraId="037DADDF"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41C7869F"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CBA4814" w14:textId="77777777" w:rsidR="00EA69AA" w:rsidRPr="00781F59" w:rsidRDefault="00EA69AA" w:rsidP="00EA69AA">
            <w:pPr>
              <w:contextualSpacing/>
              <w:rPr>
                <w:sz w:val="20"/>
                <w:szCs w:val="20"/>
              </w:rPr>
            </w:pPr>
            <w:r w:rsidRPr="00781F59">
              <w:rPr>
                <w:sz w:val="20"/>
                <w:szCs w:val="20"/>
              </w:rPr>
              <w:t>446</w:t>
            </w:r>
          </w:p>
        </w:tc>
        <w:tc>
          <w:tcPr>
            <w:tcW w:w="0" w:type="auto"/>
            <w:tcBorders>
              <w:top w:val="single" w:sz="6" w:space="0" w:color="auto"/>
              <w:left w:val="single" w:sz="6" w:space="0" w:color="auto"/>
              <w:bottom w:val="single" w:sz="6" w:space="0" w:color="auto"/>
              <w:right w:val="single" w:sz="6" w:space="0" w:color="auto"/>
            </w:tcBorders>
            <w:hideMark/>
          </w:tcPr>
          <w:p w14:paraId="416C2705" w14:textId="03A9EF8F" w:rsidR="00EA69AA" w:rsidRPr="00781F59" w:rsidRDefault="00EA69AA" w:rsidP="00EA69AA">
            <w:pPr>
              <w:contextualSpacing/>
              <w:rPr>
                <w:sz w:val="20"/>
                <w:szCs w:val="20"/>
              </w:rPr>
            </w:pPr>
            <w:r w:rsidRPr="00781F59">
              <w:rPr>
                <w:sz w:val="20"/>
                <w:szCs w:val="20"/>
              </w:rPr>
              <w:t>Se-Jung Park, Bitna Yi, Ho-Sun Lee, Woo-Yeon Oh, Hyun-Kyung Na, Minjeong Lee, Mihi Yang 2016 To quit or not: Vulnerability of women to smoking tobacco</w:t>
            </w:r>
            <w:r w:rsidR="007F2F01">
              <w:rPr>
                <w:sz w:val="20"/>
                <w:szCs w:val="20"/>
              </w:rPr>
              <w:t>.</w:t>
            </w:r>
            <w:r w:rsidRPr="00781F59">
              <w:rPr>
                <w:sz w:val="20"/>
                <w:szCs w:val="20"/>
              </w:rPr>
              <w:t xml:space="preserve"> Journal of environmental science and health. Part C, Environmental carcinogenesis &amp; ecotoxicology reviews; 34.33.</w:t>
            </w:r>
          </w:p>
        </w:tc>
        <w:tc>
          <w:tcPr>
            <w:tcW w:w="0" w:type="auto"/>
            <w:tcBorders>
              <w:top w:val="single" w:sz="6" w:space="0" w:color="auto"/>
              <w:left w:val="single" w:sz="6" w:space="0" w:color="auto"/>
              <w:bottom w:val="single" w:sz="6" w:space="0" w:color="auto"/>
              <w:right w:val="single" w:sz="6" w:space="0" w:color="auto"/>
            </w:tcBorders>
            <w:hideMark/>
          </w:tcPr>
          <w:p w14:paraId="6D21B91D"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76B624F1"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E84499F" w14:textId="77777777" w:rsidR="00EA69AA" w:rsidRPr="00781F59" w:rsidRDefault="00EA69AA" w:rsidP="00EA69AA">
            <w:pPr>
              <w:contextualSpacing/>
              <w:rPr>
                <w:sz w:val="20"/>
                <w:szCs w:val="20"/>
              </w:rPr>
            </w:pPr>
            <w:r w:rsidRPr="00781F59">
              <w:rPr>
                <w:sz w:val="20"/>
                <w:szCs w:val="20"/>
              </w:rPr>
              <w:t>448</w:t>
            </w:r>
          </w:p>
        </w:tc>
        <w:tc>
          <w:tcPr>
            <w:tcW w:w="0" w:type="auto"/>
            <w:tcBorders>
              <w:top w:val="single" w:sz="6" w:space="0" w:color="auto"/>
              <w:left w:val="single" w:sz="6" w:space="0" w:color="auto"/>
              <w:bottom w:val="single" w:sz="6" w:space="0" w:color="auto"/>
              <w:right w:val="single" w:sz="6" w:space="0" w:color="auto"/>
            </w:tcBorders>
            <w:hideMark/>
          </w:tcPr>
          <w:p w14:paraId="540913A8" w14:textId="2957F613" w:rsidR="00EA69AA" w:rsidRPr="00781F59" w:rsidRDefault="00EA69AA" w:rsidP="00EA69AA">
            <w:pPr>
              <w:contextualSpacing/>
              <w:rPr>
                <w:sz w:val="20"/>
                <w:szCs w:val="20"/>
              </w:rPr>
            </w:pPr>
            <w:r w:rsidRPr="00781F59">
              <w:rPr>
                <w:sz w:val="20"/>
                <w:szCs w:val="20"/>
              </w:rPr>
              <w:t>Michael S Amato, Joanne D'Silva, Raymond G Boyle 2016 Slowing Menthol's Progress: Differential Impact of a Tobacco Tax Increase on Cigarette Sales</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18.1303.</w:t>
            </w:r>
          </w:p>
        </w:tc>
        <w:tc>
          <w:tcPr>
            <w:tcW w:w="0" w:type="auto"/>
            <w:tcBorders>
              <w:top w:val="single" w:sz="6" w:space="0" w:color="auto"/>
              <w:left w:val="single" w:sz="6" w:space="0" w:color="auto"/>
              <w:bottom w:val="single" w:sz="6" w:space="0" w:color="auto"/>
              <w:right w:val="single" w:sz="6" w:space="0" w:color="auto"/>
            </w:tcBorders>
            <w:hideMark/>
          </w:tcPr>
          <w:p w14:paraId="7B43E507"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39A48363"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4B424DE" w14:textId="77777777" w:rsidR="00EA69AA" w:rsidRPr="00781F59" w:rsidRDefault="00EA69AA" w:rsidP="00EA69AA">
            <w:pPr>
              <w:contextualSpacing/>
              <w:rPr>
                <w:sz w:val="20"/>
                <w:szCs w:val="20"/>
              </w:rPr>
            </w:pPr>
            <w:r w:rsidRPr="00781F59">
              <w:rPr>
                <w:sz w:val="20"/>
                <w:szCs w:val="20"/>
              </w:rPr>
              <w:t>453</w:t>
            </w:r>
          </w:p>
        </w:tc>
        <w:tc>
          <w:tcPr>
            <w:tcW w:w="0" w:type="auto"/>
            <w:tcBorders>
              <w:top w:val="single" w:sz="6" w:space="0" w:color="auto"/>
              <w:left w:val="single" w:sz="6" w:space="0" w:color="auto"/>
              <w:bottom w:val="single" w:sz="6" w:space="0" w:color="auto"/>
              <w:right w:val="single" w:sz="6" w:space="0" w:color="auto"/>
            </w:tcBorders>
            <w:hideMark/>
          </w:tcPr>
          <w:p w14:paraId="4DF7211B" w14:textId="2E88086D" w:rsidR="00EA69AA" w:rsidRPr="00781F59" w:rsidRDefault="00EA69AA" w:rsidP="00EA69AA">
            <w:pPr>
              <w:contextualSpacing/>
              <w:rPr>
                <w:sz w:val="20"/>
                <w:szCs w:val="20"/>
              </w:rPr>
            </w:pPr>
            <w:r w:rsidRPr="00781F59">
              <w:rPr>
                <w:sz w:val="20"/>
                <w:szCs w:val="20"/>
              </w:rPr>
              <w:t>Daniel Stevens, Stanton Glantz 2016 Tobacco documents reveal questionable professional recertification by industry menthol expert</w:t>
            </w:r>
            <w:r w:rsidR="007F2F01">
              <w:rPr>
                <w:sz w:val="20"/>
                <w:szCs w:val="20"/>
              </w:rPr>
              <w:t>.</w:t>
            </w:r>
            <w:r w:rsidRPr="00781F59">
              <w:rPr>
                <w:sz w:val="20"/>
                <w:szCs w:val="20"/>
              </w:rPr>
              <w:t xml:space="preserve"> Tobacco control; 25.364.</w:t>
            </w:r>
          </w:p>
        </w:tc>
        <w:tc>
          <w:tcPr>
            <w:tcW w:w="0" w:type="auto"/>
            <w:tcBorders>
              <w:top w:val="single" w:sz="6" w:space="0" w:color="auto"/>
              <w:left w:val="single" w:sz="6" w:space="0" w:color="auto"/>
              <w:bottom w:val="single" w:sz="6" w:space="0" w:color="auto"/>
              <w:right w:val="single" w:sz="6" w:space="0" w:color="auto"/>
            </w:tcBorders>
            <w:hideMark/>
          </w:tcPr>
          <w:p w14:paraId="1CBDD517"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6E22427D"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75130FF" w14:textId="77777777" w:rsidR="00EA69AA" w:rsidRPr="00781F59" w:rsidRDefault="00EA69AA" w:rsidP="00EA69AA">
            <w:pPr>
              <w:contextualSpacing/>
              <w:rPr>
                <w:sz w:val="20"/>
                <w:szCs w:val="20"/>
              </w:rPr>
            </w:pPr>
            <w:r w:rsidRPr="00781F59">
              <w:rPr>
                <w:sz w:val="20"/>
                <w:szCs w:val="20"/>
              </w:rPr>
              <w:t>457</w:t>
            </w:r>
          </w:p>
        </w:tc>
        <w:tc>
          <w:tcPr>
            <w:tcW w:w="0" w:type="auto"/>
            <w:tcBorders>
              <w:top w:val="single" w:sz="6" w:space="0" w:color="auto"/>
              <w:left w:val="single" w:sz="6" w:space="0" w:color="auto"/>
              <w:bottom w:val="single" w:sz="6" w:space="0" w:color="auto"/>
              <w:right w:val="single" w:sz="6" w:space="0" w:color="auto"/>
            </w:tcBorders>
            <w:hideMark/>
          </w:tcPr>
          <w:p w14:paraId="00D1A425" w14:textId="33B8090D" w:rsidR="00EA69AA" w:rsidRPr="00781F59" w:rsidRDefault="00EA69AA" w:rsidP="00EA69AA">
            <w:pPr>
              <w:contextualSpacing/>
              <w:rPr>
                <w:sz w:val="20"/>
                <w:szCs w:val="20"/>
              </w:rPr>
            </w:pPr>
            <w:r w:rsidRPr="00781F59">
              <w:rPr>
                <w:sz w:val="20"/>
                <w:szCs w:val="20"/>
              </w:rPr>
              <w:t>Catherine G Corey, Bridget K Ambrose, Benjamin J Apelberg, Brian A King 2015 Flavored Tobacco Product Use Among Middle and High School Students--United States, 2014</w:t>
            </w:r>
            <w:r w:rsidR="007F2F01">
              <w:rPr>
                <w:sz w:val="20"/>
                <w:szCs w:val="20"/>
              </w:rPr>
              <w:t>.</w:t>
            </w:r>
            <w:r w:rsidRPr="00781F59">
              <w:rPr>
                <w:sz w:val="20"/>
                <w:szCs w:val="20"/>
              </w:rPr>
              <w:t xml:space="preserve"> MMWR. Morbidity and mortality weekly report; 64.1066.</w:t>
            </w:r>
          </w:p>
        </w:tc>
        <w:tc>
          <w:tcPr>
            <w:tcW w:w="0" w:type="auto"/>
            <w:tcBorders>
              <w:top w:val="single" w:sz="6" w:space="0" w:color="auto"/>
              <w:left w:val="single" w:sz="6" w:space="0" w:color="auto"/>
              <w:bottom w:val="single" w:sz="6" w:space="0" w:color="auto"/>
              <w:right w:val="single" w:sz="6" w:space="0" w:color="auto"/>
            </w:tcBorders>
            <w:hideMark/>
          </w:tcPr>
          <w:p w14:paraId="0592DC83"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75D2FDAE"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35DA3E3" w14:textId="77777777" w:rsidR="00EA69AA" w:rsidRPr="00781F59" w:rsidRDefault="00EA69AA" w:rsidP="00EA69AA">
            <w:pPr>
              <w:contextualSpacing/>
              <w:rPr>
                <w:sz w:val="20"/>
                <w:szCs w:val="20"/>
              </w:rPr>
            </w:pPr>
            <w:r w:rsidRPr="00781F59">
              <w:rPr>
                <w:sz w:val="20"/>
                <w:szCs w:val="20"/>
              </w:rPr>
              <w:lastRenderedPageBreak/>
              <w:t>469</w:t>
            </w:r>
          </w:p>
        </w:tc>
        <w:tc>
          <w:tcPr>
            <w:tcW w:w="0" w:type="auto"/>
            <w:tcBorders>
              <w:top w:val="single" w:sz="6" w:space="0" w:color="auto"/>
              <w:left w:val="single" w:sz="6" w:space="0" w:color="auto"/>
              <w:bottom w:val="single" w:sz="6" w:space="0" w:color="auto"/>
              <w:right w:val="single" w:sz="6" w:space="0" w:color="auto"/>
            </w:tcBorders>
            <w:hideMark/>
          </w:tcPr>
          <w:p w14:paraId="2A651A67" w14:textId="36400E31" w:rsidR="00EA69AA" w:rsidRPr="00781F59" w:rsidRDefault="00EA69AA" w:rsidP="00EA69AA">
            <w:pPr>
              <w:contextualSpacing/>
              <w:rPr>
                <w:sz w:val="20"/>
                <w:szCs w:val="20"/>
              </w:rPr>
            </w:pPr>
            <w:r w:rsidRPr="00781F59">
              <w:rPr>
                <w:sz w:val="20"/>
                <w:szCs w:val="20"/>
              </w:rPr>
              <w:t>Cheryl A Oncken, Mark D Litt, Lynn D McLaughlin, Nausherwan A Burki 2015 Nicotine concentrations with electronic cigarette use: effects of sex and flavor</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17.473.</w:t>
            </w:r>
          </w:p>
        </w:tc>
        <w:tc>
          <w:tcPr>
            <w:tcW w:w="0" w:type="auto"/>
            <w:tcBorders>
              <w:top w:val="single" w:sz="6" w:space="0" w:color="auto"/>
              <w:left w:val="single" w:sz="6" w:space="0" w:color="auto"/>
              <w:bottom w:val="single" w:sz="6" w:space="0" w:color="auto"/>
              <w:right w:val="single" w:sz="6" w:space="0" w:color="auto"/>
            </w:tcBorders>
            <w:hideMark/>
          </w:tcPr>
          <w:p w14:paraId="03B29A38"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5C0A875D"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A5AE3EA" w14:textId="77777777" w:rsidR="00EA69AA" w:rsidRPr="00781F59" w:rsidRDefault="00EA69AA" w:rsidP="00EA69AA">
            <w:pPr>
              <w:contextualSpacing/>
              <w:rPr>
                <w:sz w:val="20"/>
                <w:szCs w:val="20"/>
              </w:rPr>
            </w:pPr>
            <w:r w:rsidRPr="00781F59">
              <w:rPr>
                <w:sz w:val="20"/>
                <w:szCs w:val="20"/>
              </w:rPr>
              <w:t>475</w:t>
            </w:r>
          </w:p>
        </w:tc>
        <w:tc>
          <w:tcPr>
            <w:tcW w:w="0" w:type="auto"/>
            <w:tcBorders>
              <w:top w:val="single" w:sz="6" w:space="0" w:color="auto"/>
              <w:left w:val="single" w:sz="6" w:space="0" w:color="auto"/>
              <w:bottom w:val="single" w:sz="6" w:space="0" w:color="auto"/>
              <w:right w:val="single" w:sz="6" w:space="0" w:color="auto"/>
            </w:tcBorders>
            <w:hideMark/>
          </w:tcPr>
          <w:p w14:paraId="4BE64A78" w14:textId="526D38CE" w:rsidR="00EA69AA" w:rsidRPr="00781F59" w:rsidRDefault="00EA69AA" w:rsidP="00EA69AA">
            <w:pPr>
              <w:contextualSpacing/>
              <w:rPr>
                <w:sz w:val="20"/>
                <w:szCs w:val="20"/>
              </w:rPr>
            </w:pPr>
            <w:r w:rsidRPr="00781F59">
              <w:rPr>
                <w:sz w:val="20"/>
                <w:szCs w:val="20"/>
              </w:rPr>
              <w:t>Alain Braillon 2015 Curbing the tobacco epidemic: Employing behavioral strategies or rearranging the deckchairs on the Titanic?</w:t>
            </w:r>
            <w:r w:rsidR="007F2F01">
              <w:rPr>
                <w:sz w:val="20"/>
                <w:szCs w:val="20"/>
              </w:rPr>
              <w:t>.</w:t>
            </w:r>
            <w:r w:rsidRPr="00781F59">
              <w:rPr>
                <w:sz w:val="20"/>
                <w:szCs w:val="20"/>
              </w:rPr>
              <w:t xml:space="preserve"> Preventive medicine; 73.28.</w:t>
            </w:r>
          </w:p>
        </w:tc>
        <w:tc>
          <w:tcPr>
            <w:tcW w:w="0" w:type="auto"/>
            <w:tcBorders>
              <w:top w:val="single" w:sz="6" w:space="0" w:color="auto"/>
              <w:left w:val="single" w:sz="6" w:space="0" w:color="auto"/>
              <w:bottom w:val="single" w:sz="6" w:space="0" w:color="auto"/>
              <w:right w:val="single" w:sz="6" w:space="0" w:color="auto"/>
            </w:tcBorders>
            <w:hideMark/>
          </w:tcPr>
          <w:p w14:paraId="5CC3BBDA"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0545B640"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AF7ED94" w14:textId="77777777" w:rsidR="00EA69AA" w:rsidRPr="00781F59" w:rsidRDefault="00EA69AA" w:rsidP="00EA69AA">
            <w:pPr>
              <w:contextualSpacing/>
              <w:rPr>
                <w:sz w:val="20"/>
                <w:szCs w:val="20"/>
              </w:rPr>
            </w:pPr>
            <w:r w:rsidRPr="00781F59">
              <w:rPr>
                <w:sz w:val="20"/>
                <w:szCs w:val="20"/>
              </w:rPr>
              <w:t>479</w:t>
            </w:r>
          </w:p>
        </w:tc>
        <w:tc>
          <w:tcPr>
            <w:tcW w:w="0" w:type="auto"/>
            <w:tcBorders>
              <w:top w:val="single" w:sz="6" w:space="0" w:color="auto"/>
              <w:left w:val="single" w:sz="6" w:space="0" w:color="auto"/>
              <w:bottom w:val="single" w:sz="6" w:space="0" w:color="auto"/>
              <w:right w:val="single" w:sz="6" w:space="0" w:color="auto"/>
            </w:tcBorders>
            <w:hideMark/>
          </w:tcPr>
          <w:p w14:paraId="346204BB" w14:textId="432909DB" w:rsidR="00EA69AA" w:rsidRPr="00781F59" w:rsidRDefault="00EA69AA" w:rsidP="00EA69AA">
            <w:pPr>
              <w:contextualSpacing/>
              <w:rPr>
                <w:sz w:val="20"/>
                <w:szCs w:val="20"/>
              </w:rPr>
            </w:pPr>
            <w:r w:rsidRPr="00781F59">
              <w:rPr>
                <w:sz w:val="20"/>
                <w:szCs w:val="20"/>
              </w:rPr>
              <w:t>Bi-Yu Liu, Yu-Jung Lin, Hung-Fu Lee, Ching-Yin Ho, Ting Ruan, Yu Ru Kou 2015 Menthol suppresses laryngeal C-fiber hypersensitivity to cigarette smoke in a rat model of gastroesophageal reflux disease: the role of TRPM8</w:t>
            </w:r>
            <w:r w:rsidR="007F2F01">
              <w:rPr>
                <w:sz w:val="20"/>
                <w:szCs w:val="20"/>
              </w:rPr>
              <w:t>.</w:t>
            </w:r>
            <w:r w:rsidRPr="00781F59">
              <w:rPr>
                <w:sz w:val="20"/>
                <w:szCs w:val="20"/>
              </w:rPr>
              <w:t xml:space="preserve"> Journal of applied physiology (Bethesda, </w:t>
            </w:r>
            <w:proofErr w:type="gramStart"/>
            <w:r w:rsidRPr="00781F59">
              <w:rPr>
                <w:sz w:val="20"/>
                <w:szCs w:val="20"/>
              </w:rPr>
              <w:t>Md. :</w:t>
            </w:r>
            <w:proofErr w:type="gramEnd"/>
            <w:r w:rsidRPr="00781F59">
              <w:rPr>
                <w:sz w:val="20"/>
                <w:szCs w:val="20"/>
              </w:rPr>
              <w:t xml:space="preserve"> 1985); 118.635.</w:t>
            </w:r>
          </w:p>
        </w:tc>
        <w:tc>
          <w:tcPr>
            <w:tcW w:w="0" w:type="auto"/>
            <w:tcBorders>
              <w:top w:val="single" w:sz="6" w:space="0" w:color="auto"/>
              <w:left w:val="single" w:sz="6" w:space="0" w:color="auto"/>
              <w:bottom w:val="single" w:sz="6" w:space="0" w:color="auto"/>
              <w:right w:val="single" w:sz="6" w:space="0" w:color="auto"/>
            </w:tcBorders>
            <w:hideMark/>
          </w:tcPr>
          <w:p w14:paraId="2F5C5C17" w14:textId="77777777" w:rsidR="00EA69AA" w:rsidRPr="00781F59" w:rsidRDefault="00EA69AA" w:rsidP="00EA69AA">
            <w:pPr>
              <w:contextualSpacing/>
              <w:rPr>
                <w:sz w:val="20"/>
                <w:szCs w:val="20"/>
              </w:rPr>
            </w:pPr>
            <w:r w:rsidRPr="00781F59">
              <w:rPr>
                <w:sz w:val="20"/>
                <w:szCs w:val="20"/>
              </w:rPr>
              <w:t>Ineligible population (not U.S., not humans)</w:t>
            </w:r>
          </w:p>
        </w:tc>
      </w:tr>
      <w:tr w:rsidR="00EA69AA" w:rsidRPr="00781F59" w14:paraId="1E45EDED"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E6D6B32" w14:textId="77777777" w:rsidR="00EA69AA" w:rsidRPr="00781F59" w:rsidRDefault="00EA69AA" w:rsidP="00EA69AA">
            <w:pPr>
              <w:contextualSpacing/>
              <w:rPr>
                <w:sz w:val="20"/>
                <w:szCs w:val="20"/>
              </w:rPr>
            </w:pPr>
            <w:r w:rsidRPr="00781F59">
              <w:rPr>
                <w:sz w:val="20"/>
                <w:szCs w:val="20"/>
              </w:rPr>
              <w:t>488</w:t>
            </w:r>
          </w:p>
        </w:tc>
        <w:tc>
          <w:tcPr>
            <w:tcW w:w="0" w:type="auto"/>
            <w:tcBorders>
              <w:top w:val="single" w:sz="6" w:space="0" w:color="auto"/>
              <w:left w:val="single" w:sz="6" w:space="0" w:color="auto"/>
              <w:bottom w:val="single" w:sz="6" w:space="0" w:color="auto"/>
              <w:right w:val="single" w:sz="6" w:space="0" w:color="auto"/>
            </w:tcBorders>
            <w:hideMark/>
          </w:tcPr>
          <w:p w14:paraId="26B654FA" w14:textId="186BFA4A" w:rsidR="00EA69AA" w:rsidRPr="00781F59" w:rsidRDefault="00EA69AA" w:rsidP="00EA69AA">
            <w:pPr>
              <w:contextualSpacing/>
              <w:rPr>
                <w:sz w:val="20"/>
                <w:szCs w:val="20"/>
              </w:rPr>
            </w:pPr>
            <w:r w:rsidRPr="00781F59">
              <w:rPr>
                <w:sz w:val="20"/>
                <w:szCs w:val="20"/>
              </w:rPr>
              <w:t>Emily Brennan, Laura Gibson, Ani Momjian, Robert C Hornik 2015 Are young people's beliefs about menthol cigarettes associated with smoking-related intentions and behaviors?</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17.81.</w:t>
            </w:r>
          </w:p>
        </w:tc>
        <w:tc>
          <w:tcPr>
            <w:tcW w:w="0" w:type="auto"/>
            <w:tcBorders>
              <w:top w:val="single" w:sz="6" w:space="0" w:color="auto"/>
              <w:left w:val="single" w:sz="6" w:space="0" w:color="auto"/>
              <w:bottom w:val="single" w:sz="6" w:space="0" w:color="auto"/>
              <w:right w:val="single" w:sz="6" w:space="0" w:color="auto"/>
            </w:tcBorders>
            <w:hideMark/>
          </w:tcPr>
          <w:p w14:paraId="3BE6BF4E"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304354FF"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BC567B9" w14:textId="77777777" w:rsidR="00EA69AA" w:rsidRPr="00781F59" w:rsidRDefault="00EA69AA" w:rsidP="00EA69AA">
            <w:pPr>
              <w:contextualSpacing/>
              <w:rPr>
                <w:sz w:val="20"/>
                <w:szCs w:val="20"/>
              </w:rPr>
            </w:pPr>
            <w:r w:rsidRPr="00781F59">
              <w:rPr>
                <w:sz w:val="20"/>
                <w:szCs w:val="20"/>
              </w:rPr>
              <w:t>491</w:t>
            </w:r>
          </w:p>
        </w:tc>
        <w:tc>
          <w:tcPr>
            <w:tcW w:w="0" w:type="auto"/>
            <w:tcBorders>
              <w:top w:val="single" w:sz="6" w:space="0" w:color="auto"/>
              <w:left w:val="single" w:sz="6" w:space="0" w:color="auto"/>
              <w:bottom w:val="single" w:sz="6" w:space="0" w:color="auto"/>
              <w:right w:val="single" w:sz="6" w:space="0" w:color="auto"/>
            </w:tcBorders>
            <w:hideMark/>
          </w:tcPr>
          <w:p w14:paraId="5F29211C" w14:textId="016DB9A9" w:rsidR="00EA69AA" w:rsidRPr="00781F59" w:rsidRDefault="00EA69AA" w:rsidP="00EA69AA">
            <w:pPr>
              <w:contextualSpacing/>
              <w:rPr>
                <w:sz w:val="20"/>
                <w:szCs w:val="20"/>
              </w:rPr>
            </w:pPr>
            <w:r w:rsidRPr="00781F59">
              <w:rPr>
                <w:sz w:val="20"/>
                <w:szCs w:val="20"/>
              </w:rPr>
              <w:t>Jack E Henningfield 2014 The tobacco endgame: it's all about behavior</w:t>
            </w:r>
            <w:r w:rsidR="007F2F01">
              <w:rPr>
                <w:sz w:val="20"/>
                <w:szCs w:val="20"/>
              </w:rPr>
              <w:t>.</w:t>
            </w:r>
            <w:r w:rsidRPr="00781F59">
              <w:rPr>
                <w:sz w:val="20"/>
                <w:szCs w:val="20"/>
              </w:rPr>
              <w:t xml:space="preserve"> Preventive medicine; 68.11.</w:t>
            </w:r>
          </w:p>
        </w:tc>
        <w:tc>
          <w:tcPr>
            <w:tcW w:w="0" w:type="auto"/>
            <w:tcBorders>
              <w:top w:val="single" w:sz="6" w:space="0" w:color="auto"/>
              <w:left w:val="single" w:sz="6" w:space="0" w:color="auto"/>
              <w:bottom w:val="single" w:sz="6" w:space="0" w:color="auto"/>
              <w:right w:val="single" w:sz="6" w:space="0" w:color="auto"/>
            </w:tcBorders>
            <w:hideMark/>
          </w:tcPr>
          <w:p w14:paraId="47E82795" w14:textId="77777777" w:rsidR="00EA69AA" w:rsidRPr="00781F59" w:rsidRDefault="00EA69AA" w:rsidP="00EA69AA">
            <w:pPr>
              <w:contextualSpacing/>
              <w:rPr>
                <w:sz w:val="20"/>
                <w:szCs w:val="20"/>
              </w:rPr>
            </w:pPr>
            <w:r w:rsidRPr="00781F59">
              <w:rPr>
                <w:sz w:val="20"/>
                <w:szCs w:val="20"/>
              </w:rPr>
              <w:t>Not original research / data</w:t>
            </w:r>
          </w:p>
        </w:tc>
      </w:tr>
      <w:tr w:rsidR="00EA69AA" w:rsidRPr="00781F59" w14:paraId="1BCF229D"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2209A9F" w14:textId="77777777" w:rsidR="00EA69AA" w:rsidRPr="00781F59" w:rsidRDefault="00EA69AA" w:rsidP="00EA69AA">
            <w:pPr>
              <w:contextualSpacing/>
              <w:rPr>
                <w:sz w:val="20"/>
                <w:szCs w:val="20"/>
              </w:rPr>
            </w:pPr>
            <w:r w:rsidRPr="00781F59">
              <w:rPr>
                <w:sz w:val="20"/>
                <w:szCs w:val="20"/>
              </w:rPr>
              <w:t>494</w:t>
            </w:r>
          </w:p>
        </w:tc>
        <w:tc>
          <w:tcPr>
            <w:tcW w:w="0" w:type="auto"/>
            <w:tcBorders>
              <w:top w:val="single" w:sz="6" w:space="0" w:color="auto"/>
              <w:left w:val="single" w:sz="6" w:space="0" w:color="auto"/>
              <w:bottom w:val="single" w:sz="6" w:space="0" w:color="auto"/>
              <w:right w:val="single" w:sz="6" w:space="0" w:color="auto"/>
            </w:tcBorders>
            <w:hideMark/>
          </w:tcPr>
          <w:p w14:paraId="57D89363" w14:textId="69783486" w:rsidR="00EA69AA" w:rsidRPr="00781F59" w:rsidRDefault="00EA69AA" w:rsidP="00EA69AA">
            <w:pPr>
              <w:contextualSpacing/>
              <w:rPr>
                <w:sz w:val="20"/>
                <w:szCs w:val="20"/>
              </w:rPr>
            </w:pPr>
            <w:r w:rsidRPr="00781F59">
              <w:rPr>
                <w:sz w:val="20"/>
                <w:szCs w:val="20"/>
              </w:rPr>
              <w:t>Alain Braillon 2014 Reducing nicotine content of cigarettes: in search of a regulator</w:t>
            </w:r>
            <w:r w:rsidR="007F2F01">
              <w:rPr>
                <w:sz w:val="20"/>
                <w:szCs w:val="20"/>
              </w:rPr>
              <w:t>.</w:t>
            </w:r>
            <w:r w:rsidRPr="00781F59">
              <w:rPr>
                <w:sz w:val="20"/>
                <w:szCs w:val="20"/>
              </w:rPr>
              <w:t xml:space="preserve"> Preventive medicine; 69.306.</w:t>
            </w:r>
          </w:p>
        </w:tc>
        <w:tc>
          <w:tcPr>
            <w:tcW w:w="0" w:type="auto"/>
            <w:tcBorders>
              <w:top w:val="single" w:sz="6" w:space="0" w:color="auto"/>
              <w:left w:val="single" w:sz="6" w:space="0" w:color="auto"/>
              <w:bottom w:val="single" w:sz="6" w:space="0" w:color="auto"/>
              <w:right w:val="single" w:sz="6" w:space="0" w:color="auto"/>
            </w:tcBorders>
            <w:hideMark/>
          </w:tcPr>
          <w:p w14:paraId="2A9B1DB3"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06736530"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46F988E" w14:textId="77777777" w:rsidR="00EA69AA" w:rsidRPr="00781F59" w:rsidRDefault="00EA69AA" w:rsidP="00EA69AA">
            <w:pPr>
              <w:contextualSpacing/>
              <w:rPr>
                <w:sz w:val="20"/>
                <w:szCs w:val="20"/>
              </w:rPr>
            </w:pPr>
            <w:r w:rsidRPr="00781F59">
              <w:rPr>
                <w:sz w:val="20"/>
                <w:szCs w:val="20"/>
              </w:rPr>
              <w:t>495</w:t>
            </w:r>
          </w:p>
        </w:tc>
        <w:tc>
          <w:tcPr>
            <w:tcW w:w="0" w:type="auto"/>
            <w:tcBorders>
              <w:top w:val="single" w:sz="6" w:space="0" w:color="auto"/>
              <w:left w:val="single" w:sz="6" w:space="0" w:color="auto"/>
              <w:bottom w:val="single" w:sz="6" w:space="0" w:color="auto"/>
              <w:right w:val="single" w:sz="6" w:space="0" w:color="auto"/>
            </w:tcBorders>
            <w:hideMark/>
          </w:tcPr>
          <w:p w14:paraId="783C7046" w14:textId="4383F85C" w:rsidR="00EA69AA" w:rsidRPr="00781F59" w:rsidRDefault="00EA69AA" w:rsidP="00EA69AA">
            <w:pPr>
              <w:contextualSpacing/>
              <w:rPr>
                <w:sz w:val="20"/>
                <w:szCs w:val="20"/>
              </w:rPr>
            </w:pPr>
            <w:r w:rsidRPr="00781F59">
              <w:rPr>
                <w:sz w:val="20"/>
                <w:szCs w:val="20"/>
              </w:rPr>
              <w:t>M H Zimmermann, D L Richardson, M T B Manderski, C D Delnevo, M B Steinberg 2014 Relighting behaviour among cigarette smokers seeking treatment: implications for tobacco treatment and policy</w:t>
            </w:r>
            <w:r w:rsidR="007F2F01">
              <w:rPr>
                <w:sz w:val="20"/>
                <w:szCs w:val="20"/>
              </w:rPr>
              <w:t>.</w:t>
            </w:r>
            <w:r w:rsidRPr="00781F59">
              <w:rPr>
                <w:sz w:val="20"/>
                <w:szCs w:val="20"/>
              </w:rPr>
              <w:t xml:space="preserve"> International journal of clinical practice; 68.1358.</w:t>
            </w:r>
          </w:p>
        </w:tc>
        <w:tc>
          <w:tcPr>
            <w:tcW w:w="0" w:type="auto"/>
            <w:tcBorders>
              <w:top w:val="single" w:sz="6" w:space="0" w:color="auto"/>
              <w:left w:val="single" w:sz="6" w:space="0" w:color="auto"/>
              <w:bottom w:val="single" w:sz="6" w:space="0" w:color="auto"/>
              <w:right w:val="single" w:sz="6" w:space="0" w:color="auto"/>
            </w:tcBorders>
            <w:hideMark/>
          </w:tcPr>
          <w:p w14:paraId="41AC34D3"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6E5B1A5E"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3FD9072" w14:textId="77777777" w:rsidR="00EA69AA" w:rsidRPr="00781F59" w:rsidRDefault="00EA69AA" w:rsidP="00EA69AA">
            <w:pPr>
              <w:contextualSpacing/>
              <w:rPr>
                <w:sz w:val="20"/>
                <w:szCs w:val="20"/>
              </w:rPr>
            </w:pPr>
            <w:r w:rsidRPr="00781F59">
              <w:rPr>
                <w:sz w:val="20"/>
                <w:szCs w:val="20"/>
              </w:rPr>
              <w:t>497</w:t>
            </w:r>
          </w:p>
        </w:tc>
        <w:tc>
          <w:tcPr>
            <w:tcW w:w="0" w:type="auto"/>
            <w:tcBorders>
              <w:top w:val="single" w:sz="6" w:space="0" w:color="auto"/>
              <w:left w:val="single" w:sz="6" w:space="0" w:color="auto"/>
              <w:bottom w:val="single" w:sz="6" w:space="0" w:color="auto"/>
              <w:right w:val="single" w:sz="6" w:space="0" w:color="auto"/>
            </w:tcBorders>
            <w:hideMark/>
          </w:tcPr>
          <w:p w14:paraId="019B2D20" w14:textId="38DBB425" w:rsidR="00EA69AA" w:rsidRPr="00781F59" w:rsidRDefault="00EA69AA" w:rsidP="00EA69AA">
            <w:pPr>
              <w:contextualSpacing/>
              <w:rPr>
                <w:sz w:val="20"/>
                <w:szCs w:val="20"/>
              </w:rPr>
            </w:pPr>
            <w:r w:rsidRPr="00781F59">
              <w:rPr>
                <w:sz w:val="20"/>
                <w:szCs w:val="20"/>
              </w:rPr>
              <w:t>Shannon M Farley, Hannah Seoh, Rachel Sacks, Michael Johns 2014 Teen use of flavored tobacco products in new york city</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16.1518.</w:t>
            </w:r>
          </w:p>
        </w:tc>
        <w:tc>
          <w:tcPr>
            <w:tcW w:w="0" w:type="auto"/>
            <w:tcBorders>
              <w:top w:val="single" w:sz="6" w:space="0" w:color="auto"/>
              <w:left w:val="single" w:sz="6" w:space="0" w:color="auto"/>
              <w:bottom w:val="single" w:sz="6" w:space="0" w:color="auto"/>
              <w:right w:val="single" w:sz="6" w:space="0" w:color="auto"/>
            </w:tcBorders>
            <w:hideMark/>
          </w:tcPr>
          <w:p w14:paraId="391ED195"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2D6AB921"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80F7A44" w14:textId="77777777" w:rsidR="00EA69AA" w:rsidRPr="00781F59" w:rsidRDefault="00EA69AA" w:rsidP="00EA69AA">
            <w:pPr>
              <w:contextualSpacing/>
              <w:rPr>
                <w:sz w:val="20"/>
                <w:szCs w:val="20"/>
              </w:rPr>
            </w:pPr>
            <w:r w:rsidRPr="00781F59">
              <w:rPr>
                <w:sz w:val="20"/>
                <w:szCs w:val="20"/>
              </w:rPr>
              <w:t>505</w:t>
            </w:r>
          </w:p>
        </w:tc>
        <w:tc>
          <w:tcPr>
            <w:tcW w:w="0" w:type="auto"/>
            <w:tcBorders>
              <w:top w:val="single" w:sz="6" w:space="0" w:color="auto"/>
              <w:left w:val="single" w:sz="6" w:space="0" w:color="auto"/>
              <w:bottom w:val="single" w:sz="6" w:space="0" w:color="auto"/>
              <w:right w:val="single" w:sz="6" w:space="0" w:color="auto"/>
            </w:tcBorders>
            <w:hideMark/>
          </w:tcPr>
          <w:p w14:paraId="44D24EC1" w14:textId="5F9AB74C" w:rsidR="00EA69AA" w:rsidRPr="00781F59" w:rsidRDefault="00EA69AA" w:rsidP="00EA69AA">
            <w:pPr>
              <w:contextualSpacing/>
              <w:rPr>
                <w:sz w:val="20"/>
                <w:szCs w:val="20"/>
              </w:rPr>
            </w:pPr>
            <w:r w:rsidRPr="00781F59">
              <w:rPr>
                <w:sz w:val="20"/>
                <w:szCs w:val="20"/>
              </w:rPr>
              <w:t>Andrew Cheyne, Lori Dorfman, Richard A Daynard, Pamela Mejia, Mark Gottlieb 2014 The debate on regulating menthol cigarettes: closing a dangerous loophole vs freedom of choice</w:t>
            </w:r>
            <w:r w:rsidR="007F2F01">
              <w:rPr>
                <w:sz w:val="20"/>
                <w:szCs w:val="20"/>
              </w:rPr>
              <w:t>.</w:t>
            </w:r>
            <w:r w:rsidRPr="00781F59">
              <w:rPr>
                <w:sz w:val="20"/>
                <w:szCs w:val="20"/>
              </w:rPr>
              <w:t xml:space="preserve"> American journal of public health; 104.e54.</w:t>
            </w:r>
          </w:p>
        </w:tc>
        <w:tc>
          <w:tcPr>
            <w:tcW w:w="0" w:type="auto"/>
            <w:tcBorders>
              <w:top w:val="single" w:sz="6" w:space="0" w:color="auto"/>
              <w:left w:val="single" w:sz="6" w:space="0" w:color="auto"/>
              <w:bottom w:val="single" w:sz="6" w:space="0" w:color="auto"/>
              <w:right w:val="single" w:sz="6" w:space="0" w:color="auto"/>
            </w:tcBorders>
            <w:hideMark/>
          </w:tcPr>
          <w:p w14:paraId="532429F7"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30DEC546"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24CFD01" w14:textId="77777777" w:rsidR="00EA69AA" w:rsidRPr="00781F59" w:rsidRDefault="00EA69AA" w:rsidP="00EA69AA">
            <w:pPr>
              <w:contextualSpacing/>
              <w:rPr>
                <w:sz w:val="20"/>
                <w:szCs w:val="20"/>
              </w:rPr>
            </w:pPr>
            <w:r w:rsidRPr="00781F59">
              <w:rPr>
                <w:sz w:val="20"/>
                <w:szCs w:val="20"/>
              </w:rPr>
              <w:t>509</w:t>
            </w:r>
          </w:p>
        </w:tc>
        <w:tc>
          <w:tcPr>
            <w:tcW w:w="0" w:type="auto"/>
            <w:tcBorders>
              <w:top w:val="single" w:sz="6" w:space="0" w:color="auto"/>
              <w:left w:val="single" w:sz="6" w:space="0" w:color="auto"/>
              <w:bottom w:val="single" w:sz="6" w:space="0" w:color="auto"/>
              <w:right w:val="single" w:sz="6" w:space="0" w:color="auto"/>
            </w:tcBorders>
            <w:hideMark/>
          </w:tcPr>
          <w:p w14:paraId="0E92FD49" w14:textId="4D76BFDE" w:rsidR="00EA69AA" w:rsidRPr="00781F59" w:rsidRDefault="00EA69AA" w:rsidP="00EA69AA">
            <w:pPr>
              <w:contextualSpacing/>
              <w:rPr>
                <w:sz w:val="20"/>
                <w:szCs w:val="20"/>
              </w:rPr>
            </w:pPr>
            <w:r w:rsidRPr="00781F59">
              <w:rPr>
                <w:sz w:val="20"/>
                <w:szCs w:val="20"/>
              </w:rPr>
              <w:t>Brian Rostron 2014 Menthol cigarette use and stroke risk among US smokers: a critical reappraisal</w:t>
            </w:r>
            <w:r w:rsidR="007F2F01">
              <w:rPr>
                <w:sz w:val="20"/>
                <w:szCs w:val="20"/>
              </w:rPr>
              <w:t>.</w:t>
            </w:r>
            <w:r w:rsidRPr="00781F59">
              <w:rPr>
                <w:sz w:val="20"/>
                <w:szCs w:val="20"/>
              </w:rPr>
              <w:t xml:space="preserve"> JAMA internal medicine; 174.808.</w:t>
            </w:r>
          </w:p>
        </w:tc>
        <w:tc>
          <w:tcPr>
            <w:tcW w:w="0" w:type="auto"/>
            <w:tcBorders>
              <w:top w:val="single" w:sz="6" w:space="0" w:color="auto"/>
              <w:left w:val="single" w:sz="6" w:space="0" w:color="auto"/>
              <w:bottom w:val="single" w:sz="6" w:space="0" w:color="auto"/>
              <w:right w:val="single" w:sz="6" w:space="0" w:color="auto"/>
            </w:tcBorders>
            <w:hideMark/>
          </w:tcPr>
          <w:p w14:paraId="380B9EFB"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2FC97AA0"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D42C9D8" w14:textId="77777777" w:rsidR="00EA69AA" w:rsidRPr="00781F59" w:rsidRDefault="00EA69AA" w:rsidP="00EA69AA">
            <w:pPr>
              <w:contextualSpacing/>
              <w:rPr>
                <w:sz w:val="20"/>
                <w:szCs w:val="20"/>
              </w:rPr>
            </w:pPr>
            <w:r w:rsidRPr="00781F59">
              <w:rPr>
                <w:sz w:val="20"/>
                <w:szCs w:val="20"/>
              </w:rPr>
              <w:t>510</w:t>
            </w:r>
          </w:p>
        </w:tc>
        <w:tc>
          <w:tcPr>
            <w:tcW w:w="0" w:type="auto"/>
            <w:tcBorders>
              <w:top w:val="single" w:sz="6" w:space="0" w:color="auto"/>
              <w:left w:val="single" w:sz="6" w:space="0" w:color="auto"/>
              <w:bottom w:val="single" w:sz="6" w:space="0" w:color="auto"/>
              <w:right w:val="single" w:sz="6" w:space="0" w:color="auto"/>
            </w:tcBorders>
            <w:hideMark/>
          </w:tcPr>
          <w:p w14:paraId="3646653F" w14:textId="5FAB78A5" w:rsidR="00EA69AA" w:rsidRPr="00781F59" w:rsidRDefault="00EA69AA" w:rsidP="00EA69AA">
            <w:pPr>
              <w:contextualSpacing/>
              <w:rPr>
                <w:sz w:val="20"/>
                <w:szCs w:val="20"/>
              </w:rPr>
            </w:pPr>
            <w:r w:rsidRPr="00781F59">
              <w:rPr>
                <w:sz w:val="20"/>
                <w:szCs w:val="20"/>
              </w:rPr>
              <w:t>Maria Jose Miguez-Burbano, Mayra Vargas, Clery Quiros, John E Lewis, Luis Espinoza, Asthana Deshratan 2014 Menthol cigarettes and the cardiovascular risks of people living with HIV</w:t>
            </w:r>
            <w:r w:rsidR="007F2F01">
              <w:rPr>
                <w:sz w:val="20"/>
                <w:szCs w:val="20"/>
              </w:rPr>
              <w:t>.</w:t>
            </w:r>
            <w:r w:rsidRPr="00781F59">
              <w:rPr>
                <w:sz w:val="20"/>
                <w:szCs w:val="20"/>
              </w:rPr>
              <w:t xml:space="preserve"> The Journal of the Association of Nurses in AIDS </w:t>
            </w:r>
            <w:proofErr w:type="gramStart"/>
            <w:r w:rsidRPr="00781F59">
              <w:rPr>
                <w:sz w:val="20"/>
                <w:szCs w:val="20"/>
              </w:rPr>
              <w:t>Care :</w:t>
            </w:r>
            <w:proofErr w:type="gramEnd"/>
            <w:r w:rsidRPr="00781F59">
              <w:rPr>
                <w:sz w:val="20"/>
                <w:szCs w:val="20"/>
              </w:rPr>
              <w:t xml:space="preserve"> JANAC; 25.427.</w:t>
            </w:r>
          </w:p>
        </w:tc>
        <w:tc>
          <w:tcPr>
            <w:tcW w:w="0" w:type="auto"/>
            <w:tcBorders>
              <w:top w:val="single" w:sz="6" w:space="0" w:color="auto"/>
              <w:left w:val="single" w:sz="6" w:space="0" w:color="auto"/>
              <w:bottom w:val="single" w:sz="6" w:space="0" w:color="auto"/>
              <w:right w:val="single" w:sz="6" w:space="0" w:color="auto"/>
            </w:tcBorders>
            <w:hideMark/>
          </w:tcPr>
          <w:p w14:paraId="45A6EC71"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1ABE474A"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F722237" w14:textId="77777777" w:rsidR="00EA69AA" w:rsidRPr="00781F59" w:rsidRDefault="00EA69AA" w:rsidP="00EA69AA">
            <w:pPr>
              <w:contextualSpacing/>
              <w:rPr>
                <w:sz w:val="20"/>
                <w:szCs w:val="20"/>
              </w:rPr>
            </w:pPr>
            <w:r w:rsidRPr="00781F59">
              <w:rPr>
                <w:sz w:val="20"/>
                <w:szCs w:val="20"/>
              </w:rPr>
              <w:t>511</w:t>
            </w:r>
          </w:p>
        </w:tc>
        <w:tc>
          <w:tcPr>
            <w:tcW w:w="0" w:type="auto"/>
            <w:tcBorders>
              <w:top w:val="single" w:sz="6" w:space="0" w:color="auto"/>
              <w:left w:val="single" w:sz="6" w:space="0" w:color="auto"/>
              <w:bottom w:val="single" w:sz="6" w:space="0" w:color="auto"/>
              <w:right w:val="single" w:sz="6" w:space="0" w:color="auto"/>
            </w:tcBorders>
            <w:hideMark/>
          </w:tcPr>
          <w:p w14:paraId="38978CDF" w14:textId="50403957" w:rsidR="00EA69AA" w:rsidRPr="00781F59" w:rsidRDefault="00EA69AA" w:rsidP="00EA69AA">
            <w:pPr>
              <w:contextualSpacing/>
              <w:rPr>
                <w:sz w:val="20"/>
                <w:szCs w:val="20"/>
              </w:rPr>
            </w:pPr>
            <w:r w:rsidRPr="00781F59">
              <w:rPr>
                <w:sz w:val="20"/>
                <w:szCs w:val="20"/>
              </w:rPr>
              <w:t>Olivia A Wackowski, Michelle T Bover Manderski, Cristine D Delnevo 2014 Young adults' behavioral intentions surrounding a potential menthol cigarette ban</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16.876.</w:t>
            </w:r>
          </w:p>
        </w:tc>
        <w:tc>
          <w:tcPr>
            <w:tcW w:w="0" w:type="auto"/>
            <w:tcBorders>
              <w:top w:val="single" w:sz="6" w:space="0" w:color="auto"/>
              <w:left w:val="single" w:sz="6" w:space="0" w:color="auto"/>
              <w:bottom w:val="single" w:sz="6" w:space="0" w:color="auto"/>
              <w:right w:val="single" w:sz="6" w:space="0" w:color="auto"/>
            </w:tcBorders>
            <w:hideMark/>
          </w:tcPr>
          <w:p w14:paraId="29040847"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4974BD96"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0C19DE7" w14:textId="77777777" w:rsidR="00EA69AA" w:rsidRPr="00781F59" w:rsidRDefault="00EA69AA" w:rsidP="00EA69AA">
            <w:pPr>
              <w:contextualSpacing/>
              <w:rPr>
                <w:sz w:val="20"/>
                <w:szCs w:val="20"/>
              </w:rPr>
            </w:pPr>
            <w:r w:rsidRPr="00781F59">
              <w:rPr>
                <w:sz w:val="20"/>
                <w:szCs w:val="20"/>
              </w:rPr>
              <w:t>514</w:t>
            </w:r>
          </w:p>
        </w:tc>
        <w:tc>
          <w:tcPr>
            <w:tcW w:w="0" w:type="auto"/>
            <w:tcBorders>
              <w:top w:val="single" w:sz="6" w:space="0" w:color="auto"/>
              <w:left w:val="single" w:sz="6" w:space="0" w:color="auto"/>
              <w:bottom w:val="single" w:sz="6" w:space="0" w:color="auto"/>
              <w:right w:val="single" w:sz="6" w:space="0" w:color="auto"/>
            </w:tcBorders>
            <w:hideMark/>
          </w:tcPr>
          <w:p w14:paraId="6ED36D59" w14:textId="4AE4B1EB" w:rsidR="00EA69AA" w:rsidRPr="00781F59" w:rsidRDefault="00EA69AA" w:rsidP="00EA69AA">
            <w:pPr>
              <w:contextualSpacing/>
              <w:rPr>
                <w:sz w:val="20"/>
                <w:szCs w:val="20"/>
              </w:rPr>
            </w:pPr>
            <w:r w:rsidRPr="00781F59">
              <w:rPr>
                <w:sz w:val="20"/>
                <w:szCs w:val="20"/>
              </w:rPr>
              <w:t>Monica Webb Hooper, Elizabeth A Baker, Marcia D McNutt 2014 Racial/Ethnic differences among smokers: revisited and expanded to help seekers</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16.621.</w:t>
            </w:r>
          </w:p>
        </w:tc>
        <w:tc>
          <w:tcPr>
            <w:tcW w:w="0" w:type="auto"/>
            <w:tcBorders>
              <w:top w:val="single" w:sz="6" w:space="0" w:color="auto"/>
              <w:left w:val="single" w:sz="6" w:space="0" w:color="auto"/>
              <w:bottom w:val="single" w:sz="6" w:space="0" w:color="auto"/>
              <w:right w:val="single" w:sz="6" w:space="0" w:color="auto"/>
            </w:tcBorders>
            <w:hideMark/>
          </w:tcPr>
          <w:p w14:paraId="4016E5A5"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5484AA8E"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E9A0ABF" w14:textId="77777777" w:rsidR="00EA69AA" w:rsidRPr="00781F59" w:rsidRDefault="00EA69AA" w:rsidP="00EA69AA">
            <w:pPr>
              <w:contextualSpacing/>
              <w:rPr>
                <w:sz w:val="20"/>
                <w:szCs w:val="20"/>
              </w:rPr>
            </w:pPr>
            <w:r w:rsidRPr="00781F59">
              <w:rPr>
                <w:sz w:val="20"/>
                <w:szCs w:val="20"/>
              </w:rPr>
              <w:t>517</w:t>
            </w:r>
          </w:p>
        </w:tc>
        <w:tc>
          <w:tcPr>
            <w:tcW w:w="0" w:type="auto"/>
            <w:tcBorders>
              <w:top w:val="single" w:sz="6" w:space="0" w:color="auto"/>
              <w:left w:val="single" w:sz="6" w:space="0" w:color="auto"/>
              <w:bottom w:val="single" w:sz="6" w:space="0" w:color="auto"/>
              <w:right w:val="single" w:sz="6" w:space="0" w:color="auto"/>
            </w:tcBorders>
            <w:hideMark/>
          </w:tcPr>
          <w:p w14:paraId="169B0067" w14:textId="428A731E" w:rsidR="00EA69AA" w:rsidRPr="00781F59" w:rsidRDefault="00EA69AA" w:rsidP="00EA69AA">
            <w:pPr>
              <w:contextualSpacing/>
              <w:rPr>
                <w:sz w:val="20"/>
                <w:szCs w:val="20"/>
              </w:rPr>
            </w:pPr>
            <w:r w:rsidRPr="00781F59">
              <w:rPr>
                <w:sz w:val="20"/>
                <w:szCs w:val="20"/>
              </w:rPr>
              <w:t>Cendrine D Robinson, Wallace B Pickworth, Stephen J Heishman, Andrew J Waters 2014 The acute tobacco withdrawal syndrome among black smokers</w:t>
            </w:r>
            <w:r w:rsidR="007F2F01">
              <w:rPr>
                <w:sz w:val="20"/>
                <w:szCs w:val="20"/>
              </w:rPr>
              <w:t>.</w:t>
            </w:r>
            <w:r w:rsidRPr="00781F59">
              <w:rPr>
                <w:sz w:val="20"/>
                <w:szCs w:val="20"/>
              </w:rPr>
              <w:t xml:space="preserve"> Psychology of addictive </w:t>
            </w:r>
            <w:proofErr w:type="gramStart"/>
            <w:r w:rsidRPr="00781F59">
              <w:rPr>
                <w:sz w:val="20"/>
                <w:szCs w:val="20"/>
              </w:rPr>
              <w:t>behaviors :</w:t>
            </w:r>
            <w:proofErr w:type="gramEnd"/>
            <w:r w:rsidRPr="00781F59">
              <w:rPr>
                <w:sz w:val="20"/>
                <w:szCs w:val="20"/>
              </w:rPr>
              <w:t xml:space="preserve"> journal of the Society of Psychologists in Addictive Behaviors; 28.173.</w:t>
            </w:r>
          </w:p>
        </w:tc>
        <w:tc>
          <w:tcPr>
            <w:tcW w:w="0" w:type="auto"/>
            <w:tcBorders>
              <w:top w:val="single" w:sz="6" w:space="0" w:color="auto"/>
              <w:left w:val="single" w:sz="6" w:space="0" w:color="auto"/>
              <w:bottom w:val="single" w:sz="6" w:space="0" w:color="auto"/>
              <w:right w:val="single" w:sz="6" w:space="0" w:color="auto"/>
            </w:tcBorders>
            <w:hideMark/>
          </w:tcPr>
          <w:p w14:paraId="536B400A"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2535251E"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08FEB26" w14:textId="77777777" w:rsidR="00EA69AA" w:rsidRPr="00781F59" w:rsidRDefault="00EA69AA" w:rsidP="00EA69AA">
            <w:pPr>
              <w:contextualSpacing/>
              <w:rPr>
                <w:sz w:val="20"/>
                <w:szCs w:val="20"/>
              </w:rPr>
            </w:pPr>
            <w:r w:rsidRPr="00781F59">
              <w:rPr>
                <w:sz w:val="20"/>
                <w:szCs w:val="20"/>
              </w:rPr>
              <w:t>525</w:t>
            </w:r>
          </w:p>
        </w:tc>
        <w:tc>
          <w:tcPr>
            <w:tcW w:w="0" w:type="auto"/>
            <w:tcBorders>
              <w:top w:val="single" w:sz="6" w:space="0" w:color="auto"/>
              <w:left w:val="single" w:sz="6" w:space="0" w:color="auto"/>
              <w:bottom w:val="single" w:sz="6" w:space="0" w:color="auto"/>
              <w:right w:val="single" w:sz="6" w:space="0" w:color="auto"/>
            </w:tcBorders>
            <w:hideMark/>
          </w:tcPr>
          <w:p w14:paraId="2C3CB0F3" w14:textId="546F0B35" w:rsidR="00EA69AA" w:rsidRPr="00781F59" w:rsidRDefault="00EA69AA" w:rsidP="00EA69AA">
            <w:pPr>
              <w:contextualSpacing/>
              <w:rPr>
                <w:sz w:val="20"/>
                <w:szCs w:val="20"/>
              </w:rPr>
            </w:pPr>
            <w:r w:rsidRPr="00781F59">
              <w:rPr>
                <w:sz w:val="20"/>
                <w:szCs w:val="20"/>
              </w:rPr>
              <w:t>Kymberle Sterling, Carla J Berg, Akilah N Thomas, Stanton A Glantz, Jasjit S Ahluwalia 2013 Factors associated with small cigar use among college students</w:t>
            </w:r>
            <w:r w:rsidR="007F2F01">
              <w:rPr>
                <w:sz w:val="20"/>
                <w:szCs w:val="20"/>
              </w:rPr>
              <w:t>.</w:t>
            </w:r>
            <w:r w:rsidRPr="00781F59">
              <w:rPr>
                <w:sz w:val="20"/>
                <w:szCs w:val="20"/>
              </w:rPr>
              <w:t xml:space="preserve"> American journal of health behavior; 37.325.</w:t>
            </w:r>
          </w:p>
        </w:tc>
        <w:tc>
          <w:tcPr>
            <w:tcW w:w="0" w:type="auto"/>
            <w:tcBorders>
              <w:top w:val="single" w:sz="6" w:space="0" w:color="auto"/>
              <w:left w:val="single" w:sz="6" w:space="0" w:color="auto"/>
              <w:bottom w:val="single" w:sz="6" w:space="0" w:color="auto"/>
              <w:right w:val="single" w:sz="6" w:space="0" w:color="auto"/>
            </w:tcBorders>
            <w:hideMark/>
          </w:tcPr>
          <w:p w14:paraId="2F5D3132"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252C4593"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2DDB8D8" w14:textId="77777777" w:rsidR="00EA69AA" w:rsidRPr="00781F59" w:rsidRDefault="00EA69AA" w:rsidP="00EA69AA">
            <w:pPr>
              <w:contextualSpacing/>
              <w:rPr>
                <w:sz w:val="20"/>
                <w:szCs w:val="20"/>
              </w:rPr>
            </w:pPr>
            <w:r w:rsidRPr="00781F59">
              <w:rPr>
                <w:sz w:val="20"/>
                <w:szCs w:val="20"/>
              </w:rPr>
              <w:lastRenderedPageBreak/>
              <w:t>526</w:t>
            </w:r>
          </w:p>
        </w:tc>
        <w:tc>
          <w:tcPr>
            <w:tcW w:w="0" w:type="auto"/>
            <w:tcBorders>
              <w:top w:val="single" w:sz="6" w:space="0" w:color="auto"/>
              <w:left w:val="single" w:sz="6" w:space="0" w:color="auto"/>
              <w:bottom w:val="single" w:sz="6" w:space="0" w:color="auto"/>
              <w:right w:val="single" w:sz="6" w:space="0" w:color="auto"/>
            </w:tcBorders>
            <w:hideMark/>
          </w:tcPr>
          <w:p w14:paraId="0F08F680" w14:textId="430DCAC4" w:rsidR="00EA69AA" w:rsidRPr="00781F59" w:rsidRDefault="00EA69AA" w:rsidP="00EA69AA">
            <w:pPr>
              <w:contextualSpacing/>
              <w:rPr>
                <w:sz w:val="20"/>
                <w:szCs w:val="20"/>
              </w:rPr>
            </w:pPr>
            <w:r w:rsidRPr="00781F59">
              <w:rPr>
                <w:sz w:val="20"/>
                <w:szCs w:val="20"/>
              </w:rPr>
              <w:t>Mike Mitka 2013 FDA might consider restrictions on menthol cigarettes</w:t>
            </w:r>
            <w:r w:rsidR="007F2F01">
              <w:rPr>
                <w:sz w:val="20"/>
                <w:szCs w:val="20"/>
              </w:rPr>
              <w:t>.</w:t>
            </w:r>
            <w:r w:rsidRPr="00781F59">
              <w:rPr>
                <w:sz w:val="20"/>
                <w:szCs w:val="20"/>
              </w:rPr>
              <w:t xml:space="preserve"> JAMA; 310.784.</w:t>
            </w:r>
          </w:p>
        </w:tc>
        <w:tc>
          <w:tcPr>
            <w:tcW w:w="0" w:type="auto"/>
            <w:tcBorders>
              <w:top w:val="single" w:sz="6" w:space="0" w:color="auto"/>
              <w:left w:val="single" w:sz="6" w:space="0" w:color="auto"/>
              <w:bottom w:val="single" w:sz="6" w:space="0" w:color="auto"/>
              <w:right w:val="single" w:sz="6" w:space="0" w:color="auto"/>
            </w:tcBorders>
            <w:hideMark/>
          </w:tcPr>
          <w:p w14:paraId="65E534ED" w14:textId="77777777" w:rsidR="00EA69AA" w:rsidRPr="00781F59" w:rsidRDefault="00EA69AA" w:rsidP="00EA69AA">
            <w:pPr>
              <w:contextualSpacing/>
              <w:rPr>
                <w:sz w:val="20"/>
                <w:szCs w:val="20"/>
              </w:rPr>
            </w:pPr>
            <w:r w:rsidRPr="00781F59">
              <w:rPr>
                <w:sz w:val="20"/>
                <w:szCs w:val="20"/>
              </w:rPr>
              <w:t>Not original research / data</w:t>
            </w:r>
          </w:p>
        </w:tc>
      </w:tr>
      <w:tr w:rsidR="00EA69AA" w:rsidRPr="00781F59" w14:paraId="7DD05914"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E75CF8D" w14:textId="77777777" w:rsidR="00EA69AA" w:rsidRPr="00781F59" w:rsidRDefault="00EA69AA" w:rsidP="00EA69AA">
            <w:pPr>
              <w:contextualSpacing/>
              <w:rPr>
                <w:sz w:val="20"/>
                <w:szCs w:val="20"/>
              </w:rPr>
            </w:pPr>
            <w:r w:rsidRPr="00781F59">
              <w:rPr>
                <w:sz w:val="20"/>
                <w:szCs w:val="20"/>
              </w:rPr>
              <w:t>531</w:t>
            </w:r>
          </w:p>
        </w:tc>
        <w:tc>
          <w:tcPr>
            <w:tcW w:w="0" w:type="auto"/>
            <w:tcBorders>
              <w:top w:val="single" w:sz="6" w:space="0" w:color="auto"/>
              <w:left w:val="single" w:sz="6" w:space="0" w:color="auto"/>
              <w:bottom w:val="single" w:sz="6" w:space="0" w:color="auto"/>
              <w:right w:val="single" w:sz="6" w:space="0" w:color="auto"/>
            </w:tcBorders>
            <w:hideMark/>
          </w:tcPr>
          <w:p w14:paraId="78A82212" w14:textId="0328AB3B" w:rsidR="00EA69AA" w:rsidRPr="00781F59" w:rsidRDefault="00EA69AA" w:rsidP="00EA69AA">
            <w:pPr>
              <w:contextualSpacing/>
              <w:rPr>
                <w:sz w:val="20"/>
                <w:szCs w:val="20"/>
              </w:rPr>
            </w:pPr>
            <w:r w:rsidRPr="00781F59">
              <w:rPr>
                <w:sz w:val="20"/>
                <w:szCs w:val="20"/>
              </w:rPr>
              <w:t>Andrea C Villanti, Amanda Richardson, Donna M Vallone, Jessica M Rath 2013 Flavored tobacco product use among U.S. young adults</w:t>
            </w:r>
            <w:r w:rsidR="007F2F01">
              <w:rPr>
                <w:sz w:val="20"/>
                <w:szCs w:val="20"/>
              </w:rPr>
              <w:t>.</w:t>
            </w:r>
            <w:r w:rsidRPr="00781F59">
              <w:rPr>
                <w:sz w:val="20"/>
                <w:szCs w:val="20"/>
              </w:rPr>
              <w:t xml:space="preserve"> American journal of preventive medicine; 44.388.</w:t>
            </w:r>
          </w:p>
        </w:tc>
        <w:tc>
          <w:tcPr>
            <w:tcW w:w="0" w:type="auto"/>
            <w:tcBorders>
              <w:top w:val="single" w:sz="6" w:space="0" w:color="auto"/>
              <w:left w:val="single" w:sz="6" w:space="0" w:color="auto"/>
              <w:bottom w:val="single" w:sz="6" w:space="0" w:color="auto"/>
              <w:right w:val="single" w:sz="6" w:space="0" w:color="auto"/>
            </w:tcBorders>
            <w:hideMark/>
          </w:tcPr>
          <w:p w14:paraId="6530022D"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44D2F19D"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CF64136" w14:textId="77777777" w:rsidR="00EA69AA" w:rsidRPr="00781F59" w:rsidRDefault="00EA69AA" w:rsidP="00EA69AA">
            <w:pPr>
              <w:contextualSpacing/>
              <w:rPr>
                <w:sz w:val="20"/>
                <w:szCs w:val="20"/>
              </w:rPr>
            </w:pPr>
            <w:r w:rsidRPr="00781F59">
              <w:rPr>
                <w:sz w:val="20"/>
                <w:szCs w:val="20"/>
              </w:rPr>
              <w:t>532</w:t>
            </w:r>
          </w:p>
        </w:tc>
        <w:tc>
          <w:tcPr>
            <w:tcW w:w="0" w:type="auto"/>
            <w:tcBorders>
              <w:top w:val="single" w:sz="6" w:space="0" w:color="auto"/>
              <w:left w:val="single" w:sz="6" w:space="0" w:color="auto"/>
              <w:bottom w:val="single" w:sz="6" w:space="0" w:color="auto"/>
              <w:right w:val="single" w:sz="6" w:space="0" w:color="auto"/>
            </w:tcBorders>
            <w:hideMark/>
          </w:tcPr>
          <w:p w14:paraId="4E3092A7" w14:textId="4A3DAABC" w:rsidR="00EA69AA" w:rsidRPr="00781F59" w:rsidRDefault="00EA69AA" w:rsidP="00EA69AA">
            <w:pPr>
              <w:contextualSpacing/>
              <w:rPr>
                <w:sz w:val="20"/>
                <w:szCs w:val="20"/>
              </w:rPr>
            </w:pPr>
            <w:r w:rsidRPr="00781F59">
              <w:rPr>
                <w:sz w:val="20"/>
                <w:szCs w:val="20"/>
              </w:rPr>
              <w:t>Juliet P Lee, Sharon Lipperman-Kreda, Sang Saephan, Sean Kirkpatrick 2013 Tobacco environment for Southeast Asian American youth: results from a participatory research project</w:t>
            </w:r>
            <w:r w:rsidR="007F2F01">
              <w:rPr>
                <w:sz w:val="20"/>
                <w:szCs w:val="20"/>
              </w:rPr>
              <w:t>.</w:t>
            </w:r>
            <w:r w:rsidRPr="00781F59">
              <w:rPr>
                <w:sz w:val="20"/>
                <w:szCs w:val="20"/>
              </w:rPr>
              <w:t xml:space="preserve"> Journal of ethnicity in substance abuse; 12.30.</w:t>
            </w:r>
          </w:p>
        </w:tc>
        <w:tc>
          <w:tcPr>
            <w:tcW w:w="0" w:type="auto"/>
            <w:tcBorders>
              <w:top w:val="single" w:sz="6" w:space="0" w:color="auto"/>
              <w:left w:val="single" w:sz="6" w:space="0" w:color="auto"/>
              <w:bottom w:val="single" w:sz="6" w:space="0" w:color="auto"/>
              <w:right w:val="single" w:sz="6" w:space="0" w:color="auto"/>
            </w:tcBorders>
            <w:hideMark/>
          </w:tcPr>
          <w:p w14:paraId="3876E8EF"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6DA5EA44"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B8BF73D" w14:textId="77777777" w:rsidR="00EA69AA" w:rsidRPr="00781F59" w:rsidRDefault="00EA69AA" w:rsidP="00EA69AA">
            <w:pPr>
              <w:contextualSpacing/>
              <w:rPr>
                <w:sz w:val="20"/>
                <w:szCs w:val="20"/>
              </w:rPr>
            </w:pPr>
            <w:r w:rsidRPr="00781F59">
              <w:rPr>
                <w:sz w:val="20"/>
                <w:szCs w:val="20"/>
              </w:rPr>
              <w:t>533</w:t>
            </w:r>
          </w:p>
        </w:tc>
        <w:tc>
          <w:tcPr>
            <w:tcW w:w="0" w:type="auto"/>
            <w:tcBorders>
              <w:top w:val="single" w:sz="6" w:space="0" w:color="auto"/>
              <w:left w:val="single" w:sz="6" w:space="0" w:color="auto"/>
              <w:bottom w:val="single" w:sz="6" w:space="0" w:color="auto"/>
              <w:right w:val="single" w:sz="6" w:space="0" w:color="auto"/>
            </w:tcBorders>
            <w:hideMark/>
          </w:tcPr>
          <w:p w14:paraId="7398CBE1" w14:textId="3ACBBFE6" w:rsidR="00EA69AA" w:rsidRPr="00781F59" w:rsidRDefault="00EA69AA" w:rsidP="00EA69AA">
            <w:pPr>
              <w:contextualSpacing/>
              <w:rPr>
                <w:sz w:val="20"/>
                <w:szCs w:val="20"/>
              </w:rPr>
            </w:pPr>
            <w:r w:rsidRPr="00781F59">
              <w:rPr>
                <w:sz w:val="20"/>
                <w:szCs w:val="20"/>
              </w:rPr>
              <w:t>Amanda L Dauphinee, Juliana R Doxey, Nina C Schleicher, Stephen P Fortmann, Lisa Henriksen 2013 Racial differences in cigarette brand recognition and impact on youth smoking</w:t>
            </w:r>
            <w:r w:rsidR="007F2F01">
              <w:rPr>
                <w:sz w:val="20"/>
                <w:szCs w:val="20"/>
              </w:rPr>
              <w:t>.</w:t>
            </w:r>
            <w:r w:rsidRPr="00781F59">
              <w:rPr>
                <w:sz w:val="20"/>
                <w:szCs w:val="20"/>
              </w:rPr>
              <w:t xml:space="preserve"> BMC public health; 13.170.</w:t>
            </w:r>
          </w:p>
        </w:tc>
        <w:tc>
          <w:tcPr>
            <w:tcW w:w="0" w:type="auto"/>
            <w:tcBorders>
              <w:top w:val="single" w:sz="6" w:space="0" w:color="auto"/>
              <w:left w:val="single" w:sz="6" w:space="0" w:color="auto"/>
              <w:bottom w:val="single" w:sz="6" w:space="0" w:color="auto"/>
              <w:right w:val="single" w:sz="6" w:space="0" w:color="auto"/>
            </w:tcBorders>
            <w:hideMark/>
          </w:tcPr>
          <w:p w14:paraId="47D26628" w14:textId="77777777" w:rsidR="00EA69AA" w:rsidRPr="00781F59" w:rsidRDefault="00EA69AA" w:rsidP="00EA69AA">
            <w:pPr>
              <w:contextualSpacing/>
              <w:rPr>
                <w:sz w:val="20"/>
                <w:szCs w:val="20"/>
              </w:rPr>
            </w:pPr>
            <w:r w:rsidRPr="00781F59">
              <w:rPr>
                <w:sz w:val="20"/>
                <w:szCs w:val="20"/>
              </w:rPr>
              <w:t>Does not address a KQ</w:t>
            </w:r>
          </w:p>
        </w:tc>
      </w:tr>
      <w:tr w:rsidR="00EA69AA" w:rsidRPr="00ED5FCD" w14:paraId="7D0E2E39"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1191576" w14:textId="77777777" w:rsidR="00EA69AA" w:rsidRPr="00781F59" w:rsidRDefault="00EA69AA" w:rsidP="00EA69AA">
            <w:pPr>
              <w:contextualSpacing/>
              <w:rPr>
                <w:sz w:val="20"/>
                <w:szCs w:val="20"/>
              </w:rPr>
            </w:pPr>
            <w:r w:rsidRPr="00781F59">
              <w:rPr>
                <w:sz w:val="20"/>
                <w:szCs w:val="20"/>
              </w:rPr>
              <w:t>534</w:t>
            </w:r>
          </w:p>
        </w:tc>
        <w:tc>
          <w:tcPr>
            <w:tcW w:w="0" w:type="auto"/>
            <w:tcBorders>
              <w:top w:val="single" w:sz="6" w:space="0" w:color="auto"/>
              <w:left w:val="single" w:sz="6" w:space="0" w:color="auto"/>
              <w:bottom w:val="single" w:sz="6" w:space="0" w:color="auto"/>
              <w:right w:val="single" w:sz="6" w:space="0" w:color="auto"/>
            </w:tcBorders>
            <w:hideMark/>
          </w:tcPr>
          <w:p w14:paraId="0A5912EE" w14:textId="358D9D9E" w:rsidR="00EA69AA" w:rsidRPr="00781F59" w:rsidRDefault="00EA69AA" w:rsidP="00EA69AA">
            <w:pPr>
              <w:contextualSpacing/>
              <w:rPr>
                <w:sz w:val="20"/>
                <w:szCs w:val="20"/>
              </w:rPr>
            </w:pPr>
            <w:r w:rsidRPr="00781F59">
              <w:rPr>
                <w:sz w:val="20"/>
                <w:szCs w:val="20"/>
              </w:rPr>
              <w:t>Andrew A Strasser, Rebecca L Ashare, Madeline Kaufman, Kathy Z Tang, A Clementina Mesaros, Ian A Blair 2013 The effect of menthol on cigarette smoking behaviors, biomarkers and subjective responses</w:t>
            </w:r>
            <w:r w:rsidR="007F2F01">
              <w:rPr>
                <w:sz w:val="20"/>
                <w:szCs w:val="20"/>
              </w:rPr>
              <w:t>.</w:t>
            </w:r>
            <w:r w:rsidRPr="00781F59">
              <w:rPr>
                <w:sz w:val="20"/>
                <w:szCs w:val="20"/>
              </w:rPr>
              <w:t xml:space="preserve"> Cancer epidemiology, biomarkers &amp; </w:t>
            </w:r>
            <w:proofErr w:type="gramStart"/>
            <w:r w:rsidRPr="00781F59">
              <w:rPr>
                <w:sz w:val="20"/>
                <w:szCs w:val="20"/>
              </w:rPr>
              <w:t>prevention :</w:t>
            </w:r>
            <w:proofErr w:type="gramEnd"/>
            <w:r w:rsidRPr="00781F59">
              <w:rPr>
                <w:sz w:val="20"/>
                <w:szCs w:val="20"/>
              </w:rPr>
              <w:t xml:space="preserve"> a publication of the American Association for Cancer Research, cosponsored by the American Society of Preventive Oncology; 22.382.</w:t>
            </w:r>
          </w:p>
        </w:tc>
        <w:tc>
          <w:tcPr>
            <w:tcW w:w="0" w:type="auto"/>
            <w:tcBorders>
              <w:top w:val="single" w:sz="6" w:space="0" w:color="auto"/>
              <w:left w:val="single" w:sz="6" w:space="0" w:color="auto"/>
              <w:bottom w:val="single" w:sz="6" w:space="0" w:color="auto"/>
              <w:right w:val="single" w:sz="6" w:space="0" w:color="auto"/>
            </w:tcBorders>
            <w:hideMark/>
          </w:tcPr>
          <w:p w14:paraId="1637FDBE" w14:textId="77777777" w:rsidR="00EA69AA" w:rsidRPr="00EA69AA" w:rsidRDefault="00EA69AA" w:rsidP="00EA69AA">
            <w:pPr>
              <w:contextualSpacing/>
              <w:rPr>
                <w:sz w:val="20"/>
                <w:szCs w:val="20"/>
                <w:lang w:val="fr-FR"/>
              </w:rPr>
            </w:pPr>
            <w:r w:rsidRPr="00EA69AA">
              <w:rPr>
                <w:sz w:val="20"/>
                <w:szCs w:val="20"/>
                <w:lang w:val="fr-FR"/>
              </w:rPr>
              <w:t>Ineligible comparison (menthol vs non)</w:t>
            </w:r>
          </w:p>
        </w:tc>
      </w:tr>
      <w:tr w:rsidR="00EA69AA" w:rsidRPr="00781F59" w14:paraId="5ECFFBF7"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410367F" w14:textId="77777777" w:rsidR="00EA69AA" w:rsidRPr="00781F59" w:rsidRDefault="00EA69AA" w:rsidP="00EA69AA">
            <w:pPr>
              <w:contextualSpacing/>
              <w:rPr>
                <w:sz w:val="20"/>
                <w:szCs w:val="20"/>
              </w:rPr>
            </w:pPr>
            <w:r w:rsidRPr="00781F59">
              <w:rPr>
                <w:sz w:val="20"/>
                <w:szCs w:val="20"/>
              </w:rPr>
              <w:t>535</w:t>
            </w:r>
          </w:p>
        </w:tc>
        <w:tc>
          <w:tcPr>
            <w:tcW w:w="0" w:type="auto"/>
            <w:tcBorders>
              <w:top w:val="single" w:sz="6" w:space="0" w:color="auto"/>
              <w:left w:val="single" w:sz="6" w:space="0" w:color="auto"/>
              <w:bottom w:val="single" w:sz="6" w:space="0" w:color="auto"/>
              <w:right w:val="single" w:sz="6" w:space="0" w:color="auto"/>
            </w:tcBorders>
            <w:hideMark/>
          </w:tcPr>
          <w:p w14:paraId="1D076E4C" w14:textId="14E47FAE" w:rsidR="00EA69AA" w:rsidRPr="00781F59" w:rsidRDefault="00EA69AA" w:rsidP="00EA69AA">
            <w:pPr>
              <w:contextualSpacing/>
              <w:rPr>
                <w:sz w:val="20"/>
                <w:szCs w:val="20"/>
              </w:rPr>
            </w:pPr>
            <w:r w:rsidRPr="00781F59">
              <w:rPr>
                <w:sz w:val="20"/>
                <w:szCs w:val="20"/>
              </w:rPr>
              <w:t>Alicia K Matthews, Megan Conrad, Lisa Kuhns, Maria Vargas, Andrea C King 2013 Project Exhale: preliminary evaluation of a tailored smoking cessation treatment for HIV-positive African American smokers</w:t>
            </w:r>
            <w:r w:rsidR="007F2F01">
              <w:rPr>
                <w:sz w:val="20"/>
                <w:szCs w:val="20"/>
              </w:rPr>
              <w:t>.</w:t>
            </w:r>
            <w:r w:rsidRPr="00781F59">
              <w:rPr>
                <w:sz w:val="20"/>
                <w:szCs w:val="20"/>
              </w:rPr>
              <w:t xml:space="preserve"> AIDS patient care and STDs; 27.22.</w:t>
            </w:r>
          </w:p>
        </w:tc>
        <w:tc>
          <w:tcPr>
            <w:tcW w:w="0" w:type="auto"/>
            <w:tcBorders>
              <w:top w:val="single" w:sz="6" w:space="0" w:color="auto"/>
              <w:left w:val="single" w:sz="6" w:space="0" w:color="auto"/>
              <w:bottom w:val="single" w:sz="6" w:space="0" w:color="auto"/>
              <w:right w:val="single" w:sz="6" w:space="0" w:color="auto"/>
            </w:tcBorders>
            <w:hideMark/>
          </w:tcPr>
          <w:p w14:paraId="411F0A03"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574D6314"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C021BA1" w14:textId="77777777" w:rsidR="00EA69AA" w:rsidRPr="00781F59" w:rsidRDefault="00EA69AA" w:rsidP="00EA69AA">
            <w:pPr>
              <w:contextualSpacing/>
              <w:rPr>
                <w:sz w:val="20"/>
                <w:szCs w:val="20"/>
              </w:rPr>
            </w:pPr>
            <w:r w:rsidRPr="00781F59">
              <w:rPr>
                <w:sz w:val="20"/>
                <w:szCs w:val="20"/>
              </w:rPr>
              <w:t>543</w:t>
            </w:r>
          </w:p>
        </w:tc>
        <w:tc>
          <w:tcPr>
            <w:tcW w:w="0" w:type="auto"/>
            <w:tcBorders>
              <w:top w:val="single" w:sz="6" w:space="0" w:color="auto"/>
              <w:left w:val="single" w:sz="6" w:space="0" w:color="auto"/>
              <w:bottom w:val="single" w:sz="6" w:space="0" w:color="auto"/>
              <w:right w:val="single" w:sz="6" w:space="0" w:color="auto"/>
            </w:tcBorders>
            <w:hideMark/>
          </w:tcPr>
          <w:p w14:paraId="27EAD4B8" w14:textId="1D03026A" w:rsidR="00EA69AA" w:rsidRPr="00781F59" w:rsidRDefault="00EA69AA" w:rsidP="00EA69AA">
            <w:pPr>
              <w:contextualSpacing/>
              <w:rPr>
                <w:sz w:val="20"/>
                <w:szCs w:val="20"/>
              </w:rPr>
            </w:pPr>
            <w:r w:rsidRPr="00781F59">
              <w:rPr>
                <w:sz w:val="20"/>
                <w:szCs w:val="20"/>
              </w:rPr>
              <w:t>V Blair Journigan, Nurulain T Zaveri 2013 TRPM8 ion channel ligands for new therapeutic applications and as probes to study menthol pharmacology</w:t>
            </w:r>
            <w:r w:rsidR="007F2F01">
              <w:rPr>
                <w:sz w:val="20"/>
                <w:szCs w:val="20"/>
              </w:rPr>
              <w:t>.</w:t>
            </w:r>
            <w:r w:rsidRPr="00781F59">
              <w:rPr>
                <w:sz w:val="20"/>
                <w:szCs w:val="20"/>
              </w:rPr>
              <w:t xml:space="preserve"> Life sciences; 92.425.</w:t>
            </w:r>
          </w:p>
        </w:tc>
        <w:tc>
          <w:tcPr>
            <w:tcW w:w="0" w:type="auto"/>
            <w:tcBorders>
              <w:top w:val="single" w:sz="6" w:space="0" w:color="auto"/>
              <w:left w:val="single" w:sz="6" w:space="0" w:color="auto"/>
              <w:bottom w:val="single" w:sz="6" w:space="0" w:color="auto"/>
              <w:right w:val="single" w:sz="6" w:space="0" w:color="auto"/>
            </w:tcBorders>
            <w:hideMark/>
          </w:tcPr>
          <w:p w14:paraId="76EF599A"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4149EC3D"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EDED31A" w14:textId="77777777" w:rsidR="00EA69AA" w:rsidRPr="00781F59" w:rsidRDefault="00EA69AA" w:rsidP="00EA69AA">
            <w:pPr>
              <w:contextualSpacing/>
              <w:rPr>
                <w:sz w:val="20"/>
                <w:szCs w:val="20"/>
              </w:rPr>
            </w:pPr>
            <w:r w:rsidRPr="00781F59">
              <w:rPr>
                <w:sz w:val="20"/>
                <w:szCs w:val="20"/>
              </w:rPr>
              <w:t>551</w:t>
            </w:r>
          </w:p>
        </w:tc>
        <w:tc>
          <w:tcPr>
            <w:tcW w:w="0" w:type="auto"/>
            <w:tcBorders>
              <w:top w:val="single" w:sz="6" w:space="0" w:color="auto"/>
              <w:left w:val="single" w:sz="6" w:space="0" w:color="auto"/>
              <w:bottom w:val="single" w:sz="6" w:space="0" w:color="auto"/>
              <w:right w:val="single" w:sz="6" w:space="0" w:color="auto"/>
            </w:tcBorders>
            <w:hideMark/>
          </w:tcPr>
          <w:p w14:paraId="5555684E" w14:textId="17806BEF" w:rsidR="00EA69AA" w:rsidRPr="00781F59" w:rsidRDefault="00EA69AA" w:rsidP="00EA69AA">
            <w:pPr>
              <w:contextualSpacing/>
              <w:rPr>
                <w:sz w:val="20"/>
                <w:szCs w:val="20"/>
              </w:rPr>
            </w:pPr>
            <w:r w:rsidRPr="00781F59">
              <w:rPr>
                <w:sz w:val="20"/>
                <w:szCs w:val="20"/>
              </w:rPr>
              <w:t>Louise Marsh, Rob McGee, Andrew Gray 2012 A refreshing poison: one-quarter of young New Zealand smokers choose menthol</w:t>
            </w:r>
            <w:r w:rsidR="007F2F01">
              <w:rPr>
                <w:sz w:val="20"/>
                <w:szCs w:val="20"/>
              </w:rPr>
              <w:t>.</w:t>
            </w:r>
            <w:r w:rsidRPr="00781F59">
              <w:rPr>
                <w:sz w:val="20"/>
                <w:szCs w:val="20"/>
              </w:rPr>
              <w:t xml:space="preserve"> Australian and New Zealand journal of public health; 36.495.</w:t>
            </w:r>
          </w:p>
        </w:tc>
        <w:tc>
          <w:tcPr>
            <w:tcW w:w="0" w:type="auto"/>
            <w:tcBorders>
              <w:top w:val="single" w:sz="6" w:space="0" w:color="auto"/>
              <w:left w:val="single" w:sz="6" w:space="0" w:color="auto"/>
              <w:bottom w:val="single" w:sz="6" w:space="0" w:color="auto"/>
              <w:right w:val="single" w:sz="6" w:space="0" w:color="auto"/>
            </w:tcBorders>
            <w:hideMark/>
          </w:tcPr>
          <w:p w14:paraId="488F6CB3" w14:textId="77777777" w:rsidR="00EA69AA" w:rsidRPr="00781F59" w:rsidRDefault="00EA69AA" w:rsidP="00EA69AA">
            <w:pPr>
              <w:contextualSpacing/>
              <w:rPr>
                <w:sz w:val="20"/>
                <w:szCs w:val="20"/>
              </w:rPr>
            </w:pPr>
            <w:r w:rsidRPr="00781F59">
              <w:rPr>
                <w:sz w:val="20"/>
                <w:szCs w:val="20"/>
              </w:rPr>
              <w:t>Ineligible population (not U.S., not humans)</w:t>
            </w:r>
          </w:p>
        </w:tc>
      </w:tr>
      <w:tr w:rsidR="00EA69AA" w:rsidRPr="00781F59" w14:paraId="2F62998C"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BF8B880" w14:textId="77777777" w:rsidR="00EA69AA" w:rsidRPr="00781F59" w:rsidRDefault="00EA69AA" w:rsidP="00EA69AA">
            <w:pPr>
              <w:contextualSpacing/>
              <w:rPr>
                <w:sz w:val="20"/>
                <w:szCs w:val="20"/>
              </w:rPr>
            </w:pPr>
            <w:r w:rsidRPr="00781F59">
              <w:rPr>
                <w:sz w:val="20"/>
                <w:szCs w:val="20"/>
              </w:rPr>
              <w:t>554</w:t>
            </w:r>
          </w:p>
        </w:tc>
        <w:tc>
          <w:tcPr>
            <w:tcW w:w="0" w:type="auto"/>
            <w:tcBorders>
              <w:top w:val="single" w:sz="6" w:space="0" w:color="auto"/>
              <w:left w:val="single" w:sz="6" w:space="0" w:color="auto"/>
              <w:bottom w:val="single" w:sz="6" w:space="0" w:color="auto"/>
              <w:right w:val="single" w:sz="6" w:space="0" w:color="auto"/>
            </w:tcBorders>
            <w:hideMark/>
          </w:tcPr>
          <w:p w14:paraId="1FCAE643" w14:textId="34B977FB" w:rsidR="00EA69AA" w:rsidRPr="00781F59" w:rsidRDefault="00EA69AA" w:rsidP="00EA69AA">
            <w:pPr>
              <w:contextualSpacing/>
              <w:rPr>
                <w:sz w:val="20"/>
                <w:szCs w:val="20"/>
              </w:rPr>
            </w:pPr>
            <w:r w:rsidRPr="00781F59">
              <w:rPr>
                <w:sz w:val="20"/>
                <w:szCs w:val="20"/>
              </w:rPr>
              <w:t>Peter N Lee, Barbara A Forey, Katharine J Coombs 2012 Systematic review with meta-analysis of the epidemiological evidence in the 1900s relating smoking to lung cancer</w:t>
            </w:r>
            <w:r w:rsidR="007F2F01">
              <w:rPr>
                <w:sz w:val="20"/>
                <w:szCs w:val="20"/>
              </w:rPr>
              <w:t>.</w:t>
            </w:r>
            <w:r w:rsidRPr="00781F59">
              <w:rPr>
                <w:sz w:val="20"/>
                <w:szCs w:val="20"/>
              </w:rPr>
              <w:t xml:space="preserve"> BMC cancer; 12.385.</w:t>
            </w:r>
          </w:p>
        </w:tc>
        <w:tc>
          <w:tcPr>
            <w:tcW w:w="0" w:type="auto"/>
            <w:tcBorders>
              <w:top w:val="single" w:sz="6" w:space="0" w:color="auto"/>
              <w:left w:val="single" w:sz="6" w:space="0" w:color="auto"/>
              <w:bottom w:val="single" w:sz="6" w:space="0" w:color="auto"/>
              <w:right w:val="single" w:sz="6" w:space="0" w:color="auto"/>
            </w:tcBorders>
            <w:hideMark/>
          </w:tcPr>
          <w:p w14:paraId="45F0510F"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7989ACAF"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4A95551" w14:textId="77777777" w:rsidR="00EA69AA" w:rsidRPr="00781F59" w:rsidRDefault="00EA69AA" w:rsidP="00EA69AA">
            <w:pPr>
              <w:contextualSpacing/>
              <w:rPr>
                <w:sz w:val="20"/>
                <w:szCs w:val="20"/>
              </w:rPr>
            </w:pPr>
            <w:r w:rsidRPr="00781F59">
              <w:rPr>
                <w:sz w:val="20"/>
                <w:szCs w:val="20"/>
              </w:rPr>
              <w:t>557</w:t>
            </w:r>
          </w:p>
        </w:tc>
        <w:tc>
          <w:tcPr>
            <w:tcW w:w="0" w:type="auto"/>
            <w:tcBorders>
              <w:top w:val="single" w:sz="6" w:space="0" w:color="auto"/>
              <w:left w:val="single" w:sz="6" w:space="0" w:color="auto"/>
              <w:bottom w:val="single" w:sz="6" w:space="0" w:color="auto"/>
              <w:right w:val="single" w:sz="6" w:space="0" w:color="auto"/>
            </w:tcBorders>
            <w:hideMark/>
          </w:tcPr>
          <w:p w14:paraId="1F3AECE1" w14:textId="4A3CAEF3" w:rsidR="00EA69AA" w:rsidRPr="00781F59" w:rsidRDefault="00EA69AA" w:rsidP="00EA69AA">
            <w:pPr>
              <w:contextualSpacing/>
              <w:rPr>
                <w:sz w:val="20"/>
                <w:szCs w:val="20"/>
              </w:rPr>
            </w:pPr>
            <w:r w:rsidRPr="00781F59">
              <w:rPr>
                <w:sz w:val="20"/>
                <w:szCs w:val="20"/>
              </w:rPr>
              <w:t>Alex Cabrera-Serrano, Miriam V Ramos-Colon, Abraham Rivera-Alvarado, Antonio Cases-Rosario, Jessica Irizarry Ramos 2012 Descriptive profile of people with diabetes who use the Puerto Rico Quitline</w:t>
            </w:r>
            <w:r w:rsidR="007F2F01">
              <w:rPr>
                <w:sz w:val="20"/>
                <w:szCs w:val="20"/>
              </w:rPr>
              <w:t>.</w:t>
            </w:r>
            <w:r w:rsidRPr="00781F59">
              <w:rPr>
                <w:sz w:val="20"/>
                <w:szCs w:val="20"/>
              </w:rPr>
              <w:t xml:space="preserve"> Ethnicity &amp; disease; 22.45.</w:t>
            </w:r>
          </w:p>
        </w:tc>
        <w:tc>
          <w:tcPr>
            <w:tcW w:w="0" w:type="auto"/>
            <w:tcBorders>
              <w:top w:val="single" w:sz="6" w:space="0" w:color="auto"/>
              <w:left w:val="single" w:sz="6" w:space="0" w:color="auto"/>
              <w:bottom w:val="single" w:sz="6" w:space="0" w:color="auto"/>
              <w:right w:val="single" w:sz="6" w:space="0" w:color="auto"/>
            </w:tcBorders>
            <w:hideMark/>
          </w:tcPr>
          <w:p w14:paraId="329E2F4F"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765F4AB5"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1B29E40" w14:textId="77777777" w:rsidR="00EA69AA" w:rsidRPr="00781F59" w:rsidRDefault="00EA69AA" w:rsidP="00EA69AA">
            <w:pPr>
              <w:contextualSpacing/>
              <w:rPr>
                <w:sz w:val="20"/>
                <w:szCs w:val="20"/>
              </w:rPr>
            </w:pPr>
            <w:r w:rsidRPr="00781F59">
              <w:rPr>
                <w:sz w:val="20"/>
                <w:szCs w:val="20"/>
              </w:rPr>
              <w:t>561</w:t>
            </w:r>
          </w:p>
        </w:tc>
        <w:tc>
          <w:tcPr>
            <w:tcW w:w="0" w:type="auto"/>
            <w:tcBorders>
              <w:top w:val="single" w:sz="6" w:space="0" w:color="auto"/>
              <w:left w:val="single" w:sz="6" w:space="0" w:color="auto"/>
              <w:bottom w:val="single" w:sz="6" w:space="0" w:color="auto"/>
              <w:right w:val="single" w:sz="6" w:space="0" w:color="auto"/>
            </w:tcBorders>
            <w:hideMark/>
          </w:tcPr>
          <w:p w14:paraId="2C6DCDA6" w14:textId="15108728" w:rsidR="00EA69AA" w:rsidRPr="00781F59" w:rsidRDefault="00EA69AA" w:rsidP="00EA69AA">
            <w:pPr>
              <w:contextualSpacing/>
              <w:rPr>
                <w:sz w:val="20"/>
                <w:szCs w:val="20"/>
              </w:rPr>
            </w:pPr>
            <w:r w:rsidRPr="00781F59">
              <w:rPr>
                <w:sz w:val="20"/>
                <w:szCs w:val="20"/>
              </w:rPr>
              <w:t>Nicholas T Vozoris 2012 Mentholated cigarettes and cardiovascular and pulmonary diseases: a population-based study</w:t>
            </w:r>
            <w:r w:rsidR="007F2F01">
              <w:rPr>
                <w:sz w:val="20"/>
                <w:szCs w:val="20"/>
              </w:rPr>
              <w:t>.</w:t>
            </w:r>
            <w:r w:rsidRPr="00781F59">
              <w:rPr>
                <w:sz w:val="20"/>
                <w:szCs w:val="20"/>
              </w:rPr>
              <w:t xml:space="preserve"> Archives of internal medicine; 172.590.</w:t>
            </w:r>
          </w:p>
        </w:tc>
        <w:tc>
          <w:tcPr>
            <w:tcW w:w="0" w:type="auto"/>
            <w:tcBorders>
              <w:top w:val="single" w:sz="6" w:space="0" w:color="auto"/>
              <w:left w:val="single" w:sz="6" w:space="0" w:color="auto"/>
              <w:bottom w:val="single" w:sz="6" w:space="0" w:color="auto"/>
              <w:right w:val="single" w:sz="6" w:space="0" w:color="auto"/>
            </w:tcBorders>
            <w:hideMark/>
          </w:tcPr>
          <w:p w14:paraId="0B772F53"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1C98F9D0"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0C1ED80" w14:textId="77777777" w:rsidR="00EA69AA" w:rsidRPr="00781F59" w:rsidRDefault="00EA69AA" w:rsidP="00EA69AA">
            <w:pPr>
              <w:contextualSpacing/>
              <w:rPr>
                <w:sz w:val="20"/>
                <w:szCs w:val="20"/>
              </w:rPr>
            </w:pPr>
            <w:r w:rsidRPr="00781F59">
              <w:rPr>
                <w:sz w:val="20"/>
                <w:szCs w:val="20"/>
              </w:rPr>
              <w:t>562</w:t>
            </w:r>
          </w:p>
        </w:tc>
        <w:tc>
          <w:tcPr>
            <w:tcW w:w="0" w:type="auto"/>
            <w:tcBorders>
              <w:top w:val="single" w:sz="6" w:space="0" w:color="auto"/>
              <w:left w:val="single" w:sz="6" w:space="0" w:color="auto"/>
              <w:bottom w:val="single" w:sz="6" w:space="0" w:color="auto"/>
              <w:right w:val="single" w:sz="6" w:space="0" w:color="auto"/>
            </w:tcBorders>
            <w:hideMark/>
          </w:tcPr>
          <w:p w14:paraId="6AC12921" w14:textId="361DCC12" w:rsidR="00EA69AA" w:rsidRPr="00781F59" w:rsidRDefault="00EA69AA" w:rsidP="00EA69AA">
            <w:pPr>
              <w:contextualSpacing/>
              <w:rPr>
                <w:sz w:val="20"/>
                <w:szCs w:val="20"/>
              </w:rPr>
            </w:pPr>
            <w:r w:rsidRPr="00781F59">
              <w:rPr>
                <w:sz w:val="20"/>
                <w:szCs w:val="20"/>
              </w:rPr>
              <w:t>Joshua E Muscat, Hsiao-Pin Liu, Steven D Stellman, John P Jr Richie 2012 Menthol smoking in relation to time to first cigarette and cotinine: results from a community-based study</w:t>
            </w:r>
            <w:r w:rsidR="007F2F01">
              <w:rPr>
                <w:sz w:val="20"/>
                <w:szCs w:val="20"/>
              </w:rPr>
              <w:t>.</w:t>
            </w:r>
            <w:r w:rsidRPr="00781F59">
              <w:rPr>
                <w:sz w:val="20"/>
                <w:szCs w:val="20"/>
              </w:rPr>
              <w:t xml:space="preserve"> Regulatory toxicology and </w:t>
            </w:r>
            <w:proofErr w:type="gramStart"/>
            <w:r w:rsidRPr="00781F59">
              <w:rPr>
                <w:sz w:val="20"/>
                <w:szCs w:val="20"/>
              </w:rPr>
              <w:t>pharmacology :</w:t>
            </w:r>
            <w:proofErr w:type="gramEnd"/>
            <w:r w:rsidRPr="00781F59">
              <w:rPr>
                <w:sz w:val="20"/>
                <w:szCs w:val="20"/>
              </w:rPr>
              <w:t xml:space="preserve"> RTP; 63.166.</w:t>
            </w:r>
          </w:p>
        </w:tc>
        <w:tc>
          <w:tcPr>
            <w:tcW w:w="0" w:type="auto"/>
            <w:tcBorders>
              <w:top w:val="single" w:sz="6" w:space="0" w:color="auto"/>
              <w:left w:val="single" w:sz="6" w:space="0" w:color="auto"/>
              <w:bottom w:val="single" w:sz="6" w:space="0" w:color="auto"/>
              <w:right w:val="single" w:sz="6" w:space="0" w:color="auto"/>
            </w:tcBorders>
            <w:hideMark/>
          </w:tcPr>
          <w:p w14:paraId="0F53CAD5" w14:textId="77777777" w:rsidR="00EA69AA" w:rsidRPr="00781F59" w:rsidRDefault="00EA69AA" w:rsidP="00EA69AA">
            <w:pPr>
              <w:contextualSpacing/>
              <w:rPr>
                <w:sz w:val="20"/>
                <w:szCs w:val="20"/>
              </w:rPr>
            </w:pPr>
            <w:r w:rsidRPr="00781F59">
              <w:rPr>
                <w:sz w:val="20"/>
                <w:szCs w:val="20"/>
              </w:rPr>
              <w:t>Duplicate article</w:t>
            </w:r>
          </w:p>
        </w:tc>
      </w:tr>
      <w:tr w:rsidR="00EA69AA" w:rsidRPr="00781F59" w14:paraId="2A6709CF"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3B46F63" w14:textId="77777777" w:rsidR="00EA69AA" w:rsidRPr="00781F59" w:rsidRDefault="00EA69AA" w:rsidP="00EA69AA">
            <w:pPr>
              <w:contextualSpacing/>
              <w:rPr>
                <w:sz w:val="20"/>
                <w:szCs w:val="20"/>
              </w:rPr>
            </w:pPr>
            <w:r w:rsidRPr="00781F59">
              <w:rPr>
                <w:sz w:val="20"/>
                <w:szCs w:val="20"/>
              </w:rPr>
              <w:t>563</w:t>
            </w:r>
          </w:p>
        </w:tc>
        <w:tc>
          <w:tcPr>
            <w:tcW w:w="0" w:type="auto"/>
            <w:tcBorders>
              <w:top w:val="single" w:sz="6" w:space="0" w:color="auto"/>
              <w:left w:val="single" w:sz="6" w:space="0" w:color="auto"/>
              <w:bottom w:val="single" w:sz="6" w:space="0" w:color="auto"/>
              <w:right w:val="single" w:sz="6" w:space="0" w:color="auto"/>
            </w:tcBorders>
            <w:hideMark/>
          </w:tcPr>
          <w:p w14:paraId="2C22061A" w14:textId="302A8D68" w:rsidR="00EA69AA" w:rsidRPr="00781F59" w:rsidRDefault="00EA69AA" w:rsidP="00EA69AA">
            <w:pPr>
              <w:contextualSpacing/>
              <w:rPr>
                <w:sz w:val="20"/>
                <w:szCs w:val="20"/>
              </w:rPr>
            </w:pPr>
            <w:r w:rsidRPr="00781F59">
              <w:rPr>
                <w:sz w:val="20"/>
                <w:szCs w:val="20"/>
              </w:rPr>
              <w:t>Valerie M Kramlinger, Linda B von Weymarn, Sharon E Murphy 2012 Inhibition and inactivation of cytochrome P450 2A6 and cytochrome P450 2A13 by menthofuran, beta-nicotyrine and menthol</w:t>
            </w:r>
            <w:r w:rsidR="007F2F01">
              <w:rPr>
                <w:sz w:val="20"/>
                <w:szCs w:val="20"/>
              </w:rPr>
              <w:t>.</w:t>
            </w:r>
            <w:r w:rsidRPr="00781F59">
              <w:rPr>
                <w:sz w:val="20"/>
                <w:szCs w:val="20"/>
              </w:rPr>
              <w:t xml:space="preserve"> Chemico-biological interactions; 197.87.</w:t>
            </w:r>
          </w:p>
        </w:tc>
        <w:tc>
          <w:tcPr>
            <w:tcW w:w="0" w:type="auto"/>
            <w:tcBorders>
              <w:top w:val="single" w:sz="6" w:space="0" w:color="auto"/>
              <w:left w:val="single" w:sz="6" w:space="0" w:color="auto"/>
              <w:bottom w:val="single" w:sz="6" w:space="0" w:color="auto"/>
              <w:right w:val="single" w:sz="6" w:space="0" w:color="auto"/>
            </w:tcBorders>
            <w:hideMark/>
          </w:tcPr>
          <w:p w14:paraId="3050E4D2"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6203B528"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DF0028B" w14:textId="77777777" w:rsidR="00EA69AA" w:rsidRPr="00781F59" w:rsidRDefault="00EA69AA" w:rsidP="00EA69AA">
            <w:pPr>
              <w:contextualSpacing/>
              <w:rPr>
                <w:sz w:val="20"/>
                <w:szCs w:val="20"/>
              </w:rPr>
            </w:pPr>
            <w:r w:rsidRPr="00781F59">
              <w:rPr>
                <w:sz w:val="20"/>
                <w:szCs w:val="20"/>
              </w:rPr>
              <w:t>564</w:t>
            </w:r>
          </w:p>
        </w:tc>
        <w:tc>
          <w:tcPr>
            <w:tcW w:w="0" w:type="auto"/>
            <w:tcBorders>
              <w:top w:val="single" w:sz="6" w:space="0" w:color="auto"/>
              <w:left w:val="single" w:sz="6" w:space="0" w:color="auto"/>
              <w:bottom w:val="single" w:sz="6" w:space="0" w:color="auto"/>
              <w:right w:val="single" w:sz="6" w:space="0" w:color="auto"/>
            </w:tcBorders>
            <w:hideMark/>
          </w:tcPr>
          <w:p w14:paraId="0B9E7F1E" w14:textId="6B7F9177" w:rsidR="00EA69AA" w:rsidRPr="00781F59" w:rsidRDefault="00EA69AA" w:rsidP="00EA69AA">
            <w:pPr>
              <w:contextualSpacing/>
              <w:rPr>
                <w:sz w:val="20"/>
                <w:szCs w:val="20"/>
              </w:rPr>
            </w:pPr>
            <w:r w:rsidRPr="00781F59">
              <w:rPr>
                <w:sz w:val="20"/>
                <w:szCs w:val="20"/>
              </w:rPr>
              <w:t>Marielle C Brinkman, Jane C Chuang, Sydney M Gordon, Hyoshin Kim, Robyn R Kroeger, Gregory M Polzin, Patricia A Richter 2012 Exposure to and deposition of fine and ultrafine particles in smokers of menthol and nonmenthol cigarettes</w:t>
            </w:r>
            <w:r w:rsidR="007F2F01">
              <w:rPr>
                <w:sz w:val="20"/>
                <w:szCs w:val="20"/>
              </w:rPr>
              <w:t>.</w:t>
            </w:r>
            <w:r w:rsidRPr="00781F59">
              <w:rPr>
                <w:sz w:val="20"/>
                <w:szCs w:val="20"/>
              </w:rPr>
              <w:t xml:space="preserve"> Inhalation toxicology; 24.255.</w:t>
            </w:r>
          </w:p>
        </w:tc>
        <w:tc>
          <w:tcPr>
            <w:tcW w:w="0" w:type="auto"/>
            <w:tcBorders>
              <w:top w:val="single" w:sz="6" w:space="0" w:color="auto"/>
              <w:left w:val="single" w:sz="6" w:space="0" w:color="auto"/>
              <w:bottom w:val="single" w:sz="6" w:space="0" w:color="auto"/>
              <w:right w:val="single" w:sz="6" w:space="0" w:color="auto"/>
            </w:tcBorders>
            <w:hideMark/>
          </w:tcPr>
          <w:p w14:paraId="5A7F5599"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686347BF"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349B2EC" w14:textId="77777777" w:rsidR="00EA69AA" w:rsidRPr="00781F59" w:rsidRDefault="00EA69AA" w:rsidP="00EA69AA">
            <w:pPr>
              <w:contextualSpacing/>
              <w:rPr>
                <w:sz w:val="20"/>
                <w:szCs w:val="20"/>
              </w:rPr>
            </w:pPr>
            <w:r w:rsidRPr="00781F59">
              <w:rPr>
                <w:sz w:val="20"/>
                <w:szCs w:val="20"/>
              </w:rPr>
              <w:t>570</w:t>
            </w:r>
          </w:p>
        </w:tc>
        <w:tc>
          <w:tcPr>
            <w:tcW w:w="0" w:type="auto"/>
            <w:tcBorders>
              <w:top w:val="single" w:sz="6" w:space="0" w:color="auto"/>
              <w:left w:val="single" w:sz="6" w:space="0" w:color="auto"/>
              <w:bottom w:val="single" w:sz="6" w:space="0" w:color="auto"/>
              <w:right w:val="single" w:sz="6" w:space="0" w:color="auto"/>
            </w:tcBorders>
            <w:hideMark/>
          </w:tcPr>
          <w:p w14:paraId="7D61D714" w14:textId="17FC7566" w:rsidR="00EA69AA" w:rsidRPr="00781F59" w:rsidRDefault="00EA69AA" w:rsidP="00EA69AA">
            <w:pPr>
              <w:contextualSpacing/>
              <w:rPr>
                <w:sz w:val="20"/>
                <w:szCs w:val="20"/>
              </w:rPr>
            </w:pPr>
            <w:r w:rsidRPr="00781F59">
              <w:rPr>
                <w:sz w:val="20"/>
                <w:szCs w:val="20"/>
              </w:rPr>
              <w:t xml:space="preserve">Kolawole S Okuyemi, Babalola Faseru, Gregory A Reed, Lisa Sanderson Cox, Carrie A Bronars, Isaac Opole, Guy-Lucien Whembolua, Matthew S Mayo, Jasjit S Ahluwalia, Neal L </w:t>
            </w:r>
            <w:r w:rsidRPr="00781F59">
              <w:rPr>
                <w:sz w:val="20"/>
                <w:szCs w:val="20"/>
              </w:rPr>
              <w:lastRenderedPageBreak/>
              <w:t>Benowitz 2012 Effects of menthol on the pharmacokinetics of bupropion among Black smokers</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14.688.</w:t>
            </w:r>
          </w:p>
        </w:tc>
        <w:tc>
          <w:tcPr>
            <w:tcW w:w="0" w:type="auto"/>
            <w:tcBorders>
              <w:top w:val="single" w:sz="6" w:space="0" w:color="auto"/>
              <w:left w:val="single" w:sz="6" w:space="0" w:color="auto"/>
              <w:bottom w:val="single" w:sz="6" w:space="0" w:color="auto"/>
              <w:right w:val="single" w:sz="6" w:space="0" w:color="auto"/>
            </w:tcBorders>
            <w:hideMark/>
          </w:tcPr>
          <w:p w14:paraId="2D85282E" w14:textId="77777777" w:rsidR="00EA69AA" w:rsidRPr="00781F59" w:rsidRDefault="00EA69AA" w:rsidP="00EA69AA">
            <w:pPr>
              <w:contextualSpacing/>
              <w:rPr>
                <w:sz w:val="20"/>
                <w:szCs w:val="20"/>
              </w:rPr>
            </w:pPr>
            <w:r w:rsidRPr="00781F59">
              <w:rPr>
                <w:sz w:val="20"/>
                <w:szCs w:val="20"/>
              </w:rPr>
              <w:lastRenderedPageBreak/>
              <w:t>Does not address a KQ</w:t>
            </w:r>
          </w:p>
        </w:tc>
      </w:tr>
      <w:tr w:rsidR="00EA69AA" w:rsidRPr="00ED5FCD" w14:paraId="04F118B8"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3C45ED3" w14:textId="77777777" w:rsidR="00EA69AA" w:rsidRPr="00781F59" w:rsidRDefault="00EA69AA" w:rsidP="00EA69AA">
            <w:pPr>
              <w:contextualSpacing/>
              <w:rPr>
                <w:sz w:val="20"/>
                <w:szCs w:val="20"/>
              </w:rPr>
            </w:pPr>
            <w:r w:rsidRPr="00781F59">
              <w:rPr>
                <w:sz w:val="20"/>
                <w:szCs w:val="20"/>
              </w:rPr>
              <w:t>572</w:t>
            </w:r>
          </w:p>
        </w:tc>
        <w:tc>
          <w:tcPr>
            <w:tcW w:w="0" w:type="auto"/>
            <w:tcBorders>
              <w:top w:val="single" w:sz="6" w:space="0" w:color="auto"/>
              <w:left w:val="single" w:sz="6" w:space="0" w:color="auto"/>
              <w:bottom w:val="single" w:sz="6" w:space="0" w:color="auto"/>
              <w:right w:val="single" w:sz="6" w:space="0" w:color="auto"/>
            </w:tcBorders>
            <w:hideMark/>
          </w:tcPr>
          <w:p w14:paraId="5F76A8D4" w14:textId="4B308493" w:rsidR="00EA69AA" w:rsidRPr="00781F59" w:rsidRDefault="00EA69AA" w:rsidP="00EA69AA">
            <w:pPr>
              <w:contextualSpacing/>
              <w:rPr>
                <w:sz w:val="20"/>
                <w:szCs w:val="20"/>
              </w:rPr>
            </w:pPr>
            <w:r w:rsidRPr="00781F59">
              <w:rPr>
                <w:sz w:val="20"/>
                <w:szCs w:val="20"/>
              </w:rPr>
              <w:t>Lisa Sanderson Cox, Nicole L Nollen, Matthew S Mayo, Won S Choi, Babalola Faseru, Neal L Benowitz, Rachel F Tyndale, Kolawole S Okuyemi, Jasjit S Ahluwalia 2012 Bupropion for smoking cessation in African American light smokers: a randomized controlled trial</w:t>
            </w:r>
            <w:r w:rsidR="007F2F01">
              <w:rPr>
                <w:sz w:val="20"/>
                <w:szCs w:val="20"/>
              </w:rPr>
              <w:t>.</w:t>
            </w:r>
            <w:r w:rsidRPr="00781F59">
              <w:rPr>
                <w:sz w:val="20"/>
                <w:szCs w:val="20"/>
              </w:rPr>
              <w:t xml:space="preserve"> Journal of the National Cancer Institute; 104.290.</w:t>
            </w:r>
          </w:p>
        </w:tc>
        <w:tc>
          <w:tcPr>
            <w:tcW w:w="0" w:type="auto"/>
            <w:tcBorders>
              <w:top w:val="single" w:sz="6" w:space="0" w:color="auto"/>
              <w:left w:val="single" w:sz="6" w:space="0" w:color="auto"/>
              <w:bottom w:val="single" w:sz="6" w:space="0" w:color="auto"/>
              <w:right w:val="single" w:sz="6" w:space="0" w:color="auto"/>
            </w:tcBorders>
            <w:hideMark/>
          </w:tcPr>
          <w:p w14:paraId="6637C799" w14:textId="77777777" w:rsidR="00EA69AA" w:rsidRPr="00EA69AA" w:rsidRDefault="00EA69AA" w:rsidP="00EA69AA">
            <w:pPr>
              <w:contextualSpacing/>
              <w:rPr>
                <w:sz w:val="20"/>
                <w:szCs w:val="20"/>
                <w:lang w:val="fr-FR"/>
              </w:rPr>
            </w:pPr>
            <w:r w:rsidRPr="00EA69AA">
              <w:rPr>
                <w:sz w:val="20"/>
                <w:szCs w:val="20"/>
                <w:lang w:val="fr-FR"/>
              </w:rPr>
              <w:t>Ineligible comparison (menthol vs non)</w:t>
            </w:r>
          </w:p>
        </w:tc>
      </w:tr>
      <w:tr w:rsidR="00EA69AA" w:rsidRPr="00781F59" w14:paraId="77D477DD"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04E000B" w14:textId="77777777" w:rsidR="00EA69AA" w:rsidRPr="00781F59" w:rsidRDefault="00EA69AA" w:rsidP="00EA69AA">
            <w:pPr>
              <w:contextualSpacing/>
              <w:rPr>
                <w:sz w:val="20"/>
                <w:szCs w:val="20"/>
              </w:rPr>
            </w:pPr>
            <w:r w:rsidRPr="00781F59">
              <w:rPr>
                <w:sz w:val="20"/>
                <w:szCs w:val="20"/>
              </w:rPr>
              <w:t>574</w:t>
            </w:r>
          </w:p>
        </w:tc>
        <w:tc>
          <w:tcPr>
            <w:tcW w:w="0" w:type="auto"/>
            <w:tcBorders>
              <w:top w:val="single" w:sz="6" w:space="0" w:color="auto"/>
              <w:left w:val="single" w:sz="6" w:space="0" w:color="auto"/>
              <w:bottom w:val="single" w:sz="6" w:space="0" w:color="auto"/>
              <w:right w:val="single" w:sz="6" w:space="0" w:color="auto"/>
            </w:tcBorders>
            <w:hideMark/>
          </w:tcPr>
          <w:p w14:paraId="3B647E7D" w14:textId="1F5ACFEC" w:rsidR="00EA69AA" w:rsidRPr="00781F59" w:rsidRDefault="00EA69AA" w:rsidP="00EA69AA">
            <w:pPr>
              <w:contextualSpacing/>
              <w:rPr>
                <w:sz w:val="20"/>
                <w:szCs w:val="20"/>
              </w:rPr>
            </w:pPr>
            <w:r w:rsidRPr="00781F59">
              <w:rPr>
                <w:sz w:val="20"/>
                <w:szCs w:val="20"/>
              </w:rPr>
              <w:t>Joseph R DiFranza 2012 Research opportunities concerning youth and the Family Smoking Prevention and Tobacco Control Act</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14.54.</w:t>
            </w:r>
          </w:p>
        </w:tc>
        <w:tc>
          <w:tcPr>
            <w:tcW w:w="0" w:type="auto"/>
            <w:tcBorders>
              <w:top w:val="single" w:sz="6" w:space="0" w:color="auto"/>
              <w:left w:val="single" w:sz="6" w:space="0" w:color="auto"/>
              <w:bottom w:val="single" w:sz="6" w:space="0" w:color="auto"/>
              <w:right w:val="single" w:sz="6" w:space="0" w:color="auto"/>
            </w:tcBorders>
            <w:hideMark/>
          </w:tcPr>
          <w:p w14:paraId="195548BF" w14:textId="77777777" w:rsidR="00EA69AA" w:rsidRPr="00781F59" w:rsidRDefault="00EA69AA" w:rsidP="00EA69AA">
            <w:pPr>
              <w:contextualSpacing/>
              <w:rPr>
                <w:sz w:val="20"/>
                <w:szCs w:val="20"/>
              </w:rPr>
            </w:pPr>
            <w:r w:rsidRPr="00781F59">
              <w:rPr>
                <w:sz w:val="20"/>
                <w:szCs w:val="20"/>
              </w:rPr>
              <w:t>Not original research / data</w:t>
            </w:r>
          </w:p>
        </w:tc>
      </w:tr>
      <w:tr w:rsidR="00EA69AA" w:rsidRPr="00781F59" w14:paraId="47C6B525"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D074722" w14:textId="77777777" w:rsidR="00EA69AA" w:rsidRPr="00781F59" w:rsidRDefault="00EA69AA" w:rsidP="00EA69AA">
            <w:pPr>
              <w:contextualSpacing/>
              <w:rPr>
                <w:sz w:val="20"/>
                <w:szCs w:val="20"/>
              </w:rPr>
            </w:pPr>
            <w:r w:rsidRPr="00781F59">
              <w:rPr>
                <w:sz w:val="20"/>
                <w:szCs w:val="20"/>
              </w:rPr>
              <w:t>584</w:t>
            </w:r>
          </w:p>
        </w:tc>
        <w:tc>
          <w:tcPr>
            <w:tcW w:w="0" w:type="auto"/>
            <w:tcBorders>
              <w:top w:val="single" w:sz="6" w:space="0" w:color="auto"/>
              <w:left w:val="single" w:sz="6" w:space="0" w:color="auto"/>
              <w:bottom w:val="single" w:sz="6" w:space="0" w:color="auto"/>
              <w:right w:val="single" w:sz="6" w:space="0" w:color="auto"/>
            </w:tcBorders>
            <w:hideMark/>
          </w:tcPr>
          <w:p w14:paraId="0B40A1EC" w14:textId="79E76660" w:rsidR="00EA69AA" w:rsidRPr="00781F59" w:rsidRDefault="00EA69AA" w:rsidP="00EA69AA">
            <w:pPr>
              <w:contextualSpacing/>
              <w:rPr>
                <w:sz w:val="20"/>
                <w:szCs w:val="20"/>
              </w:rPr>
            </w:pPr>
            <w:r w:rsidRPr="00781F59">
              <w:rPr>
                <w:sz w:val="20"/>
                <w:szCs w:val="20"/>
              </w:rPr>
              <w:t>Pamela I Clark, Phillip Gardiner 2011 Menthol should not be given a free pass based on studies of biomarkers of toxicity</w:t>
            </w:r>
            <w:r w:rsidR="007F2F01">
              <w:rPr>
                <w:sz w:val="20"/>
                <w:szCs w:val="20"/>
              </w:rPr>
              <w:t>.</w:t>
            </w:r>
            <w:r w:rsidRPr="00781F59">
              <w:rPr>
                <w:sz w:val="20"/>
                <w:szCs w:val="20"/>
              </w:rPr>
              <w:t xml:space="preserve"> Cancer epidemiology, biomarkers &amp; </w:t>
            </w:r>
            <w:proofErr w:type="gramStart"/>
            <w:r w:rsidRPr="00781F59">
              <w:rPr>
                <w:sz w:val="20"/>
                <w:szCs w:val="20"/>
              </w:rPr>
              <w:t>prevention :</w:t>
            </w:r>
            <w:proofErr w:type="gramEnd"/>
            <w:r w:rsidRPr="00781F59">
              <w:rPr>
                <w:sz w:val="20"/>
                <w:szCs w:val="20"/>
              </w:rPr>
              <w:t xml:space="preserve"> a publication of the American Association for Cancer Research, cosponsored by the American Society of Preventive Oncology; 20.1269.</w:t>
            </w:r>
          </w:p>
        </w:tc>
        <w:tc>
          <w:tcPr>
            <w:tcW w:w="0" w:type="auto"/>
            <w:tcBorders>
              <w:top w:val="single" w:sz="6" w:space="0" w:color="auto"/>
              <w:left w:val="single" w:sz="6" w:space="0" w:color="auto"/>
              <w:bottom w:val="single" w:sz="6" w:space="0" w:color="auto"/>
              <w:right w:val="single" w:sz="6" w:space="0" w:color="auto"/>
            </w:tcBorders>
            <w:hideMark/>
          </w:tcPr>
          <w:p w14:paraId="4990818C" w14:textId="77777777" w:rsidR="00EA69AA" w:rsidRPr="00781F59" w:rsidRDefault="00EA69AA" w:rsidP="00EA69AA">
            <w:pPr>
              <w:contextualSpacing/>
              <w:rPr>
                <w:sz w:val="20"/>
                <w:szCs w:val="20"/>
              </w:rPr>
            </w:pPr>
            <w:r w:rsidRPr="00781F59">
              <w:rPr>
                <w:sz w:val="20"/>
                <w:szCs w:val="20"/>
              </w:rPr>
              <w:t>Not original research / data</w:t>
            </w:r>
          </w:p>
        </w:tc>
      </w:tr>
      <w:tr w:rsidR="00EA69AA" w:rsidRPr="00781F59" w14:paraId="33D119CF"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D202BC0" w14:textId="77777777" w:rsidR="00EA69AA" w:rsidRPr="00781F59" w:rsidRDefault="00EA69AA" w:rsidP="00EA69AA">
            <w:pPr>
              <w:contextualSpacing/>
              <w:rPr>
                <w:sz w:val="20"/>
                <w:szCs w:val="20"/>
              </w:rPr>
            </w:pPr>
            <w:r w:rsidRPr="00781F59">
              <w:rPr>
                <w:sz w:val="20"/>
                <w:szCs w:val="20"/>
              </w:rPr>
              <w:t>586</w:t>
            </w:r>
          </w:p>
        </w:tc>
        <w:tc>
          <w:tcPr>
            <w:tcW w:w="0" w:type="auto"/>
            <w:tcBorders>
              <w:top w:val="single" w:sz="6" w:space="0" w:color="auto"/>
              <w:left w:val="single" w:sz="6" w:space="0" w:color="auto"/>
              <w:bottom w:val="single" w:sz="6" w:space="0" w:color="auto"/>
              <w:right w:val="single" w:sz="6" w:space="0" w:color="auto"/>
            </w:tcBorders>
            <w:hideMark/>
          </w:tcPr>
          <w:p w14:paraId="463B4063" w14:textId="3D4F6251" w:rsidR="00EA69AA" w:rsidRPr="00781F59" w:rsidRDefault="00EA69AA" w:rsidP="00EA69AA">
            <w:pPr>
              <w:contextualSpacing/>
              <w:rPr>
                <w:sz w:val="20"/>
                <w:szCs w:val="20"/>
              </w:rPr>
            </w:pPr>
            <w:r w:rsidRPr="00781F59">
              <w:rPr>
                <w:sz w:val="20"/>
                <w:szCs w:val="20"/>
              </w:rPr>
              <w:t>George R Uhl, Donna Walther, Frederique M Behm, Jed E Rose 2011 Menthol preference among smokers: association with TRPA1 variants</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13.1311.</w:t>
            </w:r>
          </w:p>
        </w:tc>
        <w:tc>
          <w:tcPr>
            <w:tcW w:w="0" w:type="auto"/>
            <w:tcBorders>
              <w:top w:val="single" w:sz="6" w:space="0" w:color="auto"/>
              <w:left w:val="single" w:sz="6" w:space="0" w:color="auto"/>
              <w:bottom w:val="single" w:sz="6" w:space="0" w:color="auto"/>
              <w:right w:val="single" w:sz="6" w:space="0" w:color="auto"/>
            </w:tcBorders>
            <w:hideMark/>
          </w:tcPr>
          <w:p w14:paraId="6A21F56C"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0CDEB893"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7D7F16A" w14:textId="77777777" w:rsidR="00EA69AA" w:rsidRPr="00781F59" w:rsidRDefault="00EA69AA" w:rsidP="00EA69AA">
            <w:pPr>
              <w:contextualSpacing/>
              <w:rPr>
                <w:sz w:val="20"/>
                <w:szCs w:val="20"/>
              </w:rPr>
            </w:pPr>
            <w:r w:rsidRPr="00781F59">
              <w:rPr>
                <w:sz w:val="20"/>
                <w:szCs w:val="20"/>
              </w:rPr>
              <w:t>587</w:t>
            </w:r>
          </w:p>
        </w:tc>
        <w:tc>
          <w:tcPr>
            <w:tcW w:w="0" w:type="auto"/>
            <w:tcBorders>
              <w:top w:val="single" w:sz="6" w:space="0" w:color="auto"/>
              <w:left w:val="single" w:sz="6" w:space="0" w:color="auto"/>
              <w:bottom w:val="single" w:sz="6" w:space="0" w:color="auto"/>
              <w:right w:val="single" w:sz="6" w:space="0" w:color="auto"/>
            </w:tcBorders>
            <w:hideMark/>
          </w:tcPr>
          <w:p w14:paraId="325559D5" w14:textId="297B9791" w:rsidR="00EA69AA" w:rsidRPr="00781F59" w:rsidRDefault="00EA69AA" w:rsidP="00EA69AA">
            <w:pPr>
              <w:contextualSpacing/>
              <w:rPr>
                <w:sz w:val="20"/>
                <w:szCs w:val="20"/>
              </w:rPr>
            </w:pPr>
            <w:r w:rsidRPr="00781F59">
              <w:rPr>
                <w:sz w:val="20"/>
                <w:szCs w:val="20"/>
              </w:rPr>
              <w:t>Paul M Wise, George Preti, Jason Eades, Charles J Wysocki 2011 The effect of menthol vapor on nasal sensitivity to chemical irritation</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13.989.</w:t>
            </w:r>
          </w:p>
        </w:tc>
        <w:tc>
          <w:tcPr>
            <w:tcW w:w="0" w:type="auto"/>
            <w:tcBorders>
              <w:top w:val="single" w:sz="6" w:space="0" w:color="auto"/>
              <w:left w:val="single" w:sz="6" w:space="0" w:color="auto"/>
              <w:bottom w:val="single" w:sz="6" w:space="0" w:color="auto"/>
              <w:right w:val="single" w:sz="6" w:space="0" w:color="auto"/>
            </w:tcBorders>
            <w:hideMark/>
          </w:tcPr>
          <w:p w14:paraId="0F6410A1"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7737E6E5"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75B88D6" w14:textId="77777777" w:rsidR="00EA69AA" w:rsidRPr="00781F59" w:rsidRDefault="00EA69AA" w:rsidP="00EA69AA">
            <w:pPr>
              <w:contextualSpacing/>
              <w:rPr>
                <w:sz w:val="20"/>
                <w:szCs w:val="20"/>
              </w:rPr>
            </w:pPr>
            <w:r w:rsidRPr="00781F59">
              <w:rPr>
                <w:sz w:val="20"/>
                <w:szCs w:val="20"/>
              </w:rPr>
              <w:t>590</w:t>
            </w:r>
          </w:p>
        </w:tc>
        <w:tc>
          <w:tcPr>
            <w:tcW w:w="0" w:type="auto"/>
            <w:tcBorders>
              <w:top w:val="single" w:sz="6" w:space="0" w:color="auto"/>
              <w:left w:val="single" w:sz="6" w:space="0" w:color="auto"/>
              <w:bottom w:val="single" w:sz="6" w:space="0" w:color="auto"/>
              <w:right w:val="single" w:sz="6" w:space="0" w:color="auto"/>
            </w:tcBorders>
            <w:hideMark/>
          </w:tcPr>
          <w:p w14:paraId="6D9D64BD" w14:textId="05725CDD" w:rsidR="00EA69AA" w:rsidRPr="00781F59" w:rsidRDefault="00EA69AA" w:rsidP="00EA69AA">
            <w:pPr>
              <w:contextualSpacing/>
              <w:rPr>
                <w:sz w:val="20"/>
                <w:szCs w:val="20"/>
              </w:rPr>
            </w:pPr>
            <w:r w:rsidRPr="00781F59">
              <w:rPr>
                <w:sz w:val="20"/>
                <w:szCs w:val="20"/>
              </w:rPr>
              <w:t>David T Levy, Jennifer L Pearson, Andrea C Villanti, Kenneth Blackman, Donna M Vallone, Raymond S Niaura, David B Abrams 2011 Modeling the future effects of a menthol ban on smoking prevalence and smoking-attributable deaths in the United States</w:t>
            </w:r>
            <w:r w:rsidR="007F2F01">
              <w:rPr>
                <w:sz w:val="20"/>
                <w:szCs w:val="20"/>
              </w:rPr>
              <w:t>.</w:t>
            </w:r>
            <w:r w:rsidRPr="00781F59">
              <w:rPr>
                <w:sz w:val="20"/>
                <w:szCs w:val="20"/>
              </w:rPr>
              <w:t xml:space="preserve"> American journal of public health; 101.1236.</w:t>
            </w:r>
          </w:p>
        </w:tc>
        <w:tc>
          <w:tcPr>
            <w:tcW w:w="0" w:type="auto"/>
            <w:tcBorders>
              <w:top w:val="single" w:sz="6" w:space="0" w:color="auto"/>
              <w:left w:val="single" w:sz="6" w:space="0" w:color="auto"/>
              <w:bottom w:val="single" w:sz="6" w:space="0" w:color="auto"/>
              <w:right w:val="single" w:sz="6" w:space="0" w:color="auto"/>
            </w:tcBorders>
            <w:hideMark/>
          </w:tcPr>
          <w:p w14:paraId="4A2E8F2F"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593FD077"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6A1E3D1" w14:textId="77777777" w:rsidR="00EA69AA" w:rsidRPr="00781F59" w:rsidRDefault="00EA69AA" w:rsidP="00EA69AA">
            <w:pPr>
              <w:contextualSpacing/>
              <w:rPr>
                <w:sz w:val="20"/>
                <w:szCs w:val="20"/>
              </w:rPr>
            </w:pPr>
            <w:r w:rsidRPr="00781F59">
              <w:rPr>
                <w:sz w:val="20"/>
                <w:szCs w:val="20"/>
              </w:rPr>
              <w:t>593</w:t>
            </w:r>
          </w:p>
        </w:tc>
        <w:tc>
          <w:tcPr>
            <w:tcW w:w="0" w:type="auto"/>
            <w:tcBorders>
              <w:top w:val="single" w:sz="6" w:space="0" w:color="auto"/>
              <w:left w:val="single" w:sz="6" w:space="0" w:color="auto"/>
              <w:bottom w:val="single" w:sz="6" w:space="0" w:color="auto"/>
              <w:right w:val="single" w:sz="6" w:space="0" w:color="auto"/>
            </w:tcBorders>
            <w:hideMark/>
          </w:tcPr>
          <w:p w14:paraId="7BAD8FE1" w14:textId="0F612CD5" w:rsidR="00EA69AA" w:rsidRPr="00781F59" w:rsidRDefault="00EA69AA" w:rsidP="00EA69AA">
            <w:pPr>
              <w:contextualSpacing/>
              <w:rPr>
                <w:sz w:val="20"/>
                <w:szCs w:val="20"/>
              </w:rPr>
            </w:pPr>
            <w:r w:rsidRPr="00781F59">
              <w:rPr>
                <w:sz w:val="20"/>
                <w:szCs w:val="20"/>
              </w:rPr>
              <w:t>Youn Ok Lee, Stanton A Glantz 2011 Menthol: putting the pieces together</w:t>
            </w:r>
            <w:r w:rsidR="007F2F01">
              <w:rPr>
                <w:sz w:val="20"/>
                <w:szCs w:val="20"/>
              </w:rPr>
              <w:t>.</w:t>
            </w:r>
            <w:r w:rsidRPr="00781F59">
              <w:rPr>
                <w:sz w:val="20"/>
                <w:szCs w:val="20"/>
              </w:rPr>
              <w:t xml:space="preserve"> Tobacco control; 20 Suppl 2.ii1.</w:t>
            </w:r>
          </w:p>
        </w:tc>
        <w:tc>
          <w:tcPr>
            <w:tcW w:w="0" w:type="auto"/>
            <w:tcBorders>
              <w:top w:val="single" w:sz="6" w:space="0" w:color="auto"/>
              <w:left w:val="single" w:sz="6" w:space="0" w:color="auto"/>
              <w:bottom w:val="single" w:sz="6" w:space="0" w:color="auto"/>
              <w:right w:val="single" w:sz="6" w:space="0" w:color="auto"/>
            </w:tcBorders>
            <w:hideMark/>
          </w:tcPr>
          <w:p w14:paraId="4C75AB77"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78AFC396"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02D5614" w14:textId="77777777" w:rsidR="00EA69AA" w:rsidRPr="00781F59" w:rsidRDefault="00EA69AA" w:rsidP="00EA69AA">
            <w:pPr>
              <w:contextualSpacing/>
              <w:rPr>
                <w:sz w:val="20"/>
                <w:szCs w:val="20"/>
              </w:rPr>
            </w:pPr>
            <w:r w:rsidRPr="00781F59">
              <w:rPr>
                <w:sz w:val="20"/>
                <w:szCs w:val="20"/>
              </w:rPr>
              <w:t>594</w:t>
            </w:r>
          </w:p>
        </w:tc>
        <w:tc>
          <w:tcPr>
            <w:tcW w:w="0" w:type="auto"/>
            <w:tcBorders>
              <w:top w:val="single" w:sz="6" w:space="0" w:color="auto"/>
              <w:left w:val="single" w:sz="6" w:space="0" w:color="auto"/>
              <w:bottom w:val="single" w:sz="6" w:space="0" w:color="auto"/>
              <w:right w:val="single" w:sz="6" w:space="0" w:color="auto"/>
            </w:tcBorders>
            <w:hideMark/>
          </w:tcPr>
          <w:p w14:paraId="664BDF81" w14:textId="1E0190BE" w:rsidR="00EA69AA" w:rsidRPr="00781F59" w:rsidRDefault="00EA69AA" w:rsidP="00EA69AA">
            <w:pPr>
              <w:contextualSpacing/>
              <w:rPr>
                <w:sz w:val="20"/>
                <w:szCs w:val="20"/>
              </w:rPr>
            </w:pPr>
            <w:r w:rsidRPr="00781F59">
              <w:rPr>
                <w:sz w:val="20"/>
                <w:szCs w:val="20"/>
              </w:rPr>
              <w:t>Peter N Lee 2011 Systematic review of the epidemiological evidence comparing lung cancer risk in smokers of mentholated and unmentholated cigarettes</w:t>
            </w:r>
            <w:r w:rsidR="007F2F01">
              <w:rPr>
                <w:sz w:val="20"/>
                <w:szCs w:val="20"/>
              </w:rPr>
              <w:t>.</w:t>
            </w:r>
            <w:r w:rsidRPr="00781F59">
              <w:rPr>
                <w:sz w:val="20"/>
                <w:szCs w:val="20"/>
              </w:rPr>
              <w:t xml:space="preserve"> BMC pulmonary medicine; 11.18.</w:t>
            </w:r>
          </w:p>
        </w:tc>
        <w:tc>
          <w:tcPr>
            <w:tcW w:w="0" w:type="auto"/>
            <w:tcBorders>
              <w:top w:val="single" w:sz="6" w:space="0" w:color="auto"/>
              <w:left w:val="single" w:sz="6" w:space="0" w:color="auto"/>
              <w:bottom w:val="single" w:sz="6" w:space="0" w:color="auto"/>
              <w:right w:val="single" w:sz="6" w:space="0" w:color="auto"/>
            </w:tcBorders>
            <w:hideMark/>
          </w:tcPr>
          <w:p w14:paraId="07CA5872"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1817A1E8"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9EF37D9" w14:textId="77777777" w:rsidR="00EA69AA" w:rsidRPr="00781F59" w:rsidRDefault="00EA69AA" w:rsidP="00EA69AA">
            <w:pPr>
              <w:contextualSpacing/>
              <w:rPr>
                <w:sz w:val="20"/>
                <w:szCs w:val="20"/>
              </w:rPr>
            </w:pPr>
            <w:r w:rsidRPr="00781F59">
              <w:rPr>
                <w:sz w:val="20"/>
                <w:szCs w:val="20"/>
              </w:rPr>
              <w:t>595</w:t>
            </w:r>
          </w:p>
        </w:tc>
        <w:tc>
          <w:tcPr>
            <w:tcW w:w="0" w:type="auto"/>
            <w:tcBorders>
              <w:top w:val="single" w:sz="6" w:space="0" w:color="auto"/>
              <w:left w:val="single" w:sz="6" w:space="0" w:color="auto"/>
              <w:bottom w:val="single" w:sz="6" w:space="0" w:color="auto"/>
              <w:right w:val="single" w:sz="6" w:space="0" w:color="auto"/>
            </w:tcBorders>
            <w:hideMark/>
          </w:tcPr>
          <w:p w14:paraId="393E381B" w14:textId="3D1A86B1" w:rsidR="00EA69AA" w:rsidRPr="00781F59" w:rsidRDefault="00EA69AA" w:rsidP="00EA69AA">
            <w:pPr>
              <w:contextualSpacing/>
              <w:rPr>
                <w:sz w:val="20"/>
                <w:szCs w:val="20"/>
              </w:rPr>
            </w:pPr>
            <w:r w:rsidRPr="00781F59">
              <w:rPr>
                <w:sz w:val="20"/>
                <w:szCs w:val="20"/>
              </w:rPr>
              <w:t>Merrill Goozner 2011 FDA finding may curb mentholated cigarette availability</w:t>
            </w:r>
            <w:r w:rsidR="007F2F01">
              <w:rPr>
                <w:sz w:val="20"/>
                <w:szCs w:val="20"/>
              </w:rPr>
              <w:t>.</w:t>
            </w:r>
            <w:r w:rsidRPr="00781F59">
              <w:rPr>
                <w:sz w:val="20"/>
                <w:szCs w:val="20"/>
              </w:rPr>
              <w:t xml:space="preserve"> Journal of the National Cancer Institute; 103.620.</w:t>
            </w:r>
          </w:p>
        </w:tc>
        <w:tc>
          <w:tcPr>
            <w:tcW w:w="0" w:type="auto"/>
            <w:tcBorders>
              <w:top w:val="single" w:sz="6" w:space="0" w:color="auto"/>
              <w:left w:val="single" w:sz="6" w:space="0" w:color="auto"/>
              <w:bottom w:val="single" w:sz="6" w:space="0" w:color="auto"/>
              <w:right w:val="single" w:sz="6" w:space="0" w:color="auto"/>
            </w:tcBorders>
            <w:hideMark/>
          </w:tcPr>
          <w:p w14:paraId="22FB2719" w14:textId="77777777" w:rsidR="00EA69AA" w:rsidRPr="00781F59" w:rsidRDefault="00EA69AA" w:rsidP="00EA69AA">
            <w:pPr>
              <w:contextualSpacing/>
              <w:rPr>
                <w:sz w:val="20"/>
                <w:szCs w:val="20"/>
              </w:rPr>
            </w:pPr>
            <w:r w:rsidRPr="00781F59">
              <w:rPr>
                <w:sz w:val="20"/>
                <w:szCs w:val="20"/>
              </w:rPr>
              <w:t>Not original research / data</w:t>
            </w:r>
          </w:p>
        </w:tc>
      </w:tr>
      <w:tr w:rsidR="00EA69AA" w:rsidRPr="00781F59" w14:paraId="2DD144D9"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DAB011E" w14:textId="77777777" w:rsidR="00EA69AA" w:rsidRPr="00781F59" w:rsidRDefault="00EA69AA" w:rsidP="00EA69AA">
            <w:pPr>
              <w:contextualSpacing/>
              <w:rPr>
                <w:sz w:val="20"/>
                <w:szCs w:val="20"/>
              </w:rPr>
            </w:pPr>
            <w:r w:rsidRPr="00781F59">
              <w:rPr>
                <w:sz w:val="20"/>
                <w:szCs w:val="20"/>
              </w:rPr>
              <w:t>597</w:t>
            </w:r>
          </w:p>
        </w:tc>
        <w:tc>
          <w:tcPr>
            <w:tcW w:w="0" w:type="auto"/>
            <w:tcBorders>
              <w:top w:val="single" w:sz="6" w:space="0" w:color="auto"/>
              <w:left w:val="single" w:sz="6" w:space="0" w:color="auto"/>
              <w:bottom w:val="single" w:sz="6" w:space="0" w:color="auto"/>
              <w:right w:val="single" w:sz="6" w:space="0" w:color="auto"/>
            </w:tcBorders>
            <w:hideMark/>
          </w:tcPr>
          <w:p w14:paraId="0456D2D0" w14:textId="3DADFA96" w:rsidR="00EA69AA" w:rsidRPr="00781F59" w:rsidRDefault="00EA69AA" w:rsidP="00EA69AA">
            <w:pPr>
              <w:contextualSpacing/>
              <w:rPr>
                <w:sz w:val="20"/>
                <w:szCs w:val="20"/>
              </w:rPr>
            </w:pPr>
            <w:r w:rsidRPr="00781F59">
              <w:rPr>
                <w:sz w:val="20"/>
                <w:szCs w:val="20"/>
              </w:rPr>
              <w:t>Cai Chen, Wentai Luo, Lorne M Isabelle, Keith D Gareau, James F Pankow 2011 The stereoisomers of menthol in selected tobacco products. A brief report</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13.741.</w:t>
            </w:r>
          </w:p>
        </w:tc>
        <w:tc>
          <w:tcPr>
            <w:tcW w:w="0" w:type="auto"/>
            <w:tcBorders>
              <w:top w:val="single" w:sz="6" w:space="0" w:color="auto"/>
              <w:left w:val="single" w:sz="6" w:space="0" w:color="auto"/>
              <w:bottom w:val="single" w:sz="6" w:space="0" w:color="auto"/>
              <w:right w:val="single" w:sz="6" w:space="0" w:color="auto"/>
            </w:tcBorders>
            <w:hideMark/>
          </w:tcPr>
          <w:p w14:paraId="11E23328"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1E9893A2"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04AFEF7" w14:textId="77777777" w:rsidR="00EA69AA" w:rsidRPr="00781F59" w:rsidRDefault="00EA69AA" w:rsidP="00EA69AA">
            <w:pPr>
              <w:contextualSpacing/>
              <w:rPr>
                <w:sz w:val="20"/>
                <w:szCs w:val="20"/>
              </w:rPr>
            </w:pPr>
            <w:r w:rsidRPr="00781F59">
              <w:rPr>
                <w:sz w:val="20"/>
                <w:szCs w:val="20"/>
              </w:rPr>
              <w:t>599</w:t>
            </w:r>
          </w:p>
        </w:tc>
        <w:tc>
          <w:tcPr>
            <w:tcW w:w="0" w:type="auto"/>
            <w:tcBorders>
              <w:top w:val="single" w:sz="6" w:space="0" w:color="auto"/>
              <w:left w:val="single" w:sz="6" w:space="0" w:color="auto"/>
              <w:bottom w:val="single" w:sz="6" w:space="0" w:color="auto"/>
              <w:right w:val="single" w:sz="6" w:space="0" w:color="auto"/>
            </w:tcBorders>
            <w:hideMark/>
          </w:tcPr>
          <w:p w14:paraId="6824242B" w14:textId="56730E81" w:rsidR="00EA69AA" w:rsidRPr="00781F59" w:rsidRDefault="00EA69AA" w:rsidP="00EA69AA">
            <w:pPr>
              <w:contextualSpacing/>
              <w:rPr>
                <w:sz w:val="20"/>
                <w:szCs w:val="20"/>
              </w:rPr>
            </w:pPr>
            <w:r w:rsidRPr="00781F59">
              <w:rPr>
                <w:sz w:val="20"/>
                <w:szCs w:val="20"/>
              </w:rPr>
              <w:t>Ralph S Caraballo, David B Holiday, Steven D Stellman, Paul D Mowery, Gary A Giovino, Joshua E Muscat, Michael P Eriksen, John T Bernert, Patricia A Richter, Lynn T Kozlowski 2011 Comparison of serum cotinine concentration within and across smokers of menthol and nonmenthol cigarette brands among non-Hispanic black and non-Hispanic white U.S. adult smokers, 2001-2006</w:t>
            </w:r>
            <w:r w:rsidR="007F2F01">
              <w:rPr>
                <w:sz w:val="20"/>
                <w:szCs w:val="20"/>
              </w:rPr>
              <w:t>.</w:t>
            </w:r>
            <w:r w:rsidRPr="00781F59">
              <w:rPr>
                <w:sz w:val="20"/>
                <w:szCs w:val="20"/>
              </w:rPr>
              <w:t xml:space="preserve"> Cancer epidemiology, biomarkers &amp; </w:t>
            </w:r>
            <w:proofErr w:type="gramStart"/>
            <w:r w:rsidRPr="00781F59">
              <w:rPr>
                <w:sz w:val="20"/>
                <w:szCs w:val="20"/>
              </w:rPr>
              <w:t>prevention :</w:t>
            </w:r>
            <w:proofErr w:type="gramEnd"/>
            <w:r w:rsidRPr="00781F59">
              <w:rPr>
                <w:sz w:val="20"/>
                <w:szCs w:val="20"/>
              </w:rPr>
              <w:t xml:space="preserve"> a publication of the American Association for Cancer Research, cosponsored by the American Society of Preventive Oncology; 20.1329.</w:t>
            </w:r>
          </w:p>
        </w:tc>
        <w:tc>
          <w:tcPr>
            <w:tcW w:w="0" w:type="auto"/>
            <w:tcBorders>
              <w:top w:val="single" w:sz="6" w:space="0" w:color="auto"/>
              <w:left w:val="single" w:sz="6" w:space="0" w:color="auto"/>
              <w:bottom w:val="single" w:sz="6" w:space="0" w:color="auto"/>
              <w:right w:val="single" w:sz="6" w:space="0" w:color="auto"/>
            </w:tcBorders>
            <w:hideMark/>
          </w:tcPr>
          <w:p w14:paraId="4D8C68AD"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5FC122BD"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E647F13" w14:textId="77777777" w:rsidR="00EA69AA" w:rsidRPr="00781F59" w:rsidRDefault="00EA69AA" w:rsidP="00EA69AA">
            <w:pPr>
              <w:contextualSpacing/>
              <w:rPr>
                <w:sz w:val="20"/>
                <w:szCs w:val="20"/>
              </w:rPr>
            </w:pPr>
            <w:r w:rsidRPr="00781F59">
              <w:rPr>
                <w:sz w:val="20"/>
                <w:szCs w:val="20"/>
              </w:rPr>
              <w:t>600</w:t>
            </w:r>
          </w:p>
        </w:tc>
        <w:tc>
          <w:tcPr>
            <w:tcW w:w="0" w:type="auto"/>
            <w:tcBorders>
              <w:top w:val="single" w:sz="6" w:space="0" w:color="auto"/>
              <w:left w:val="single" w:sz="6" w:space="0" w:color="auto"/>
              <w:bottom w:val="single" w:sz="6" w:space="0" w:color="auto"/>
              <w:right w:val="single" w:sz="6" w:space="0" w:color="auto"/>
            </w:tcBorders>
            <w:hideMark/>
          </w:tcPr>
          <w:p w14:paraId="506BD1D8" w14:textId="170045AE" w:rsidR="00EA69AA" w:rsidRPr="00781F59" w:rsidRDefault="00EA69AA" w:rsidP="00EA69AA">
            <w:pPr>
              <w:contextualSpacing/>
              <w:rPr>
                <w:sz w:val="20"/>
                <w:szCs w:val="20"/>
              </w:rPr>
            </w:pPr>
            <w:r w:rsidRPr="00781F59">
              <w:rPr>
                <w:sz w:val="20"/>
                <w:szCs w:val="20"/>
              </w:rPr>
              <w:t>Clare Dyer 2011 Tobacco firms move to stop FDA banning menthol cigarettes</w:t>
            </w:r>
            <w:r w:rsidR="007F2F01">
              <w:rPr>
                <w:sz w:val="20"/>
                <w:szCs w:val="20"/>
              </w:rPr>
              <w:t>.</w:t>
            </w:r>
            <w:r w:rsidRPr="00781F59">
              <w:rPr>
                <w:sz w:val="20"/>
                <w:szCs w:val="20"/>
              </w:rPr>
              <w:t xml:space="preserve"> BMJ (Clinical research ed.); 342.d1368.</w:t>
            </w:r>
          </w:p>
        </w:tc>
        <w:tc>
          <w:tcPr>
            <w:tcW w:w="0" w:type="auto"/>
            <w:tcBorders>
              <w:top w:val="single" w:sz="6" w:space="0" w:color="auto"/>
              <w:left w:val="single" w:sz="6" w:space="0" w:color="auto"/>
              <w:bottom w:val="single" w:sz="6" w:space="0" w:color="auto"/>
              <w:right w:val="single" w:sz="6" w:space="0" w:color="auto"/>
            </w:tcBorders>
            <w:hideMark/>
          </w:tcPr>
          <w:p w14:paraId="535E326B"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17843FC5"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F5E8DC5" w14:textId="77777777" w:rsidR="00EA69AA" w:rsidRPr="00781F59" w:rsidRDefault="00EA69AA" w:rsidP="00EA69AA">
            <w:pPr>
              <w:contextualSpacing/>
              <w:rPr>
                <w:sz w:val="20"/>
                <w:szCs w:val="20"/>
              </w:rPr>
            </w:pPr>
            <w:r w:rsidRPr="00781F59">
              <w:rPr>
                <w:sz w:val="20"/>
                <w:szCs w:val="20"/>
              </w:rPr>
              <w:lastRenderedPageBreak/>
              <w:t>602</w:t>
            </w:r>
          </w:p>
        </w:tc>
        <w:tc>
          <w:tcPr>
            <w:tcW w:w="0" w:type="auto"/>
            <w:tcBorders>
              <w:top w:val="single" w:sz="6" w:space="0" w:color="auto"/>
              <w:left w:val="single" w:sz="6" w:space="0" w:color="auto"/>
              <w:bottom w:val="single" w:sz="6" w:space="0" w:color="auto"/>
              <w:right w:val="single" w:sz="6" w:space="0" w:color="auto"/>
            </w:tcBorders>
            <w:hideMark/>
          </w:tcPr>
          <w:p w14:paraId="397181A1" w14:textId="007DDD63" w:rsidR="00EA69AA" w:rsidRPr="00781F59" w:rsidRDefault="00EA69AA" w:rsidP="00EA69AA">
            <w:pPr>
              <w:contextualSpacing/>
              <w:rPr>
                <w:sz w:val="20"/>
                <w:szCs w:val="20"/>
              </w:rPr>
            </w:pPr>
            <w:r w:rsidRPr="00781F59">
              <w:rPr>
                <w:sz w:val="20"/>
                <w:szCs w:val="20"/>
              </w:rPr>
              <w:t>Mansoo Yu 2011 Tobacco use among American Indian or Alaska Native middle- and high-school students in the United States</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13.173.</w:t>
            </w:r>
          </w:p>
        </w:tc>
        <w:tc>
          <w:tcPr>
            <w:tcW w:w="0" w:type="auto"/>
            <w:tcBorders>
              <w:top w:val="single" w:sz="6" w:space="0" w:color="auto"/>
              <w:left w:val="single" w:sz="6" w:space="0" w:color="auto"/>
              <w:bottom w:val="single" w:sz="6" w:space="0" w:color="auto"/>
              <w:right w:val="single" w:sz="6" w:space="0" w:color="auto"/>
            </w:tcBorders>
            <w:hideMark/>
          </w:tcPr>
          <w:p w14:paraId="5286C6C4"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79233B72"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78F37FE" w14:textId="77777777" w:rsidR="00EA69AA" w:rsidRPr="00781F59" w:rsidRDefault="00EA69AA" w:rsidP="00EA69AA">
            <w:pPr>
              <w:contextualSpacing/>
              <w:rPr>
                <w:sz w:val="20"/>
                <w:szCs w:val="20"/>
              </w:rPr>
            </w:pPr>
            <w:r w:rsidRPr="00781F59">
              <w:rPr>
                <w:sz w:val="20"/>
                <w:szCs w:val="20"/>
              </w:rPr>
              <w:t>608</w:t>
            </w:r>
          </w:p>
        </w:tc>
        <w:tc>
          <w:tcPr>
            <w:tcW w:w="0" w:type="auto"/>
            <w:tcBorders>
              <w:top w:val="single" w:sz="6" w:space="0" w:color="auto"/>
              <w:left w:val="single" w:sz="6" w:space="0" w:color="auto"/>
              <w:bottom w:val="single" w:sz="6" w:space="0" w:color="auto"/>
              <w:right w:val="single" w:sz="6" w:space="0" w:color="auto"/>
            </w:tcBorders>
            <w:hideMark/>
          </w:tcPr>
          <w:p w14:paraId="5C63D36E" w14:textId="77A2C2C7" w:rsidR="00EA69AA" w:rsidRPr="00781F59" w:rsidRDefault="00EA69AA" w:rsidP="00EA69AA">
            <w:pPr>
              <w:contextualSpacing/>
              <w:rPr>
                <w:sz w:val="20"/>
                <w:szCs w:val="20"/>
              </w:rPr>
            </w:pPr>
            <w:r w:rsidRPr="00781F59">
              <w:rPr>
                <w:sz w:val="20"/>
                <w:szCs w:val="20"/>
              </w:rPr>
              <w:t>Cheryl G Healton, Amber Thornton Bullock, William S Robinson, Stacy E Beck, Julia Cartwright, Sharon Y Eubanks 2010 Why we should make menthol cigarettes history</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12 Suppl 2.S94.</w:t>
            </w:r>
          </w:p>
        </w:tc>
        <w:tc>
          <w:tcPr>
            <w:tcW w:w="0" w:type="auto"/>
            <w:tcBorders>
              <w:top w:val="single" w:sz="6" w:space="0" w:color="auto"/>
              <w:left w:val="single" w:sz="6" w:space="0" w:color="auto"/>
              <w:bottom w:val="single" w:sz="6" w:space="0" w:color="auto"/>
              <w:right w:val="single" w:sz="6" w:space="0" w:color="auto"/>
            </w:tcBorders>
            <w:hideMark/>
          </w:tcPr>
          <w:p w14:paraId="7CB2F9B9"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7A3E8DB7"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7AC6D63" w14:textId="77777777" w:rsidR="00EA69AA" w:rsidRPr="00781F59" w:rsidRDefault="00EA69AA" w:rsidP="00EA69AA">
            <w:pPr>
              <w:contextualSpacing/>
              <w:rPr>
                <w:sz w:val="20"/>
                <w:szCs w:val="20"/>
              </w:rPr>
            </w:pPr>
            <w:r w:rsidRPr="00781F59">
              <w:rPr>
                <w:sz w:val="20"/>
                <w:szCs w:val="20"/>
              </w:rPr>
              <w:t>609</w:t>
            </w:r>
          </w:p>
        </w:tc>
        <w:tc>
          <w:tcPr>
            <w:tcW w:w="0" w:type="auto"/>
            <w:tcBorders>
              <w:top w:val="single" w:sz="6" w:space="0" w:color="auto"/>
              <w:left w:val="single" w:sz="6" w:space="0" w:color="auto"/>
              <w:bottom w:val="single" w:sz="6" w:space="0" w:color="auto"/>
              <w:right w:val="single" w:sz="6" w:space="0" w:color="auto"/>
            </w:tcBorders>
            <w:hideMark/>
          </w:tcPr>
          <w:p w14:paraId="0CED5B3D" w14:textId="3A1745C1" w:rsidR="00EA69AA" w:rsidRPr="00781F59" w:rsidRDefault="00EA69AA" w:rsidP="00EA69AA">
            <w:pPr>
              <w:contextualSpacing/>
              <w:rPr>
                <w:sz w:val="20"/>
                <w:szCs w:val="20"/>
              </w:rPr>
            </w:pPr>
            <w:r w:rsidRPr="00781F59">
              <w:rPr>
                <w:sz w:val="20"/>
                <w:szCs w:val="20"/>
              </w:rPr>
              <w:t>Phillip Gardiner, Pamela I Clark 2010 Menthol cigarettes: moving toward a broader definition of harm</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12 Suppl 2.S85.</w:t>
            </w:r>
          </w:p>
        </w:tc>
        <w:tc>
          <w:tcPr>
            <w:tcW w:w="0" w:type="auto"/>
            <w:tcBorders>
              <w:top w:val="single" w:sz="6" w:space="0" w:color="auto"/>
              <w:left w:val="single" w:sz="6" w:space="0" w:color="auto"/>
              <w:bottom w:val="single" w:sz="6" w:space="0" w:color="auto"/>
              <w:right w:val="single" w:sz="6" w:space="0" w:color="auto"/>
            </w:tcBorders>
            <w:hideMark/>
          </w:tcPr>
          <w:p w14:paraId="08D1F8B3" w14:textId="77777777" w:rsidR="00EA69AA" w:rsidRPr="00781F59" w:rsidRDefault="00EA69AA" w:rsidP="00EA69AA">
            <w:pPr>
              <w:contextualSpacing/>
              <w:rPr>
                <w:sz w:val="20"/>
                <w:szCs w:val="20"/>
              </w:rPr>
            </w:pPr>
            <w:r w:rsidRPr="00781F59">
              <w:rPr>
                <w:sz w:val="20"/>
                <w:szCs w:val="20"/>
              </w:rPr>
              <w:t>Not original research / data</w:t>
            </w:r>
          </w:p>
        </w:tc>
      </w:tr>
      <w:tr w:rsidR="00EA69AA" w:rsidRPr="00781F59" w14:paraId="57A9FE24"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CCFA981" w14:textId="77777777" w:rsidR="00EA69AA" w:rsidRPr="00781F59" w:rsidRDefault="00EA69AA" w:rsidP="00EA69AA">
            <w:pPr>
              <w:contextualSpacing/>
              <w:rPr>
                <w:sz w:val="20"/>
                <w:szCs w:val="20"/>
              </w:rPr>
            </w:pPr>
            <w:r w:rsidRPr="00781F59">
              <w:rPr>
                <w:sz w:val="20"/>
                <w:szCs w:val="20"/>
              </w:rPr>
              <w:t>612</w:t>
            </w:r>
          </w:p>
        </w:tc>
        <w:tc>
          <w:tcPr>
            <w:tcW w:w="0" w:type="auto"/>
            <w:tcBorders>
              <w:top w:val="single" w:sz="6" w:space="0" w:color="auto"/>
              <w:left w:val="single" w:sz="6" w:space="0" w:color="auto"/>
              <w:bottom w:val="single" w:sz="6" w:space="0" w:color="auto"/>
              <w:right w:val="single" w:sz="6" w:space="0" w:color="auto"/>
            </w:tcBorders>
            <w:hideMark/>
          </w:tcPr>
          <w:p w14:paraId="55A695CD" w14:textId="29DBCD10" w:rsidR="00EA69AA" w:rsidRPr="00781F59" w:rsidRDefault="00EA69AA" w:rsidP="00EA69AA">
            <w:pPr>
              <w:contextualSpacing/>
              <w:rPr>
                <w:sz w:val="20"/>
                <w:szCs w:val="20"/>
              </w:rPr>
            </w:pPr>
            <w:r w:rsidRPr="00781F59">
              <w:rPr>
                <w:sz w:val="20"/>
                <w:szCs w:val="20"/>
              </w:rPr>
              <w:t>Shane P Davis, Annette K McClave-Regan, Valerie J Rock, Judy Kruger, Bridgette E Garrett 2010 Perceptions of menthol cigarette use among U.S. adults and adult smokers: findings from the 2009 HealthStyles survey</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12 Suppl 2.S125.</w:t>
            </w:r>
          </w:p>
        </w:tc>
        <w:tc>
          <w:tcPr>
            <w:tcW w:w="0" w:type="auto"/>
            <w:tcBorders>
              <w:top w:val="single" w:sz="6" w:space="0" w:color="auto"/>
              <w:left w:val="single" w:sz="6" w:space="0" w:color="auto"/>
              <w:bottom w:val="single" w:sz="6" w:space="0" w:color="auto"/>
              <w:right w:val="single" w:sz="6" w:space="0" w:color="auto"/>
            </w:tcBorders>
            <w:hideMark/>
          </w:tcPr>
          <w:p w14:paraId="72CDAE70"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072F096E"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F8783DF" w14:textId="77777777" w:rsidR="00EA69AA" w:rsidRPr="00781F59" w:rsidRDefault="00EA69AA" w:rsidP="00EA69AA">
            <w:pPr>
              <w:contextualSpacing/>
              <w:rPr>
                <w:sz w:val="20"/>
                <w:szCs w:val="20"/>
              </w:rPr>
            </w:pPr>
            <w:r w:rsidRPr="00781F59">
              <w:rPr>
                <w:sz w:val="20"/>
                <w:szCs w:val="20"/>
              </w:rPr>
              <w:t>613</w:t>
            </w:r>
          </w:p>
        </w:tc>
        <w:tc>
          <w:tcPr>
            <w:tcW w:w="0" w:type="auto"/>
            <w:tcBorders>
              <w:top w:val="single" w:sz="6" w:space="0" w:color="auto"/>
              <w:left w:val="single" w:sz="6" w:space="0" w:color="auto"/>
              <w:bottom w:val="single" w:sz="6" w:space="0" w:color="auto"/>
              <w:right w:val="single" w:sz="6" w:space="0" w:color="auto"/>
            </w:tcBorders>
            <w:hideMark/>
          </w:tcPr>
          <w:p w14:paraId="7CDABEDA" w14:textId="7056B161" w:rsidR="00EA69AA" w:rsidRPr="00781F59" w:rsidRDefault="00EA69AA" w:rsidP="00EA69AA">
            <w:pPr>
              <w:contextualSpacing/>
              <w:rPr>
                <w:sz w:val="20"/>
                <w:szCs w:val="20"/>
              </w:rPr>
            </w:pPr>
            <w:r w:rsidRPr="00781F59">
              <w:rPr>
                <w:sz w:val="20"/>
                <w:szCs w:val="20"/>
              </w:rPr>
              <w:t>Valerie J Rock, Shane P Davis, Stacy L Thorne, Kat J Asman, Ralph S Caraballo 2010 Menthol cigarette use among racial and ethnic groups in the United States, 2004-2008</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12 Suppl 2.S117.</w:t>
            </w:r>
          </w:p>
        </w:tc>
        <w:tc>
          <w:tcPr>
            <w:tcW w:w="0" w:type="auto"/>
            <w:tcBorders>
              <w:top w:val="single" w:sz="6" w:space="0" w:color="auto"/>
              <w:left w:val="single" w:sz="6" w:space="0" w:color="auto"/>
              <w:bottom w:val="single" w:sz="6" w:space="0" w:color="auto"/>
              <w:right w:val="single" w:sz="6" w:space="0" w:color="auto"/>
            </w:tcBorders>
            <w:hideMark/>
          </w:tcPr>
          <w:p w14:paraId="6ED89DEA"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19A44C56"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2897856" w14:textId="77777777" w:rsidR="00EA69AA" w:rsidRPr="00781F59" w:rsidRDefault="00EA69AA" w:rsidP="00EA69AA">
            <w:pPr>
              <w:contextualSpacing/>
              <w:rPr>
                <w:sz w:val="20"/>
                <w:szCs w:val="20"/>
              </w:rPr>
            </w:pPr>
            <w:r w:rsidRPr="00781F59">
              <w:rPr>
                <w:sz w:val="20"/>
                <w:szCs w:val="20"/>
              </w:rPr>
              <w:t>614</w:t>
            </w:r>
          </w:p>
        </w:tc>
        <w:tc>
          <w:tcPr>
            <w:tcW w:w="0" w:type="auto"/>
            <w:tcBorders>
              <w:top w:val="single" w:sz="6" w:space="0" w:color="auto"/>
              <w:left w:val="single" w:sz="6" w:space="0" w:color="auto"/>
              <w:bottom w:val="single" w:sz="6" w:space="0" w:color="auto"/>
              <w:right w:val="single" w:sz="6" w:space="0" w:color="auto"/>
            </w:tcBorders>
            <w:hideMark/>
          </w:tcPr>
          <w:p w14:paraId="5EDA37A2" w14:textId="48DFDCE2" w:rsidR="00EA69AA" w:rsidRPr="00781F59" w:rsidRDefault="00EA69AA" w:rsidP="00EA69AA">
            <w:pPr>
              <w:contextualSpacing/>
              <w:rPr>
                <w:sz w:val="20"/>
                <w:szCs w:val="20"/>
              </w:rPr>
            </w:pPr>
            <w:r w:rsidRPr="00781F59">
              <w:rPr>
                <w:sz w:val="20"/>
                <w:szCs w:val="20"/>
              </w:rPr>
              <w:t>Karen Ahijevych, Bridgette E Garrett 2010 The role of menthol in cigarettes as a reinforcer of smoking behavior</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12 Suppl 2.S110.</w:t>
            </w:r>
          </w:p>
        </w:tc>
        <w:tc>
          <w:tcPr>
            <w:tcW w:w="0" w:type="auto"/>
            <w:tcBorders>
              <w:top w:val="single" w:sz="6" w:space="0" w:color="auto"/>
              <w:left w:val="single" w:sz="6" w:space="0" w:color="auto"/>
              <w:bottom w:val="single" w:sz="6" w:space="0" w:color="auto"/>
              <w:right w:val="single" w:sz="6" w:space="0" w:color="auto"/>
            </w:tcBorders>
            <w:hideMark/>
          </w:tcPr>
          <w:p w14:paraId="74952B1F" w14:textId="77777777" w:rsidR="00EA69AA" w:rsidRPr="00781F59" w:rsidRDefault="00EA69AA" w:rsidP="00EA69AA">
            <w:pPr>
              <w:contextualSpacing/>
              <w:rPr>
                <w:sz w:val="20"/>
                <w:szCs w:val="20"/>
              </w:rPr>
            </w:pPr>
            <w:r w:rsidRPr="00781F59">
              <w:rPr>
                <w:sz w:val="20"/>
                <w:szCs w:val="20"/>
              </w:rPr>
              <w:t>Not original research / data</w:t>
            </w:r>
          </w:p>
        </w:tc>
      </w:tr>
      <w:tr w:rsidR="00EA69AA" w:rsidRPr="00ED5FCD" w14:paraId="51546A98"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F112D53" w14:textId="77777777" w:rsidR="00EA69AA" w:rsidRPr="00781F59" w:rsidRDefault="00EA69AA" w:rsidP="00EA69AA">
            <w:pPr>
              <w:contextualSpacing/>
              <w:rPr>
                <w:sz w:val="20"/>
                <w:szCs w:val="20"/>
              </w:rPr>
            </w:pPr>
            <w:r w:rsidRPr="00781F59">
              <w:rPr>
                <w:sz w:val="20"/>
                <w:szCs w:val="20"/>
              </w:rPr>
              <w:t>615</w:t>
            </w:r>
          </w:p>
        </w:tc>
        <w:tc>
          <w:tcPr>
            <w:tcW w:w="0" w:type="auto"/>
            <w:tcBorders>
              <w:top w:val="single" w:sz="6" w:space="0" w:color="auto"/>
              <w:left w:val="single" w:sz="6" w:space="0" w:color="auto"/>
              <w:bottom w:val="single" w:sz="6" w:space="0" w:color="auto"/>
              <w:right w:val="single" w:sz="6" w:space="0" w:color="auto"/>
            </w:tcBorders>
            <w:hideMark/>
          </w:tcPr>
          <w:p w14:paraId="610497D3" w14:textId="4F29B3AD" w:rsidR="00EA69AA" w:rsidRPr="00781F59" w:rsidRDefault="00EA69AA" w:rsidP="00EA69AA">
            <w:pPr>
              <w:contextualSpacing/>
              <w:rPr>
                <w:sz w:val="20"/>
                <w:szCs w:val="20"/>
              </w:rPr>
            </w:pPr>
            <w:r w:rsidRPr="00781F59">
              <w:rPr>
                <w:sz w:val="20"/>
                <w:szCs w:val="20"/>
              </w:rPr>
              <w:t>Jonathan Foulds, Monica Webb Hooper, Mark J Pletcher, Kolawole S Okuyemi 2010 Do smokers of menthol cigarettes find it harder to quit smoking?</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12 Suppl 2.S102.</w:t>
            </w:r>
          </w:p>
        </w:tc>
        <w:tc>
          <w:tcPr>
            <w:tcW w:w="0" w:type="auto"/>
            <w:tcBorders>
              <w:top w:val="single" w:sz="6" w:space="0" w:color="auto"/>
              <w:left w:val="single" w:sz="6" w:space="0" w:color="auto"/>
              <w:bottom w:val="single" w:sz="6" w:space="0" w:color="auto"/>
              <w:right w:val="single" w:sz="6" w:space="0" w:color="auto"/>
            </w:tcBorders>
            <w:hideMark/>
          </w:tcPr>
          <w:p w14:paraId="08416F38" w14:textId="77777777" w:rsidR="00EA69AA" w:rsidRPr="00EA69AA" w:rsidRDefault="00EA69AA" w:rsidP="00EA69AA">
            <w:pPr>
              <w:contextualSpacing/>
              <w:rPr>
                <w:sz w:val="20"/>
                <w:szCs w:val="20"/>
                <w:lang w:val="fr-FR"/>
              </w:rPr>
            </w:pPr>
            <w:r w:rsidRPr="00EA69AA">
              <w:rPr>
                <w:sz w:val="20"/>
                <w:szCs w:val="20"/>
                <w:lang w:val="fr-FR"/>
              </w:rPr>
              <w:t>Ineligible comparison (menthol vs non)</w:t>
            </w:r>
          </w:p>
        </w:tc>
      </w:tr>
      <w:tr w:rsidR="00EA69AA" w:rsidRPr="00781F59" w14:paraId="5C977C09"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E8A2C5A" w14:textId="77777777" w:rsidR="00EA69AA" w:rsidRPr="00781F59" w:rsidRDefault="00EA69AA" w:rsidP="00EA69AA">
            <w:pPr>
              <w:contextualSpacing/>
              <w:rPr>
                <w:sz w:val="20"/>
                <w:szCs w:val="20"/>
              </w:rPr>
            </w:pPr>
            <w:r w:rsidRPr="00781F59">
              <w:rPr>
                <w:sz w:val="20"/>
                <w:szCs w:val="20"/>
              </w:rPr>
              <w:t>619</w:t>
            </w:r>
          </w:p>
        </w:tc>
        <w:tc>
          <w:tcPr>
            <w:tcW w:w="0" w:type="auto"/>
            <w:tcBorders>
              <w:top w:val="single" w:sz="6" w:space="0" w:color="auto"/>
              <w:left w:val="single" w:sz="6" w:space="0" w:color="auto"/>
              <w:bottom w:val="single" w:sz="6" w:space="0" w:color="auto"/>
              <w:right w:val="single" w:sz="6" w:space="0" w:color="auto"/>
            </w:tcBorders>
            <w:hideMark/>
          </w:tcPr>
          <w:p w14:paraId="05D43817" w14:textId="0DDECB11" w:rsidR="00EA69AA" w:rsidRPr="00781F59" w:rsidRDefault="00EA69AA" w:rsidP="00EA69AA">
            <w:pPr>
              <w:contextualSpacing/>
              <w:rPr>
                <w:sz w:val="20"/>
                <w:szCs w:val="20"/>
              </w:rPr>
            </w:pPr>
            <w:r w:rsidRPr="00781F59">
              <w:rPr>
                <w:sz w:val="20"/>
                <w:szCs w:val="20"/>
              </w:rPr>
              <w:t>Anita Fernander, Mary Kay Rayens, Ellen Hahn, Mei Zhang, Sarah M Adkins 2010 Menthol smoking, smoke-free policies and cessation services</w:t>
            </w:r>
            <w:r w:rsidR="007F2F01">
              <w:rPr>
                <w:sz w:val="20"/>
                <w:szCs w:val="20"/>
              </w:rPr>
              <w:t>.</w:t>
            </w:r>
            <w:r w:rsidRPr="00781F59">
              <w:rPr>
                <w:sz w:val="20"/>
                <w:szCs w:val="20"/>
              </w:rPr>
              <w:t xml:space="preserve"> Addiction (Abingdon, England); 105 Suppl 1.105.</w:t>
            </w:r>
          </w:p>
        </w:tc>
        <w:tc>
          <w:tcPr>
            <w:tcW w:w="0" w:type="auto"/>
            <w:tcBorders>
              <w:top w:val="single" w:sz="6" w:space="0" w:color="auto"/>
              <w:left w:val="single" w:sz="6" w:space="0" w:color="auto"/>
              <w:bottom w:val="single" w:sz="6" w:space="0" w:color="auto"/>
              <w:right w:val="single" w:sz="6" w:space="0" w:color="auto"/>
            </w:tcBorders>
            <w:hideMark/>
          </w:tcPr>
          <w:p w14:paraId="39787118"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162E711B"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A7E48B3" w14:textId="77777777" w:rsidR="00EA69AA" w:rsidRPr="00781F59" w:rsidRDefault="00EA69AA" w:rsidP="00EA69AA">
            <w:pPr>
              <w:contextualSpacing/>
              <w:rPr>
                <w:sz w:val="20"/>
                <w:szCs w:val="20"/>
              </w:rPr>
            </w:pPr>
            <w:r w:rsidRPr="00781F59">
              <w:rPr>
                <w:sz w:val="20"/>
                <w:szCs w:val="20"/>
              </w:rPr>
              <w:t>630</w:t>
            </w:r>
          </w:p>
        </w:tc>
        <w:tc>
          <w:tcPr>
            <w:tcW w:w="0" w:type="auto"/>
            <w:tcBorders>
              <w:top w:val="single" w:sz="6" w:space="0" w:color="auto"/>
              <w:left w:val="single" w:sz="6" w:space="0" w:color="auto"/>
              <w:bottom w:val="single" w:sz="6" w:space="0" w:color="auto"/>
              <w:right w:val="single" w:sz="6" w:space="0" w:color="auto"/>
            </w:tcBorders>
            <w:hideMark/>
          </w:tcPr>
          <w:p w14:paraId="19B7D64B" w14:textId="37210F23" w:rsidR="00EA69AA" w:rsidRPr="00781F59" w:rsidRDefault="00EA69AA" w:rsidP="00EA69AA">
            <w:pPr>
              <w:contextualSpacing/>
              <w:rPr>
                <w:sz w:val="20"/>
                <w:szCs w:val="20"/>
              </w:rPr>
            </w:pPr>
            <w:r w:rsidRPr="00781F59">
              <w:rPr>
                <w:sz w:val="20"/>
                <w:szCs w:val="20"/>
              </w:rPr>
              <w:t>Karyn Hede 2010 Drilling down to the causes of racial disparities in lung cancer</w:t>
            </w:r>
            <w:r w:rsidR="007F2F01">
              <w:rPr>
                <w:sz w:val="20"/>
                <w:szCs w:val="20"/>
              </w:rPr>
              <w:t>.</w:t>
            </w:r>
            <w:r w:rsidRPr="00781F59">
              <w:rPr>
                <w:sz w:val="20"/>
                <w:szCs w:val="20"/>
              </w:rPr>
              <w:t xml:space="preserve"> Journal of the National Cancer Institute; 102.1385.</w:t>
            </w:r>
          </w:p>
        </w:tc>
        <w:tc>
          <w:tcPr>
            <w:tcW w:w="0" w:type="auto"/>
            <w:tcBorders>
              <w:top w:val="single" w:sz="6" w:space="0" w:color="auto"/>
              <w:left w:val="single" w:sz="6" w:space="0" w:color="auto"/>
              <w:bottom w:val="single" w:sz="6" w:space="0" w:color="auto"/>
              <w:right w:val="single" w:sz="6" w:space="0" w:color="auto"/>
            </w:tcBorders>
            <w:hideMark/>
          </w:tcPr>
          <w:p w14:paraId="3CA4B7DD"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2D9B74F0"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EB5C7CB" w14:textId="77777777" w:rsidR="00EA69AA" w:rsidRPr="00781F59" w:rsidRDefault="00EA69AA" w:rsidP="00EA69AA">
            <w:pPr>
              <w:contextualSpacing/>
              <w:rPr>
                <w:sz w:val="20"/>
                <w:szCs w:val="20"/>
              </w:rPr>
            </w:pPr>
            <w:r w:rsidRPr="00781F59">
              <w:rPr>
                <w:sz w:val="20"/>
                <w:szCs w:val="20"/>
              </w:rPr>
              <w:t>635</w:t>
            </w:r>
          </w:p>
        </w:tc>
        <w:tc>
          <w:tcPr>
            <w:tcW w:w="0" w:type="auto"/>
            <w:tcBorders>
              <w:top w:val="single" w:sz="6" w:space="0" w:color="auto"/>
              <w:left w:val="single" w:sz="6" w:space="0" w:color="auto"/>
              <w:bottom w:val="single" w:sz="6" w:space="0" w:color="auto"/>
              <w:right w:val="single" w:sz="6" w:space="0" w:color="auto"/>
            </w:tcBorders>
            <w:hideMark/>
          </w:tcPr>
          <w:p w14:paraId="6EBE65F3" w14:textId="0A4E81E4" w:rsidR="00EA69AA" w:rsidRPr="00781F59" w:rsidRDefault="00EA69AA" w:rsidP="00EA69AA">
            <w:pPr>
              <w:contextualSpacing/>
              <w:rPr>
                <w:sz w:val="20"/>
                <w:szCs w:val="20"/>
              </w:rPr>
            </w:pPr>
            <w:r w:rsidRPr="00781F59">
              <w:rPr>
                <w:sz w:val="20"/>
                <w:szCs w:val="20"/>
              </w:rPr>
              <w:t>J Daniel Heck 2010 A review and assessment of menthol employed as a cigarette flavoring ingredient</w:t>
            </w:r>
            <w:r w:rsidR="007F2F01">
              <w:rPr>
                <w:sz w:val="20"/>
                <w:szCs w:val="20"/>
              </w:rPr>
              <w:t>.</w:t>
            </w:r>
            <w:r w:rsidRPr="00781F59">
              <w:rPr>
                <w:sz w:val="20"/>
                <w:szCs w:val="20"/>
              </w:rPr>
              <w:t xml:space="preserve"> Food and chemical </w:t>
            </w:r>
            <w:proofErr w:type="gramStart"/>
            <w:r w:rsidRPr="00781F59">
              <w:rPr>
                <w:sz w:val="20"/>
                <w:szCs w:val="20"/>
              </w:rPr>
              <w:t>toxicology :</w:t>
            </w:r>
            <w:proofErr w:type="gramEnd"/>
            <w:r w:rsidRPr="00781F59">
              <w:rPr>
                <w:sz w:val="20"/>
                <w:szCs w:val="20"/>
              </w:rPr>
              <w:t xml:space="preserve"> an international journal published for the British Industrial Biological Research Association; 48 Suppl 2.S1.</w:t>
            </w:r>
          </w:p>
        </w:tc>
        <w:tc>
          <w:tcPr>
            <w:tcW w:w="0" w:type="auto"/>
            <w:tcBorders>
              <w:top w:val="single" w:sz="6" w:space="0" w:color="auto"/>
              <w:left w:val="single" w:sz="6" w:space="0" w:color="auto"/>
              <w:bottom w:val="single" w:sz="6" w:space="0" w:color="auto"/>
              <w:right w:val="single" w:sz="6" w:space="0" w:color="auto"/>
            </w:tcBorders>
            <w:hideMark/>
          </w:tcPr>
          <w:p w14:paraId="195A05C1"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6D58C660"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FE1DB07" w14:textId="77777777" w:rsidR="00EA69AA" w:rsidRPr="00781F59" w:rsidRDefault="00EA69AA" w:rsidP="00EA69AA">
            <w:pPr>
              <w:contextualSpacing/>
              <w:rPr>
                <w:sz w:val="20"/>
                <w:szCs w:val="20"/>
              </w:rPr>
            </w:pPr>
            <w:r w:rsidRPr="00781F59">
              <w:rPr>
                <w:sz w:val="20"/>
                <w:szCs w:val="20"/>
              </w:rPr>
              <w:t>641</w:t>
            </w:r>
          </w:p>
        </w:tc>
        <w:tc>
          <w:tcPr>
            <w:tcW w:w="0" w:type="auto"/>
            <w:tcBorders>
              <w:top w:val="single" w:sz="6" w:space="0" w:color="auto"/>
              <w:left w:val="single" w:sz="6" w:space="0" w:color="auto"/>
              <w:bottom w:val="single" w:sz="6" w:space="0" w:color="auto"/>
              <w:right w:val="single" w:sz="6" w:space="0" w:color="auto"/>
            </w:tcBorders>
            <w:hideMark/>
          </w:tcPr>
          <w:p w14:paraId="569C6C17" w14:textId="00D9C8F2" w:rsidR="00EA69AA" w:rsidRPr="00781F59" w:rsidRDefault="00EA69AA" w:rsidP="00EA69AA">
            <w:pPr>
              <w:contextualSpacing/>
              <w:rPr>
                <w:sz w:val="20"/>
                <w:szCs w:val="20"/>
              </w:rPr>
            </w:pPr>
            <w:r w:rsidRPr="00781F59">
              <w:rPr>
                <w:sz w:val="20"/>
                <w:szCs w:val="20"/>
              </w:rPr>
              <w:t>Lisa B Signorello, Qiuyin Cai, Robert E Tarone, Joseph K McLaughlin, William J Blot 2009 Racial differences in serum cotinine levels of smokers</w:t>
            </w:r>
            <w:r w:rsidR="007F2F01">
              <w:rPr>
                <w:sz w:val="20"/>
                <w:szCs w:val="20"/>
              </w:rPr>
              <w:t>.</w:t>
            </w:r>
            <w:r w:rsidRPr="00781F59">
              <w:rPr>
                <w:sz w:val="20"/>
                <w:szCs w:val="20"/>
              </w:rPr>
              <w:t xml:space="preserve"> Disease markers; 27.187.</w:t>
            </w:r>
          </w:p>
        </w:tc>
        <w:tc>
          <w:tcPr>
            <w:tcW w:w="0" w:type="auto"/>
            <w:tcBorders>
              <w:top w:val="single" w:sz="6" w:space="0" w:color="auto"/>
              <w:left w:val="single" w:sz="6" w:space="0" w:color="auto"/>
              <w:bottom w:val="single" w:sz="6" w:space="0" w:color="auto"/>
              <w:right w:val="single" w:sz="6" w:space="0" w:color="auto"/>
            </w:tcBorders>
            <w:hideMark/>
          </w:tcPr>
          <w:p w14:paraId="49EB924F" w14:textId="77777777" w:rsidR="00EA69AA" w:rsidRPr="00781F59" w:rsidRDefault="00EA69AA" w:rsidP="00EA69AA">
            <w:pPr>
              <w:contextualSpacing/>
              <w:rPr>
                <w:sz w:val="20"/>
                <w:szCs w:val="20"/>
              </w:rPr>
            </w:pPr>
            <w:r w:rsidRPr="00781F59">
              <w:rPr>
                <w:sz w:val="20"/>
                <w:szCs w:val="20"/>
              </w:rPr>
              <w:t>Duplicate article</w:t>
            </w:r>
          </w:p>
        </w:tc>
      </w:tr>
      <w:tr w:rsidR="00EA69AA" w:rsidRPr="00ED5FCD" w14:paraId="365722AB"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1BF3D60" w14:textId="77777777" w:rsidR="00EA69AA" w:rsidRPr="00781F59" w:rsidRDefault="00EA69AA" w:rsidP="00EA69AA">
            <w:pPr>
              <w:contextualSpacing/>
              <w:rPr>
                <w:sz w:val="20"/>
                <w:szCs w:val="20"/>
              </w:rPr>
            </w:pPr>
            <w:r w:rsidRPr="00781F59">
              <w:rPr>
                <w:sz w:val="20"/>
                <w:szCs w:val="20"/>
              </w:rPr>
              <w:t>646</w:t>
            </w:r>
          </w:p>
        </w:tc>
        <w:tc>
          <w:tcPr>
            <w:tcW w:w="0" w:type="auto"/>
            <w:tcBorders>
              <w:top w:val="single" w:sz="6" w:space="0" w:color="auto"/>
              <w:left w:val="single" w:sz="6" w:space="0" w:color="auto"/>
              <w:bottom w:val="single" w:sz="6" w:space="0" w:color="auto"/>
              <w:right w:val="single" w:sz="6" w:space="0" w:color="auto"/>
            </w:tcBorders>
            <w:hideMark/>
          </w:tcPr>
          <w:p w14:paraId="20A23FF4" w14:textId="3DFE9979" w:rsidR="00EA69AA" w:rsidRPr="00781F59" w:rsidRDefault="00EA69AA" w:rsidP="00EA69AA">
            <w:pPr>
              <w:contextualSpacing/>
              <w:rPr>
                <w:sz w:val="20"/>
                <w:szCs w:val="20"/>
              </w:rPr>
            </w:pPr>
            <w:r w:rsidRPr="00781F59">
              <w:rPr>
                <w:sz w:val="20"/>
                <w:szCs w:val="20"/>
              </w:rPr>
              <w:t>Raphaela Finkenauer, Cynthia S Pomerleau, Sandy M Snedecor, Ovide F Pomerleau 2009 Race differences in factors relating to smoking initiation</w:t>
            </w:r>
            <w:r w:rsidR="007F2F01">
              <w:rPr>
                <w:sz w:val="20"/>
                <w:szCs w:val="20"/>
              </w:rPr>
              <w:t>.</w:t>
            </w:r>
            <w:r w:rsidRPr="00781F59">
              <w:rPr>
                <w:sz w:val="20"/>
                <w:szCs w:val="20"/>
              </w:rPr>
              <w:t xml:space="preserve"> Addictive behaviors; 34.1056.</w:t>
            </w:r>
          </w:p>
        </w:tc>
        <w:tc>
          <w:tcPr>
            <w:tcW w:w="0" w:type="auto"/>
            <w:tcBorders>
              <w:top w:val="single" w:sz="6" w:space="0" w:color="auto"/>
              <w:left w:val="single" w:sz="6" w:space="0" w:color="auto"/>
              <w:bottom w:val="single" w:sz="6" w:space="0" w:color="auto"/>
              <w:right w:val="single" w:sz="6" w:space="0" w:color="auto"/>
            </w:tcBorders>
            <w:hideMark/>
          </w:tcPr>
          <w:p w14:paraId="0B7C3057" w14:textId="77777777" w:rsidR="00EA69AA" w:rsidRPr="00EA69AA" w:rsidRDefault="00EA69AA" w:rsidP="00EA69AA">
            <w:pPr>
              <w:contextualSpacing/>
              <w:rPr>
                <w:sz w:val="20"/>
                <w:szCs w:val="20"/>
                <w:lang w:val="fr-FR"/>
              </w:rPr>
            </w:pPr>
            <w:r w:rsidRPr="00EA69AA">
              <w:rPr>
                <w:sz w:val="20"/>
                <w:szCs w:val="20"/>
                <w:lang w:val="fr-FR"/>
              </w:rPr>
              <w:t>Ineligible comparison (menthol vs non)</w:t>
            </w:r>
          </w:p>
        </w:tc>
      </w:tr>
      <w:tr w:rsidR="00EA69AA" w:rsidRPr="00ED5FCD" w14:paraId="1C6E9F8E"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7D9C247" w14:textId="77777777" w:rsidR="00EA69AA" w:rsidRPr="00781F59" w:rsidRDefault="00EA69AA" w:rsidP="00EA69AA">
            <w:pPr>
              <w:contextualSpacing/>
              <w:rPr>
                <w:sz w:val="20"/>
                <w:szCs w:val="20"/>
              </w:rPr>
            </w:pPr>
            <w:r w:rsidRPr="00781F59">
              <w:rPr>
                <w:sz w:val="20"/>
                <w:szCs w:val="20"/>
              </w:rPr>
              <w:t>656</w:t>
            </w:r>
          </w:p>
        </w:tc>
        <w:tc>
          <w:tcPr>
            <w:tcW w:w="0" w:type="auto"/>
            <w:tcBorders>
              <w:top w:val="single" w:sz="6" w:space="0" w:color="auto"/>
              <w:left w:val="single" w:sz="6" w:space="0" w:color="auto"/>
              <w:bottom w:val="single" w:sz="6" w:space="0" w:color="auto"/>
              <w:right w:val="single" w:sz="6" w:space="0" w:color="auto"/>
            </w:tcBorders>
            <w:hideMark/>
          </w:tcPr>
          <w:p w14:paraId="07FEF490" w14:textId="6B527B37" w:rsidR="00EA69AA" w:rsidRPr="00781F59" w:rsidRDefault="00EA69AA" w:rsidP="00EA69AA">
            <w:pPr>
              <w:contextualSpacing/>
              <w:rPr>
                <w:sz w:val="20"/>
                <w:szCs w:val="20"/>
              </w:rPr>
            </w:pPr>
            <w:r w:rsidRPr="00781F59">
              <w:rPr>
                <w:sz w:val="20"/>
                <w:szCs w:val="20"/>
              </w:rPr>
              <w:t>Anita Fernander, Mitzi Schumacher, Xiaochen Wei, Peter Crooks, Peter Wedlund 2008 Smoking risk and the likelihood of quitting among African-American female light and heavy smokers</w:t>
            </w:r>
            <w:r w:rsidR="007F2F01">
              <w:rPr>
                <w:sz w:val="20"/>
                <w:szCs w:val="20"/>
              </w:rPr>
              <w:t>.</w:t>
            </w:r>
            <w:r w:rsidRPr="00781F59">
              <w:rPr>
                <w:sz w:val="20"/>
                <w:szCs w:val="20"/>
              </w:rPr>
              <w:t xml:space="preserve"> Journal of the National Medical Association; 100.1199.</w:t>
            </w:r>
          </w:p>
        </w:tc>
        <w:tc>
          <w:tcPr>
            <w:tcW w:w="0" w:type="auto"/>
            <w:tcBorders>
              <w:top w:val="single" w:sz="6" w:space="0" w:color="auto"/>
              <w:left w:val="single" w:sz="6" w:space="0" w:color="auto"/>
              <w:bottom w:val="single" w:sz="6" w:space="0" w:color="auto"/>
              <w:right w:val="single" w:sz="6" w:space="0" w:color="auto"/>
            </w:tcBorders>
            <w:hideMark/>
          </w:tcPr>
          <w:p w14:paraId="5AF8F8D3" w14:textId="77777777" w:rsidR="00EA69AA" w:rsidRPr="00EA69AA" w:rsidRDefault="00EA69AA" w:rsidP="00EA69AA">
            <w:pPr>
              <w:contextualSpacing/>
              <w:rPr>
                <w:sz w:val="20"/>
                <w:szCs w:val="20"/>
                <w:lang w:val="fr-FR"/>
              </w:rPr>
            </w:pPr>
            <w:r w:rsidRPr="00EA69AA">
              <w:rPr>
                <w:sz w:val="20"/>
                <w:szCs w:val="20"/>
                <w:lang w:val="fr-FR"/>
              </w:rPr>
              <w:t>Ineligible comparison (menthol vs non)</w:t>
            </w:r>
          </w:p>
        </w:tc>
      </w:tr>
      <w:tr w:rsidR="00EA69AA" w:rsidRPr="00781F59" w14:paraId="25C410BC"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AEBC973" w14:textId="77777777" w:rsidR="00EA69AA" w:rsidRPr="00781F59" w:rsidRDefault="00EA69AA" w:rsidP="00EA69AA">
            <w:pPr>
              <w:contextualSpacing/>
              <w:rPr>
                <w:sz w:val="20"/>
                <w:szCs w:val="20"/>
              </w:rPr>
            </w:pPr>
            <w:r w:rsidRPr="00781F59">
              <w:rPr>
                <w:sz w:val="20"/>
                <w:szCs w:val="20"/>
              </w:rPr>
              <w:t>657</w:t>
            </w:r>
          </w:p>
        </w:tc>
        <w:tc>
          <w:tcPr>
            <w:tcW w:w="0" w:type="auto"/>
            <w:tcBorders>
              <w:top w:val="single" w:sz="6" w:space="0" w:color="auto"/>
              <w:left w:val="single" w:sz="6" w:space="0" w:color="auto"/>
              <w:bottom w:val="single" w:sz="6" w:space="0" w:color="auto"/>
              <w:right w:val="single" w:sz="6" w:space="0" w:color="auto"/>
            </w:tcBorders>
            <w:hideMark/>
          </w:tcPr>
          <w:p w14:paraId="229C29D4" w14:textId="564DE47D" w:rsidR="00EA69AA" w:rsidRPr="00781F59" w:rsidRDefault="00EA69AA" w:rsidP="00EA69AA">
            <w:pPr>
              <w:contextualSpacing/>
              <w:rPr>
                <w:sz w:val="20"/>
                <w:szCs w:val="20"/>
              </w:rPr>
            </w:pPr>
            <w:r w:rsidRPr="00781F59">
              <w:rPr>
                <w:sz w:val="20"/>
                <w:szCs w:val="20"/>
              </w:rPr>
              <w:t>Wen Qi Gan, Sigal Ben-Zaken Cohen, S F Paul Man, Don D Sin 2008 Sex-related differences in serum cotinine concentrations in daily cigarette smokers</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10.1293.</w:t>
            </w:r>
          </w:p>
        </w:tc>
        <w:tc>
          <w:tcPr>
            <w:tcW w:w="0" w:type="auto"/>
            <w:tcBorders>
              <w:top w:val="single" w:sz="6" w:space="0" w:color="auto"/>
              <w:left w:val="single" w:sz="6" w:space="0" w:color="auto"/>
              <w:bottom w:val="single" w:sz="6" w:space="0" w:color="auto"/>
              <w:right w:val="single" w:sz="6" w:space="0" w:color="auto"/>
            </w:tcBorders>
            <w:hideMark/>
          </w:tcPr>
          <w:p w14:paraId="5BFD76D1"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384220C6"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DC2C9D8" w14:textId="77777777" w:rsidR="00EA69AA" w:rsidRPr="00781F59" w:rsidRDefault="00EA69AA" w:rsidP="00EA69AA">
            <w:pPr>
              <w:contextualSpacing/>
              <w:rPr>
                <w:sz w:val="20"/>
                <w:szCs w:val="20"/>
              </w:rPr>
            </w:pPr>
            <w:r w:rsidRPr="00781F59">
              <w:rPr>
                <w:sz w:val="20"/>
                <w:szCs w:val="20"/>
              </w:rPr>
              <w:lastRenderedPageBreak/>
              <w:t>658</w:t>
            </w:r>
          </w:p>
        </w:tc>
        <w:tc>
          <w:tcPr>
            <w:tcW w:w="0" w:type="auto"/>
            <w:tcBorders>
              <w:top w:val="single" w:sz="6" w:space="0" w:color="auto"/>
              <w:left w:val="single" w:sz="6" w:space="0" w:color="auto"/>
              <w:bottom w:val="single" w:sz="6" w:space="0" w:color="auto"/>
              <w:right w:val="single" w:sz="6" w:space="0" w:color="auto"/>
            </w:tcBorders>
            <w:hideMark/>
          </w:tcPr>
          <w:p w14:paraId="64C66398" w14:textId="054384D4" w:rsidR="00EA69AA" w:rsidRPr="00781F59" w:rsidRDefault="00EA69AA" w:rsidP="00EA69AA">
            <w:pPr>
              <w:contextualSpacing/>
              <w:rPr>
                <w:sz w:val="20"/>
                <w:szCs w:val="20"/>
              </w:rPr>
            </w:pPr>
            <w:r w:rsidRPr="00781F59">
              <w:rPr>
                <w:sz w:val="20"/>
                <w:szCs w:val="20"/>
              </w:rPr>
              <w:t>Jennifer M Kreslake, Geoffrey Ferris Wayne, Hillel R Alpert, Howard K Koh, Gregory N Connolly 2008 Tobacco industry control of menthol in cigarettes and targeting of adolescents and young adults</w:t>
            </w:r>
            <w:r w:rsidR="007F2F01">
              <w:rPr>
                <w:sz w:val="20"/>
                <w:szCs w:val="20"/>
              </w:rPr>
              <w:t>.</w:t>
            </w:r>
            <w:r w:rsidRPr="00781F59">
              <w:rPr>
                <w:sz w:val="20"/>
                <w:szCs w:val="20"/>
              </w:rPr>
              <w:t xml:space="preserve"> American journal of public health; 98.1685.</w:t>
            </w:r>
          </w:p>
        </w:tc>
        <w:tc>
          <w:tcPr>
            <w:tcW w:w="0" w:type="auto"/>
            <w:tcBorders>
              <w:top w:val="single" w:sz="6" w:space="0" w:color="auto"/>
              <w:left w:val="single" w:sz="6" w:space="0" w:color="auto"/>
              <w:bottom w:val="single" w:sz="6" w:space="0" w:color="auto"/>
              <w:right w:val="single" w:sz="6" w:space="0" w:color="auto"/>
            </w:tcBorders>
            <w:hideMark/>
          </w:tcPr>
          <w:p w14:paraId="29E7AF70"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224249B4"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BF01189" w14:textId="77777777" w:rsidR="00EA69AA" w:rsidRPr="00781F59" w:rsidRDefault="00EA69AA" w:rsidP="00EA69AA">
            <w:pPr>
              <w:contextualSpacing/>
              <w:rPr>
                <w:sz w:val="20"/>
                <w:szCs w:val="20"/>
              </w:rPr>
            </w:pPr>
            <w:r w:rsidRPr="00781F59">
              <w:rPr>
                <w:sz w:val="20"/>
                <w:szCs w:val="20"/>
              </w:rPr>
              <w:t>659</w:t>
            </w:r>
          </w:p>
        </w:tc>
        <w:tc>
          <w:tcPr>
            <w:tcW w:w="0" w:type="auto"/>
            <w:tcBorders>
              <w:top w:val="single" w:sz="6" w:space="0" w:color="auto"/>
              <w:left w:val="single" w:sz="6" w:space="0" w:color="auto"/>
              <w:bottom w:val="single" w:sz="6" w:space="0" w:color="auto"/>
              <w:right w:val="single" w:sz="6" w:space="0" w:color="auto"/>
            </w:tcBorders>
            <w:hideMark/>
          </w:tcPr>
          <w:p w14:paraId="23DDAB29" w14:textId="0A4B5E55" w:rsidR="00EA69AA" w:rsidRPr="00781F59" w:rsidRDefault="00EA69AA" w:rsidP="00EA69AA">
            <w:pPr>
              <w:contextualSpacing/>
              <w:rPr>
                <w:sz w:val="20"/>
                <w:szCs w:val="20"/>
              </w:rPr>
            </w:pPr>
            <w:r w:rsidRPr="00781F59">
              <w:rPr>
                <w:sz w:val="20"/>
                <w:szCs w:val="20"/>
              </w:rPr>
              <w:t>Gisela I Robles, Devada Singh-Franco, Hoytin Lee Ghin 2008 A review of the efficacy of smoking-cessation pharmacotherapies in nonwhite populations</w:t>
            </w:r>
            <w:r w:rsidR="007F2F01">
              <w:rPr>
                <w:sz w:val="20"/>
                <w:szCs w:val="20"/>
              </w:rPr>
              <w:t>.</w:t>
            </w:r>
            <w:r w:rsidRPr="00781F59">
              <w:rPr>
                <w:sz w:val="20"/>
                <w:szCs w:val="20"/>
              </w:rPr>
              <w:t xml:space="preserve"> Clinical therapeutics; 30.800.</w:t>
            </w:r>
          </w:p>
        </w:tc>
        <w:tc>
          <w:tcPr>
            <w:tcW w:w="0" w:type="auto"/>
            <w:tcBorders>
              <w:top w:val="single" w:sz="6" w:space="0" w:color="auto"/>
              <w:left w:val="single" w:sz="6" w:space="0" w:color="auto"/>
              <w:bottom w:val="single" w:sz="6" w:space="0" w:color="auto"/>
              <w:right w:val="single" w:sz="6" w:space="0" w:color="auto"/>
            </w:tcBorders>
            <w:hideMark/>
          </w:tcPr>
          <w:p w14:paraId="09FBF713" w14:textId="77777777" w:rsidR="00EA69AA" w:rsidRPr="00781F59" w:rsidRDefault="00EA69AA" w:rsidP="00EA69AA">
            <w:pPr>
              <w:contextualSpacing/>
              <w:rPr>
                <w:sz w:val="20"/>
                <w:szCs w:val="20"/>
              </w:rPr>
            </w:pPr>
            <w:r w:rsidRPr="00781F59">
              <w:rPr>
                <w:sz w:val="20"/>
                <w:szCs w:val="20"/>
              </w:rPr>
              <w:t>Not original research / data</w:t>
            </w:r>
          </w:p>
        </w:tc>
      </w:tr>
      <w:tr w:rsidR="00EA69AA" w:rsidRPr="00781F59" w14:paraId="4542B054"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41241E6" w14:textId="77777777" w:rsidR="00EA69AA" w:rsidRPr="00781F59" w:rsidRDefault="00EA69AA" w:rsidP="00EA69AA">
            <w:pPr>
              <w:contextualSpacing/>
              <w:rPr>
                <w:sz w:val="20"/>
                <w:szCs w:val="20"/>
              </w:rPr>
            </w:pPr>
            <w:r w:rsidRPr="00781F59">
              <w:rPr>
                <w:sz w:val="20"/>
                <w:szCs w:val="20"/>
              </w:rPr>
              <w:t>661</w:t>
            </w:r>
          </w:p>
        </w:tc>
        <w:tc>
          <w:tcPr>
            <w:tcW w:w="0" w:type="auto"/>
            <w:tcBorders>
              <w:top w:val="single" w:sz="6" w:space="0" w:color="auto"/>
              <w:left w:val="single" w:sz="6" w:space="0" w:color="auto"/>
              <w:bottom w:val="single" w:sz="6" w:space="0" w:color="auto"/>
              <w:right w:val="single" w:sz="6" w:space="0" w:color="auto"/>
            </w:tcBorders>
            <w:hideMark/>
          </w:tcPr>
          <w:p w14:paraId="2B7707A5" w14:textId="086EA7E4" w:rsidR="00EA69AA" w:rsidRPr="00781F59" w:rsidRDefault="00EA69AA" w:rsidP="00EA69AA">
            <w:pPr>
              <w:contextualSpacing/>
              <w:rPr>
                <w:sz w:val="20"/>
                <w:szCs w:val="20"/>
              </w:rPr>
            </w:pPr>
            <w:r w:rsidRPr="00781F59">
              <w:rPr>
                <w:sz w:val="20"/>
                <w:szCs w:val="20"/>
              </w:rPr>
              <w:t>Patricia Richter, Diane Beistle, Linda Pederson, Michelle O'Hegarty 2008 Small-group discussions on menthol cigarettes: listening to adult African American smokers in Atlanta, Georgia</w:t>
            </w:r>
            <w:r w:rsidR="007F2F01">
              <w:rPr>
                <w:sz w:val="20"/>
                <w:szCs w:val="20"/>
              </w:rPr>
              <w:t>.</w:t>
            </w:r>
            <w:r w:rsidRPr="00781F59">
              <w:rPr>
                <w:sz w:val="20"/>
                <w:szCs w:val="20"/>
              </w:rPr>
              <w:t xml:space="preserve"> Ethnicity &amp; health; 13.171.</w:t>
            </w:r>
          </w:p>
        </w:tc>
        <w:tc>
          <w:tcPr>
            <w:tcW w:w="0" w:type="auto"/>
            <w:tcBorders>
              <w:top w:val="single" w:sz="6" w:space="0" w:color="auto"/>
              <w:left w:val="single" w:sz="6" w:space="0" w:color="auto"/>
              <w:bottom w:val="single" w:sz="6" w:space="0" w:color="auto"/>
              <w:right w:val="single" w:sz="6" w:space="0" w:color="auto"/>
            </w:tcBorders>
            <w:hideMark/>
          </w:tcPr>
          <w:p w14:paraId="106D1EC9"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68EC5429"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A735FE8" w14:textId="77777777" w:rsidR="00EA69AA" w:rsidRPr="00781F59" w:rsidRDefault="00EA69AA" w:rsidP="00EA69AA">
            <w:pPr>
              <w:contextualSpacing/>
              <w:rPr>
                <w:sz w:val="20"/>
                <w:szCs w:val="20"/>
              </w:rPr>
            </w:pPr>
            <w:r w:rsidRPr="00781F59">
              <w:rPr>
                <w:sz w:val="20"/>
                <w:szCs w:val="20"/>
              </w:rPr>
              <w:t>662</w:t>
            </w:r>
          </w:p>
        </w:tc>
        <w:tc>
          <w:tcPr>
            <w:tcW w:w="0" w:type="auto"/>
            <w:tcBorders>
              <w:top w:val="single" w:sz="6" w:space="0" w:color="auto"/>
              <w:left w:val="single" w:sz="6" w:space="0" w:color="auto"/>
              <w:bottom w:val="single" w:sz="6" w:space="0" w:color="auto"/>
              <w:right w:val="single" w:sz="6" w:space="0" w:color="auto"/>
            </w:tcBorders>
            <w:hideMark/>
          </w:tcPr>
          <w:p w14:paraId="27331582" w14:textId="182B9479" w:rsidR="00EA69AA" w:rsidRPr="00781F59" w:rsidRDefault="00EA69AA" w:rsidP="00EA69AA">
            <w:pPr>
              <w:contextualSpacing/>
              <w:rPr>
                <w:sz w:val="20"/>
                <w:szCs w:val="20"/>
              </w:rPr>
            </w:pPr>
            <w:r w:rsidRPr="00781F59">
              <w:rPr>
                <w:sz w:val="20"/>
                <w:szCs w:val="20"/>
              </w:rPr>
              <w:t>Jennifer M Kreslake, Geoffrey Ferris Wayne, Gregory N Connolly 2008 The menthol smoker: tobacco industry research on consumer sensory perception of menthol cigarettes and its role in smoking behavior</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10.705.</w:t>
            </w:r>
          </w:p>
        </w:tc>
        <w:tc>
          <w:tcPr>
            <w:tcW w:w="0" w:type="auto"/>
            <w:tcBorders>
              <w:top w:val="single" w:sz="6" w:space="0" w:color="auto"/>
              <w:left w:val="single" w:sz="6" w:space="0" w:color="auto"/>
              <w:bottom w:val="single" w:sz="6" w:space="0" w:color="auto"/>
              <w:right w:val="single" w:sz="6" w:space="0" w:color="auto"/>
            </w:tcBorders>
            <w:hideMark/>
          </w:tcPr>
          <w:p w14:paraId="6DCCE7FA"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74DDBCBC"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D6589ED" w14:textId="77777777" w:rsidR="00EA69AA" w:rsidRPr="00781F59" w:rsidRDefault="00EA69AA" w:rsidP="00EA69AA">
            <w:pPr>
              <w:contextualSpacing/>
              <w:rPr>
                <w:sz w:val="20"/>
                <w:szCs w:val="20"/>
              </w:rPr>
            </w:pPr>
            <w:r w:rsidRPr="00781F59">
              <w:rPr>
                <w:sz w:val="20"/>
                <w:szCs w:val="20"/>
              </w:rPr>
              <w:t>667</w:t>
            </w:r>
          </w:p>
        </w:tc>
        <w:tc>
          <w:tcPr>
            <w:tcW w:w="0" w:type="auto"/>
            <w:tcBorders>
              <w:top w:val="single" w:sz="6" w:space="0" w:color="auto"/>
              <w:left w:val="single" w:sz="6" w:space="0" w:color="auto"/>
              <w:bottom w:val="single" w:sz="6" w:space="0" w:color="auto"/>
              <w:right w:val="single" w:sz="6" w:space="0" w:color="auto"/>
            </w:tcBorders>
            <w:hideMark/>
          </w:tcPr>
          <w:p w14:paraId="4B692B8E" w14:textId="5AEB93BD" w:rsidR="00EA69AA" w:rsidRPr="00781F59" w:rsidRDefault="00EA69AA" w:rsidP="00EA69AA">
            <w:pPr>
              <w:contextualSpacing/>
              <w:rPr>
                <w:sz w:val="20"/>
                <w:szCs w:val="20"/>
              </w:rPr>
            </w:pPr>
            <w:r w:rsidRPr="00781F59">
              <w:rPr>
                <w:sz w:val="20"/>
                <w:szCs w:val="20"/>
              </w:rPr>
              <w:t>Amie L Haas, James L Sorensen, Sharon M Hall, Christine Lin, Kevin Delucchi, Karl Sporer, TeChieh Chen 2008 Cigarette smoking in opioid-using patients presenting for hospital-based medical services</w:t>
            </w:r>
            <w:r w:rsidR="007F2F01">
              <w:rPr>
                <w:sz w:val="20"/>
                <w:szCs w:val="20"/>
              </w:rPr>
              <w:t>.</w:t>
            </w:r>
            <w:r w:rsidRPr="00781F59">
              <w:rPr>
                <w:sz w:val="20"/>
                <w:szCs w:val="20"/>
              </w:rPr>
              <w:t xml:space="preserve"> The American journal on addictions; 17.65.</w:t>
            </w:r>
          </w:p>
        </w:tc>
        <w:tc>
          <w:tcPr>
            <w:tcW w:w="0" w:type="auto"/>
            <w:tcBorders>
              <w:top w:val="single" w:sz="6" w:space="0" w:color="auto"/>
              <w:left w:val="single" w:sz="6" w:space="0" w:color="auto"/>
              <w:bottom w:val="single" w:sz="6" w:space="0" w:color="auto"/>
              <w:right w:val="single" w:sz="6" w:space="0" w:color="auto"/>
            </w:tcBorders>
            <w:hideMark/>
          </w:tcPr>
          <w:p w14:paraId="1CB8B3FD"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14C60D36"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99E719A" w14:textId="77777777" w:rsidR="00EA69AA" w:rsidRPr="00781F59" w:rsidRDefault="00EA69AA" w:rsidP="00EA69AA">
            <w:pPr>
              <w:contextualSpacing/>
              <w:rPr>
                <w:sz w:val="20"/>
                <w:szCs w:val="20"/>
              </w:rPr>
            </w:pPr>
            <w:r w:rsidRPr="00781F59">
              <w:rPr>
                <w:sz w:val="20"/>
                <w:szCs w:val="20"/>
              </w:rPr>
              <w:t>673</w:t>
            </w:r>
          </w:p>
        </w:tc>
        <w:tc>
          <w:tcPr>
            <w:tcW w:w="0" w:type="auto"/>
            <w:tcBorders>
              <w:top w:val="single" w:sz="6" w:space="0" w:color="auto"/>
              <w:left w:val="single" w:sz="6" w:space="0" w:color="auto"/>
              <w:bottom w:val="single" w:sz="6" w:space="0" w:color="auto"/>
              <w:right w:val="single" w:sz="6" w:space="0" w:color="auto"/>
            </w:tcBorders>
            <w:hideMark/>
          </w:tcPr>
          <w:p w14:paraId="4E792425" w14:textId="1A8F92D4" w:rsidR="00EA69AA" w:rsidRPr="00781F59" w:rsidRDefault="00EA69AA" w:rsidP="00EA69AA">
            <w:pPr>
              <w:contextualSpacing/>
              <w:rPr>
                <w:sz w:val="20"/>
                <w:szCs w:val="20"/>
              </w:rPr>
            </w:pPr>
            <w:r w:rsidRPr="00781F59">
              <w:rPr>
                <w:sz w:val="20"/>
                <w:szCs w:val="20"/>
              </w:rPr>
              <w:t>Gregory N Connolly, Hillel R Alpert, Geoffrey Ferris Wayne, Howard Koh 2007 Trends in nicotine yield in smoke and its relationship with design characteristics among popular US cigarette brands, 1997-2005</w:t>
            </w:r>
            <w:r w:rsidR="007F2F01">
              <w:rPr>
                <w:sz w:val="20"/>
                <w:szCs w:val="20"/>
              </w:rPr>
              <w:t>.</w:t>
            </w:r>
            <w:r w:rsidRPr="00781F59">
              <w:rPr>
                <w:sz w:val="20"/>
                <w:szCs w:val="20"/>
              </w:rPr>
              <w:t xml:space="preserve"> Tobacco control; </w:t>
            </w:r>
            <w:proofErr w:type="gramStart"/>
            <w:r w:rsidRPr="00781F59">
              <w:rPr>
                <w:sz w:val="20"/>
                <w:szCs w:val="20"/>
              </w:rPr>
              <w:t>16.e</w:t>
            </w:r>
            <w:proofErr w:type="gramEnd"/>
            <w:r w:rsidRPr="00781F59">
              <w:rPr>
                <w:sz w:val="20"/>
                <w:szCs w:val="20"/>
              </w:rPr>
              <w:t>5.</w:t>
            </w:r>
          </w:p>
        </w:tc>
        <w:tc>
          <w:tcPr>
            <w:tcW w:w="0" w:type="auto"/>
            <w:tcBorders>
              <w:top w:val="single" w:sz="6" w:space="0" w:color="auto"/>
              <w:left w:val="single" w:sz="6" w:space="0" w:color="auto"/>
              <w:bottom w:val="single" w:sz="6" w:space="0" w:color="auto"/>
              <w:right w:val="single" w:sz="6" w:space="0" w:color="auto"/>
            </w:tcBorders>
            <w:hideMark/>
          </w:tcPr>
          <w:p w14:paraId="186C7B62"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44F86E0B"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CF58359" w14:textId="77777777" w:rsidR="00EA69AA" w:rsidRPr="00781F59" w:rsidRDefault="00EA69AA" w:rsidP="00EA69AA">
            <w:pPr>
              <w:contextualSpacing/>
              <w:rPr>
                <w:sz w:val="20"/>
                <w:szCs w:val="20"/>
              </w:rPr>
            </w:pPr>
            <w:r w:rsidRPr="00781F59">
              <w:rPr>
                <w:sz w:val="20"/>
                <w:szCs w:val="20"/>
              </w:rPr>
              <w:t>682</w:t>
            </w:r>
          </w:p>
        </w:tc>
        <w:tc>
          <w:tcPr>
            <w:tcW w:w="0" w:type="auto"/>
            <w:tcBorders>
              <w:top w:val="single" w:sz="6" w:space="0" w:color="auto"/>
              <w:left w:val="single" w:sz="6" w:space="0" w:color="auto"/>
              <w:bottom w:val="single" w:sz="6" w:space="0" w:color="auto"/>
              <w:right w:val="single" w:sz="6" w:space="0" w:color="auto"/>
            </w:tcBorders>
            <w:hideMark/>
          </w:tcPr>
          <w:p w14:paraId="41BC9FAF" w14:textId="11008857" w:rsidR="00EA69AA" w:rsidRPr="00781F59" w:rsidRDefault="00EA69AA" w:rsidP="00EA69AA">
            <w:pPr>
              <w:contextualSpacing/>
              <w:rPr>
                <w:sz w:val="20"/>
                <w:szCs w:val="20"/>
              </w:rPr>
            </w:pPr>
            <w:r w:rsidRPr="00781F59">
              <w:rPr>
                <w:sz w:val="20"/>
                <w:szCs w:val="20"/>
              </w:rPr>
              <w:t>Michael S Werley, Christopher R E Coggins, Peter N Lee 2007 Possible effects on smokers of cigarette mentholation: a review of the evidence relating to key research questions</w:t>
            </w:r>
            <w:r w:rsidR="007F2F01">
              <w:rPr>
                <w:sz w:val="20"/>
                <w:szCs w:val="20"/>
              </w:rPr>
              <w:t>.</w:t>
            </w:r>
            <w:r w:rsidRPr="00781F59">
              <w:rPr>
                <w:sz w:val="20"/>
                <w:szCs w:val="20"/>
              </w:rPr>
              <w:t xml:space="preserve"> Regulatory toxicology and </w:t>
            </w:r>
            <w:proofErr w:type="gramStart"/>
            <w:r w:rsidRPr="00781F59">
              <w:rPr>
                <w:sz w:val="20"/>
                <w:szCs w:val="20"/>
              </w:rPr>
              <w:t>pharmacology :</w:t>
            </w:r>
            <w:proofErr w:type="gramEnd"/>
            <w:r w:rsidRPr="00781F59">
              <w:rPr>
                <w:sz w:val="20"/>
                <w:szCs w:val="20"/>
              </w:rPr>
              <w:t xml:space="preserve"> RTP; 47.189.</w:t>
            </w:r>
          </w:p>
        </w:tc>
        <w:tc>
          <w:tcPr>
            <w:tcW w:w="0" w:type="auto"/>
            <w:tcBorders>
              <w:top w:val="single" w:sz="6" w:space="0" w:color="auto"/>
              <w:left w:val="single" w:sz="6" w:space="0" w:color="auto"/>
              <w:bottom w:val="single" w:sz="6" w:space="0" w:color="auto"/>
              <w:right w:val="single" w:sz="6" w:space="0" w:color="auto"/>
            </w:tcBorders>
            <w:hideMark/>
          </w:tcPr>
          <w:p w14:paraId="7C46D8CF" w14:textId="77777777" w:rsidR="00EA69AA" w:rsidRPr="00781F59" w:rsidRDefault="00EA69AA" w:rsidP="00EA69AA">
            <w:pPr>
              <w:contextualSpacing/>
              <w:rPr>
                <w:sz w:val="20"/>
                <w:szCs w:val="20"/>
              </w:rPr>
            </w:pPr>
            <w:r w:rsidRPr="00781F59">
              <w:rPr>
                <w:sz w:val="20"/>
                <w:szCs w:val="20"/>
              </w:rPr>
              <w:t>Not original research / data</w:t>
            </w:r>
          </w:p>
        </w:tc>
      </w:tr>
      <w:tr w:rsidR="00EA69AA" w:rsidRPr="00781F59" w14:paraId="29D34A8D"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9A264C1" w14:textId="77777777" w:rsidR="00EA69AA" w:rsidRPr="00781F59" w:rsidRDefault="00EA69AA" w:rsidP="00EA69AA">
            <w:pPr>
              <w:contextualSpacing/>
              <w:rPr>
                <w:sz w:val="20"/>
                <w:szCs w:val="20"/>
              </w:rPr>
            </w:pPr>
            <w:r w:rsidRPr="00781F59">
              <w:rPr>
                <w:sz w:val="20"/>
                <w:szCs w:val="20"/>
              </w:rPr>
              <w:t>684</w:t>
            </w:r>
          </w:p>
        </w:tc>
        <w:tc>
          <w:tcPr>
            <w:tcW w:w="0" w:type="auto"/>
            <w:tcBorders>
              <w:top w:val="single" w:sz="6" w:space="0" w:color="auto"/>
              <w:left w:val="single" w:sz="6" w:space="0" w:color="auto"/>
              <w:bottom w:val="single" w:sz="6" w:space="0" w:color="auto"/>
              <w:right w:val="single" w:sz="6" w:space="0" w:color="auto"/>
            </w:tcBorders>
            <w:hideMark/>
          </w:tcPr>
          <w:p w14:paraId="360001E7" w14:textId="5C7B235B" w:rsidR="00EA69AA" w:rsidRPr="00781F59" w:rsidRDefault="00EA69AA" w:rsidP="00EA69AA">
            <w:pPr>
              <w:contextualSpacing/>
              <w:rPr>
                <w:sz w:val="20"/>
                <w:szCs w:val="20"/>
              </w:rPr>
            </w:pPr>
            <w:r w:rsidRPr="00781F59">
              <w:rPr>
                <w:sz w:val="20"/>
                <w:szCs w:val="20"/>
              </w:rPr>
              <w:t>Richard Hebert 2006 What's new in Nicotine &amp; Tobacco Research?</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8.481.</w:t>
            </w:r>
          </w:p>
        </w:tc>
        <w:tc>
          <w:tcPr>
            <w:tcW w:w="0" w:type="auto"/>
            <w:tcBorders>
              <w:top w:val="single" w:sz="6" w:space="0" w:color="auto"/>
              <w:left w:val="single" w:sz="6" w:space="0" w:color="auto"/>
              <w:bottom w:val="single" w:sz="6" w:space="0" w:color="auto"/>
              <w:right w:val="single" w:sz="6" w:space="0" w:color="auto"/>
            </w:tcBorders>
            <w:hideMark/>
          </w:tcPr>
          <w:p w14:paraId="3955C0D4" w14:textId="77777777" w:rsidR="00EA69AA" w:rsidRPr="00781F59" w:rsidRDefault="00EA69AA" w:rsidP="00EA69AA">
            <w:pPr>
              <w:contextualSpacing/>
              <w:rPr>
                <w:sz w:val="20"/>
                <w:szCs w:val="20"/>
              </w:rPr>
            </w:pPr>
            <w:r w:rsidRPr="00781F59">
              <w:rPr>
                <w:sz w:val="20"/>
                <w:szCs w:val="20"/>
              </w:rPr>
              <w:t>Not original research / data</w:t>
            </w:r>
          </w:p>
        </w:tc>
      </w:tr>
      <w:tr w:rsidR="00EA69AA" w:rsidRPr="00781F59" w14:paraId="1DAADF7F"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9DFCC48" w14:textId="77777777" w:rsidR="00EA69AA" w:rsidRPr="00781F59" w:rsidRDefault="00EA69AA" w:rsidP="00EA69AA">
            <w:pPr>
              <w:contextualSpacing/>
              <w:rPr>
                <w:sz w:val="20"/>
                <w:szCs w:val="20"/>
              </w:rPr>
            </w:pPr>
            <w:r w:rsidRPr="00781F59">
              <w:rPr>
                <w:sz w:val="20"/>
                <w:szCs w:val="20"/>
              </w:rPr>
              <w:t>688</w:t>
            </w:r>
          </w:p>
        </w:tc>
        <w:tc>
          <w:tcPr>
            <w:tcW w:w="0" w:type="auto"/>
            <w:tcBorders>
              <w:top w:val="single" w:sz="6" w:space="0" w:color="auto"/>
              <w:left w:val="single" w:sz="6" w:space="0" w:color="auto"/>
              <w:bottom w:val="single" w:sz="6" w:space="0" w:color="auto"/>
              <w:right w:val="single" w:sz="6" w:space="0" w:color="auto"/>
            </w:tcBorders>
            <w:hideMark/>
          </w:tcPr>
          <w:p w14:paraId="09AC9D75" w14:textId="7B084B46" w:rsidR="00EA69AA" w:rsidRPr="00781F59" w:rsidRDefault="00EA69AA" w:rsidP="00EA69AA">
            <w:pPr>
              <w:contextualSpacing/>
              <w:rPr>
                <w:sz w:val="20"/>
                <w:szCs w:val="20"/>
              </w:rPr>
            </w:pPr>
            <w:r w:rsidRPr="00781F59">
              <w:rPr>
                <w:sz w:val="20"/>
                <w:szCs w:val="20"/>
              </w:rPr>
              <w:t>Eric T Moolchan, Frederick H Franken, Maria Jaszyna-Gasior 2006 Adolescent nicotine metabolism: ethnoracial differences among dependent smokers</w:t>
            </w:r>
            <w:r w:rsidR="007F2F01">
              <w:rPr>
                <w:sz w:val="20"/>
                <w:szCs w:val="20"/>
              </w:rPr>
              <w:t>.</w:t>
            </w:r>
            <w:r w:rsidRPr="00781F59">
              <w:rPr>
                <w:sz w:val="20"/>
                <w:szCs w:val="20"/>
              </w:rPr>
              <w:t xml:space="preserve"> Ethnicity &amp; disease; 16.239.</w:t>
            </w:r>
          </w:p>
        </w:tc>
        <w:tc>
          <w:tcPr>
            <w:tcW w:w="0" w:type="auto"/>
            <w:tcBorders>
              <w:top w:val="single" w:sz="6" w:space="0" w:color="auto"/>
              <w:left w:val="single" w:sz="6" w:space="0" w:color="auto"/>
              <w:bottom w:val="single" w:sz="6" w:space="0" w:color="auto"/>
              <w:right w:val="single" w:sz="6" w:space="0" w:color="auto"/>
            </w:tcBorders>
            <w:hideMark/>
          </w:tcPr>
          <w:p w14:paraId="3E2146EE"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48CDF105"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F4CC61B" w14:textId="77777777" w:rsidR="00EA69AA" w:rsidRPr="00781F59" w:rsidRDefault="00EA69AA" w:rsidP="00EA69AA">
            <w:pPr>
              <w:contextualSpacing/>
              <w:rPr>
                <w:sz w:val="20"/>
                <w:szCs w:val="20"/>
              </w:rPr>
            </w:pPr>
            <w:r w:rsidRPr="00781F59">
              <w:rPr>
                <w:sz w:val="20"/>
                <w:szCs w:val="20"/>
              </w:rPr>
              <w:t>693</w:t>
            </w:r>
          </w:p>
        </w:tc>
        <w:tc>
          <w:tcPr>
            <w:tcW w:w="0" w:type="auto"/>
            <w:tcBorders>
              <w:top w:val="single" w:sz="6" w:space="0" w:color="auto"/>
              <w:left w:val="single" w:sz="6" w:space="0" w:color="auto"/>
              <w:bottom w:val="single" w:sz="6" w:space="0" w:color="auto"/>
              <w:right w:val="single" w:sz="6" w:space="0" w:color="auto"/>
            </w:tcBorders>
            <w:hideMark/>
          </w:tcPr>
          <w:p w14:paraId="7F58D1C5" w14:textId="083CA7E1" w:rsidR="00EA69AA" w:rsidRPr="00781F59" w:rsidRDefault="00EA69AA" w:rsidP="00EA69AA">
            <w:pPr>
              <w:contextualSpacing/>
              <w:rPr>
                <w:sz w:val="20"/>
                <w:szCs w:val="20"/>
              </w:rPr>
            </w:pPr>
            <w:r w:rsidRPr="00781F59">
              <w:rPr>
                <w:sz w:val="20"/>
                <w:szCs w:val="20"/>
              </w:rPr>
              <w:t>Carolyn C Celebucki, Geoffrey Ferris Wayne, Gregory N Connolly, James F Pankow, Elsa I Chang 2005 Characterization of measured menthol in 48 U.S. cigarette sub-brands</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7.523.</w:t>
            </w:r>
          </w:p>
        </w:tc>
        <w:tc>
          <w:tcPr>
            <w:tcW w:w="0" w:type="auto"/>
            <w:tcBorders>
              <w:top w:val="single" w:sz="6" w:space="0" w:color="auto"/>
              <w:left w:val="single" w:sz="6" w:space="0" w:color="auto"/>
              <w:bottom w:val="single" w:sz="6" w:space="0" w:color="auto"/>
              <w:right w:val="single" w:sz="6" w:space="0" w:color="auto"/>
            </w:tcBorders>
            <w:hideMark/>
          </w:tcPr>
          <w:p w14:paraId="0D747C37"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064EA71E"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FA418A5" w14:textId="77777777" w:rsidR="00EA69AA" w:rsidRPr="00781F59" w:rsidRDefault="00EA69AA" w:rsidP="00EA69AA">
            <w:pPr>
              <w:contextualSpacing/>
              <w:rPr>
                <w:sz w:val="20"/>
                <w:szCs w:val="20"/>
              </w:rPr>
            </w:pPr>
            <w:r w:rsidRPr="00781F59">
              <w:rPr>
                <w:sz w:val="20"/>
                <w:szCs w:val="20"/>
              </w:rPr>
              <w:t>695</w:t>
            </w:r>
          </w:p>
        </w:tc>
        <w:tc>
          <w:tcPr>
            <w:tcW w:w="0" w:type="auto"/>
            <w:tcBorders>
              <w:top w:val="single" w:sz="6" w:space="0" w:color="auto"/>
              <w:left w:val="single" w:sz="6" w:space="0" w:color="auto"/>
              <w:bottom w:val="single" w:sz="6" w:space="0" w:color="auto"/>
              <w:right w:val="single" w:sz="6" w:space="0" w:color="auto"/>
            </w:tcBorders>
            <w:hideMark/>
          </w:tcPr>
          <w:p w14:paraId="755244E2" w14:textId="1A012880" w:rsidR="00EA69AA" w:rsidRPr="00781F59" w:rsidRDefault="00EA69AA" w:rsidP="00EA69AA">
            <w:pPr>
              <w:contextualSpacing/>
              <w:rPr>
                <w:sz w:val="20"/>
                <w:szCs w:val="20"/>
              </w:rPr>
            </w:pPr>
            <w:r w:rsidRPr="00781F59">
              <w:rPr>
                <w:sz w:val="20"/>
                <w:szCs w:val="20"/>
              </w:rPr>
              <w:t>Anita F Fernander, Christi A Patten, Darrell R Schroeder, Susanna R Stevens, Kay M Eberman, Richard D Hurt 2005 Exploring the association of John Henry active coping and education on smoking behavior and nicotine dependence among Blacks in the USA</w:t>
            </w:r>
            <w:r w:rsidR="007F2F01">
              <w:rPr>
                <w:sz w:val="20"/>
                <w:szCs w:val="20"/>
              </w:rPr>
              <w:t>.</w:t>
            </w:r>
            <w:r w:rsidRPr="00781F59">
              <w:rPr>
                <w:sz w:val="20"/>
                <w:szCs w:val="20"/>
              </w:rPr>
              <w:t xml:space="preserve"> Social science &amp; medicine (1982); 60.491.</w:t>
            </w:r>
          </w:p>
        </w:tc>
        <w:tc>
          <w:tcPr>
            <w:tcW w:w="0" w:type="auto"/>
            <w:tcBorders>
              <w:top w:val="single" w:sz="6" w:space="0" w:color="auto"/>
              <w:left w:val="single" w:sz="6" w:space="0" w:color="auto"/>
              <w:bottom w:val="single" w:sz="6" w:space="0" w:color="auto"/>
              <w:right w:val="single" w:sz="6" w:space="0" w:color="auto"/>
            </w:tcBorders>
            <w:hideMark/>
          </w:tcPr>
          <w:p w14:paraId="70299539"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126FDF83"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26DE3AC" w14:textId="77777777" w:rsidR="00EA69AA" w:rsidRPr="00781F59" w:rsidRDefault="00EA69AA" w:rsidP="00EA69AA">
            <w:pPr>
              <w:contextualSpacing/>
              <w:rPr>
                <w:sz w:val="20"/>
                <w:szCs w:val="20"/>
              </w:rPr>
            </w:pPr>
            <w:r w:rsidRPr="00781F59">
              <w:rPr>
                <w:sz w:val="20"/>
                <w:szCs w:val="20"/>
              </w:rPr>
              <w:t>699</w:t>
            </w:r>
          </w:p>
        </w:tc>
        <w:tc>
          <w:tcPr>
            <w:tcW w:w="0" w:type="auto"/>
            <w:tcBorders>
              <w:top w:val="single" w:sz="6" w:space="0" w:color="auto"/>
              <w:left w:val="single" w:sz="6" w:space="0" w:color="auto"/>
              <w:bottom w:val="single" w:sz="6" w:space="0" w:color="auto"/>
              <w:right w:val="single" w:sz="6" w:space="0" w:color="auto"/>
            </w:tcBorders>
            <w:hideMark/>
          </w:tcPr>
          <w:p w14:paraId="1CC3F2B0" w14:textId="397B6E19" w:rsidR="00EA69AA" w:rsidRPr="00781F59" w:rsidRDefault="00EA69AA" w:rsidP="00EA69AA">
            <w:pPr>
              <w:contextualSpacing/>
              <w:rPr>
                <w:sz w:val="20"/>
                <w:szCs w:val="20"/>
              </w:rPr>
            </w:pPr>
            <w:r w:rsidRPr="00781F59">
              <w:rPr>
                <w:sz w:val="20"/>
                <w:szCs w:val="20"/>
              </w:rPr>
              <w:t>Eric T Moolchan, Darrell L Hudson, Jennifer R Schroeder, Shelley S Sehnert 2004 Heart rate and blood pressure responses to tobacco smoking among African-American adolescents</w:t>
            </w:r>
            <w:r w:rsidR="007F2F01">
              <w:rPr>
                <w:sz w:val="20"/>
                <w:szCs w:val="20"/>
              </w:rPr>
              <w:t>.</w:t>
            </w:r>
            <w:r w:rsidRPr="00781F59">
              <w:rPr>
                <w:sz w:val="20"/>
                <w:szCs w:val="20"/>
              </w:rPr>
              <w:t xml:space="preserve"> Journal of the National Medical Association; 96.767.</w:t>
            </w:r>
          </w:p>
        </w:tc>
        <w:tc>
          <w:tcPr>
            <w:tcW w:w="0" w:type="auto"/>
            <w:tcBorders>
              <w:top w:val="single" w:sz="6" w:space="0" w:color="auto"/>
              <w:left w:val="single" w:sz="6" w:space="0" w:color="auto"/>
              <w:bottom w:val="single" w:sz="6" w:space="0" w:color="auto"/>
              <w:right w:val="single" w:sz="6" w:space="0" w:color="auto"/>
            </w:tcBorders>
            <w:hideMark/>
          </w:tcPr>
          <w:p w14:paraId="2441FC11"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7568B3D2"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8DE5511" w14:textId="77777777" w:rsidR="00EA69AA" w:rsidRPr="00781F59" w:rsidRDefault="00EA69AA" w:rsidP="00EA69AA">
            <w:pPr>
              <w:contextualSpacing/>
              <w:rPr>
                <w:sz w:val="20"/>
                <w:szCs w:val="20"/>
              </w:rPr>
            </w:pPr>
            <w:r w:rsidRPr="00781F59">
              <w:rPr>
                <w:sz w:val="20"/>
                <w:szCs w:val="20"/>
              </w:rPr>
              <w:t>700</w:t>
            </w:r>
          </w:p>
        </w:tc>
        <w:tc>
          <w:tcPr>
            <w:tcW w:w="0" w:type="auto"/>
            <w:tcBorders>
              <w:top w:val="single" w:sz="6" w:space="0" w:color="auto"/>
              <w:left w:val="single" w:sz="6" w:space="0" w:color="auto"/>
              <w:bottom w:val="single" w:sz="6" w:space="0" w:color="auto"/>
              <w:right w:val="single" w:sz="6" w:space="0" w:color="auto"/>
            </w:tcBorders>
            <w:hideMark/>
          </w:tcPr>
          <w:p w14:paraId="34725B06" w14:textId="4F3B8661" w:rsidR="00EA69AA" w:rsidRPr="00781F59" w:rsidRDefault="00EA69AA" w:rsidP="00EA69AA">
            <w:pPr>
              <w:contextualSpacing/>
              <w:rPr>
                <w:sz w:val="20"/>
                <w:szCs w:val="20"/>
              </w:rPr>
            </w:pPr>
            <w:r w:rsidRPr="00781F59">
              <w:rPr>
                <w:sz w:val="20"/>
                <w:szCs w:val="20"/>
              </w:rPr>
              <w:t>Jed E Rose, Frederique M Behm 2004 Extinguishing the rewarding value of smoke cues: pharmacological and behavioral treatments</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6.523.</w:t>
            </w:r>
          </w:p>
        </w:tc>
        <w:tc>
          <w:tcPr>
            <w:tcW w:w="0" w:type="auto"/>
            <w:tcBorders>
              <w:top w:val="single" w:sz="6" w:space="0" w:color="auto"/>
              <w:left w:val="single" w:sz="6" w:space="0" w:color="auto"/>
              <w:bottom w:val="single" w:sz="6" w:space="0" w:color="auto"/>
              <w:right w:val="single" w:sz="6" w:space="0" w:color="auto"/>
            </w:tcBorders>
            <w:hideMark/>
          </w:tcPr>
          <w:p w14:paraId="221AB399"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06AE0AC5"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CC764D1" w14:textId="77777777" w:rsidR="00EA69AA" w:rsidRPr="00781F59" w:rsidRDefault="00EA69AA" w:rsidP="00EA69AA">
            <w:pPr>
              <w:contextualSpacing/>
              <w:rPr>
                <w:sz w:val="20"/>
                <w:szCs w:val="20"/>
              </w:rPr>
            </w:pPr>
            <w:r w:rsidRPr="00781F59">
              <w:rPr>
                <w:sz w:val="20"/>
                <w:szCs w:val="20"/>
              </w:rPr>
              <w:t>701</w:t>
            </w:r>
          </w:p>
        </w:tc>
        <w:tc>
          <w:tcPr>
            <w:tcW w:w="0" w:type="auto"/>
            <w:tcBorders>
              <w:top w:val="single" w:sz="6" w:space="0" w:color="auto"/>
              <w:left w:val="single" w:sz="6" w:space="0" w:color="auto"/>
              <w:bottom w:val="single" w:sz="6" w:space="0" w:color="auto"/>
              <w:right w:val="single" w:sz="6" w:space="0" w:color="auto"/>
            </w:tcBorders>
            <w:hideMark/>
          </w:tcPr>
          <w:p w14:paraId="18738490" w14:textId="399F1426" w:rsidR="00EA69AA" w:rsidRPr="00781F59" w:rsidRDefault="00EA69AA" w:rsidP="00EA69AA">
            <w:pPr>
              <w:contextualSpacing/>
              <w:rPr>
                <w:sz w:val="20"/>
                <w:szCs w:val="20"/>
              </w:rPr>
            </w:pPr>
            <w:r w:rsidRPr="00781F59">
              <w:rPr>
                <w:sz w:val="20"/>
                <w:szCs w:val="20"/>
              </w:rPr>
              <w:t>Samuel Garten, R Victor Falkner 2004 Role of mentholated cigarettes in increased nicotine dependence and greater risk of tobacco-attributable disease</w:t>
            </w:r>
            <w:r w:rsidR="007F2F01">
              <w:rPr>
                <w:sz w:val="20"/>
                <w:szCs w:val="20"/>
              </w:rPr>
              <w:t>.</w:t>
            </w:r>
            <w:r w:rsidRPr="00781F59">
              <w:rPr>
                <w:sz w:val="20"/>
                <w:szCs w:val="20"/>
              </w:rPr>
              <w:t xml:space="preserve"> Preventive medicine; 38.793.</w:t>
            </w:r>
          </w:p>
        </w:tc>
        <w:tc>
          <w:tcPr>
            <w:tcW w:w="0" w:type="auto"/>
            <w:tcBorders>
              <w:top w:val="single" w:sz="6" w:space="0" w:color="auto"/>
              <w:left w:val="single" w:sz="6" w:space="0" w:color="auto"/>
              <w:bottom w:val="single" w:sz="6" w:space="0" w:color="auto"/>
              <w:right w:val="single" w:sz="6" w:space="0" w:color="auto"/>
            </w:tcBorders>
            <w:hideMark/>
          </w:tcPr>
          <w:p w14:paraId="22B14B9A"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3CEDCC6C"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DDFE767" w14:textId="77777777" w:rsidR="00EA69AA" w:rsidRPr="00781F59" w:rsidRDefault="00EA69AA" w:rsidP="00EA69AA">
            <w:pPr>
              <w:contextualSpacing/>
              <w:rPr>
                <w:sz w:val="20"/>
                <w:szCs w:val="20"/>
              </w:rPr>
            </w:pPr>
            <w:r w:rsidRPr="00781F59">
              <w:rPr>
                <w:sz w:val="20"/>
                <w:szCs w:val="20"/>
              </w:rPr>
              <w:lastRenderedPageBreak/>
              <w:t>704</w:t>
            </w:r>
          </w:p>
        </w:tc>
        <w:tc>
          <w:tcPr>
            <w:tcW w:w="0" w:type="auto"/>
            <w:tcBorders>
              <w:top w:val="single" w:sz="6" w:space="0" w:color="auto"/>
              <w:left w:val="single" w:sz="6" w:space="0" w:color="auto"/>
              <w:bottom w:val="single" w:sz="6" w:space="0" w:color="auto"/>
              <w:right w:val="single" w:sz="6" w:space="0" w:color="auto"/>
            </w:tcBorders>
            <w:hideMark/>
          </w:tcPr>
          <w:p w14:paraId="71BD5154" w14:textId="26D4D8A3" w:rsidR="00EA69AA" w:rsidRPr="00781F59" w:rsidRDefault="00EA69AA" w:rsidP="00EA69AA">
            <w:pPr>
              <w:contextualSpacing/>
              <w:rPr>
                <w:sz w:val="20"/>
                <w:szCs w:val="20"/>
              </w:rPr>
            </w:pPr>
            <w:r w:rsidRPr="00781F59">
              <w:rPr>
                <w:sz w:val="20"/>
                <w:szCs w:val="20"/>
              </w:rPr>
              <w:t>Eric T Moolchan 2004 Adolescent menthol smokers: will they be a harder target for cessation?</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6 Suppl 1.S93.</w:t>
            </w:r>
          </w:p>
        </w:tc>
        <w:tc>
          <w:tcPr>
            <w:tcW w:w="0" w:type="auto"/>
            <w:tcBorders>
              <w:top w:val="single" w:sz="6" w:space="0" w:color="auto"/>
              <w:left w:val="single" w:sz="6" w:space="0" w:color="auto"/>
              <w:bottom w:val="single" w:sz="6" w:space="0" w:color="auto"/>
              <w:right w:val="single" w:sz="6" w:space="0" w:color="auto"/>
            </w:tcBorders>
            <w:hideMark/>
          </w:tcPr>
          <w:p w14:paraId="06E5E779"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58C1AD5B"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9C81F4F" w14:textId="77777777" w:rsidR="00EA69AA" w:rsidRPr="00781F59" w:rsidRDefault="00EA69AA" w:rsidP="00EA69AA">
            <w:pPr>
              <w:contextualSpacing/>
              <w:rPr>
                <w:sz w:val="20"/>
                <w:szCs w:val="20"/>
              </w:rPr>
            </w:pPr>
            <w:r w:rsidRPr="00781F59">
              <w:rPr>
                <w:sz w:val="20"/>
                <w:szCs w:val="20"/>
              </w:rPr>
              <w:t>708</w:t>
            </w:r>
          </w:p>
        </w:tc>
        <w:tc>
          <w:tcPr>
            <w:tcW w:w="0" w:type="auto"/>
            <w:tcBorders>
              <w:top w:val="single" w:sz="6" w:space="0" w:color="auto"/>
              <w:left w:val="single" w:sz="6" w:space="0" w:color="auto"/>
              <w:bottom w:val="single" w:sz="6" w:space="0" w:color="auto"/>
              <w:right w:val="single" w:sz="6" w:space="0" w:color="auto"/>
            </w:tcBorders>
            <w:hideMark/>
          </w:tcPr>
          <w:p w14:paraId="5D65C588" w14:textId="4E87AF18" w:rsidR="00EA69AA" w:rsidRPr="00781F59" w:rsidRDefault="00EA69AA" w:rsidP="00EA69AA">
            <w:pPr>
              <w:contextualSpacing/>
              <w:rPr>
                <w:sz w:val="20"/>
                <w:szCs w:val="20"/>
              </w:rPr>
            </w:pPr>
            <w:r w:rsidRPr="00781F59">
              <w:rPr>
                <w:sz w:val="20"/>
                <w:szCs w:val="20"/>
              </w:rPr>
              <w:t>Geoffrey Ferris Wayne, Gregory N Connolly 2004 Application, function, and effects of menthol in cigarettes: a survey of tobacco industry documents</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6 Suppl 1.S43.</w:t>
            </w:r>
          </w:p>
        </w:tc>
        <w:tc>
          <w:tcPr>
            <w:tcW w:w="0" w:type="auto"/>
            <w:tcBorders>
              <w:top w:val="single" w:sz="6" w:space="0" w:color="auto"/>
              <w:left w:val="single" w:sz="6" w:space="0" w:color="auto"/>
              <w:bottom w:val="single" w:sz="6" w:space="0" w:color="auto"/>
              <w:right w:val="single" w:sz="6" w:space="0" w:color="auto"/>
            </w:tcBorders>
            <w:hideMark/>
          </w:tcPr>
          <w:p w14:paraId="2457D636"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6B9511E2"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92470CD" w14:textId="77777777" w:rsidR="00EA69AA" w:rsidRPr="00781F59" w:rsidRDefault="00EA69AA" w:rsidP="00EA69AA">
            <w:pPr>
              <w:contextualSpacing/>
              <w:rPr>
                <w:sz w:val="20"/>
                <w:szCs w:val="20"/>
              </w:rPr>
            </w:pPr>
            <w:r w:rsidRPr="00781F59">
              <w:rPr>
                <w:sz w:val="20"/>
                <w:szCs w:val="20"/>
              </w:rPr>
              <w:t>710</w:t>
            </w:r>
          </w:p>
        </w:tc>
        <w:tc>
          <w:tcPr>
            <w:tcW w:w="0" w:type="auto"/>
            <w:tcBorders>
              <w:top w:val="single" w:sz="6" w:space="0" w:color="auto"/>
              <w:left w:val="single" w:sz="6" w:space="0" w:color="auto"/>
              <w:bottom w:val="single" w:sz="6" w:space="0" w:color="auto"/>
              <w:right w:val="single" w:sz="6" w:space="0" w:color="auto"/>
            </w:tcBorders>
            <w:hideMark/>
          </w:tcPr>
          <w:p w14:paraId="26081BCD" w14:textId="4655094E" w:rsidR="00EA69AA" w:rsidRPr="00781F59" w:rsidRDefault="00EA69AA" w:rsidP="00EA69AA">
            <w:pPr>
              <w:contextualSpacing/>
              <w:rPr>
                <w:sz w:val="20"/>
                <w:szCs w:val="20"/>
              </w:rPr>
            </w:pPr>
            <w:r w:rsidRPr="00781F59">
              <w:rPr>
                <w:sz w:val="20"/>
                <w:szCs w:val="20"/>
              </w:rPr>
              <w:t>Karen Ahijevych, Bridgette E Garrett 2004 Menthol pharmacology and its potential impact on cigarette smoking behavior</w:t>
            </w:r>
            <w:r w:rsidR="007F2F01">
              <w:rPr>
                <w:sz w:val="20"/>
                <w:szCs w:val="20"/>
              </w:rPr>
              <w:t>.</w:t>
            </w:r>
            <w:r w:rsidRPr="00781F59">
              <w:rPr>
                <w:sz w:val="20"/>
                <w:szCs w:val="20"/>
              </w:rPr>
              <w:t xml:space="preserve"> Nicotine &amp; tobacco </w:t>
            </w:r>
            <w:proofErr w:type="gramStart"/>
            <w:r w:rsidRPr="00781F59">
              <w:rPr>
                <w:sz w:val="20"/>
                <w:szCs w:val="20"/>
              </w:rPr>
              <w:t>research :</w:t>
            </w:r>
            <w:proofErr w:type="gramEnd"/>
            <w:r w:rsidRPr="00781F59">
              <w:rPr>
                <w:sz w:val="20"/>
                <w:szCs w:val="20"/>
              </w:rPr>
              <w:t xml:space="preserve"> official journal of the Society for Research on Nicotine and Tobacco; 6 Suppl 1.S17.</w:t>
            </w:r>
          </w:p>
        </w:tc>
        <w:tc>
          <w:tcPr>
            <w:tcW w:w="0" w:type="auto"/>
            <w:tcBorders>
              <w:top w:val="single" w:sz="6" w:space="0" w:color="auto"/>
              <w:left w:val="single" w:sz="6" w:space="0" w:color="auto"/>
              <w:bottom w:val="single" w:sz="6" w:space="0" w:color="auto"/>
              <w:right w:val="single" w:sz="6" w:space="0" w:color="auto"/>
            </w:tcBorders>
            <w:hideMark/>
          </w:tcPr>
          <w:p w14:paraId="201F4B36" w14:textId="77777777" w:rsidR="00EA69AA" w:rsidRPr="00781F59" w:rsidRDefault="00EA69AA" w:rsidP="00EA69AA">
            <w:pPr>
              <w:contextualSpacing/>
              <w:rPr>
                <w:sz w:val="20"/>
                <w:szCs w:val="20"/>
              </w:rPr>
            </w:pPr>
            <w:r w:rsidRPr="00781F59">
              <w:rPr>
                <w:sz w:val="20"/>
                <w:szCs w:val="20"/>
              </w:rPr>
              <w:t>Not original research / data</w:t>
            </w:r>
          </w:p>
        </w:tc>
      </w:tr>
      <w:tr w:rsidR="00EA69AA" w:rsidRPr="00781F59" w14:paraId="08F58674"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0DBFEF1" w14:textId="77777777" w:rsidR="00EA69AA" w:rsidRPr="00781F59" w:rsidRDefault="00EA69AA" w:rsidP="00EA69AA">
            <w:pPr>
              <w:contextualSpacing/>
              <w:rPr>
                <w:sz w:val="20"/>
                <w:szCs w:val="20"/>
              </w:rPr>
            </w:pPr>
            <w:r w:rsidRPr="00781F59">
              <w:rPr>
                <w:sz w:val="20"/>
                <w:szCs w:val="20"/>
              </w:rPr>
              <w:t>717</w:t>
            </w:r>
          </w:p>
        </w:tc>
        <w:tc>
          <w:tcPr>
            <w:tcW w:w="0" w:type="auto"/>
            <w:tcBorders>
              <w:top w:val="single" w:sz="6" w:space="0" w:color="auto"/>
              <w:left w:val="single" w:sz="6" w:space="0" w:color="auto"/>
              <w:bottom w:val="single" w:sz="6" w:space="0" w:color="auto"/>
              <w:right w:val="single" w:sz="6" w:space="0" w:color="auto"/>
            </w:tcBorders>
            <w:hideMark/>
          </w:tcPr>
          <w:p w14:paraId="22D03680" w14:textId="4752CA28" w:rsidR="00EA69AA" w:rsidRPr="00781F59" w:rsidRDefault="00EA69AA" w:rsidP="00EA69AA">
            <w:pPr>
              <w:contextualSpacing/>
              <w:rPr>
                <w:sz w:val="20"/>
                <w:szCs w:val="20"/>
              </w:rPr>
            </w:pPr>
            <w:r w:rsidRPr="00781F59">
              <w:rPr>
                <w:sz w:val="20"/>
                <w:szCs w:val="20"/>
              </w:rPr>
              <w:t>James M MacDougall, Keith Fandrick, Xiaodong Zhang, Scott V Serafin, John R Cashman 2003 Inhibition of human liver microsomal (S)-nicotine oxidation by (-)-menthol and analogues</w:t>
            </w:r>
            <w:r w:rsidR="007F2F01">
              <w:rPr>
                <w:sz w:val="20"/>
                <w:szCs w:val="20"/>
              </w:rPr>
              <w:t>.</w:t>
            </w:r>
            <w:r w:rsidRPr="00781F59">
              <w:rPr>
                <w:sz w:val="20"/>
                <w:szCs w:val="20"/>
              </w:rPr>
              <w:t xml:space="preserve"> Chemical research in toxicology; 16.988.</w:t>
            </w:r>
          </w:p>
        </w:tc>
        <w:tc>
          <w:tcPr>
            <w:tcW w:w="0" w:type="auto"/>
            <w:tcBorders>
              <w:top w:val="single" w:sz="6" w:space="0" w:color="auto"/>
              <w:left w:val="single" w:sz="6" w:space="0" w:color="auto"/>
              <w:bottom w:val="single" w:sz="6" w:space="0" w:color="auto"/>
              <w:right w:val="single" w:sz="6" w:space="0" w:color="auto"/>
            </w:tcBorders>
            <w:hideMark/>
          </w:tcPr>
          <w:p w14:paraId="28C782E6" w14:textId="77777777" w:rsidR="00EA69AA" w:rsidRPr="00781F59" w:rsidRDefault="00EA69AA" w:rsidP="00EA69AA">
            <w:pPr>
              <w:contextualSpacing/>
              <w:rPr>
                <w:sz w:val="20"/>
                <w:szCs w:val="20"/>
              </w:rPr>
            </w:pPr>
            <w:r w:rsidRPr="00781F59">
              <w:rPr>
                <w:sz w:val="20"/>
                <w:szCs w:val="20"/>
              </w:rPr>
              <w:t>Ineligible population (not U.S., not humans)</w:t>
            </w:r>
          </w:p>
        </w:tc>
      </w:tr>
      <w:tr w:rsidR="00EA69AA" w:rsidRPr="00781F59" w14:paraId="1D8938CE"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E33BBE6" w14:textId="77777777" w:rsidR="00EA69AA" w:rsidRPr="00781F59" w:rsidRDefault="00EA69AA" w:rsidP="00EA69AA">
            <w:pPr>
              <w:contextualSpacing/>
              <w:rPr>
                <w:sz w:val="20"/>
                <w:szCs w:val="20"/>
              </w:rPr>
            </w:pPr>
            <w:r w:rsidRPr="00781F59">
              <w:rPr>
                <w:sz w:val="20"/>
                <w:szCs w:val="20"/>
              </w:rPr>
              <w:t>722</w:t>
            </w:r>
          </w:p>
        </w:tc>
        <w:tc>
          <w:tcPr>
            <w:tcW w:w="0" w:type="auto"/>
            <w:tcBorders>
              <w:top w:val="single" w:sz="6" w:space="0" w:color="auto"/>
              <w:left w:val="single" w:sz="6" w:space="0" w:color="auto"/>
              <w:bottom w:val="single" w:sz="6" w:space="0" w:color="auto"/>
              <w:right w:val="single" w:sz="6" w:space="0" w:color="auto"/>
            </w:tcBorders>
            <w:hideMark/>
          </w:tcPr>
          <w:p w14:paraId="31BC4364" w14:textId="4E222BAF" w:rsidR="00EA69AA" w:rsidRPr="00781F59" w:rsidRDefault="00EA69AA" w:rsidP="00EA69AA">
            <w:pPr>
              <w:contextualSpacing/>
              <w:rPr>
                <w:sz w:val="20"/>
                <w:szCs w:val="20"/>
              </w:rPr>
            </w:pPr>
            <w:r w:rsidRPr="00781F59">
              <w:rPr>
                <w:sz w:val="20"/>
                <w:szCs w:val="20"/>
              </w:rPr>
              <w:t>Kathryn I Pollak, Babafemi Taiwo, Pauline Lyna, Mary Baldwin, Isaac M Lipkus, Gerold Bepler, Colleen M McBride 2002 Reported cessation advice given to African Americans by health care providers in a community health clinic</w:t>
            </w:r>
            <w:r w:rsidR="007F2F01">
              <w:rPr>
                <w:sz w:val="20"/>
                <w:szCs w:val="20"/>
              </w:rPr>
              <w:t>.</w:t>
            </w:r>
            <w:r w:rsidRPr="00781F59">
              <w:rPr>
                <w:sz w:val="20"/>
                <w:szCs w:val="20"/>
              </w:rPr>
              <w:t xml:space="preserve"> Journal of community health; 27.381.</w:t>
            </w:r>
          </w:p>
        </w:tc>
        <w:tc>
          <w:tcPr>
            <w:tcW w:w="0" w:type="auto"/>
            <w:tcBorders>
              <w:top w:val="single" w:sz="6" w:space="0" w:color="auto"/>
              <w:left w:val="single" w:sz="6" w:space="0" w:color="auto"/>
              <w:bottom w:val="single" w:sz="6" w:space="0" w:color="auto"/>
              <w:right w:val="single" w:sz="6" w:space="0" w:color="auto"/>
            </w:tcBorders>
            <w:hideMark/>
          </w:tcPr>
          <w:p w14:paraId="1E722F31"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273E684A"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454EDAF" w14:textId="77777777" w:rsidR="00EA69AA" w:rsidRPr="00781F59" w:rsidRDefault="00EA69AA" w:rsidP="00EA69AA">
            <w:pPr>
              <w:contextualSpacing/>
              <w:rPr>
                <w:sz w:val="20"/>
                <w:szCs w:val="20"/>
              </w:rPr>
            </w:pPr>
            <w:r w:rsidRPr="00781F59">
              <w:rPr>
                <w:sz w:val="20"/>
                <w:szCs w:val="20"/>
              </w:rPr>
              <w:t>727</w:t>
            </w:r>
          </w:p>
        </w:tc>
        <w:tc>
          <w:tcPr>
            <w:tcW w:w="0" w:type="auto"/>
            <w:tcBorders>
              <w:top w:val="single" w:sz="6" w:space="0" w:color="auto"/>
              <w:left w:val="single" w:sz="6" w:space="0" w:color="auto"/>
              <w:bottom w:val="single" w:sz="6" w:space="0" w:color="auto"/>
              <w:right w:val="single" w:sz="6" w:space="0" w:color="auto"/>
            </w:tcBorders>
            <w:hideMark/>
          </w:tcPr>
          <w:p w14:paraId="392F2AEA" w14:textId="0FF2B989" w:rsidR="00EA69AA" w:rsidRPr="00781F59" w:rsidRDefault="00EA69AA" w:rsidP="00EA69AA">
            <w:pPr>
              <w:contextualSpacing/>
              <w:rPr>
                <w:sz w:val="20"/>
                <w:szCs w:val="20"/>
              </w:rPr>
            </w:pPr>
            <w:r w:rsidRPr="00781F59">
              <w:rPr>
                <w:sz w:val="20"/>
                <w:szCs w:val="20"/>
              </w:rPr>
              <w:t>Wallace B Pickworth, Eric T Moolchan, Ivan Berlin, Ram Murty 2002 Sensory and physiologic effects of menthol and non-menthol cigarettes with differing nicotine delivery</w:t>
            </w:r>
            <w:r w:rsidR="007F2F01">
              <w:rPr>
                <w:sz w:val="20"/>
                <w:szCs w:val="20"/>
              </w:rPr>
              <w:t>.</w:t>
            </w:r>
            <w:r w:rsidRPr="00781F59">
              <w:rPr>
                <w:sz w:val="20"/>
                <w:szCs w:val="20"/>
              </w:rPr>
              <w:t xml:space="preserve"> Pharmacology, biochemistry, and behavior; 71.55.</w:t>
            </w:r>
          </w:p>
        </w:tc>
        <w:tc>
          <w:tcPr>
            <w:tcW w:w="0" w:type="auto"/>
            <w:tcBorders>
              <w:top w:val="single" w:sz="6" w:space="0" w:color="auto"/>
              <w:left w:val="single" w:sz="6" w:space="0" w:color="auto"/>
              <w:bottom w:val="single" w:sz="6" w:space="0" w:color="auto"/>
              <w:right w:val="single" w:sz="6" w:space="0" w:color="auto"/>
            </w:tcBorders>
            <w:hideMark/>
          </w:tcPr>
          <w:p w14:paraId="618E32C4"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02F77BA9"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033A59E" w14:textId="77777777" w:rsidR="00EA69AA" w:rsidRPr="00781F59" w:rsidRDefault="00EA69AA" w:rsidP="00EA69AA">
            <w:pPr>
              <w:contextualSpacing/>
              <w:rPr>
                <w:sz w:val="20"/>
                <w:szCs w:val="20"/>
              </w:rPr>
            </w:pPr>
            <w:r w:rsidRPr="00781F59">
              <w:rPr>
                <w:sz w:val="20"/>
                <w:szCs w:val="20"/>
              </w:rPr>
              <w:t>728</w:t>
            </w:r>
          </w:p>
        </w:tc>
        <w:tc>
          <w:tcPr>
            <w:tcW w:w="0" w:type="auto"/>
            <w:tcBorders>
              <w:top w:val="single" w:sz="6" w:space="0" w:color="auto"/>
              <w:left w:val="single" w:sz="6" w:space="0" w:color="auto"/>
              <w:bottom w:val="single" w:sz="6" w:space="0" w:color="auto"/>
              <w:right w:val="single" w:sz="6" w:space="0" w:color="auto"/>
            </w:tcBorders>
            <w:hideMark/>
          </w:tcPr>
          <w:p w14:paraId="786563DB" w14:textId="6DC471E4" w:rsidR="00EA69AA" w:rsidRPr="00781F59" w:rsidRDefault="00EA69AA" w:rsidP="00EA69AA">
            <w:pPr>
              <w:contextualSpacing/>
              <w:rPr>
                <w:sz w:val="20"/>
                <w:szCs w:val="20"/>
              </w:rPr>
            </w:pPr>
            <w:r w:rsidRPr="00781F59">
              <w:rPr>
                <w:sz w:val="20"/>
                <w:szCs w:val="20"/>
              </w:rPr>
              <w:t>J Appleyard, P Messeri, M L Haviland 2001 Smoking among Asian American and Hawaiian/Pacific Islander youth: data from the 2000 National Youth Tobacco Survey</w:t>
            </w:r>
            <w:r w:rsidR="007F2F01">
              <w:rPr>
                <w:sz w:val="20"/>
                <w:szCs w:val="20"/>
              </w:rPr>
              <w:t>.</w:t>
            </w:r>
            <w:r w:rsidRPr="00781F59">
              <w:rPr>
                <w:sz w:val="20"/>
                <w:szCs w:val="20"/>
              </w:rPr>
              <w:t xml:space="preserve"> Asian American and Pacific Islander journal of health; 9.5.</w:t>
            </w:r>
          </w:p>
        </w:tc>
        <w:tc>
          <w:tcPr>
            <w:tcW w:w="0" w:type="auto"/>
            <w:tcBorders>
              <w:top w:val="single" w:sz="6" w:space="0" w:color="auto"/>
              <w:left w:val="single" w:sz="6" w:space="0" w:color="auto"/>
              <w:bottom w:val="single" w:sz="6" w:space="0" w:color="auto"/>
              <w:right w:val="single" w:sz="6" w:space="0" w:color="auto"/>
            </w:tcBorders>
            <w:hideMark/>
          </w:tcPr>
          <w:p w14:paraId="64B4B102"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3DC6534D"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B4FC561" w14:textId="77777777" w:rsidR="00EA69AA" w:rsidRPr="00781F59" w:rsidRDefault="00EA69AA" w:rsidP="00EA69AA">
            <w:pPr>
              <w:contextualSpacing/>
              <w:rPr>
                <w:sz w:val="20"/>
                <w:szCs w:val="20"/>
              </w:rPr>
            </w:pPr>
            <w:r w:rsidRPr="00781F59">
              <w:rPr>
                <w:sz w:val="20"/>
                <w:szCs w:val="20"/>
              </w:rPr>
              <w:t>732</w:t>
            </w:r>
          </w:p>
        </w:tc>
        <w:tc>
          <w:tcPr>
            <w:tcW w:w="0" w:type="auto"/>
            <w:tcBorders>
              <w:top w:val="single" w:sz="6" w:space="0" w:color="auto"/>
              <w:left w:val="single" w:sz="6" w:space="0" w:color="auto"/>
              <w:bottom w:val="single" w:sz="6" w:space="0" w:color="auto"/>
              <w:right w:val="single" w:sz="6" w:space="0" w:color="auto"/>
            </w:tcBorders>
            <w:hideMark/>
          </w:tcPr>
          <w:p w14:paraId="6E5402EA" w14:textId="24522FB7" w:rsidR="00EA69AA" w:rsidRPr="00781F59" w:rsidRDefault="00EA69AA" w:rsidP="00EA69AA">
            <w:pPr>
              <w:contextualSpacing/>
              <w:rPr>
                <w:sz w:val="20"/>
                <w:szCs w:val="20"/>
              </w:rPr>
            </w:pPr>
            <w:r w:rsidRPr="00781F59">
              <w:rPr>
                <w:sz w:val="20"/>
                <w:szCs w:val="20"/>
              </w:rPr>
              <w:t>Anonymous 1999 Women who smoke menthol cigarettes have greater nicotine exposure</w:t>
            </w:r>
            <w:r w:rsidR="007F2F01">
              <w:rPr>
                <w:sz w:val="20"/>
                <w:szCs w:val="20"/>
              </w:rPr>
              <w:t>.</w:t>
            </w:r>
            <w:r w:rsidRPr="00781F59">
              <w:rPr>
                <w:sz w:val="20"/>
                <w:szCs w:val="20"/>
              </w:rPr>
              <w:t xml:space="preserve"> Oncology (Williston Park, N.Y.); 13.915.</w:t>
            </w:r>
          </w:p>
        </w:tc>
        <w:tc>
          <w:tcPr>
            <w:tcW w:w="0" w:type="auto"/>
            <w:tcBorders>
              <w:top w:val="single" w:sz="6" w:space="0" w:color="auto"/>
              <w:left w:val="single" w:sz="6" w:space="0" w:color="auto"/>
              <w:bottom w:val="single" w:sz="6" w:space="0" w:color="auto"/>
              <w:right w:val="single" w:sz="6" w:space="0" w:color="auto"/>
            </w:tcBorders>
            <w:hideMark/>
          </w:tcPr>
          <w:p w14:paraId="2800B256" w14:textId="77777777" w:rsidR="00EA69AA" w:rsidRPr="00781F59" w:rsidRDefault="00EA69AA" w:rsidP="00EA69AA">
            <w:pPr>
              <w:contextualSpacing/>
              <w:rPr>
                <w:sz w:val="20"/>
                <w:szCs w:val="20"/>
              </w:rPr>
            </w:pPr>
            <w:r w:rsidRPr="00781F59">
              <w:rPr>
                <w:sz w:val="20"/>
                <w:szCs w:val="20"/>
              </w:rPr>
              <w:t>Not original research / data</w:t>
            </w:r>
          </w:p>
        </w:tc>
      </w:tr>
      <w:tr w:rsidR="00EA69AA" w:rsidRPr="00781F59" w14:paraId="720CB04C"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C768470" w14:textId="77777777" w:rsidR="00EA69AA" w:rsidRPr="00781F59" w:rsidRDefault="00EA69AA" w:rsidP="00EA69AA">
            <w:pPr>
              <w:contextualSpacing/>
              <w:rPr>
                <w:sz w:val="20"/>
                <w:szCs w:val="20"/>
              </w:rPr>
            </w:pPr>
            <w:r w:rsidRPr="00781F59">
              <w:rPr>
                <w:sz w:val="20"/>
                <w:szCs w:val="20"/>
              </w:rPr>
              <w:t>733</w:t>
            </w:r>
          </w:p>
        </w:tc>
        <w:tc>
          <w:tcPr>
            <w:tcW w:w="0" w:type="auto"/>
            <w:tcBorders>
              <w:top w:val="single" w:sz="6" w:space="0" w:color="auto"/>
              <w:left w:val="single" w:sz="6" w:space="0" w:color="auto"/>
              <w:bottom w:val="single" w:sz="6" w:space="0" w:color="auto"/>
              <w:right w:val="single" w:sz="6" w:space="0" w:color="auto"/>
            </w:tcBorders>
            <w:hideMark/>
          </w:tcPr>
          <w:p w14:paraId="69C3CA3A" w14:textId="7FFD4AEE" w:rsidR="00EA69AA" w:rsidRPr="00781F59" w:rsidRDefault="00EA69AA" w:rsidP="00EA69AA">
            <w:pPr>
              <w:contextualSpacing/>
              <w:rPr>
                <w:sz w:val="20"/>
                <w:szCs w:val="20"/>
              </w:rPr>
            </w:pPr>
            <w:r w:rsidRPr="00781F59">
              <w:rPr>
                <w:sz w:val="20"/>
                <w:szCs w:val="20"/>
              </w:rPr>
              <w:t>W S Pritchard, M E Houlihan, T D Guy, J H Robinson 1999 Little evidence that "denicotinized" menthol cigarettes have pharmacological effects: an EEG/heart-rate/sujective-response study</w:t>
            </w:r>
            <w:r w:rsidR="007F2F01">
              <w:rPr>
                <w:sz w:val="20"/>
                <w:szCs w:val="20"/>
              </w:rPr>
              <w:t>.</w:t>
            </w:r>
            <w:r w:rsidRPr="00781F59">
              <w:rPr>
                <w:sz w:val="20"/>
                <w:szCs w:val="20"/>
              </w:rPr>
              <w:t xml:space="preserve"> Psychopharmacology; 143.273.</w:t>
            </w:r>
          </w:p>
        </w:tc>
        <w:tc>
          <w:tcPr>
            <w:tcW w:w="0" w:type="auto"/>
            <w:tcBorders>
              <w:top w:val="single" w:sz="6" w:space="0" w:color="auto"/>
              <w:left w:val="single" w:sz="6" w:space="0" w:color="auto"/>
              <w:bottom w:val="single" w:sz="6" w:space="0" w:color="auto"/>
              <w:right w:val="single" w:sz="6" w:space="0" w:color="auto"/>
            </w:tcBorders>
            <w:hideMark/>
          </w:tcPr>
          <w:p w14:paraId="1731F18F"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26FAE2AD"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BD43A09" w14:textId="77777777" w:rsidR="00EA69AA" w:rsidRPr="00781F59" w:rsidRDefault="00EA69AA" w:rsidP="00EA69AA">
            <w:pPr>
              <w:contextualSpacing/>
              <w:rPr>
                <w:sz w:val="20"/>
                <w:szCs w:val="20"/>
              </w:rPr>
            </w:pPr>
            <w:r w:rsidRPr="00781F59">
              <w:rPr>
                <w:sz w:val="20"/>
                <w:szCs w:val="20"/>
              </w:rPr>
              <w:t>738</w:t>
            </w:r>
          </w:p>
        </w:tc>
        <w:tc>
          <w:tcPr>
            <w:tcW w:w="0" w:type="auto"/>
            <w:tcBorders>
              <w:top w:val="single" w:sz="6" w:space="0" w:color="auto"/>
              <w:left w:val="single" w:sz="6" w:space="0" w:color="auto"/>
              <w:bottom w:val="single" w:sz="6" w:space="0" w:color="auto"/>
              <w:right w:val="single" w:sz="6" w:space="0" w:color="auto"/>
            </w:tcBorders>
            <w:hideMark/>
          </w:tcPr>
          <w:p w14:paraId="47C350CC" w14:textId="3330894B" w:rsidR="00EA69AA" w:rsidRPr="00781F59" w:rsidRDefault="00EA69AA" w:rsidP="00EA69AA">
            <w:pPr>
              <w:contextualSpacing/>
              <w:rPr>
                <w:sz w:val="20"/>
                <w:szCs w:val="20"/>
              </w:rPr>
            </w:pPr>
            <w:r w:rsidRPr="00781F59">
              <w:rPr>
                <w:sz w:val="20"/>
                <w:szCs w:val="20"/>
              </w:rPr>
              <w:t>G D Friedman, M Sadler, I S Tekawa, S Sidney 1998 Mentholated cigarettes and non-lung smoking related cancers in California, USA</w:t>
            </w:r>
            <w:r w:rsidR="007F2F01">
              <w:rPr>
                <w:sz w:val="20"/>
                <w:szCs w:val="20"/>
              </w:rPr>
              <w:t>.</w:t>
            </w:r>
            <w:r w:rsidRPr="00781F59">
              <w:rPr>
                <w:sz w:val="20"/>
                <w:szCs w:val="20"/>
              </w:rPr>
              <w:t xml:space="preserve"> Journal of epidemiology and community health; 52.202.</w:t>
            </w:r>
          </w:p>
        </w:tc>
        <w:tc>
          <w:tcPr>
            <w:tcW w:w="0" w:type="auto"/>
            <w:tcBorders>
              <w:top w:val="single" w:sz="6" w:space="0" w:color="auto"/>
              <w:left w:val="single" w:sz="6" w:space="0" w:color="auto"/>
              <w:bottom w:val="single" w:sz="6" w:space="0" w:color="auto"/>
              <w:right w:val="single" w:sz="6" w:space="0" w:color="auto"/>
            </w:tcBorders>
            <w:hideMark/>
          </w:tcPr>
          <w:p w14:paraId="2AFF80BF"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56A2F9FC"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1D6BEAC" w14:textId="77777777" w:rsidR="00EA69AA" w:rsidRPr="00781F59" w:rsidRDefault="00EA69AA" w:rsidP="00EA69AA">
            <w:pPr>
              <w:contextualSpacing/>
              <w:rPr>
                <w:sz w:val="20"/>
                <w:szCs w:val="20"/>
              </w:rPr>
            </w:pPr>
            <w:r w:rsidRPr="00781F59">
              <w:rPr>
                <w:sz w:val="20"/>
                <w:szCs w:val="20"/>
              </w:rPr>
              <w:t>739</w:t>
            </w:r>
          </w:p>
        </w:tc>
        <w:tc>
          <w:tcPr>
            <w:tcW w:w="0" w:type="auto"/>
            <w:tcBorders>
              <w:top w:val="single" w:sz="6" w:space="0" w:color="auto"/>
              <w:left w:val="single" w:sz="6" w:space="0" w:color="auto"/>
              <w:bottom w:val="single" w:sz="6" w:space="0" w:color="auto"/>
              <w:right w:val="single" w:sz="6" w:space="0" w:color="auto"/>
            </w:tcBorders>
            <w:hideMark/>
          </w:tcPr>
          <w:p w14:paraId="265D8C53" w14:textId="680FCD66" w:rsidR="00EA69AA" w:rsidRPr="00781F59" w:rsidRDefault="00EA69AA" w:rsidP="00EA69AA">
            <w:pPr>
              <w:contextualSpacing/>
              <w:rPr>
                <w:sz w:val="20"/>
                <w:szCs w:val="20"/>
              </w:rPr>
            </w:pPr>
            <w:r w:rsidRPr="00781F59">
              <w:rPr>
                <w:sz w:val="20"/>
                <w:szCs w:val="20"/>
              </w:rPr>
              <w:t xml:space="preserve">J P Jr Richie, S G Carmella, J E Muscat, D G Scott, S A Akerkar, S </w:t>
            </w:r>
            <w:proofErr w:type="spellStart"/>
            <w:r w:rsidRPr="00781F59">
              <w:rPr>
                <w:sz w:val="20"/>
                <w:szCs w:val="20"/>
              </w:rPr>
              <w:t>S</w:t>
            </w:r>
            <w:proofErr w:type="spellEnd"/>
            <w:r w:rsidRPr="00781F59">
              <w:rPr>
                <w:sz w:val="20"/>
                <w:szCs w:val="20"/>
              </w:rPr>
              <w:t xml:space="preserve"> Hecht 1997 Differences in the urinary metabolites of the tobacco-specific lung carcinogen 4-(methylnitrosamino)-1-(3-pyridyl)-1-butanone in black and white smokers</w:t>
            </w:r>
            <w:r w:rsidR="007F2F01">
              <w:rPr>
                <w:sz w:val="20"/>
                <w:szCs w:val="20"/>
              </w:rPr>
              <w:t>.</w:t>
            </w:r>
            <w:r w:rsidRPr="00781F59">
              <w:rPr>
                <w:sz w:val="20"/>
                <w:szCs w:val="20"/>
              </w:rPr>
              <w:t xml:space="preserve"> Cancer epidemiology, biomarkers &amp; </w:t>
            </w:r>
            <w:proofErr w:type="gramStart"/>
            <w:r w:rsidRPr="00781F59">
              <w:rPr>
                <w:sz w:val="20"/>
                <w:szCs w:val="20"/>
              </w:rPr>
              <w:t>prevention :</w:t>
            </w:r>
            <w:proofErr w:type="gramEnd"/>
            <w:r w:rsidRPr="00781F59">
              <w:rPr>
                <w:sz w:val="20"/>
                <w:szCs w:val="20"/>
              </w:rPr>
              <w:t xml:space="preserve"> a publication of the American Association for Cancer Research, cosponsored by the American Society of Preventive Oncology; 6.783.</w:t>
            </w:r>
          </w:p>
        </w:tc>
        <w:tc>
          <w:tcPr>
            <w:tcW w:w="0" w:type="auto"/>
            <w:tcBorders>
              <w:top w:val="single" w:sz="6" w:space="0" w:color="auto"/>
              <w:left w:val="single" w:sz="6" w:space="0" w:color="auto"/>
              <w:bottom w:val="single" w:sz="6" w:space="0" w:color="auto"/>
              <w:right w:val="single" w:sz="6" w:space="0" w:color="auto"/>
            </w:tcBorders>
            <w:hideMark/>
          </w:tcPr>
          <w:p w14:paraId="6DDD1CB3"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3048D73D"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55D153C" w14:textId="77777777" w:rsidR="00EA69AA" w:rsidRPr="00781F59" w:rsidRDefault="00EA69AA" w:rsidP="00EA69AA">
            <w:pPr>
              <w:contextualSpacing/>
              <w:rPr>
                <w:sz w:val="20"/>
                <w:szCs w:val="20"/>
              </w:rPr>
            </w:pPr>
            <w:r w:rsidRPr="00781F59">
              <w:rPr>
                <w:sz w:val="20"/>
                <w:szCs w:val="20"/>
              </w:rPr>
              <w:t>741</w:t>
            </w:r>
          </w:p>
        </w:tc>
        <w:tc>
          <w:tcPr>
            <w:tcW w:w="0" w:type="auto"/>
            <w:tcBorders>
              <w:top w:val="single" w:sz="6" w:space="0" w:color="auto"/>
              <w:left w:val="single" w:sz="6" w:space="0" w:color="auto"/>
              <w:bottom w:val="single" w:sz="6" w:space="0" w:color="auto"/>
              <w:right w:val="single" w:sz="6" w:space="0" w:color="auto"/>
            </w:tcBorders>
            <w:hideMark/>
          </w:tcPr>
          <w:p w14:paraId="1F046CBA" w14:textId="4147A303" w:rsidR="00EA69AA" w:rsidRPr="00781F59" w:rsidRDefault="00EA69AA" w:rsidP="00EA69AA">
            <w:pPr>
              <w:contextualSpacing/>
              <w:rPr>
                <w:sz w:val="20"/>
                <w:szCs w:val="20"/>
              </w:rPr>
            </w:pPr>
            <w:r w:rsidRPr="00781F59">
              <w:rPr>
                <w:sz w:val="20"/>
                <w:szCs w:val="20"/>
              </w:rPr>
              <w:t>T L Richardson 1997 African-American smokers and cancers of the lung and of the upper respiratory and digestive tracts. Is menthol part of the puzzle?</w:t>
            </w:r>
            <w:r w:rsidR="007F2F01">
              <w:rPr>
                <w:sz w:val="20"/>
                <w:szCs w:val="20"/>
              </w:rPr>
              <w:t>.</w:t>
            </w:r>
            <w:r w:rsidRPr="00781F59">
              <w:rPr>
                <w:sz w:val="20"/>
                <w:szCs w:val="20"/>
              </w:rPr>
              <w:t xml:space="preserve"> The Western journal of medicine; 166.189.</w:t>
            </w:r>
          </w:p>
        </w:tc>
        <w:tc>
          <w:tcPr>
            <w:tcW w:w="0" w:type="auto"/>
            <w:tcBorders>
              <w:top w:val="single" w:sz="6" w:space="0" w:color="auto"/>
              <w:left w:val="single" w:sz="6" w:space="0" w:color="auto"/>
              <w:bottom w:val="single" w:sz="6" w:space="0" w:color="auto"/>
              <w:right w:val="single" w:sz="6" w:space="0" w:color="auto"/>
            </w:tcBorders>
            <w:hideMark/>
          </w:tcPr>
          <w:p w14:paraId="07CBCB74"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7412E79A"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5761E8A" w14:textId="77777777" w:rsidR="00EA69AA" w:rsidRPr="00781F59" w:rsidRDefault="00EA69AA" w:rsidP="00EA69AA">
            <w:pPr>
              <w:contextualSpacing/>
              <w:rPr>
                <w:sz w:val="20"/>
                <w:szCs w:val="20"/>
              </w:rPr>
            </w:pPr>
            <w:r w:rsidRPr="00781F59">
              <w:rPr>
                <w:sz w:val="20"/>
                <w:szCs w:val="20"/>
              </w:rPr>
              <w:t>742</w:t>
            </w:r>
          </w:p>
        </w:tc>
        <w:tc>
          <w:tcPr>
            <w:tcW w:w="0" w:type="auto"/>
            <w:tcBorders>
              <w:top w:val="single" w:sz="6" w:space="0" w:color="auto"/>
              <w:left w:val="single" w:sz="6" w:space="0" w:color="auto"/>
              <w:bottom w:val="single" w:sz="6" w:space="0" w:color="auto"/>
              <w:right w:val="single" w:sz="6" w:space="0" w:color="auto"/>
            </w:tcBorders>
            <w:hideMark/>
          </w:tcPr>
          <w:p w14:paraId="4F7E9D1A" w14:textId="74458593" w:rsidR="00EA69AA" w:rsidRPr="00781F59" w:rsidRDefault="00EA69AA" w:rsidP="00EA69AA">
            <w:pPr>
              <w:contextualSpacing/>
              <w:rPr>
                <w:sz w:val="20"/>
                <w:szCs w:val="20"/>
              </w:rPr>
            </w:pPr>
            <w:r w:rsidRPr="00781F59">
              <w:rPr>
                <w:sz w:val="20"/>
                <w:szCs w:val="20"/>
              </w:rPr>
              <w:t>T Richardson 1996 Menthol cigarette use in African Americans</w:t>
            </w:r>
            <w:r w:rsidR="007F2F01">
              <w:rPr>
                <w:sz w:val="20"/>
                <w:szCs w:val="20"/>
              </w:rPr>
              <w:t>.</w:t>
            </w:r>
            <w:r w:rsidRPr="00781F59">
              <w:rPr>
                <w:sz w:val="20"/>
                <w:szCs w:val="20"/>
              </w:rPr>
              <w:t xml:space="preserve"> Hospital practice (1995); 31.22H.</w:t>
            </w:r>
          </w:p>
        </w:tc>
        <w:tc>
          <w:tcPr>
            <w:tcW w:w="0" w:type="auto"/>
            <w:tcBorders>
              <w:top w:val="single" w:sz="6" w:space="0" w:color="auto"/>
              <w:left w:val="single" w:sz="6" w:space="0" w:color="auto"/>
              <w:bottom w:val="single" w:sz="6" w:space="0" w:color="auto"/>
              <w:right w:val="single" w:sz="6" w:space="0" w:color="auto"/>
            </w:tcBorders>
            <w:hideMark/>
          </w:tcPr>
          <w:p w14:paraId="475DC9C8" w14:textId="77777777" w:rsidR="00EA69AA" w:rsidRPr="00781F59" w:rsidRDefault="00EA69AA" w:rsidP="00EA69AA">
            <w:pPr>
              <w:contextualSpacing/>
              <w:rPr>
                <w:sz w:val="20"/>
                <w:szCs w:val="20"/>
              </w:rPr>
            </w:pPr>
            <w:r w:rsidRPr="00781F59">
              <w:rPr>
                <w:sz w:val="20"/>
                <w:szCs w:val="20"/>
              </w:rPr>
              <w:t>Not original research / data</w:t>
            </w:r>
          </w:p>
        </w:tc>
      </w:tr>
      <w:tr w:rsidR="00EA69AA" w:rsidRPr="00781F59" w14:paraId="0F25A09C"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44BF902" w14:textId="77777777" w:rsidR="00EA69AA" w:rsidRPr="00781F59" w:rsidRDefault="00EA69AA" w:rsidP="00EA69AA">
            <w:pPr>
              <w:contextualSpacing/>
              <w:rPr>
                <w:sz w:val="20"/>
                <w:szCs w:val="20"/>
              </w:rPr>
            </w:pPr>
            <w:r w:rsidRPr="00781F59">
              <w:rPr>
                <w:sz w:val="20"/>
                <w:szCs w:val="20"/>
              </w:rPr>
              <w:t>743</w:t>
            </w:r>
          </w:p>
        </w:tc>
        <w:tc>
          <w:tcPr>
            <w:tcW w:w="0" w:type="auto"/>
            <w:tcBorders>
              <w:top w:val="single" w:sz="6" w:space="0" w:color="auto"/>
              <w:left w:val="single" w:sz="6" w:space="0" w:color="auto"/>
              <w:bottom w:val="single" w:sz="6" w:space="0" w:color="auto"/>
              <w:right w:val="single" w:sz="6" w:space="0" w:color="auto"/>
            </w:tcBorders>
            <w:hideMark/>
          </w:tcPr>
          <w:p w14:paraId="419C7128" w14:textId="2A22504A" w:rsidR="00EA69AA" w:rsidRPr="00781F59" w:rsidRDefault="00EA69AA" w:rsidP="00EA69AA">
            <w:pPr>
              <w:contextualSpacing/>
              <w:rPr>
                <w:sz w:val="20"/>
                <w:szCs w:val="20"/>
              </w:rPr>
            </w:pPr>
            <w:r w:rsidRPr="00781F59">
              <w:rPr>
                <w:sz w:val="20"/>
                <w:szCs w:val="20"/>
              </w:rPr>
              <w:t>P I Clark, S Gautam, L W Gerson 1996 Effect of menthol cigarettes on biochemical markers of smoke exposure among black and white smokers</w:t>
            </w:r>
            <w:r w:rsidR="007F2F01">
              <w:rPr>
                <w:sz w:val="20"/>
                <w:szCs w:val="20"/>
              </w:rPr>
              <w:t>.</w:t>
            </w:r>
            <w:r w:rsidRPr="00781F59">
              <w:rPr>
                <w:sz w:val="20"/>
                <w:szCs w:val="20"/>
              </w:rPr>
              <w:t xml:space="preserve"> Chest; 110.1194.</w:t>
            </w:r>
          </w:p>
        </w:tc>
        <w:tc>
          <w:tcPr>
            <w:tcW w:w="0" w:type="auto"/>
            <w:tcBorders>
              <w:top w:val="single" w:sz="6" w:space="0" w:color="auto"/>
              <w:left w:val="single" w:sz="6" w:space="0" w:color="auto"/>
              <w:bottom w:val="single" w:sz="6" w:space="0" w:color="auto"/>
              <w:right w:val="single" w:sz="6" w:space="0" w:color="auto"/>
            </w:tcBorders>
            <w:hideMark/>
          </w:tcPr>
          <w:p w14:paraId="29ADE48C"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10F831FC"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18F3AAB" w14:textId="77777777" w:rsidR="00EA69AA" w:rsidRPr="00781F59" w:rsidRDefault="00EA69AA" w:rsidP="00EA69AA">
            <w:pPr>
              <w:contextualSpacing/>
              <w:rPr>
                <w:sz w:val="20"/>
                <w:szCs w:val="20"/>
              </w:rPr>
            </w:pPr>
            <w:r w:rsidRPr="00781F59">
              <w:rPr>
                <w:sz w:val="20"/>
                <w:szCs w:val="20"/>
              </w:rPr>
              <w:lastRenderedPageBreak/>
              <w:t>744</w:t>
            </w:r>
          </w:p>
        </w:tc>
        <w:tc>
          <w:tcPr>
            <w:tcW w:w="0" w:type="auto"/>
            <w:tcBorders>
              <w:top w:val="single" w:sz="6" w:space="0" w:color="auto"/>
              <w:left w:val="single" w:sz="6" w:space="0" w:color="auto"/>
              <w:bottom w:val="single" w:sz="6" w:space="0" w:color="auto"/>
              <w:right w:val="single" w:sz="6" w:space="0" w:color="auto"/>
            </w:tcBorders>
            <w:hideMark/>
          </w:tcPr>
          <w:p w14:paraId="5ECA7C39" w14:textId="016EF257" w:rsidR="00EA69AA" w:rsidRPr="00781F59" w:rsidRDefault="00EA69AA" w:rsidP="00EA69AA">
            <w:pPr>
              <w:contextualSpacing/>
              <w:rPr>
                <w:sz w:val="20"/>
                <w:szCs w:val="20"/>
              </w:rPr>
            </w:pPr>
            <w:r w:rsidRPr="00781F59">
              <w:rPr>
                <w:sz w:val="20"/>
                <w:szCs w:val="20"/>
              </w:rPr>
              <w:t>G C Kabat 1996 Aspects of the epidemiology of lung cancer in smokers and nonsmokers in the United States</w:t>
            </w:r>
            <w:r w:rsidR="007F2F01">
              <w:rPr>
                <w:sz w:val="20"/>
                <w:szCs w:val="20"/>
              </w:rPr>
              <w:t>.</w:t>
            </w:r>
            <w:r w:rsidRPr="00781F59">
              <w:rPr>
                <w:sz w:val="20"/>
                <w:szCs w:val="20"/>
              </w:rPr>
              <w:t xml:space="preserve"> Lung cancer (Amsterdam, Netherlands); 15.1.</w:t>
            </w:r>
          </w:p>
        </w:tc>
        <w:tc>
          <w:tcPr>
            <w:tcW w:w="0" w:type="auto"/>
            <w:tcBorders>
              <w:top w:val="single" w:sz="6" w:space="0" w:color="auto"/>
              <w:left w:val="single" w:sz="6" w:space="0" w:color="auto"/>
              <w:bottom w:val="single" w:sz="6" w:space="0" w:color="auto"/>
              <w:right w:val="single" w:sz="6" w:space="0" w:color="auto"/>
            </w:tcBorders>
            <w:hideMark/>
          </w:tcPr>
          <w:p w14:paraId="190C8933"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471AF2D5"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CA25CD4" w14:textId="77777777" w:rsidR="00EA69AA" w:rsidRPr="00781F59" w:rsidRDefault="00EA69AA" w:rsidP="00EA69AA">
            <w:pPr>
              <w:contextualSpacing/>
              <w:rPr>
                <w:sz w:val="20"/>
                <w:szCs w:val="20"/>
              </w:rPr>
            </w:pPr>
            <w:r w:rsidRPr="00781F59">
              <w:rPr>
                <w:sz w:val="20"/>
                <w:szCs w:val="20"/>
              </w:rPr>
              <w:t>746</w:t>
            </w:r>
          </w:p>
        </w:tc>
        <w:tc>
          <w:tcPr>
            <w:tcW w:w="0" w:type="auto"/>
            <w:tcBorders>
              <w:top w:val="single" w:sz="6" w:space="0" w:color="auto"/>
              <w:left w:val="single" w:sz="6" w:space="0" w:color="auto"/>
              <w:bottom w:val="single" w:sz="6" w:space="0" w:color="auto"/>
              <w:right w:val="single" w:sz="6" w:space="0" w:color="auto"/>
            </w:tcBorders>
            <w:hideMark/>
          </w:tcPr>
          <w:p w14:paraId="1BCFE10C" w14:textId="1853A3B6" w:rsidR="00EA69AA" w:rsidRPr="00781F59" w:rsidRDefault="00EA69AA" w:rsidP="00EA69AA">
            <w:pPr>
              <w:contextualSpacing/>
              <w:rPr>
                <w:sz w:val="20"/>
                <w:szCs w:val="20"/>
              </w:rPr>
            </w:pPr>
            <w:r w:rsidRPr="00781F59">
              <w:rPr>
                <w:sz w:val="20"/>
                <w:szCs w:val="20"/>
              </w:rPr>
              <w:t>N Hymowitz, D Corle, J Royce, T Hartwell, K Corbett, M Orlandi, N Piland 1995 Smokers' baseline characteristics in the COMMIT trial</w:t>
            </w:r>
            <w:r w:rsidR="007F2F01">
              <w:rPr>
                <w:sz w:val="20"/>
                <w:szCs w:val="20"/>
              </w:rPr>
              <w:t>.</w:t>
            </w:r>
            <w:r w:rsidRPr="00781F59">
              <w:rPr>
                <w:sz w:val="20"/>
                <w:szCs w:val="20"/>
              </w:rPr>
              <w:t xml:space="preserve"> Preventive medicine; 24.503.</w:t>
            </w:r>
          </w:p>
        </w:tc>
        <w:tc>
          <w:tcPr>
            <w:tcW w:w="0" w:type="auto"/>
            <w:tcBorders>
              <w:top w:val="single" w:sz="6" w:space="0" w:color="auto"/>
              <w:left w:val="single" w:sz="6" w:space="0" w:color="auto"/>
              <w:bottom w:val="single" w:sz="6" w:space="0" w:color="auto"/>
              <w:right w:val="single" w:sz="6" w:space="0" w:color="auto"/>
            </w:tcBorders>
            <w:hideMark/>
          </w:tcPr>
          <w:p w14:paraId="10F94D66" w14:textId="77777777" w:rsidR="00EA69AA" w:rsidRPr="00781F59" w:rsidRDefault="00EA69AA" w:rsidP="00EA69AA">
            <w:pPr>
              <w:contextualSpacing/>
              <w:rPr>
                <w:sz w:val="20"/>
                <w:szCs w:val="20"/>
              </w:rPr>
            </w:pPr>
            <w:r w:rsidRPr="00781F59">
              <w:rPr>
                <w:sz w:val="20"/>
                <w:szCs w:val="20"/>
              </w:rPr>
              <w:t>Duplicate article</w:t>
            </w:r>
          </w:p>
        </w:tc>
      </w:tr>
      <w:tr w:rsidR="00EA69AA" w:rsidRPr="00781F59" w14:paraId="4C851151"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FE2B8BB" w14:textId="77777777" w:rsidR="00EA69AA" w:rsidRPr="00781F59" w:rsidRDefault="00EA69AA" w:rsidP="00EA69AA">
            <w:pPr>
              <w:contextualSpacing/>
              <w:rPr>
                <w:sz w:val="20"/>
                <w:szCs w:val="20"/>
              </w:rPr>
            </w:pPr>
            <w:r w:rsidRPr="00781F59">
              <w:rPr>
                <w:sz w:val="20"/>
                <w:szCs w:val="20"/>
              </w:rPr>
              <w:t>752</w:t>
            </w:r>
          </w:p>
        </w:tc>
        <w:tc>
          <w:tcPr>
            <w:tcW w:w="0" w:type="auto"/>
            <w:tcBorders>
              <w:top w:val="single" w:sz="6" w:space="0" w:color="auto"/>
              <w:left w:val="single" w:sz="6" w:space="0" w:color="auto"/>
              <w:bottom w:val="single" w:sz="6" w:space="0" w:color="auto"/>
              <w:right w:val="single" w:sz="6" w:space="0" w:color="auto"/>
            </w:tcBorders>
            <w:hideMark/>
          </w:tcPr>
          <w:p w14:paraId="67D5D897" w14:textId="5BBC481F" w:rsidR="00EA69AA" w:rsidRPr="00781F59" w:rsidRDefault="00EA69AA" w:rsidP="00EA69AA">
            <w:pPr>
              <w:contextualSpacing/>
              <w:rPr>
                <w:sz w:val="20"/>
                <w:szCs w:val="20"/>
              </w:rPr>
            </w:pPr>
            <w:r w:rsidRPr="00781F59">
              <w:rPr>
                <w:sz w:val="20"/>
                <w:szCs w:val="20"/>
              </w:rPr>
              <w:t>J M Royce, N Hymowitz, K Corbett, T D Hartwell, M A Orlandi 1993 Smoking cessation factors among African Americans and whites. COMMIT Research Group</w:t>
            </w:r>
            <w:r w:rsidR="007F2F01">
              <w:rPr>
                <w:sz w:val="20"/>
                <w:szCs w:val="20"/>
              </w:rPr>
              <w:t>.</w:t>
            </w:r>
            <w:r w:rsidRPr="00781F59">
              <w:rPr>
                <w:sz w:val="20"/>
                <w:szCs w:val="20"/>
              </w:rPr>
              <w:t xml:space="preserve"> American journal of public health; 83.220.</w:t>
            </w:r>
          </w:p>
        </w:tc>
        <w:tc>
          <w:tcPr>
            <w:tcW w:w="0" w:type="auto"/>
            <w:tcBorders>
              <w:top w:val="single" w:sz="6" w:space="0" w:color="auto"/>
              <w:left w:val="single" w:sz="6" w:space="0" w:color="auto"/>
              <w:bottom w:val="single" w:sz="6" w:space="0" w:color="auto"/>
              <w:right w:val="single" w:sz="6" w:space="0" w:color="auto"/>
            </w:tcBorders>
            <w:hideMark/>
          </w:tcPr>
          <w:p w14:paraId="11E30009"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14C7E125"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7F6252C" w14:textId="77777777" w:rsidR="00EA69AA" w:rsidRPr="00781F59" w:rsidRDefault="00EA69AA" w:rsidP="00EA69AA">
            <w:pPr>
              <w:contextualSpacing/>
              <w:rPr>
                <w:sz w:val="20"/>
                <w:szCs w:val="20"/>
              </w:rPr>
            </w:pPr>
            <w:r w:rsidRPr="00781F59">
              <w:rPr>
                <w:sz w:val="20"/>
                <w:szCs w:val="20"/>
              </w:rPr>
              <w:t>753</w:t>
            </w:r>
          </w:p>
        </w:tc>
        <w:tc>
          <w:tcPr>
            <w:tcW w:w="0" w:type="auto"/>
            <w:tcBorders>
              <w:top w:val="single" w:sz="6" w:space="0" w:color="auto"/>
              <w:left w:val="single" w:sz="6" w:space="0" w:color="auto"/>
              <w:bottom w:val="single" w:sz="6" w:space="0" w:color="auto"/>
              <w:right w:val="single" w:sz="6" w:space="0" w:color="auto"/>
            </w:tcBorders>
            <w:hideMark/>
          </w:tcPr>
          <w:p w14:paraId="28FCCD2C" w14:textId="6127ABC8" w:rsidR="00EA69AA" w:rsidRPr="00781F59" w:rsidRDefault="00EA69AA" w:rsidP="00EA69AA">
            <w:pPr>
              <w:contextualSpacing/>
              <w:rPr>
                <w:sz w:val="20"/>
                <w:szCs w:val="20"/>
              </w:rPr>
            </w:pPr>
            <w:r w:rsidRPr="00781F59">
              <w:rPr>
                <w:sz w:val="20"/>
                <w:szCs w:val="20"/>
              </w:rPr>
              <w:t>K Ahijevych, M E Wewers 1993 Factors associated with nicotine dependence among African American women cigarette smokers</w:t>
            </w:r>
            <w:r w:rsidR="007F2F01">
              <w:rPr>
                <w:sz w:val="20"/>
                <w:szCs w:val="20"/>
              </w:rPr>
              <w:t>.</w:t>
            </w:r>
            <w:r w:rsidRPr="00781F59">
              <w:rPr>
                <w:sz w:val="20"/>
                <w:szCs w:val="20"/>
              </w:rPr>
              <w:t xml:space="preserve"> Research in nursing &amp; health; 16.283.</w:t>
            </w:r>
          </w:p>
        </w:tc>
        <w:tc>
          <w:tcPr>
            <w:tcW w:w="0" w:type="auto"/>
            <w:tcBorders>
              <w:top w:val="single" w:sz="6" w:space="0" w:color="auto"/>
              <w:left w:val="single" w:sz="6" w:space="0" w:color="auto"/>
              <w:bottom w:val="single" w:sz="6" w:space="0" w:color="auto"/>
              <w:right w:val="single" w:sz="6" w:space="0" w:color="auto"/>
            </w:tcBorders>
            <w:hideMark/>
          </w:tcPr>
          <w:p w14:paraId="0557CFB4"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2E02B237"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314F71F" w14:textId="77777777" w:rsidR="00EA69AA" w:rsidRPr="00781F59" w:rsidRDefault="00EA69AA" w:rsidP="00EA69AA">
            <w:pPr>
              <w:contextualSpacing/>
              <w:rPr>
                <w:sz w:val="20"/>
                <w:szCs w:val="20"/>
              </w:rPr>
            </w:pPr>
            <w:r w:rsidRPr="00781F59">
              <w:rPr>
                <w:sz w:val="20"/>
                <w:szCs w:val="20"/>
              </w:rPr>
              <w:t>755</w:t>
            </w:r>
          </w:p>
        </w:tc>
        <w:tc>
          <w:tcPr>
            <w:tcW w:w="0" w:type="auto"/>
            <w:tcBorders>
              <w:top w:val="single" w:sz="6" w:space="0" w:color="auto"/>
              <w:left w:val="single" w:sz="6" w:space="0" w:color="auto"/>
              <w:bottom w:val="single" w:sz="6" w:space="0" w:color="auto"/>
              <w:right w:val="single" w:sz="6" w:space="0" w:color="auto"/>
            </w:tcBorders>
            <w:hideMark/>
          </w:tcPr>
          <w:p w14:paraId="66594051" w14:textId="49F609FF" w:rsidR="00EA69AA" w:rsidRPr="00781F59" w:rsidRDefault="00EA69AA" w:rsidP="00EA69AA">
            <w:pPr>
              <w:contextualSpacing/>
              <w:rPr>
                <w:sz w:val="20"/>
                <w:szCs w:val="20"/>
              </w:rPr>
            </w:pPr>
            <w:r w:rsidRPr="00781F59">
              <w:rPr>
                <w:sz w:val="20"/>
                <w:szCs w:val="20"/>
              </w:rPr>
              <w:t>G C Kabat, J R Hebert 1991 Use of mentholated cigarettes and lung cancer risk</w:t>
            </w:r>
            <w:r w:rsidR="007F2F01">
              <w:rPr>
                <w:sz w:val="20"/>
                <w:szCs w:val="20"/>
              </w:rPr>
              <w:t>.</w:t>
            </w:r>
            <w:r w:rsidRPr="00781F59">
              <w:rPr>
                <w:sz w:val="20"/>
                <w:szCs w:val="20"/>
              </w:rPr>
              <w:t xml:space="preserve"> Cancer research; 51.6510.</w:t>
            </w:r>
          </w:p>
        </w:tc>
        <w:tc>
          <w:tcPr>
            <w:tcW w:w="0" w:type="auto"/>
            <w:tcBorders>
              <w:top w:val="single" w:sz="6" w:space="0" w:color="auto"/>
              <w:left w:val="single" w:sz="6" w:space="0" w:color="auto"/>
              <w:bottom w:val="single" w:sz="6" w:space="0" w:color="auto"/>
              <w:right w:val="single" w:sz="6" w:space="0" w:color="auto"/>
            </w:tcBorders>
            <w:hideMark/>
          </w:tcPr>
          <w:p w14:paraId="09055E63"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78FB21AD"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87BAEF0" w14:textId="77777777" w:rsidR="00EA69AA" w:rsidRPr="00781F59" w:rsidRDefault="00EA69AA" w:rsidP="00EA69AA">
            <w:pPr>
              <w:contextualSpacing/>
              <w:rPr>
                <w:sz w:val="20"/>
                <w:szCs w:val="20"/>
              </w:rPr>
            </w:pPr>
            <w:r w:rsidRPr="00781F59">
              <w:rPr>
                <w:sz w:val="20"/>
                <w:szCs w:val="20"/>
              </w:rPr>
              <w:t>761</w:t>
            </w:r>
          </w:p>
        </w:tc>
        <w:tc>
          <w:tcPr>
            <w:tcW w:w="0" w:type="auto"/>
            <w:tcBorders>
              <w:top w:val="single" w:sz="6" w:space="0" w:color="auto"/>
              <w:left w:val="single" w:sz="6" w:space="0" w:color="auto"/>
              <w:bottom w:val="single" w:sz="6" w:space="0" w:color="auto"/>
              <w:right w:val="single" w:sz="6" w:space="0" w:color="auto"/>
            </w:tcBorders>
            <w:hideMark/>
          </w:tcPr>
          <w:p w14:paraId="7BF3078C" w14:textId="7EEA5C84" w:rsidR="00EA69AA" w:rsidRPr="00781F59" w:rsidRDefault="00EA69AA" w:rsidP="00EA69AA">
            <w:pPr>
              <w:contextualSpacing/>
              <w:rPr>
                <w:sz w:val="20"/>
                <w:szCs w:val="20"/>
              </w:rPr>
            </w:pPr>
            <w:r w:rsidRPr="00781F59">
              <w:rPr>
                <w:sz w:val="20"/>
                <w:szCs w:val="20"/>
              </w:rPr>
              <w:t>C T Orleans, V J Schoenbach, M A Salmon, V J Strecher, W Kalsbeek, D Quade, E F Brooks, T R Konrad, C Blackmon, C D Watts 1989 A survey of smoking and quitting patterns among black Americans</w:t>
            </w:r>
            <w:r w:rsidR="007F2F01">
              <w:rPr>
                <w:sz w:val="20"/>
                <w:szCs w:val="20"/>
              </w:rPr>
              <w:t>.</w:t>
            </w:r>
            <w:r w:rsidRPr="00781F59">
              <w:rPr>
                <w:sz w:val="20"/>
                <w:szCs w:val="20"/>
              </w:rPr>
              <w:t xml:space="preserve"> American journal of public health; 79.176.</w:t>
            </w:r>
          </w:p>
        </w:tc>
        <w:tc>
          <w:tcPr>
            <w:tcW w:w="0" w:type="auto"/>
            <w:tcBorders>
              <w:top w:val="single" w:sz="6" w:space="0" w:color="auto"/>
              <w:left w:val="single" w:sz="6" w:space="0" w:color="auto"/>
              <w:bottom w:val="single" w:sz="6" w:space="0" w:color="auto"/>
              <w:right w:val="single" w:sz="6" w:space="0" w:color="auto"/>
            </w:tcBorders>
            <w:hideMark/>
          </w:tcPr>
          <w:p w14:paraId="3575884F"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5B198061"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547E807" w14:textId="77777777" w:rsidR="00EA69AA" w:rsidRPr="00781F59" w:rsidRDefault="00EA69AA" w:rsidP="00EA69AA">
            <w:pPr>
              <w:contextualSpacing/>
              <w:rPr>
                <w:sz w:val="20"/>
                <w:szCs w:val="20"/>
              </w:rPr>
            </w:pPr>
            <w:r w:rsidRPr="00781F59">
              <w:rPr>
                <w:sz w:val="20"/>
                <w:szCs w:val="20"/>
              </w:rPr>
              <w:t>765</w:t>
            </w:r>
          </w:p>
        </w:tc>
        <w:tc>
          <w:tcPr>
            <w:tcW w:w="0" w:type="auto"/>
            <w:tcBorders>
              <w:top w:val="single" w:sz="6" w:space="0" w:color="auto"/>
              <w:left w:val="single" w:sz="6" w:space="0" w:color="auto"/>
              <w:bottom w:val="single" w:sz="6" w:space="0" w:color="auto"/>
              <w:right w:val="single" w:sz="6" w:space="0" w:color="auto"/>
            </w:tcBorders>
            <w:hideMark/>
          </w:tcPr>
          <w:p w14:paraId="429D29E3" w14:textId="7FEC2ED5" w:rsidR="00EA69AA" w:rsidRPr="00781F59" w:rsidRDefault="00EA69AA" w:rsidP="00EA69AA">
            <w:pPr>
              <w:contextualSpacing/>
              <w:rPr>
                <w:sz w:val="20"/>
                <w:szCs w:val="20"/>
              </w:rPr>
            </w:pPr>
            <w:r w:rsidRPr="00781F59">
              <w:rPr>
                <w:sz w:val="20"/>
                <w:szCs w:val="20"/>
              </w:rPr>
              <w:t>J R Hebert, G C Kabat 1988 Menthol cigarettes and esophageal cancer</w:t>
            </w:r>
            <w:r w:rsidR="007F2F01">
              <w:rPr>
                <w:sz w:val="20"/>
                <w:szCs w:val="20"/>
              </w:rPr>
              <w:t>.</w:t>
            </w:r>
            <w:r w:rsidRPr="00781F59">
              <w:rPr>
                <w:sz w:val="20"/>
                <w:szCs w:val="20"/>
              </w:rPr>
              <w:t xml:space="preserve"> American journal of public health; 78.986.</w:t>
            </w:r>
          </w:p>
        </w:tc>
        <w:tc>
          <w:tcPr>
            <w:tcW w:w="0" w:type="auto"/>
            <w:tcBorders>
              <w:top w:val="single" w:sz="6" w:space="0" w:color="auto"/>
              <w:left w:val="single" w:sz="6" w:space="0" w:color="auto"/>
              <w:bottom w:val="single" w:sz="6" w:space="0" w:color="auto"/>
              <w:right w:val="single" w:sz="6" w:space="0" w:color="auto"/>
            </w:tcBorders>
            <w:hideMark/>
          </w:tcPr>
          <w:p w14:paraId="225CBF09"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3AEC066B"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C5EE758" w14:textId="77777777" w:rsidR="00EA69AA" w:rsidRPr="00781F59" w:rsidRDefault="00EA69AA" w:rsidP="00EA69AA">
            <w:pPr>
              <w:contextualSpacing/>
              <w:rPr>
                <w:sz w:val="20"/>
                <w:szCs w:val="20"/>
              </w:rPr>
            </w:pPr>
            <w:r w:rsidRPr="00781F59">
              <w:rPr>
                <w:sz w:val="20"/>
                <w:szCs w:val="20"/>
              </w:rPr>
              <w:t>768</w:t>
            </w:r>
          </w:p>
        </w:tc>
        <w:tc>
          <w:tcPr>
            <w:tcW w:w="0" w:type="auto"/>
            <w:tcBorders>
              <w:top w:val="single" w:sz="6" w:space="0" w:color="auto"/>
              <w:left w:val="single" w:sz="6" w:space="0" w:color="auto"/>
              <w:bottom w:val="single" w:sz="6" w:space="0" w:color="auto"/>
              <w:right w:val="single" w:sz="6" w:space="0" w:color="auto"/>
            </w:tcBorders>
            <w:hideMark/>
          </w:tcPr>
          <w:p w14:paraId="5FDE2090" w14:textId="22CD9D63" w:rsidR="00EA69AA" w:rsidRPr="00781F59" w:rsidRDefault="00EA69AA" w:rsidP="00EA69AA">
            <w:pPr>
              <w:contextualSpacing/>
              <w:rPr>
                <w:sz w:val="20"/>
                <w:szCs w:val="20"/>
              </w:rPr>
            </w:pPr>
            <w:r w:rsidRPr="00781F59">
              <w:rPr>
                <w:sz w:val="20"/>
                <w:szCs w:val="20"/>
              </w:rPr>
              <w:t>G Camarasa, A Alomar 1978 Menthol dermatitis from cigarettes</w:t>
            </w:r>
            <w:r w:rsidR="007F2F01">
              <w:rPr>
                <w:sz w:val="20"/>
                <w:szCs w:val="20"/>
              </w:rPr>
              <w:t>.</w:t>
            </w:r>
            <w:r w:rsidRPr="00781F59">
              <w:rPr>
                <w:sz w:val="20"/>
                <w:szCs w:val="20"/>
              </w:rPr>
              <w:t xml:space="preserve"> Contact dermatitis; 4.169.</w:t>
            </w:r>
          </w:p>
        </w:tc>
        <w:tc>
          <w:tcPr>
            <w:tcW w:w="0" w:type="auto"/>
            <w:tcBorders>
              <w:top w:val="single" w:sz="6" w:space="0" w:color="auto"/>
              <w:left w:val="single" w:sz="6" w:space="0" w:color="auto"/>
              <w:bottom w:val="single" w:sz="6" w:space="0" w:color="auto"/>
              <w:right w:val="single" w:sz="6" w:space="0" w:color="auto"/>
            </w:tcBorders>
            <w:hideMark/>
          </w:tcPr>
          <w:p w14:paraId="67942F6B"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12AFBD93"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BBF1BF4" w14:textId="77777777" w:rsidR="00EA69AA" w:rsidRPr="00781F59" w:rsidRDefault="00EA69AA" w:rsidP="00EA69AA">
            <w:pPr>
              <w:contextualSpacing/>
              <w:rPr>
                <w:sz w:val="20"/>
                <w:szCs w:val="20"/>
              </w:rPr>
            </w:pPr>
            <w:r w:rsidRPr="00781F59">
              <w:rPr>
                <w:sz w:val="20"/>
                <w:szCs w:val="20"/>
              </w:rPr>
              <w:t>769</w:t>
            </w:r>
          </w:p>
        </w:tc>
        <w:tc>
          <w:tcPr>
            <w:tcW w:w="0" w:type="auto"/>
            <w:tcBorders>
              <w:top w:val="single" w:sz="6" w:space="0" w:color="auto"/>
              <w:left w:val="single" w:sz="6" w:space="0" w:color="auto"/>
              <w:bottom w:val="single" w:sz="6" w:space="0" w:color="auto"/>
              <w:right w:val="single" w:sz="6" w:space="0" w:color="auto"/>
            </w:tcBorders>
            <w:hideMark/>
          </w:tcPr>
          <w:p w14:paraId="3DA01464" w14:textId="451BAA1E" w:rsidR="00EA69AA" w:rsidRPr="00781F59" w:rsidRDefault="00EA69AA" w:rsidP="00EA69AA">
            <w:pPr>
              <w:contextualSpacing/>
              <w:rPr>
                <w:sz w:val="20"/>
                <w:szCs w:val="20"/>
              </w:rPr>
            </w:pPr>
            <w:r w:rsidRPr="00781F59">
              <w:rPr>
                <w:sz w:val="20"/>
                <w:szCs w:val="20"/>
              </w:rPr>
              <w:t xml:space="preserve">B </w:t>
            </w:r>
            <w:proofErr w:type="spellStart"/>
            <w:r w:rsidRPr="00781F59">
              <w:rPr>
                <w:sz w:val="20"/>
                <w:szCs w:val="20"/>
              </w:rPr>
              <w:t>B</w:t>
            </w:r>
            <w:proofErr w:type="spellEnd"/>
            <w:r w:rsidRPr="00781F59">
              <w:rPr>
                <w:sz w:val="20"/>
                <w:szCs w:val="20"/>
              </w:rPr>
              <w:t xml:space="preserve"> Chrisman 1978 Menthol and dermatitis</w:t>
            </w:r>
            <w:r w:rsidR="007F2F01">
              <w:rPr>
                <w:sz w:val="20"/>
                <w:szCs w:val="20"/>
              </w:rPr>
              <w:t>.</w:t>
            </w:r>
            <w:r w:rsidRPr="00781F59">
              <w:rPr>
                <w:sz w:val="20"/>
                <w:szCs w:val="20"/>
              </w:rPr>
              <w:t xml:space="preserve"> Archives of dermatology; 114.286.</w:t>
            </w:r>
          </w:p>
        </w:tc>
        <w:tc>
          <w:tcPr>
            <w:tcW w:w="0" w:type="auto"/>
            <w:tcBorders>
              <w:top w:val="single" w:sz="6" w:space="0" w:color="auto"/>
              <w:left w:val="single" w:sz="6" w:space="0" w:color="auto"/>
              <w:bottom w:val="single" w:sz="6" w:space="0" w:color="auto"/>
              <w:right w:val="single" w:sz="6" w:space="0" w:color="auto"/>
            </w:tcBorders>
            <w:hideMark/>
          </w:tcPr>
          <w:p w14:paraId="413B155F"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42F408CD"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B085EA1" w14:textId="77777777" w:rsidR="00EA69AA" w:rsidRPr="00781F59" w:rsidRDefault="00EA69AA" w:rsidP="00EA69AA">
            <w:pPr>
              <w:contextualSpacing/>
              <w:rPr>
                <w:sz w:val="20"/>
                <w:szCs w:val="20"/>
              </w:rPr>
            </w:pPr>
            <w:r w:rsidRPr="00781F59">
              <w:rPr>
                <w:sz w:val="20"/>
                <w:szCs w:val="20"/>
              </w:rPr>
              <w:t>770</w:t>
            </w:r>
          </w:p>
        </w:tc>
        <w:tc>
          <w:tcPr>
            <w:tcW w:w="0" w:type="auto"/>
            <w:tcBorders>
              <w:top w:val="single" w:sz="6" w:space="0" w:color="auto"/>
              <w:left w:val="single" w:sz="6" w:space="0" w:color="auto"/>
              <w:bottom w:val="single" w:sz="6" w:space="0" w:color="auto"/>
              <w:right w:val="single" w:sz="6" w:space="0" w:color="auto"/>
            </w:tcBorders>
            <w:hideMark/>
          </w:tcPr>
          <w:p w14:paraId="0B234977" w14:textId="515A21DB" w:rsidR="00EA69AA" w:rsidRPr="00781F59" w:rsidRDefault="00EA69AA" w:rsidP="00EA69AA">
            <w:pPr>
              <w:contextualSpacing/>
              <w:rPr>
                <w:sz w:val="20"/>
                <w:szCs w:val="20"/>
              </w:rPr>
            </w:pPr>
            <w:r w:rsidRPr="00781F59">
              <w:rPr>
                <w:sz w:val="20"/>
                <w:szCs w:val="20"/>
              </w:rPr>
              <w:t>P K Das, R S Rathor, P S Sinha, A K Sanyal 1970 Effect on ciliary movements of some agents which come in contact with the respiratory tract</w:t>
            </w:r>
            <w:r w:rsidR="007F2F01">
              <w:rPr>
                <w:sz w:val="20"/>
                <w:szCs w:val="20"/>
              </w:rPr>
              <w:t>.</w:t>
            </w:r>
            <w:r w:rsidRPr="00781F59">
              <w:rPr>
                <w:sz w:val="20"/>
                <w:szCs w:val="20"/>
              </w:rPr>
              <w:t xml:space="preserve"> Indian journal of physiology and pharmacology; 14.297.</w:t>
            </w:r>
          </w:p>
        </w:tc>
        <w:tc>
          <w:tcPr>
            <w:tcW w:w="0" w:type="auto"/>
            <w:tcBorders>
              <w:top w:val="single" w:sz="6" w:space="0" w:color="auto"/>
              <w:left w:val="single" w:sz="6" w:space="0" w:color="auto"/>
              <w:bottom w:val="single" w:sz="6" w:space="0" w:color="auto"/>
              <w:right w:val="single" w:sz="6" w:space="0" w:color="auto"/>
            </w:tcBorders>
            <w:hideMark/>
          </w:tcPr>
          <w:p w14:paraId="63C62130"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7BA9853E"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7027C90" w14:textId="77777777" w:rsidR="00EA69AA" w:rsidRPr="00781F59" w:rsidRDefault="00EA69AA" w:rsidP="00EA69AA">
            <w:pPr>
              <w:contextualSpacing/>
              <w:rPr>
                <w:sz w:val="20"/>
                <w:szCs w:val="20"/>
              </w:rPr>
            </w:pPr>
            <w:r w:rsidRPr="00781F59">
              <w:rPr>
                <w:sz w:val="20"/>
                <w:szCs w:val="20"/>
              </w:rPr>
              <w:t>771</w:t>
            </w:r>
          </w:p>
        </w:tc>
        <w:tc>
          <w:tcPr>
            <w:tcW w:w="0" w:type="auto"/>
            <w:tcBorders>
              <w:top w:val="single" w:sz="6" w:space="0" w:color="auto"/>
              <w:left w:val="single" w:sz="6" w:space="0" w:color="auto"/>
              <w:bottom w:val="single" w:sz="6" w:space="0" w:color="auto"/>
              <w:right w:val="single" w:sz="6" w:space="0" w:color="auto"/>
            </w:tcBorders>
            <w:hideMark/>
          </w:tcPr>
          <w:p w14:paraId="25715CDB" w14:textId="09D1AA0D" w:rsidR="00EA69AA" w:rsidRPr="00781F59" w:rsidRDefault="00EA69AA" w:rsidP="00EA69AA">
            <w:pPr>
              <w:contextualSpacing/>
              <w:rPr>
                <w:sz w:val="20"/>
                <w:szCs w:val="20"/>
              </w:rPr>
            </w:pPr>
            <w:r w:rsidRPr="00781F59">
              <w:rPr>
                <w:sz w:val="20"/>
                <w:szCs w:val="20"/>
              </w:rPr>
              <w:t>I Schmeltz, W S Schlotzhauer 1968 Benzo(a)pyrene, phenols and other products from pyrolysis of the cigarette additive, (d,1)-menthol</w:t>
            </w:r>
            <w:r w:rsidR="007F2F01">
              <w:rPr>
                <w:sz w:val="20"/>
                <w:szCs w:val="20"/>
              </w:rPr>
              <w:t>.</w:t>
            </w:r>
            <w:r w:rsidRPr="00781F59">
              <w:rPr>
                <w:sz w:val="20"/>
                <w:szCs w:val="20"/>
              </w:rPr>
              <w:t xml:space="preserve"> Nature; 219.370.</w:t>
            </w:r>
          </w:p>
        </w:tc>
        <w:tc>
          <w:tcPr>
            <w:tcW w:w="0" w:type="auto"/>
            <w:tcBorders>
              <w:top w:val="single" w:sz="6" w:space="0" w:color="auto"/>
              <w:left w:val="single" w:sz="6" w:space="0" w:color="auto"/>
              <w:bottom w:val="single" w:sz="6" w:space="0" w:color="auto"/>
              <w:right w:val="single" w:sz="6" w:space="0" w:color="auto"/>
            </w:tcBorders>
            <w:hideMark/>
          </w:tcPr>
          <w:p w14:paraId="09040E69"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02FF938E"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1699715" w14:textId="77777777" w:rsidR="00EA69AA" w:rsidRPr="00781F59" w:rsidRDefault="00EA69AA" w:rsidP="00EA69AA">
            <w:pPr>
              <w:contextualSpacing/>
              <w:rPr>
                <w:sz w:val="20"/>
                <w:szCs w:val="20"/>
              </w:rPr>
            </w:pPr>
            <w:r w:rsidRPr="00781F59">
              <w:rPr>
                <w:sz w:val="20"/>
                <w:szCs w:val="20"/>
              </w:rPr>
              <w:t>772</w:t>
            </w:r>
          </w:p>
        </w:tc>
        <w:tc>
          <w:tcPr>
            <w:tcW w:w="0" w:type="auto"/>
            <w:tcBorders>
              <w:top w:val="single" w:sz="6" w:space="0" w:color="auto"/>
              <w:left w:val="single" w:sz="6" w:space="0" w:color="auto"/>
              <w:bottom w:val="single" w:sz="6" w:space="0" w:color="auto"/>
              <w:right w:val="single" w:sz="6" w:space="0" w:color="auto"/>
            </w:tcBorders>
            <w:hideMark/>
          </w:tcPr>
          <w:p w14:paraId="3AD5C856" w14:textId="4B755FE2" w:rsidR="00EA69AA" w:rsidRPr="00781F59" w:rsidRDefault="00EA69AA" w:rsidP="00EA69AA">
            <w:pPr>
              <w:contextualSpacing/>
              <w:rPr>
                <w:sz w:val="20"/>
                <w:szCs w:val="20"/>
              </w:rPr>
            </w:pPr>
            <w:r w:rsidRPr="00781F59">
              <w:rPr>
                <w:sz w:val="20"/>
                <w:szCs w:val="20"/>
              </w:rPr>
              <w:t>E M McGowan 1966 Menthol urticaria</w:t>
            </w:r>
            <w:r w:rsidR="007F2F01">
              <w:rPr>
                <w:sz w:val="20"/>
                <w:szCs w:val="20"/>
              </w:rPr>
              <w:t>.</w:t>
            </w:r>
            <w:r w:rsidRPr="00781F59">
              <w:rPr>
                <w:sz w:val="20"/>
                <w:szCs w:val="20"/>
              </w:rPr>
              <w:t xml:space="preserve"> Archives of dermatology; 94.62.</w:t>
            </w:r>
          </w:p>
        </w:tc>
        <w:tc>
          <w:tcPr>
            <w:tcW w:w="0" w:type="auto"/>
            <w:tcBorders>
              <w:top w:val="single" w:sz="6" w:space="0" w:color="auto"/>
              <w:left w:val="single" w:sz="6" w:space="0" w:color="auto"/>
              <w:bottom w:val="single" w:sz="6" w:space="0" w:color="auto"/>
              <w:right w:val="single" w:sz="6" w:space="0" w:color="auto"/>
            </w:tcBorders>
            <w:hideMark/>
          </w:tcPr>
          <w:p w14:paraId="36735E90"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7663B0E1"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1CC6EE0" w14:textId="77777777" w:rsidR="00EA69AA" w:rsidRPr="00781F59" w:rsidRDefault="00EA69AA" w:rsidP="00EA69AA">
            <w:pPr>
              <w:contextualSpacing/>
              <w:rPr>
                <w:sz w:val="20"/>
                <w:szCs w:val="20"/>
              </w:rPr>
            </w:pPr>
            <w:r w:rsidRPr="00781F59">
              <w:rPr>
                <w:sz w:val="20"/>
                <w:szCs w:val="20"/>
              </w:rPr>
              <w:t>773</w:t>
            </w:r>
          </w:p>
        </w:tc>
        <w:tc>
          <w:tcPr>
            <w:tcW w:w="0" w:type="auto"/>
            <w:tcBorders>
              <w:top w:val="single" w:sz="6" w:space="0" w:color="auto"/>
              <w:left w:val="single" w:sz="6" w:space="0" w:color="auto"/>
              <w:bottom w:val="single" w:sz="6" w:space="0" w:color="auto"/>
              <w:right w:val="single" w:sz="6" w:space="0" w:color="auto"/>
            </w:tcBorders>
            <w:hideMark/>
          </w:tcPr>
          <w:p w14:paraId="3AC65B5F" w14:textId="70EC2C8D" w:rsidR="00EA69AA" w:rsidRPr="00781F59" w:rsidRDefault="00EA69AA" w:rsidP="00EA69AA">
            <w:pPr>
              <w:contextualSpacing/>
              <w:rPr>
                <w:sz w:val="20"/>
                <w:szCs w:val="20"/>
              </w:rPr>
            </w:pPr>
            <w:r w:rsidRPr="00781F59">
              <w:rPr>
                <w:sz w:val="20"/>
                <w:szCs w:val="20"/>
              </w:rPr>
              <w:t>W SIMON, R J LUCERO 1960 Consumption of mentholated cigarettes by alcoholics</w:t>
            </w:r>
            <w:r w:rsidR="007F2F01">
              <w:rPr>
                <w:sz w:val="20"/>
                <w:szCs w:val="20"/>
              </w:rPr>
              <w:t>.</w:t>
            </w:r>
            <w:r w:rsidRPr="00781F59">
              <w:rPr>
                <w:sz w:val="20"/>
                <w:szCs w:val="20"/>
              </w:rPr>
              <w:t xml:space="preserve"> Diseases of the nervous system; 21.213.</w:t>
            </w:r>
          </w:p>
        </w:tc>
        <w:tc>
          <w:tcPr>
            <w:tcW w:w="0" w:type="auto"/>
            <w:tcBorders>
              <w:top w:val="single" w:sz="6" w:space="0" w:color="auto"/>
              <w:left w:val="single" w:sz="6" w:space="0" w:color="auto"/>
              <w:bottom w:val="single" w:sz="6" w:space="0" w:color="auto"/>
              <w:right w:val="single" w:sz="6" w:space="0" w:color="auto"/>
            </w:tcBorders>
            <w:hideMark/>
          </w:tcPr>
          <w:p w14:paraId="66AC2DBE"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2E5850BD"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985A64A" w14:textId="77777777" w:rsidR="00EA69AA" w:rsidRPr="00781F59" w:rsidRDefault="00EA69AA" w:rsidP="00EA69AA">
            <w:pPr>
              <w:contextualSpacing/>
              <w:rPr>
                <w:sz w:val="20"/>
                <w:szCs w:val="20"/>
              </w:rPr>
            </w:pPr>
            <w:r w:rsidRPr="00781F59">
              <w:rPr>
                <w:sz w:val="20"/>
                <w:szCs w:val="20"/>
              </w:rPr>
              <w:t>774</w:t>
            </w:r>
          </w:p>
        </w:tc>
        <w:tc>
          <w:tcPr>
            <w:tcW w:w="0" w:type="auto"/>
            <w:tcBorders>
              <w:top w:val="single" w:sz="6" w:space="0" w:color="auto"/>
              <w:left w:val="single" w:sz="6" w:space="0" w:color="auto"/>
              <w:bottom w:val="single" w:sz="6" w:space="0" w:color="auto"/>
              <w:right w:val="single" w:sz="6" w:space="0" w:color="auto"/>
            </w:tcBorders>
            <w:hideMark/>
          </w:tcPr>
          <w:p w14:paraId="47495D25" w14:textId="2F761A0E" w:rsidR="00EA69AA" w:rsidRPr="00781F59" w:rsidRDefault="00EA69AA" w:rsidP="00EA69AA">
            <w:pPr>
              <w:contextualSpacing/>
              <w:rPr>
                <w:sz w:val="20"/>
                <w:szCs w:val="20"/>
              </w:rPr>
            </w:pPr>
            <w:r w:rsidRPr="00781F59">
              <w:rPr>
                <w:sz w:val="20"/>
                <w:szCs w:val="20"/>
              </w:rPr>
              <w:t>N RAKIETEN, M L RAKIETEN, D FELDMAN, M J Jr BOYKIN 1952 Mammalian ciliated respiratory epithelium; studies with particular reference to effects of menthol, nicotine, and smoke of mentholated and nonmentholated cigarettes</w:t>
            </w:r>
            <w:r w:rsidR="007F2F01">
              <w:rPr>
                <w:sz w:val="20"/>
                <w:szCs w:val="20"/>
              </w:rPr>
              <w:t>.</w:t>
            </w:r>
            <w:r w:rsidRPr="00781F59">
              <w:rPr>
                <w:sz w:val="20"/>
                <w:szCs w:val="20"/>
              </w:rPr>
              <w:t xml:space="preserve"> A.M.A. archives of otolaryngology; 56.494.</w:t>
            </w:r>
          </w:p>
        </w:tc>
        <w:tc>
          <w:tcPr>
            <w:tcW w:w="0" w:type="auto"/>
            <w:tcBorders>
              <w:top w:val="single" w:sz="6" w:space="0" w:color="auto"/>
              <w:left w:val="single" w:sz="6" w:space="0" w:color="auto"/>
              <w:bottom w:val="single" w:sz="6" w:space="0" w:color="auto"/>
              <w:right w:val="single" w:sz="6" w:space="0" w:color="auto"/>
            </w:tcBorders>
            <w:hideMark/>
          </w:tcPr>
          <w:p w14:paraId="64871C5F"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59F63705"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D1E2F8A" w14:textId="77777777" w:rsidR="00EA69AA" w:rsidRPr="00781F59" w:rsidRDefault="00EA69AA" w:rsidP="00EA69AA">
            <w:pPr>
              <w:contextualSpacing/>
              <w:rPr>
                <w:sz w:val="20"/>
                <w:szCs w:val="20"/>
              </w:rPr>
            </w:pPr>
            <w:r w:rsidRPr="00781F59">
              <w:rPr>
                <w:sz w:val="20"/>
                <w:szCs w:val="20"/>
              </w:rPr>
              <w:t>775</w:t>
            </w:r>
          </w:p>
        </w:tc>
        <w:tc>
          <w:tcPr>
            <w:tcW w:w="0" w:type="auto"/>
            <w:tcBorders>
              <w:top w:val="single" w:sz="6" w:space="0" w:color="auto"/>
              <w:left w:val="single" w:sz="6" w:space="0" w:color="auto"/>
              <w:bottom w:val="single" w:sz="6" w:space="0" w:color="auto"/>
              <w:right w:val="single" w:sz="6" w:space="0" w:color="auto"/>
            </w:tcBorders>
            <w:hideMark/>
          </w:tcPr>
          <w:p w14:paraId="5A12828B" w14:textId="60D2563D" w:rsidR="00EA69AA" w:rsidRPr="00781F59" w:rsidRDefault="00EA69AA" w:rsidP="00EA69AA">
            <w:pPr>
              <w:contextualSpacing/>
              <w:rPr>
                <w:sz w:val="20"/>
                <w:szCs w:val="20"/>
              </w:rPr>
            </w:pPr>
            <w:r w:rsidRPr="00781F59">
              <w:rPr>
                <w:sz w:val="20"/>
                <w:szCs w:val="20"/>
              </w:rPr>
              <w:t>B HIGHSTEIN, I ZELIGMAN 1951 Nonthrombocytopenic purpura caused by mentholated cigarettes</w:t>
            </w:r>
            <w:r w:rsidR="007F2F01">
              <w:rPr>
                <w:sz w:val="20"/>
                <w:szCs w:val="20"/>
              </w:rPr>
              <w:t>.</w:t>
            </w:r>
            <w:r w:rsidRPr="00781F59">
              <w:rPr>
                <w:sz w:val="20"/>
                <w:szCs w:val="20"/>
              </w:rPr>
              <w:t xml:space="preserve"> Journal of the American Medical Association; 146.816.</w:t>
            </w:r>
          </w:p>
        </w:tc>
        <w:tc>
          <w:tcPr>
            <w:tcW w:w="0" w:type="auto"/>
            <w:tcBorders>
              <w:top w:val="single" w:sz="6" w:space="0" w:color="auto"/>
              <w:left w:val="single" w:sz="6" w:space="0" w:color="auto"/>
              <w:bottom w:val="single" w:sz="6" w:space="0" w:color="auto"/>
              <w:right w:val="single" w:sz="6" w:space="0" w:color="auto"/>
            </w:tcBorders>
            <w:hideMark/>
          </w:tcPr>
          <w:p w14:paraId="1326FE4B"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487EC835"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5A9A85C" w14:textId="77777777" w:rsidR="00EA69AA" w:rsidRPr="00781F59" w:rsidRDefault="00EA69AA" w:rsidP="00EA69AA">
            <w:pPr>
              <w:contextualSpacing/>
              <w:rPr>
                <w:sz w:val="20"/>
                <w:szCs w:val="20"/>
              </w:rPr>
            </w:pPr>
            <w:r w:rsidRPr="00781F59">
              <w:rPr>
                <w:sz w:val="20"/>
                <w:szCs w:val="20"/>
              </w:rPr>
              <w:t>776</w:t>
            </w:r>
          </w:p>
        </w:tc>
        <w:tc>
          <w:tcPr>
            <w:tcW w:w="0" w:type="auto"/>
            <w:tcBorders>
              <w:top w:val="single" w:sz="6" w:space="0" w:color="auto"/>
              <w:left w:val="single" w:sz="6" w:space="0" w:color="auto"/>
              <w:bottom w:val="single" w:sz="6" w:space="0" w:color="auto"/>
              <w:right w:val="single" w:sz="6" w:space="0" w:color="auto"/>
            </w:tcBorders>
            <w:hideMark/>
          </w:tcPr>
          <w:p w14:paraId="68ACC0B0" w14:textId="0043431F" w:rsidR="00EA69AA" w:rsidRPr="00781F59" w:rsidRDefault="00EA69AA" w:rsidP="00EA69AA">
            <w:pPr>
              <w:contextualSpacing/>
              <w:rPr>
                <w:sz w:val="20"/>
                <w:szCs w:val="20"/>
              </w:rPr>
            </w:pPr>
            <w:r w:rsidRPr="00781F59">
              <w:rPr>
                <w:sz w:val="20"/>
                <w:szCs w:val="20"/>
              </w:rPr>
              <w:t>Valeria Lallai, Christie D Fowler 2017 More than just chillin': Interactive effects of menthol and nicotine in drug reward</w:t>
            </w:r>
            <w:r w:rsidR="007F2F01">
              <w:rPr>
                <w:sz w:val="20"/>
                <w:szCs w:val="20"/>
              </w:rPr>
              <w:t>.</w:t>
            </w:r>
            <w:r w:rsidRPr="00781F59">
              <w:rPr>
                <w:sz w:val="20"/>
                <w:szCs w:val="20"/>
              </w:rPr>
              <w:t xml:space="preserve"> Neuropsychopharmacology; 42.2283.</w:t>
            </w:r>
          </w:p>
        </w:tc>
        <w:tc>
          <w:tcPr>
            <w:tcW w:w="0" w:type="auto"/>
            <w:tcBorders>
              <w:top w:val="single" w:sz="6" w:space="0" w:color="auto"/>
              <w:left w:val="single" w:sz="6" w:space="0" w:color="auto"/>
              <w:bottom w:val="single" w:sz="6" w:space="0" w:color="auto"/>
              <w:right w:val="single" w:sz="6" w:space="0" w:color="auto"/>
            </w:tcBorders>
            <w:hideMark/>
          </w:tcPr>
          <w:p w14:paraId="46691606"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0ED3DDF7"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2D385E6" w14:textId="77777777" w:rsidR="00EA69AA" w:rsidRPr="00781F59" w:rsidRDefault="00EA69AA" w:rsidP="00EA69AA">
            <w:pPr>
              <w:contextualSpacing/>
              <w:rPr>
                <w:sz w:val="20"/>
                <w:szCs w:val="20"/>
              </w:rPr>
            </w:pPr>
            <w:r w:rsidRPr="00781F59">
              <w:rPr>
                <w:sz w:val="20"/>
                <w:szCs w:val="20"/>
              </w:rPr>
              <w:t>783</w:t>
            </w:r>
          </w:p>
        </w:tc>
        <w:tc>
          <w:tcPr>
            <w:tcW w:w="0" w:type="auto"/>
            <w:tcBorders>
              <w:top w:val="single" w:sz="6" w:space="0" w:color="auto"/>
              <w:left w:val="single" w:sz="6" w:space="0" w:color="auto"/>
              <w:bottom w:val="single" w:sz="6" w:space="0" w:color="auto"/>
              <w:right w:val="single" w:sz="6" w:space="0" w:color="auto"/>
            </w:tcBorders>
            <w:hideMark/>
          </w:tcPr>
          <w:p w14:paraId="47C4B0EE" w14:textId="2F72B163" w:rsidR="00EA69AA" w:rsidRPr="00781F59" w:rsidRDefault="00EA69AA" w:rsidP="00EA69AA">
            <w:pPr>
              <w:contextualSpacing/>
              <w:rPr>
                <w:sz w:val="20"/>
                <w:szCs w:val="20"/>
              </w:rPr>
            </w:pPr>
            <w:r w:rsidRPr="00781F59">
              <w:rPr>
                <w:sz w:val="20"/>
                <w:szCs w:val="20"/>
              </w:rPr>
              <w:t>Eniye Emmanuel Eguae 2018 Factors associated with menthol cigarettes smoking among youths ages 12 to 19</w:t>
            </w:r>
            <w:r w:rsidR="007F2F01">
              <w:rPr>
                <w:sz w:val="20"/>
                <w:szCs w:val="20"/>
              </w:rPr>
              <w:t>.</w:t>
            </w:r>
            <w:r w:rsidRPr="00781F59">
              <w:rPr>
                <w:sz w:val="20"/>
                <w:szCs w:val="20"/>
              </w:rPr>
              <w:t xml:space="preserve"> Dissertation Abstracts International: Section B: The Sciences and Engineering; </w:t>
            </w:r>
            <w:proofErr w:type="gramStart"/>
            <w:r w:rsidRPr="00781F59">
              <w:rPr>
                <w:sz w:val="20"/>
                <w:szCs w:val="20"/>
              </w:rPr>
              <w:t>79.No.</w:t>
            </w:r>
            <w:proofErr w:type="gramEnd"/>
          </w:p>
        </w:tc>
        <w:tc>
          <w:tcPr>
            <w:tcW w:w="0" w:type="auto"/>
            <w:tcBorders>
              <w:top w:val="single" w:sz="6" w:space="0" w:color="auto"/>
              <w:left w:val="single" w:sz="6" w:space="0" w:color="auto"/>
              <w:bottom w:val="single" w:sz="6" w:space="0" w:color="auto"/>
              <w:right w:val="single" w:sz="6" w:space="0" w:color="auto"/>
            </w:tcBorders>
            <w:hideMark/>
          </w:tcPr>
          <w:p w14:paraId="5FC47546"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122E71F3"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0F716E8" w14:textId="77777777" w:rsidR="00EA69AA" w:rsidRPr="00781F59" w:rsidRDefault="00EA69AA" w:rsidP="00EA69AA">
            <w:pPr>
              <w:contextualSpacing/>
              <w:rPr>
                <w:sz w:val="20"/>
                <w:szCs w:val="20"/>
              </w:rPr>
            </w:pPr>
            <w:r w:rsidRPr="00781F59">
              <w:rPr>
                <w:sz w:val="20"/>
                <w:szCs w:val="20"/>
              </w:rPr>
              <w:t>786</w:t>
            </w:r>
          </w:p>
        </w:tc>
        <w:tc>
          <w:tcPr>
            <w:tcW w:w="0" w:type="auto"/>
            <w:tcBorders>
              <w:top w:val="single" w:sz="6" w:space="0" w:color="auto"/>
              <w:left w:val="single" w:sz="6" w:space="0" w:color="auto"/>
              <w:bottom w:val="single" w:sz="6" w:space="0" w:color="auto"/>
              <w:right w:val="single" w:sz="6" w:space="0" w:color="auto"/>
            </w:tcBorders>
            <w:hideMark/>
          </w:tcPr>
          <w:p w14:paraId="5236BBBD" w14:textId="5E0BF47D" w:rsidR="00EA69AA" w:rsidRPr="00781F59" w:rsidRDefault="00EA69AA" w:rsidP="00EA69AA">
            <w:pPr>
              <w:contextualSpacing/>
              <w:rPr>
                <w:sz w:val="20"/>
                <w:szCs w:val="20"/>
              </w:rPr>
            </w:pPr>
            <w:r w:rsidRPr="00781F59">
              <w:rPr>
                <w:sz w:val="20"/>
                <w:szCs w:val="20"/>
              </w:rPr>
              <w:t>Davide Risso, Eduardo Sainz, Joanne Gutierrez, Thomas Kirchner, Raymond Niaura, Dennis Drayna 2017 Association of TAS2R38 haplotypes and menthol cigarette preference in an African American cohort</w:t>
            </w:r>
            <w:r w:rsidR="007F2F01">
              <w:rPr>
                <w:sz w:val="20"/>
                <w:szCs w:val="20"/>
              </w:rPr>
              <w:t>.</w:t>
            </w:r>
            <w:r w:rsidRPr="00781F59">
              <w:rPr>
                <w:sz w:val="20"/>
                <w:szCs w:val="20"/>
              </w:rPr>
              <w:t xml:space="preserve"> Nicotine &amp; Tobacco Research; 19.493.</w:t>
            </w:r>
          </w:p>
        </w:tc>
        <w:tc>
          <w:tcPr>
            <w:tcW w:w="0" w:type="auto"/>
            <w:tcBorders>
              <w:top w:val="single" w:sz="6" w:space="0" w:color="auto"/>
              <w:left w:val="single" w:sz="6" w:space="0" w:color="auto"/>
              <w:bottom w:val="single" w:sz="6" w:space="0" w:color="auto"/>
              <w:right w:val="single" w:sz="6" w:space="0" w:color="auto"/>
            </w:tcBorders>
            <w:hideMark/>
          </w:tcPr>
          <w:p w14:paraId="18CD2C70"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0EB77B5D"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AD61FAB" w14:textId="77777777" w:rsidR="00EA69AA" w:rsidRPr="00781F59" w:rsidRDefault="00EA69AA" w:rsidP="00EA69AA">
            <w:pPr>
              <w:contextualSpacing/>
              <w:rPr>
                <w:sz w:val="20"/>
                <w:szCs w:val="20"/>
              </w:rPr>
            </w:pPr>
            <w:r w:rsidRPr="00781F59">
              <w:rPr>
                <w:sz w:val="20"/>
                <w:szCs w:val="20"/>
              </w:rPr>
              <w:lastRenderedPageBreak/>
              <w:t>789</w:t>
            </w:r>
          </w:p>
        </w:tc>
        <w:tc>
          <w:tcPr>
            <w:tcW w:w="0" w:type="auto"/>
            <w:tcBorders>
              <w:top w:val="single" w:sz="6" w:space="0" w:color="auto"/>
              <w:left w:val="single" w:sz="6" w:space="0" w:color="auto"/>
              <w:bottom w:val="single" w:sz="6" w:space="0" w:color="auto"/>
              <w:right w:val="single" w:sz="6" w:space="0" w:color="auto"/>
            </w:tcBorders>
            <w:hideMark/>
          </w:tcPr>
          <w:p w14:paraId="238992ED" w14:textId="0BAF3941" w:rsidR="00EA69AA" w:rsidRPr="00781F59" w:rsidRDefault="00EA69AA" w:rsidP="00EA69AA">
            <w:pPr>
              <w:contextualSpacing/>
              <w:rPr>
                <w:sz w:val="20"/>
                <w:szCs w:val="20"/>
              </w:rPr>
            </w:pPr>
            <w:r w:rsidRPr="00781F59">
              <w:rPr>
                <w:sz w:val="20"/>
                <w:szCs w:val="20"/>
              </w:rPr>
              <w:t>Teagan Rose Wall 2016 Effects of TI-299423 on neuronal nicotinic acetylcholine receptors</w:t>
            </w:r>
            <w:r w:rsidR="007F2F01">
              <w:rPr>
                <w:sz w:val="20"/>
                <w:szCs w:val="20"/>
              </w:rPr>
              <w:t>.</w:t>
            </w:r>
            <w:r w:rsidRPr="00781F59">
              <w:rPr>
                <w:sz w:val="20"/>
                <w:szCs w:val="20"/>
              </w:rPr>
              <w:t xml:space="preserve"> Dissertation Abstracts International: Section B: The Sciences and Engineering; </w:t>
            </w:r>
            <w:proofErr w:type="gramStart"/>
            <w:r w:rsidRPr="00781F59">
              <w:rPr>
                <w:sz w:val="20"/>
                <w:szCs w:val="20"/>
              </w:rPr>
              <w:t>76.No.</w:t>
            </w:r>
            <w:proofErr w:type="gramEnd"/>
          </w:p>
        </w:tc>
        <w:tc>
          <w:tcPr>
            <w:tcW w:w="0" w:type="auto"/>
            <w:tcBorders>
              <w:top w:val="single" w:sz="6" w:space="0" w:color="auto"/>
              <w:left w:val="single" w:sz="6" w:space="0" w:color="auto"/>
              <w:bottom w:val="single" w:sz="6" w:space="0" w:color="auto"/>
              <w:right w:val="single" w:sz="6" w:space="0" w:color="auto"/>
            </w:tcBorders>
            <w:hideMark/>
          </w:tcPr>
          <w:p w14:paraId="6FD66397"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0923459F"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0045AA7" w14:textId="77777777" w:rsidR="00EA69AA" w:rsidRPr="00781F59" w:rsidRDefault="00EA69AA" w:rsidP="00EA69AA">
            <w:pPr>
              <w:contextualSpacing/>
              <w:rPr>
                <w:sz w:val="20"/>
                <w:szCs w:val="20"/>
              </w:rPr>
            </w:pPr>
            <w:r w:rsidRPr="00781F59">
              <w:rPr>
                <w:sz w:val="20"/>
                <w:szCs w:val="20"/>
              </w:rPr>
              <w:t>791</w:t>
            </w:r>
          </w:p>
        </w:tc>
        <w:tc>
          <w:tcPr>
            <w:tcW w:w="0" w:type="auto"/>
            <w:tcBorders>
              <w:top w:val="single" w:sz="6" w:space="0" w:color="auto"/>
              <w:left w:val="single" w:sz="6" w:space="0" w:color="auto"/>
              <w:bottom w:val="single" w:sz="6" w:space="0" w:color="auto"/>
              <w:right w:val="single" w:sz="6" w:space="0" w:color="auto"/>
            </w:tcBorders>
            <w:hideMark/>
          </w:tcPr>
          <w:p w14:paraId="32169787" w14:textId="5C341DEC" w:rsidR="00EA69AA" w:rsidRPr="00781F59" w:rsidRDefault="00EA69AA" w:rsidP="00EA69AA">
            <w:pPr>
              <w:contextualSpacing/>
              <w:rPr>
                <w:sz w:val="20"/>
                <w:szCs w:val="20"/>
              </w:rPr>
            </w:pPr>
            <w:r w:rsidRPr="00781F59">
              <w:rPr>
                <w:sz w:val="20"/>
                <w:szCs w:val="20"/>
              </w:rPr>
              <w:t>Esteban Petruzzello 2016 Studies in the economics of addiction</w:t>
            </w:r>
            <w:r w:rsidR="007F2F01">
              <w:rPr>
                <w:sz w:val="20"/>
                <w:szCs w:val="20"/>
              </w:rPr>
              <w:t>.</w:t>
            </w:r>
            <w:r w:rsidRPr="00781F59">
              <w:rPr>
                <w:sz w:val="20"/>
                <w:szCs w:val="20"/>
              </w:rPr>
              <w:t xml:space="preserve"> Dissertation Abstracts International Section A: Humanities and Social Sciences; </w:t>
            </w:r>
            <w:proofErr w:type="gramStart"/>
            <w:r w:rsidRPr="00781F59">
              <w:rPr>
                <w:sz w:val="20"/>
                <w:szCs w:val="20"/>
              </w:rPr>
              <w:t>76.No.</w:t>
            </w:r>
            <w:proofErr w:type="gramEnd"/>
          </w:p>
        </w:tc>
        <w:tc>
          <w:tcPr>
            <w:tcW w:w="0" w:type="auto"/>
            <w:tcBorders>
              <w:top w:val="single" w:sz="6" w:space="0" w:color="auto"/>
              <w:left w:val="single" w:sz="6" w:space="0" w:color="auto"/>
              <w:bottom w:val="single" w:sz="6" w:space="0" w:color="auto"/>
              <w:right w:val="single" w:sz="6" w:space="0" w:color="auto"/>
            </w:tcBorders>
            <w:hideMark/>
          </w:tcPr>
          <w:p w14:paraId="27BFEE3C"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5309414A"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932A5BA" w14:textId="77777777" w:rsidR="00EA69AA" w:rsidRPr="00781F59" w:rsidRDefault="00EA69AA" w:rsidP="00EA69AA">
            <w:pPr>
              <w:contextualSpacing/>
              <w:rPr>
                <w:sz w:val="20"/>
                <w:szCs w:val="20"/>
              </w:rPr>
            </w:pPr>
            <w:r w:rsidRPr="00781F59">
              <w:rPr>
                <w:sz w:val="20"/>
                <w:szCs w:val="20"/>
              </w:rPr>
              <w:t>794</w:t>
            </w:r>
          </w:p>
        </w:tc>
        <w:tc>
          <w:tcPr>
            <w:tcW w:w="0" w:type="auto"/>
            <w:tcBorders>
              <w:top w:val="single" w:sz="6" w:space="0" w:color="auto"/>
              <w:left w:val="single" w:sz="6" w:space="0" w:color="auto"/>
              <w:bottom w:val="single" w:sz="6" w:space="0" w:color="auto"/>
              <w:right w:val="single" w:sz="6" w:space="0" w:color="auto"/>
            </w:tcBorders>
            <w:hideMark/>
          </w:tcPr>
          <w:p w14:paraId="170C968E" w14:textId="566CC01F" w:rsidR="00EA69AA" w:rsidRPr="00781F59" w:rsidRDefault="00EA69AA" w:rsidP="00EA69AA">
            <w:pPr>
              <w:contextualSpacing/>
              <w:rPr>
                <w:sz w:val="20"/>
                <w:szCs w:val="20"/>
              </w:rPr>
            </w:pPr>
            <w:r w:rsidRPr="00781F59">
              <w:rPr>
                <w:sz w:val="20"/>
                <w:szCs w:val="20"/>
              </w:rPr>
              <w:t>R. F Gillum, B West 2015 Religion and menthol cigarette use in a US national sample</w:t>
            </w:r>
            <w:r w:rsidR="007F2F01">
              <w:rPr>
                <w:sz w:val="20"/>
                <w:szCs w:val="20"/>
              </w:rPr>
              <w:t>.</w:t>
            </w:r>
            <w:r w:rsidRPr="00781F59">
              <w:rPr>
                <w:sz w:val="20"/>
                <w:szCs w:val="20"/>
              </w:rPr>
              <w:t xml:space="preserve"> Preventive Medicine: An International Journal Devoted to Practice and Theory; 81.444.</w:t>
            </w:r>
          </w:p>
        </w:tc>
        <w:tc>
          <w:tcPr>
            <w:tcW w:w="0" w:type="auto"/>
            <w:tcBorders>
              <w:top w:val="single" w:sz="6" w:space="0" w:color="auto"/>
              <w:left w:val="single" w:sz="6" w:space="0" w:color="auto"/>
              <w:bottom w:val="single" w:sz="6" w:space="0" w:color="auto"/>
              <w:right w:val="single" w:sz="6" w:space="0" w:color="auto"/>
            </w:tcBorders>
            <w:hideMark/>
          </w:tcPr>
          <w:p w14:paraId="58F89216"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02971393"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51A91EB" w14:textId="77777777" w:rsidR="00EA69AA" w:rsidRPr="00781F59" w:rsidRDefault="00EA69AA" w:rsidP="00EA69AA">
            <w:pPr>
              <w:contextualSpacing/>
              <w:rPr>
                <w:sz w:val="20"/>
                <w:szCs w:val="20"/>
              </w:rPr>
            </w:pPr>
            <w:r w:rsidRPr="00781F59">
              <w:rPr>
                <w:sz w:val="20"/>
                <w:szCs w:val="20"/>
              </w:rPr>
              <w:t>795</w:t>
            </w:r>
          </w:p>
        </w:tc>
        <w:tc>
          <w:tcPr>
            <w:tcW w:w="0" w:type="auto"/>
            <w:tcBorders>
              <w:top w:val="single" w:sz="6" w:space="0" w:color="auto"/>
              <w:left w:val="single" w:sz="6" w:space="0" w:color="auto"/>
              <w:bottom w:val="single" w:sz="6" w:space="0" w:color="auto"/>
              <w:right w:val="single" w:sz="6" w:space="0" w:color="auto"/>
            </w:tcBorders>
            <w:hideMark/>
          </w:tcPr>
          <w:p w14:paraId="075CBCA4" w14:textId="251359DA" w:rsidR="00EA69AA" w:rsidRPr="00781F59" w:rsidRDefault="00EA69AA" w:rsidP="00EA69AA">
            <w:pPr>
              <w:contextualSpacing/>
              <w:rPr>
                <w:sz w:val="20"/>
                <w:szCs w:val="20"/>
              </w:rPr>
            </w:pPr>
            <w:r w:rsidRPr="00781F59">
              <w:rPr>
                <w:sz w:val="20"/>
                <w:szCs w:val="20"/>
              </w:rPr>
              <w:t>Emily Brennan, Laura Gibson, Ani Momjian, Robert C Hornik 2015 "Are young people's beliefs about menthol cigarettes associated with smoking-related intentions and behaviors?": Erratum</w:t>
            </w:r>
            <w:r w:rsidR="007F2F01">
              <w:rPr>
                <w:sz w:val="20"/>
                <w:szCs w:val="20"/>
              </w:rPr>
              <w:t>.</w:t>
            </w:r>
            <w:r w:rsidRPr="00781F59">
              <w:rPr>
                <w:sz w:val="20"/>
                <w:szCs w:val="20"/>
              </w:rPr>
              <w:t xml:space="preserve"> Nicotine &amp; Tobacco Research; 17.1403.</w:t>
            </w:r>
          </w:p>
        </w:tc>
        <w:tc>
          <w:tcPr>
            <w:tcW w:w="0" w:type="auto"/>
            <w:tcBorders>
              <w:top w:val="single" w:sz="6" w:space="0" w:color="auto"/>
              <w:left w:val="single" w:sz="6" w:space="0" w:color="auto"/>
              <w:bottom w:val="single" w:sz="6" w:space="0" w:color="auto"/>
              <w:right w:val="single" w:sz="6" w:space="0" w:color="auto"/>
            </w:tcBorders>
            <w:hideMark/>
          </w:tcPr>
          <w:p w14:paraId="0BBD9202"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033D1072"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8D68E65" w14:textId="77777777" w:rsidR="00EA69AA" w:rsidRPr="00781F59" w:rsidRDefault="00EA69AA" w:rsidP="00EA69AA">
            <w:pPr>
              <w:contextualSpacing/>
              <w:rPr>
                <w:sz w:val="20"/>
                <w:szCs w:val="20"/>
              </w:rPr>
            </w:pPr>
            <w:r w:rsidRPr="00781F59">
              <w:rPr>
                <w:sz w:val="20"/>
                <w:szCs w:val="20"/>
              </w:rPr>
              <w:t>796</w:t>
            </w:r>
          </w:p>
        </w:tc>
        <w:tc>
          <w:tcPr>
            <w:tcW w:w="0" w:type="auto"/>
            <w:tcBorders>
              <w:top w:val="single" w:sz="6" w:space="0" w:color="auto"/>
              <w:left w:val="single" w:sz="6" w:space="0" w:color="auto"/>
              <w:bottom w:val="single" w:sz="6" w:space="0" w:color="auto"/>
              <w:right w:val="single" w:sz="6" w:space="0" w:color="auto"/>
            </w:tcBorders>
            <w:hideMark/>
          </w:tcPr>
          <w:p w14:paraId="5A21A809" w14:textId="726ACBF2" w:rsidR="00EA69AA" w:rsidRPr="00781F59" w:rsidRDefault="00EA69AA" w:rsidP="00EA69AA">
            <w:pPr>
              <w:contextualSpacing/>
              <w:rPr>
                <w:sz w:val="20"/>
                <w:szCs w:val="20"/>
              </w:rPr>
            </w:pPr>
            <w:r w:rsidRPr="00781F59">
              <w:rPr>
                <w:sz w:val="20"/>
                <w:szCs w:val="20"/>
              </w:rPr>
              <w:t>Olivia A Wackowski, Cristine D Delnevo, Jennifer L Pearson 2015 Switching to E-cigarettes in the event of a menthol cigarette ban</w:t>
            </w:r>
            <w:r w:rsidR="007F2F01">
              <w:rPr>
                <w:sz w:val="20"/>
                <w:szCs w:val="20"/>
              </w:rPr>
              <w:t>.</w:t>
            </w:r>
            <w:r w:rsidRPr="00781F59">
              <w:rPr>
                <w:sz w:val="20"/>
                <w:szCs w:val="20"/>
              </w:rPr>
              <w:t xml:space="preserve"> Nicotine &amp; Tobacco Research; 17.1286.</w:t>
            </w:r>
          </w:p>
        </w:tc>
        <w:tc>
          <w:tcPr>
            <w:tcW w:w="0" w:type="auto"/>
            <w:tcBorders>
              <w:top w:val="single" w:sz="6" w:space="0" w:color="auto"/>
              <w:left w:val="single" w:sz="6" w:space="0" w:color="auto"/>
              <w:bottom w:val="single" w:sz="6" w:space="0" w:color="auto"/>
              <w:right w:val="single" w:sz="6" w:space="0" w:color="auto"/>
            </w:tcBorders>
            <w:hideMark/>
          </w:tcPr>
          <w:p w14:paraId="58384F0A"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5B8F3B56"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8ACA8C6" w14:textId="77777777" w:rsidR="00EA69AA" w:rsidRPr="00781F59" w:rsidRDefault="00EA69AA" w:rsidP="00EA69AA">
            <w:pPr>
              <w:contextualSpacing/>
              <w:rPr>
                <w:sz w:val="20"/>
                <w:szCs w:val="20"/>
              </w:rPr>
            </w:pPr>
            <w:r w:rsidRPr="00781F59">
              <w:rPr>
                <w:sz w:val="20"/>
                <w:szCs w:val="20"/>
              </w:rPr>
              <w:t>799</w:t>
            </w:r>
          </w:p>
        </w:tc>
        <w:tc>
          <w:tcPr>
            <w:tcW w:w="0" w:type="auto"/>
            <w:tcBorders>
              <w:top w:val="single" w:sz="6" w:space="0" w:color="auto"/>
              <w:left w:val="single" w:sz="6" w:space="0" w:color="auto"/>
              <w:bottom w:val="single" w:sz="6" w:space="0" w:color="auto"/>
              <w:right w:val="single" w:sz="6" w:space="0" w:color="auto"/>
            </w:tcBorders>
            <w:hideMark/>
          </w:tcPr>
          <w:p w14:paraId="72D39915" w14:textId="061EF542" w:rsidR="00EA69AA" w:rsidRPr="00781F59" w:rsidRDefault="00EA69AA" w:rsidP="00EA69AA">
            <w:pPr>
              <w:contextualSpacing/>
              <w:rPr>
                <w:sz w:val="20"/>
                <w:szCs w:val="20"/>
              </w:rPr>
            </w:pPr>
            <w:r w:rsidRPr="00781F59">
              <w:rPr>
                <w:sz w:val="20"/>
                <w:szCs w:val="20"/>
              </w:rPr>
              <w:t>Cristine D Delnevo, Andrea C Villanti, Gary A Giovino 2014 Trends in menthol and non-menthol cigarette consumption in the USA: 2000-2011</w:t>
            </w:r>
            <w:r w:rsidR="007F2F01">
              <w:rPr>
                <w:sz w:val="20"/>
                <w:szCs w:val="20"/>
              </w:rPr>
              <w:t>.</w:t>
            </w:r>
            <w:r w:rsidRPr="00781F59">
              <w:rPr>
                <w:sz w:val="20"/>
                <w:szCs w:val="20"/>
              </w:rPr>
              <w:t xml:space="preserve"> Tobacco Control: An International Journal; </w:t>
            </w:r>
            <w:proofErr w:type="gramStart"/>
            <w:r w:rsidRPr="00781F59">
              <w:rPr>
                <w:sz w:val="20"/>
                <w:szCs w:val="20"/>
              </w:rPr>
              <w:t>23.e</w:t>
            </w:r>
            <w:proofErr w:type="gramEnd"/>
            <w:r w:rsidRPr="00781F59">
              <w:rPr>
                <w:sz w:val="20"/>
                <w:szCs w:val="20"/>
              </w:rPr>
              <w:t>154.</w:t>
            </w:r>
          </w:p>
        </w:tc>
        <w:tc>
          <w:tcPr>
            <w:tcW w:w="0" w:type="auto"/>
            <w:tcBorders>
              <w:top w:val="single" w:sz="6" w:space="0" w:color="auto"/>
              <w:left w:val="single" w:sz="6" w:space="0" w:color="auto"/>
              <w:bottom w:val="single" w:sz="6" w:space="0" w:color="auto"/>
              <w:right w:val="single" w:sz="6" w:space="0" w:color="auto"/>
            </w:tcBorders>
            <w:hideMark/>
          </w:tcPr>
          <w:p w14:paraId="3AA4B3B7"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54E48415"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0E43380" w14:textId="77777777" w:rsidR="00EA69AA" w:rsidRPr="00781F59" w:rsidRDefault="00EA69AA" w:rsidP="00EA69AA">
            <w:pPr>
              <w:contextualSpacing/>
              <w:rPr>
                <w:sz w:val="20"/>
                <w:szCs w:val="20"/>
              </w:rPr>
            </w:pPr>
            <w:r w:rsidRPr="00781F59">
              <w:rPr>
                <w:sz w:val="20"/>
                <w:szCs w:val="20"/>
              </w:rPr>
              <w:t>801</w:t>
            </w:r>
          </w:p>
        </w:tc>
        <w:tc>
          <w:tcPr>
            <w:tcW w:w="0" w:type="auto"/>
            <w:tcBorders>
              <w:top w:val="single" w:sz="6" w:space="0" w:color="auto"/>
              <w:left w:val="single" w:sz="6" w:space="0" w:color="auto"/>
              <w:bottom w:val="single" w:sz="6" w:space="0" w:color="auto"/>
              <w:right w:val="single" w:sz="6" w:space="0" w:color="auto"/>
            </w:tcBorders>
            <w:hideMark/>
          </w:tcPr>
          <w:p w14:paraId="6D98867F" w14:textId="6CB39FA5" w:rsidR="00EA69AA" w:rsidRPr="00781F59" w:rsidRDefault="00EA69AA" w:rsidP="00EA69AA">
            <w:pPr>
              <w:contextualSpacing/>
              <w:rPr>
                <w:sz w:val="20"/>
                <w:szCs w:val="20"/>
              </w:rPr>
            </w:pPr>
            <w:proofErr w:type="gramStart"/>
            <w:r w:rsidRPr="00781F59">
              <w:rPr>
                <w:sz w:val="20"/>
                <w:szCs w:val="20"/>
              </w:rPr>
              <w:t>Man</w:t>
            </w:r>
            <w:proofErr w:type="gramEnd"/>
            <w:r w:rsidRPr="00781F59">
              <w:rPr>
                <w:sz w:val="20"/>
                <w:szCs w:val="20"/>
              </w:rPr>
              <w:t xml:space="preserve"> Ki Ho 2014 Impact of CYP2A6 genetic variation on nicotine metabolism and smoking behaviours in light smoking populations of Black-African descent</w:t>
            </w:r>
            <w:r w:rsidR="007F2F01">
              <w:rPr>
                <w:sz w:val="20"/>
                <w:szCs w:val="20"/>
              </w:rPr>
              <w:t>.</w:t>
            </w:r>
            <w:r w:rsidRPr="00781F59">
              <w:rPr>
                <w:sz w:val="20"/>
                <w:szCs w:val="20"/>
              </w:rPr>
              <w:t xml:space="preserve"> Dissertation Abstracts International: Section B: The Sciences and Engineering; </w:t>
            </w:r>
            <w:proofErr w:type="gramStart"/>
            <w:r w:rsidRPr="00781F59">
              <w:rPr>
                <w:sz w:val="20"/>
                <w:szCs w:val="20"/>
              </w:rPr>
              <w:t>74.No.</w:t>
            </w:r>
            <w:proofErr w:type="gramEnd"/>
          </w:p>
        </w:tc>
        <w:tc>
          <w:tcPr>
            <w:tcW w:w="0" w:type="auto"/>
            <w:tcBorders>
              <w:top w:val="single" w:sz="6" w:space="0" w:color="auto"/>
              <w:left w:val="single" w:sz="6" w:space="0" w:color="auto"/>
              <w:bottom w:val="single" w:sz="6" w:space="0" w:color="auto"/>
              <w:right w:val="single" w:sz="6" w:space="0" w:color="auto"/>
            </w:tcBorders>
            <w:hideMark/>
          </w:tcPr>
          <w:p w14:paraId="0F6C9D8B" w14:textId="77777777" w:rsidR="00EA69AA" w:rsidRPr="00781F59" w:rsidRDefault="00EA69AA" w:rsidP="00EA69AA">
            <w:pPr>
              <w:contextualSpacing/>
              <w:rPr>
                <w:sz w:val="20"/>
                <w:szCs w:val="20"/>
              </w:rPr>
            </w:pPr>
            <w:r w:rsidRPr="00781F59">
              <w:rPr>
                <w:sz w:val="20"/>
                <w:szCs w:val="20"/>
              </w:rPr>
              <w:t>Ineligible population (not U.S., not humans)</w:t>
            </w:r>
          </w:p>
        </w:tc>
      </w:tr>
      <w:tr w:rsidR="00EA69AA" w:rsidRPr="00781F59" w14:paraId="64D22584"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DAC085F" w14:textId="77777777" w:rsidR="00EA69AA" w:rsidRPr="00781F59" w:rsidRDefault="00EA69AA" w:rsidP="00EA69AA">
            <w:pPr>
              <w:contextualSpacing/>
              <w:rPr>
                <w:sz w:val="20"/>
                <w:szCs w:val="20"/>
              </w:rPr>
            </w:pPr>
            <w:r w:rsidRPr="00781F59">
              <w:rPr>
                <w:sz w:val="20"/>
                <w:szCs w:val="20"/>
              </w:rPr>
              <w:t>806</w:t>
            </w:r>
          </w:p>
        </w:tc>
        <w:tc>
          <w:tcPr>
            <w:tcW w:w="0" w:type="auto"/>
            <w:tcBorders>
              <w:top w:val="single" w:sz="6" w:space="0" w:color="auto"/>
              <w:left w:val="single" w:sz="6" w:space="0" w:color="auto"/>
              <w:bottom w:val="single" w:sz="6" w:space="0" w:color="auto"/>
              <w:right w:val="single" w:sz="6" w:space="0" w:color="auto"/>
            </w:tcBorders>
            <w:hideMark/>
          </w:tcPr>
          <w:p w14:paraId="2BCA102F" w14:textId="42005F66" w:rsidR="00EA69AA" w:rsidRPr="00781F59" w:rsidRDefault="00EA69AA" w:rsidP="00EA69AA">
            <w:pPr>
              <w:contextualSpacing/>
              <w:rPr>
                <w:sz w:val="20"/>
                <w:szCs w:val="20"/>
              </w:rPr>
            </w:pPr>
            <w:r w:rsidRPr="00781F59">
              <w:rPr>
                <w:sz w:val="20"/>
                <w:szCs w:val="20"/>
              </w:rPr>
              <w:t>Matthew I Palmatier, Jaden E Lantz, Laura C O'Brien, Sarah P Metz 2013 Effects of nicotine on olfactogustatory incentives: Preference, palatability, and operant choice tests</w:t>
            </w:r>
            <w:r w:rsidR="007F2F01">
              <w:rPr>
                <w:sz w:val="20"/>
                <w:szCs w:val="20"/>
              </w:rPr>
              <w:t>.</w:t>
            </w:r>
            <w:r w:rsidRPr="00781F59">
              <w:rPr>
                <w:sz w:val="20"/>
                <w:szCs w:val="20"/>
              </w:rPr>
              <w:t xml:space="preserve"> Nicotine &amp; Tobacco Research; 15.1545.</w:t>
            </w:r>
          </w:p>
        </w:tc>
        <w:tc>
          <w:tcPr>
            <w:tcW w:w="0" w:type="auto"/>
            <w:tcBorders>
              <w:top w:val="single" w:sz="6" w:space="0" w:color="auto"/>
              <w:left w:val="single" w:sz="6" w:space="0" w:color="auto"/>
              <w:bottom w:val="single" w:sz="6" w:space="0" w:color="auto"/>
              <w:right w:val="single" w:sz="6" w:space="0" w:color="auto"/>
            </w:tcBorders>
            <w:hideMark/>
          </w:tcPr>
          <w:p w14:paraId="01DBB597" w14:textId="77777777" w:rsidR="00EA69AA" w:rsidRPr="00781F59" w:rsidRDefault="00EA69AA" w:rsidP="00EA69AA">
            <w:pPr>
              <w:contextualSpacing/>
              <w:rPr>
                <w:sz w:val="20"/>
                <w:szCs w:val="20"/>
              </w:rPr>
            </w:pPr>
            <w:r w:rsidRPr="00781F59">
              <w:rPr>
                <w:sz w:val="20"/>
                <w:szCs w:val="20"/>
              </w:rPr>
              <w:t>Ineligible population (not U.S., not humans)</w:t>
            </w:r>
          </w:p>
        </w:tc>
      </w:tr>
      <w:tr w:rsidR="00EA69AA" w:rsidRPr="00781F59" w14:paraId="19B3A03B"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CF6139E" w14:textId="77777777" w:rsidR="00EA69AA" w:rsidRPr="00781F59" w:rsidRDefault="00EA69AA" w:rsidP="00EA69AA">
            <w:pPr>
              <w:contextualSpacing/>
              <w:rPr>
                <w:sz w:val="20"/>
                <w:szCs w:val="20"/>
              </w:rPr>
            </w:pPr>
            <w:r w:rsidRPr="00781F59">
              <w:rPr>
                <w:sz w:val="20"/>
                <w:szCs w:val="20"/>
              </w:rPr>
              <w:t>808</w:t>
            </w:r>
          </w:p>
        </w:tc>
        <w:tc>
          <w:tcPr>
            <w:tcW w:w="0" w:type="auto"/>
            <w:tcBorders>
              <w:top w:val="single" w:sz="6" w:space="0" w:color="auto"/>
              <w:left w:val="single" w:sz="6" w:space="0" w:color="auto"/>
              <w:bottom w:val="single" w:sz="6" w:space="0" w:color="auto"/>
              <w:right w:val="single" w:sz="6" w:space="0" w:color="auto"/>
            </w:tcBorders>
            <w:hideMark/>
          </w:tcPr>
          <w:p w14:paraId="375B7D00" w14:textId="2358999C" w:rsidR="00EA69AA" w:rsidRPr="00781F59" w:rsidRDefault="00EA69AA" w:rsidP="00EA69AA">
            <w:pPr>
              <w:contextualSpacing/>
              <w:rPr>
                <w:sz w:val="20"/>
                <w:szCs w:val="20"/>
              </w:rPr>
            </w:pPr>
            <w:r w:rsidRPr="00781F59">
              <w:rPr>
                <w:sz w:val="20"/>
                <w:szCs w:val="20"/>
              </w:rPr>
              <w:t>Brian Rostron 2013 Methodology, menthol, and mortality</w:t>
            </w:r>
            <w:r w:rsidR="007F2F01">
              <w:rPr>
                <w:sz w:val="20"/>
                <w:szCs w:val="20"/>
              </w:rPr>
              <w:t>.</w:t>
            </w:r>
            <w:r w:rsidRPr="00781F59">
              <w:rPr>
                <w:sz w:val="20"/>
                <w:szCs w:val="20"/>
              </w:rPr>
              <w:t xml:space="preserve"> Nicotine &amp; Tobacco Research; 15.619.</w:t>
            </w:r>
          </w:p>
        </w:tc>
        <w:tc>
          <w:tcPr>
            <w:tcW w:w="0" w:type="auto"/>
            <w:tcBorders>
              <w:top w:val="single" w:sz="6" w:space="0" w:color="auto"/>
              <w:left w:val="single" w:sz="6" w:space="0" w:color="auto"/>
              <w:bottom w:val="single" w:sz="6" w:space="0" w:color="auto"/>
              <w:right w:val="single" w:sz="6" w:space="0" w:color="auto"/>
            </w:tcBorders>
            <w:hideMark/>
          </w:tcPr>
          <w:p w14:paraId="4BD7325B"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75FB3AA1"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B16C2BD" w14:textId="77777777" w:rsidR="00EA69AA" w:rsidRPr="00781F59" w:rsidRDefault="00EA69AA" w:rsidP="00EA69AA">
            <w:pPr>
              <w:contextualSpacing/>
              <w:rPr>
                <w:sz w:val="20"/>
                <w:szCs w:val="20"/>
              </w:rPr>
            </w:pPr>
            <w:r w:rsidRPr="00781F59">
              <w:rPr>
                <w:sz w:val="20"/>
                <w:szCs w:val="20"/>
              </w:rPr>
              <w:t>809</w:t>
            </w:r>
          </w:p>
        </w:tc>
        <w:tc>
          <w:tcPr>
            <w:tcW w:w="0" w:type="auto"/>
            <w:tcBorders>
              <w:top w:val="single" w:sz="6" w:space="0" w:color="auto"/>
              <w:left w:val="single" w:sz="6" w:space="0" w:color="auto"/>
              <w:bottom w:val="single" w:sz="6" w:space="0" w:color="auto"/>
              <w:right w:val="single" w:sz="6" w:space="0" w:color="auto"/>
            </w:tcBorders>
            <w:hideMark/>
          </w:tcPr>
          <w:p w14:paraId="53399531" w14:textId="1909A913" w:rsidR="00EA69AA" w:rsidRPr="00781F59" w:rsidRDefault="00EA69AA" w:rsidP="00EA69AA">
            <w:pPr>
              <w:contextualSpacing/>
              <w:rPr>
                <w:sz w:val="20"/>
                <w:szCs w:val="20"/>
              </w:rPr>
            </w:pPr>
            <w:r w:rsidRPr="00781F59">
              <w:rPr>
                <w:sz w:val="20"/>
                <w:szCs w:val="20"/>
              </w:rPr>
              <w:t>Andrea C Villanti, Gary A Giovino, David M Burns, David B Abrams 2013 Menthol cigarettes and mortality: Keeping focus on the public health standard</w:t>
            </w:r>
            <w:r w:rsidR="007F2F01">
              <w:rPr>
                <w:sz w:val="20"/>
                <w:szCs w:val="20"/>
              </w:rPr>
              <w:t>.</w:t>
            </w:r>
            <w:r w:rsidRPr="00781F59">
              <w:rPr>
                <w:sz w:val="20"/>
                <w:szCs w:val="20"/>
              </w:rPr>
              <w:t xml:space="preserve"> Nicotine &amp; Tobacco Research; 15.617.</w:t>
            </w:r>
          </w:p>
        </w:tc>
        <w:tc>
          <w:tcPr>
            <w:tcW w:w="0" w:type="auto"/>
            <w:tcBorders>
              <w:top w:val="single" w:sz="6" w:space="0" w:color="auto"/>
              <w:left w:val="single" w:sz="6" w:space="0" w:color="auto"/>
              <w:bottom w:val="single" w:sz="6" w:space="0" w:color="auto"/>
              <w:right w:val="single" w:sz="6" w:space="0" w:color="auto"/>
            </w:tcBorders>
            <w:hideMark/>
          </w:tcPr>
          <w:p w14:paraId="631D4C0B" w14:textId="77777777" w:rsidR="00EA69AA" w:rsidRPr="00781F59" w:rsidRDefault="00EA69AA" w:rsidP="00EA69AA">
            <w:pPr>
              <w:contextualSpacing/>
              <w:rPr>
                <w:sz w:val="20"/>
                <w:szCs w:val="20"/>
              </w:rPr>
            </w:pPr>
            <w:r w:rsidRPr="00781F59">
              <w:rPr>
                <w:sz w:val="20"/>
                <w:szCs w:val="20"/>
              </w:rPr>
              <w:t>Not original research / data</w:t>
            </w:r>
          </w:p>
        </w:tc>
      </w:tr>
      <w:tr w:rsidR="00EA69AA" w:rsidRPr="00781F59" w14:paraId="02C950F6"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2051D43" w14:textId="77777777" w:rsidR="00EA69AA" w:rsidRPr="00781F59" w:rsidRDefault="00EA69AA" w:rsidP="00EA69AA">
            <w:pPr>
              <w:contextualSpacing/>
              <w:rPr>
                <w:sz w:val="20"/>
                <w:szCs w:val="20"/>
              </w:rPr>
            </w:pPr>
            <w:r w:rsidRPr="00781F59">
              <w:rPr>
                <w:sz w:val="20"/>
                <w:szCs w:val="20"/>
              </w:rPr>
              <w:t>810</w:t>
            </w:r>
          </w:p>
        </w:tc>
        <w:tc>
          <w:tcPr>
            <w:tcW w:w="0" w:type="auto"/>
            <w:tcBorders>
              <w:top w:val="single" w:sz="6" w:space="0" w:color="auto"/>
              <w:left w:val="single" w:sz="6" w:space="0" w:color="auto"/>
              <w:bottom w:val="single" w:sz="6" w:space="0" w:color="auto"/>
              <w:right w:val="single" w:sz="6" w:space="0" w:color="auto"/>
            </w:tcBorders>
            <w:hideMark/>
          </w:tcPr>
          <w:p w14:paraId="59406709" w14:textId="77777777" w:rsidR="00EA69AA" w:rsidRPr="00781F59" w:rsidRDefault="00EA69AA" w:rsidP="00EA69AA">
            <w:pPr>
              <w:contextualSpacing/>
              <w:rPr>
                <w:sz w:val="20"/>
                <w:szCs w:val="20"/>
              </w:rPr>
            </w:pPr>
            <w:r w:rsidRPr="00781F59">
              <w:rPr>
                <w:sz w:val="20"/>
                <w:szCs w:val="20"/>
              </w:rPr>
              <w:t>Lawrence Carter 2013 Commentary on nonnemaker et al. (2013): Banning menthol cigarettes-Is it time to conduct the experiment?. Addiction; 108.179.</w:t>
            </w:r>
          </w:p>
        </w:tc>
        <w:tc>
          <w:tcPr>
            <w:tcW w:w="0" w:type="auto"/>
            <w:tcBorders>
              <w:top w:val="single" w:sz="6" w:space="0" w:color="auto"/>
              <w:left w:val="single" w:sz="6" w:space="0" w:color="auto"/>
              <w:bottom w:val="single" w:sz="6" w:space="0" w:color="auto"/>
              <w:right w:val="single" w:sz="6" w:space="0" w:color="auto"/>
            </w:tcBorders>
            <w:hideMark/>
          </w:tcPr>
          <w:p w14:paraId="16BD99FE" w14:textId="77777777" w:rsidR="00EA69AA" w:rsidRPr="00781F59" w:rsidRDefault="00EA69AA" w:rsidP="00EA69AA">
            <w:pPr>
              <w:contextualSpacing/>
              <w:rPr>
                <w:sz w:val="20"/>
                <w:szCs w:val="20"/>
              </w:rPr>
            </w:pPr>
            <w:r w:rsidRPr="00781F59">
              <w:rPr>
                <w:sz w:val="20"/>
                <w:szCs w:val="20"/>
              </w:rPr>
              <w:t>Not original research / data</w:t>
            </w:r>
          </w:p>
        </w:tc>
      </w:tr>
      <w:tr w:rsidR="00EA69AA" w:rsidRPr="00781F59" w14:paraId="3385C6BF"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0339CE0" w14:textId="77777777" w:rsidR="00EA69AA" w:rsidRPr="00781F59" w:rsidRDefault="00EA69AA" w:rsidP="00EA69AA">
            <w:pPr>
              <w:contextualSpacing/>
              <w:rPr>
                <w:sz w:val="20"/>
                <w:szCs w:val="20"/>
              </w:rPr>
            </w:pPr>
            <w:r w:rsidRPr="00781F59">
              <w:rPr>
                <w:sz w:val="20"/>
                <w:szCs w:val="20"/>
              </w:rPr>
              <w:t>812</w:t>
            </w:r>
          </w:p>
        </w:tc>
        <w:tc>
          <w:tcPr>
            <w:tcW w:w="0" w:type="auto"/>
            <w:tcBorders>
              <w:top w:val="single" w:sz="6" w:space="0" w:color="auto"/>
              <w:left w:val="single" w:sz="6" w:space="0" w:color="auto"/>
              <w:bottom w:val="single" w:sz="6" w:space="0" w:color="auto"/>
              <w:right w:val="single" w:sz="6" w:space="0" w:color="auto"/>
            </w:tcBorders>
            <w:hideMark/>
          </w:tcPr>
          <w:p w14:paraId="5715F6FF" w14:textId="22A8089C" w:rsidR="00EA69AA" w:rsidRPr="00781F59" w:rsidRDefault="00EA69AA" w:rsidP="00EA69AA">
            <w:pPr>
              <w:contextualSpacing/>
              <w:rPr>
                <w:sz w:val="20"/>
                <w:szCs w:val="20"/>
              </w:rPr>
            </w:pPr>
            <w:r w:rsidRPr="00781F59">
              <w:rPr>
                <w:sz w:val="20"/>
                <w:szCs w:val="20"/>
              </w:rPr>
              <w:t>Brian Rostron 2012 Response to "Menthol cigarettes and lung cancer mortality"</w:t>
            </w:r>
            <w:r w:rsidR="007F2F01">
              <w:rPr>
                <w:sz w:val="20"/>
                <w:szCs w:val="20"/>
              </w:rPr>
              <w:t>.</w:t>
            </w:r>
            <w:r w:rsidRPr="00781F59">
              <w:rPr>
                <w:sz w:val="20"/>
                <w:szCs w:val="20"/>
              </w:rPr>
              <w:t xml:space="preserve"> Nicotine &amp; Tobacco Research; 14.1248.</w:t>
            </w:r>
          </w:p>
        </w:tc>
        <w:tc>
          <w:tcPr>
            <w:tcW w:w="0" w:type="auto"/>
            <w:tcBorders>
              <w:top w:val="single" w:sz="6" w:space="0" w:color="auto"/>
              <w:left w:val="single" w:sz="6" w:space="0" w:color="auto"/>
              <w:bottom w:val="single" w:sz="6" w:space="0" w:color="auto"/>
              <w:right w:val="single" w:sz="6" w:space="0" w:color="auto"/>
            </w:tcBorders>
            <w:hideMark/>
          </w:tcPr>
          <w:p w14:paraId="00B17944"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5865A8B2"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E266B33" w14:textId="77777777" w:rsidR="00EA69AA" w:rsidRPr="00781F59" w:rsidRDefault="00EA69AA" w:rsidP="00EA69AA">
            <w:pPr>
              <w:contextualSpacing/>
              <w:rPr>
                <w:sz w:val="20"/>
                <w:szCs w:val="20"/>
              </w:rPr>
            </w:pPr>
            <w:r w:rsidRPr="00781F59">
              <w:rPr>
                <w:sz w:val="20"/>
                <w:szCs w:val="20"/>
              </w:rPr>
              <w:t>813</w:t>
            </w:r>
          </w:p>
        </w:tc>
        <w:tc>
          <w:tcPr>
            <w:tcW w:w="0" w:type="auto"/>
            <w:tcBorders>
              <w:top w:val="single" w:sz="6" w:space="0" w:color="auto"/>
              <w:left w:val="single" w:sz="6" w:space="0" w:color="auto"/>
              <w:bottom w:val="single" w:sz="6" w:space="0" w:color="auto"/>
              <w:right w:val="single" w:sz="6" w:space="0" w:color="auto"/>
            </w:tcBorders>
            <w:hideMark/>
          </w:tcPr>
          <w:p w14:paraId="12EB5264" w14:textId="235EFFD2" w:rsidR="00EA69AA" w:rsidRPr="00781F59" w:rsidRDefault="00EA69AA" w:rsidP="00EA69AA">
            <w:pPr>
              <w:contextualSpacing/>
              <w:rPr>
                <w:sz w:val="20"/>
                <w:szCs w:val="20"/>
              </w:rPr>
            </w:pPr>
            <w:r w:rsidRPr="00781F59">
              <w:rPr>
                <w:sz w:val="20"/>
                <w:szCs w:val="20"/>
              </w:rPr>
              <w:t>Joshua E Muscat 2012 Menthol cigarettes and lung cancer mortality</w:t>
            </w:r>
            <w:r w:rsidR="007F2F01">
              <w:rPr>
                <w:sz w:val="20"/>
                <w:szCs w:val="20"/>
              </w:rPr>
              <w:t>.</w:t>
            </w:r>
            <w:r w:rsidRPr="00781F59">
              <w:rPr>
                <w:sz w:val="20"/>
                <w:szCs w:val="20"/>
              </w:rPr>
              <w:t xml:space="preserve"> Nicotine &amp; Tobacco Research; 14.1246.</w:t>
            </w:r>
          </w:p>
        </w:tc>
        <w:tc>
          <w:tcPr>
            <w:tcW w:w="0" w:type="auto"/>
            <w:tcBorders>
              <w:top w:val="single" w:sz="6" w:space="0" w:color="auto"/>
              <w:left w:val="single" w:sz="6" w:space="0" w:color="auto"/>
              <w:bottom w:val="single" w:sz="6" w:space="0" w:color="auto"/>
              <w:right w:val="single" w:sz="6" w:space="0" w:color="auto"/>
            </w:tcBorders>
            <w:hideMark/>
          </w:tcPr>
          <w:p w14:paraId="68C493C4"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7CC7B7E5"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F0598C5" w14:textId="77777777" w:rsidR="00EA69AA" w:rsidRPr="00781F59" w:rsidRDefault="00EA69AA" w:rsidP="00EA69AA">
            <w:pPr>
              <w:contextualSpacing/>
              <w:rPr>
                <w:sz w:val="20"/>
                <w:szCs w:val="20"/>
              </w:rPr>
            </w:pPr>
            <w:r w:rsidRPr="00781F59">
              <w:rPr>
                <w:sz w:val="20"/>
                <w:szCs w:val="20"/>
              </w:rPr>
              <w:t>815</w:t>
            </w:r>
          </w:p>
        </w:tc>
        <w:tc>
          <w:tcPr>
            <w:tcW w:w="0" w:type="auto"/>
            <w:tcBorders>
              <w:top w:val="single" w:sz="6" w:space="0" w:color="auto"/>
              <w:left w:val="single" w:sz="6" w:space="0" w:color="auto"/>
              <w:bottom w:val="single" w:sz="6" w:space="0" w:color="auto"/>
              <w:right w:val="single" w:sz="6" w:space="0" w:color="auto"/>
            </w:tcBorders>
            <w:hideMark/>
          </w:tcPr>
          <w:p w14:paraId="24C28AD2" w14:textId="0E88E925" w:rsidR="00EA69AA" w:rsidRPr="00781F59" w:rsidRDefault="00EA69AA" w:rsidP="00EA69AA">
            <w:pPr>
              <w:contextualSpacing/>
              <w:rPr>
                <w:sz w:val="20"/>
                <w:szCs w:val="20"/>
              </w:rPr>
            </w:pPr>
            <w:r w:rsidRPr="00781F59">
              <w:rPr>
                <w:sz w:val="20"/>
                <w:szCs w:val="20"/>
              </w:rPr>
              <w:t>Valerie J Rock, Shane P Davis, Stacy L Thorne, Ralph S Caraballo 2012 Menthol cigarette use: The challenge to improve measurement and monitoring among adolescent smokers</w:t>
            </w:r>
            <w:r w:rsidR="007F2F01">
              <w:rPr>
                <w:sz w:val="20"/>
                <w:szCs w:val="20"/>
              </w:rPr>
              <w:t>.</w:t>
            </w:r>
            <w:r w:rsidRPr="00781F59">
              <w:rPr>
                <w:sz w:val="20"/>
                <w:szCs w:val="20"/>
              </w:rPr>
              <w:t xml:space="preserve"> Nicotine &amp; Tobacco Research; 14.251.</w:t>
            </w:r>
          </w:p>
        </w:tc>
        <w:tc>
          <w:tcPr>
            <w:tcW w:w="0" w:type="auto"/>
            <w:tcBorders>
              <w:top w:val="single" w:sz="6" w:space="0" w:color="auto"/>
              <w:left w:val="single" w:sz="6" w:space="0" w:color="auto"/>
              <w:bottom w:val="single" w:sz="6" w:space="0" w:color="auto"/>
              <w:right w:val="single" w:sz="6" w:space="0" w:color="auto"/>
            </w:tcBorders>
            <w:hideMark/>
          </w:tcPr>
          <w:p w14:paraId="5654582E" w14:textId="77777777" w:rsidR="00EA69AA" w:rsidRPr="00781F59" w:rsidRDefault="00EA69AA" w:rsidP="00EA69AA">
            <w:pPr>
              <w:contextualSpacing/>
              <w:rPr>
                <w:sz w:val="20"/>
                <w:szCs w:val="20"/>
              </w:rPr>
            </w:pPr>
            <w:r w:rsidRPr="00781F59">
              <w:rPr>
                <w:sz w:val="20"/>
                <w:szCs w:val="20"/>
              </w:rPr>
              <w:t>Not original research / data</w:t>
            </w:r>
          </w:p>
        </w:tc>
      </w:tr>
      <w:tr w:rsidR="00EA69AA" w:rsidRPr="00781F59" w14:paraId="2142379B"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4E6CE92" w14:textId="77777777" w:rsidR="00EA69AA" w:rsidRPr="00781F59" w:rsidRDefault="00EA69AA" w:rsidP="00EA69AA">
            <w:pPr>
              <w:contextualSpacing/>
              <w:rPr>
                <w:sz w:val="20"/>
                <w:szCs w:val="20"/>
              </w:rPr>
            </w:pPr>
            <w:r w:rsidRPr="00781F59">
              <w:rPr>
                <w:sz w:val="20"/>
                <w:szCs w:val="20"/>
              </w:rPr>
              <w:t>817</w:t>
            </w:r>
          </w:p>
        </w:tc>
        <w:tc>
          <w:tcPr>
            <w:tcW w:w="0" w:type="auto"/>
            <w:tcBorders>
              <w:top w:val="single" w:sz="6" w:space="0" w:color="auto"/>
              <w:left w:val="single" w:sz="6" w:space="0" w:color="auto"/>
              <w:bottom w:val="single" w:sz="6" w:space="0" w:color="auto"/>
              <w:right w:val="single" w:sz="6" w:space="0" w:color="auto"/>
            </w:tcBorders>
            <w:hideMark/>
          </w:tcPr>
          <w:p w14:paraId="758F6C9C" w14:textId="3564D95A" w:rsidR="00EA69AA" w:rsidRPr="00781F59" w:rsidRDefault="00EA69AA" w:rsidP="00EA69AA">
            <w:pPr>
              <w:contextualSpacing/>
              <w:rPr>
                <w:sz w:val="20"/>
                <w:szCs w:val="20"/>
              </w:rPr>
            </w:pPr>
            <w:r w:rsidRPr="00781F59">
              <w:rPr>
                <w:sz w:val="20"/>
                <w:szCs w:val="20"/>
              </w:rPr>
              <w:t>Neal L Benowitz, Jonathan M Samet 2011 The threat of menthol cigarettes to U.S. public health</w:t>
            </w:r>
            <w:r w:rsidR="007F2F01">
              <w:rPr>
                <w:sz w:val="20"/>
                <w:szCs w:val="20"/>
              </w:rPr>
              <w:t>.</w:t>
            </w:r>
            <w:r w:rsidRPr="00781F59">
              <w:rPr>
                <w:sz w:val="20"/>
                <w:szCs w:val="20"/>
              </w:rPr>
              <w:t xml:space="preserve"> The New England Journal of Medicine; 364.2179.</w:t>
            </w:r>
          </w:p>
        </w:tc>
        <w:tc>
          <w:tcPr>
            <w:tcW w:w="0" w:type="auto"/>
            <w:tcBorders>
              <w:top w:val="single" w:sz="6" w:space="0" w:color="auto"/>
              <w:left w:val="single" w:sz="6" w:space="0" w:color="auto"/>
              <w:bottom w:val="single" w:sz="6" w:space="0" w:color="auto"/>
              <w:right w:val="single" w:sz="6" w:space="0" w:color="auto"/>
            </w:tcBorders>
            <w:hideMark/>
          </w:tcPr>
          <w:p w14:paraId="1A469802" w14:textId="77777777" w:rsidR="00EA69AA" w:rsidRPr="00781F59" w:rsidRDefault="00EA69AA" w:rsidP="00EA69AA">
            <w:pPr>
              <w:contextualSpacing/>
              <w:rPr>
                <w:sz w:val="20"/>
                <w:szCs w:val="20"/>
              </w:rPr>
            </w:pPr>
            <w:r w:rsidRPr="00781F59">
              <w:rPr>
                <w:sz w:val="20"/>
                <w:szCs w:val="20"/>
              </w:rPr>
              <w:t>Not original research / data</w:t>
            </w:r>
          </w:p>
        </w:tc>
      </w:tr>
      <w:tr w:rsidR="00EA69AA" w:rsidRPr="00781F59" w14:paraId="377A6233"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45BF59A" w14:textId="77777777" w:rsidR="00EA69AA" w:rsidRPr="00781F59" w:rsidRDefault="00EA69AA" w:rsidP="00EA69AA">
            <w:pPr>
              <w:contextualSpacing/>
              <w:rPr>
                <w:sz w:val="20"/>
                <w:szCs w:val="20"/>
              </w:rPr>
            </w:pPr>
            <w:r w:rsidRPr="00781F59">
              <w:rPr>
                <w:sz w:val="20"/>
                <w:szCs w:val="20"/>
              </w:rPr>
              <w:t>818</w:t>
            </w:r>
          </w:p>
        </w:tc>
        <w:tc>
          <w:tcPr>
            <w:tcW w:w="0" w:type="auto"/>
            <w:tcBorders>
              <w:top w:val="single" w:sz="6" w:space="0" w:color="auto"/>
              <w:left w:val="single" w:sz="6" w:space="0" w:color="auto"/>
              <w:bottom w:val="single" w:sz="6" w:space="0" w:color="auto"/>
              <w:right w:val="single" w:sz="6" w:space="0" w:color="auto"/>
            </w:tcBorders>
            <w:hideMark/>
          </w:tcPr>
          <w:p w14:paraId="56E9C293" w14:textId="78F33246" w:rsidR="00EA69AA" w:rsidRPr="00781F59" w:rsidRDefault="00EA69AA" w:rsidP="00EA69AA">
            <w:pPr>
              <w:contextualSpacing/>
              <w:rPr>
                <w:sz w:val="20"/>
                <w:szCs w:val="20"/>
              </w:rPr>
            </w:pPr>
            <w:r w:rsidRPr="00781F59">
              <w:rPr>
                <w:sz w:val="20"/>
                <w:szCs w:val="20"/>
              </w:rPr>
              <w:t>Michael Siegel 2011 A lost opportunity for public health - The FDA Advisory Committee Report on Menthol</w:t>
            </w:r>
            <w:r w:rsidR="007F2F01">
              <w:rPr>
                <w:sz w:val="20"/>
                <w:szCs w:val="20"/>
              </w:rPr>
              <w:t>.</w:t>
            </w:r>
            <w:r w:rsidRPr="00781F59">
              <w:rPr>
                <w:sz w:val="20"/>
                <w:szCs w:val="20"/>
              </w:rPr>
              <w:t xml:space="preserve"> The New England Journal of Medicine; 364.2177.</w:t>
            </w:r>
          </w:p>
        </w:tc>
        <w:tc>
          <w:tcPr>
            <w:tcW w:w="0" w:type="auto"/>
            <w:tcBorders>
              <w:top w:val="single" w:sz="6" w:space="0" w:color="auto"/>
              <w:left w:val="single" w:sz="6" w:space="0" w:color="auto"/>
              <w:bottom w:val="single" w:sz="6" w:space="0" w:color="auto"/>
              <w:right w:val="single" w:sz="6" w:space="0" w:color="auto"/>
            </w:tcBorders>
            <w:hideMark/>
          </w:tcPr>
          <w:p w14:paraId="60DA72FE" w14:textId="77777777" w:rsidR="00EA69AA" w:rsidRPr="00781F59" w:rsidRDefault="00EA69AA" w:rsidP="00EA69AA">
            <w:pPr>
              <w:contextualSpacing/>
              <w:rPr>
                <w:sz w:val="20"/>
                <w:szCs w:val="20"/>
              </w:rPr>
            </w:pPr>
            <w:r w:rsidRPr="00781F59">
              <w:rPr>
                <w:sz w:val="20"/>
                <w:szCs w:val="20"/>
              </w:rPr>
              <w:t>Not original research / data</w:t>
            </w:r>
          </w:p>
        </w:tc>
      </w:tr>
      <w:tr w:rsidR="00EA69AA" w:rsidRPr="00781F59" w14:paraId="4B4BAE9E"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D1615E4" w14:textId="77777777" w:rsidR="00EA69AA" w:rsidRPr="00781F59" w:rsidRDefault="00EA69AA" w:rsidP="00EA69AA">
            <w:pPr>
              <w:contextualSpacing/>
              <w:rPr>
                <w:sz w:val="20"/>
                <w:szCs w:val="20"/>
              </w:rPr>
            </w:pPr>
            <w:r w:rsidRPr="00781F59">
              <w:rPr>
                <w:sz w:val="20"/>
                <w:szCs w:val="20"/>
              </w:rPr>
              <w:t>819</w:t>
            </w:r>
          </w:p>
        </w:tc>
        <w:tc>
          <w:tcPr>
            <w:tcW w:w="0" w:type="auto"/>
            <w:tcBorders>
              <w:top w:val="single" w:sz="6" w:space="0" w:color="auto"/>
              <w:left w:val="single" w:sz="6" w:space="0" w:color="auto"/>
              <w:bottom w:val="single" w:sz="6" w:space="0" w:color="auto"/>
              <w:right w:val="single" w:sz="6" w:space="0" w:color="auto"/>
            </w:tcBorders>
            <w:hideMark/>
          </w:tcPr>
          <w:p w14:paraId="0352C418" w14:textId="24DCACCE" w:rsidR="00EA69AA" w:rsidRPr="00781F59" w:rsidRDefault="00EA69AA" w:rsidP="00EA69AA">
            <w:pPr>
              <w:contextualSpacing/>
              <w:rPr>
                <w:sz w:val="20"/>
                <w:szCs w:val="20"/>
              </w:rPr>
            </w:pPr>
            <w:r w:rsidRPr="00781F59">
              <w:rPr>
                <w:sz w:val="20"/>
                <w:szCs w:val="20"/>
              </w:rPr>
              <w:t>Richard F Gillum 2011 Effect of religion on use of menthol cigarettes in African American smokers</w:t>
            </w:r>
            <w:r w:rsidR="007F2F01">
              <w:rPr>
                <w:sz w:val="20"/>
                <w:szCs w:val="20"/>
              </w:rPr>
              <w:t>.</w:t>
            </w:r>
            <w:r w:rsidRPr="00781F59">
              <w:rPr>
                <w:sz w:val="20"/>
                <w:szCs w:val="20"/>
              </w:rPr>
              <w:t xml:space="preserve"> Preventive Medicine: An International Journal Devoted to Practice and Theory; 52.477.</w:t>
            </w:r>
          </w:p>
        </w:tc>
        <w:tc>
          <w:tcPr>
            <w:tcW w:w="0" w:type="auto"/>
            <w:tcBorders>
              <w:top w:val="single" w:sz="6" w:space="0" w:color="auto"/>
              <w:left w:val="single" w:sz="6" w:space="0" w:color="auto"/>
              <w:bottom w:val="single" w:sz="6" w:space="0" w:color="auto"/>
              <w:right w:val="single" w:sz="6" w:space="0" w:color="auto"/>
            </w:tcBorders>
            <w:hideMark/>
          </w:tcPr>
          <w:p w14:paraId="19396E5D"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6B2A55CF"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176C328" w14:textId="77777777" w:rsidR="00EA69AA" w:rsidRPr="00781F59" w:rsidRDefault="00EA69AA" w:rsidP="00EA69AA">
            <w:pPr>
              <w:contextualSpacing/>
              <w:rPr>
                <w:sz w:val="20"/>
                <w:szCs w:val="20"/>
              </w:rPr>
            </w:pPr>
            <w:r w:rsidRPr="00781F59">
              <w:rPr>
                <w:sz w:val="20"/>
                <w:szCs w:val="20"/>
              </w:rPr>
              <w:lastRenderedPageBreak/>
              <w:t>820</w:t>
            </w:r>
          </w:p>
        </w:tc>
        <w:tc>
          <w:tcPr>
            <w:tcW w:w="0" w:type="auto"/>
            <w:tcBorders>
              <w:top w:val="single" w:sz="6" w:space="0" w:color="auto"/>
              <w:left w:val="single" w:sz="6" w:space="0" w:color="auto"/>
              <w:bottom w:val="single" w:sz="6" w:space="0" w:color="auto"/>
              <w:right w:val="single" w:sz="6" w:space="0" w:color="auto"/>
            </w:tcBorders>
            <w:hideMark/>
          </w:tcPr>
          <w:p w14:paraId="3429B49E" w14:textId="40DE1A9A" w:rsidR="00EA69AA" w:rsidRPr="00781F59" w:rsidRDefault="00EA69AA" w:rsidP="00EA69AA">
            <w:pPr>
              <w:contextualSpacing/>
              <w:rPr>
                <w:sz w:val="20"/>
                <w:szCs w:val="20"/>
              </w:rPr>
            </w:pPr>
            <w:r w:rsidRPr="00781F59">
              <w:rPr>
                <w:sz w:val="20"/>
                <w:szCs w:val="20"/>
              </w:rPr>
              <w:t>Christian Andreas Arist Von Hehn 2010 TRPA1 as a sensory neuronal target of chemical irritants and counterirritants</w:t>
            </w:r>
            <w:r w:rsidR="007F2F01">
              <w:rPr>
                <w:sz w:val="20"/>
                <w:szCs w:val="20"/>
              </w:rPr>
              <w:t>.</w:t>
            </w:r>
            <w:r w:rsidRPr="00781F59">
              <w:rPr>
                <w:sz w:val="20"/>
                <w:szCs w:val="20"/>
              </w:rPr>
              <w:t xml:space="preserve"> Dissertation Abstracts International: Section B: The Sciences and Engineering; 71.129.</w:t>
            </w:r>
          </w:p>
        </w:tc>
        <w:tc>
          <w:tcPr>
            <w:tcW w:w="0" w:type="auto"/>
            <w:tcBorders>
              <w:top w:val="single" w:sz="6" w:space="0" w:color="auto"/>
              <w:left w:val="single" w:sz="6" w:space="0" w:color="auto"/>
              <w:bottom w:val="single" w:sz="6" w:space="0" w:color="auto"/>
              <w:right w:val="single" w:sz="6" w:space="0" w:color="auto"/>
            </w:tcBorders>
            <w:hideMark/>
          </w:tcPr>
          <w:p w14:paraId="3F02D822" w14:textId="77777777" w:rsidR="00EA69AA" w:rsidRPr="00781F59" w:rsidRDefault="00EA69AA" w:rsidP="00EA69AA">
            <w:pPr>
              <w:contextualSpacing/>
              <w:rPr>
                <w:sz w:val="20"/>
                <w:szCs w:val="20"/>
              </w:rPr>
            </w:pPr>
            <w:r w:rsidRPr="00781F59">
              <w:rPr>
                <w:sz w:val="20"/>
                <w:szCs w:val="20"/>
              </w:rPr>
              <w:t>Ineligible population (not U.S., not humans)</w:t>
            </w:r>
          </w:p>
        </w:tc>
      </w:tr>
      <w:tr w:rsidR="00EA69AA" w:rsidRPr="00781F59" w14:paraId="76F6B71D"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22ACEA6" w14:textId="77777777" w:rsidR="00EA69AA" w:rsidRPr="00781F59" w:rsidRDefault="00EA69AA" w:rsidP="00EA69AA">
            <w:pPr>
              <w:contextualSpacing/>
              <w:rPr>
                <w:sz w:val="20"/>
                <w:szCs w:val="20"/>
              </w:rPr>
            </w:pPr>
            <w:r w:rsidRPr="00781F59">
              <w:rPr>
                <w:sz w:val="20"/>
                <w:szCs w:val="20"/>
              </w:rPr>
              <w:t>822</w:t>
            </w:r>
          </w:p>
        </w:tc>
        <w:tc>
          <w:tcPr>
            <w:tcW w:w="0" w:type="auto"/>
            <w:tcBorders>
              <w:top w:val="single" w:sz="6" w:space="0" w:color="auto"/>
              <w:left w:val="single" w:sz="6" w:space="0" w:color="auto"/>
              <w:bottom w:val="single" w:sz="6" w:space="0" w:color="auto"/>
              <w:right w:val="single" w:sz="6" w:space="0" w:color="auto"/>
            </w:tcBorders>
            <w:hideMark/>
          </w:tcPr>
          <w:p w14:paraId="4F46983C" w14:textId="23AF4F87" w:rsidR="00EA69AA" w:rsidRPr="00781F59" w:rsidRDefault="00EA69AA" w:rsidP="00EA69AA">
            <w:pPr>
              <w:contextualSpacing/>
              <w:rPr>
                <w:sz w:val="20"/>
                <w:szCs w:val="20"/>
              </w:rPr>
            </w:pPr>
            <w:r w:rsidRPr="00781F59">
              <w:rPr>
                <w:sz w:val="20"/>
                <w:szCs w:val="20"/>
              </w:rPr>
              <w:t>Brian P Flaherty 2010 Latent class and mixture models' potential contributions to understanding connections between menthol and other cigarette smoking characteristics</w:t>
            </w:r>
            <w:r w:rsidR="007F2F01">
              <w:rPr>
                <w:sz w:val="20"/>
                <w:szCs w:val="20"/>
              </w:rPr>
              <w:t>.</w:t>
            </w:r>
            <w:r w:rsidRPr="00781F59">
              <w:rPr>
                <w:sz w:val="20"/>
                <w:szCs w:val="20"/>
              </w:rPr>
              <w:t xml:space="preserve"> Addiction; 105.11.</w:t>
            </w:r>
          </w:p>
        </w:tc>
        <w:tc>
          <w:tcPr>
            <w:tcW w:w="0" w:type="auto"/>
            <w:tcBorders>
              <w:top w:val="single" w:sz="6" w:space="0" w:color="auto"/>
              <w:left w:val="single" w:sz="6" w:space="0" w:color="auto"/>
              <w:bottom w:val="single" w:sz="6" w:space="0" w:color="auto"/>
              <w:right w:val="single" w:sz="6" w:space="0" w:color="auto"/>
            </w:tcBorders>
            <w:hideMark/>
          </w:tcPr>
          <w:p w14:paraId="624B1F25" w14:textId="77777777" w:rsidR="00EA69AA" w:rsidRPr="00781F59" w:rsidRDefault="00EA69AA" w:rsidP="00EA69AA">
            <w:pPr>
              <w:contextualSpacing/>
              <w:rPr>
                <w:sz w:val="20"/>
                <w:szCs w:val="20"/>
              </w:rPr>
            </w:pPr>
            <w:r w:rsidRPr="00781F59">
              <w:rPr>
                <w:sz w:val="20"/>
                <w:szCs w:val="20"/>
              </w:rPr>
              <w:t>Not original research / data</w:t>
            </w:r>
          </w:p>
        </w:tc>
      </w:tr>
      <w:tr w:rsidR="00EA69AA" w:rsidRPr="00781F59" w14:paraId="0AD21C6A"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1DBCA38" w14:textId="77777777" w:rsidR="00EA69AA" w:rsidRPr="00781F59" w:rsidRDefault="00EA69AA" w:rsidP="00EA69AA">
            <w:pPr>
              <w:contextualSpacing/>
              <w:rPr>
                <w:sz w:val="20"/>
                <w:szCs w:val="20"/>
              </w:rPr>
            </w:pPr>
            <w:r w:rsidRPr="00781F59">
              <w:rPr>
                <w:sz w:val="20"/>
                <w:szCs w:val="20"/>
              </w:rPr>
              <w:t>825</w:t>
            </w:r>
          </w:p>
        </w:tc>
        <w:tc>
          <w:tcPr>
            <w:tcW w:w="0" w:type="auto"/>
            <w:tcBorders>
              <w:top w:val="single" w:sz="6" w:space="0" w:color="auto"/>
              <w:left w:val="single" w:sz="6" w:space="0" w:color="auto"/>
              <w:bottom w:val="single" w:sz="6" w:space="0" w:color="auto"/>
              <w:right w:val="single" w:sz="6" w:space="0" w:color="auto"/>
            </w:tcBorders>
            <w:hideMark/>
          </w:tcPr>
          <w:p w14:paraId="17E9BBC2" w14:textId="77777777" w:rsidR="00EA69AA" w:rsidRPr="00781F59" w:rsidRDefault="00EA69AA" w:rsidP="00EA69AA">
            <w:pPr>
              <w:contextualSpacing/>
              <w:rPr>
                <w:sz w:val="20"/>
                <w:szCs w:val="20"/>
              </w:rPr>
            </w:pPr>
            <w:r w:rsidRPr="00781F59">
              <w:rPr>
                <w:sz w:val="20"/>
                <w:szCs w:val="20"/>
              </w:rPr>
              <w:t>Kolawole S Okuyemi, Deirdre Lawrence, George Hammons, Linda A Alexander 2010 Use of mentholated cigarettes: What can we learn from national data sets?. Addiction; 105.1.</w:t>
            </w:r>
          </w:p>
        </w:tc>
        <w:tc>
          <w:tcPr>
            <w:tcW w:w="0" w:type="auto"/>
            <w:tcBorders>
              <w:top w:val="single" w:sz="6" w:space="0" w:color="auto"/>
              <w:left w:val="single" w:sz="6" w:space="0" w:color="auto"/>
              <w:bottom w:val="single" w:sz="6" w:space="0" w:color="auto"/>
              <w:right w:val="single" w:sz="6" w:space="0" w:color="auto"/>
            </w:tcBorders>
            <w:hideMark/>
          </w:tcPr>
          <w:p w14:paraId="7CD4CD3A" w14:textId="77777777" w:rsidR="00EA69AA" w:rsidRPr="00781F59" w:rsidRDefault="00EA69AA" w:rsidP="00EA69AA">
            <w:pPr>
              <w:contextualSpacing/>
              <w:rPr>
                <w:sz w:val="20"/>
                <w:szCs w:val="20"/>
              </w:rPr>
            </w:pPr>
            <w:r w:rsidRPr="00781F59">
              <w:rPr>
                <w:sz w:val="20"/>
                <w:szCs w:val="20"/>
              </w:rPr>
              <w:t>Not original research / data</w:t>
            </w:r>
          </w:p>
        </w:tc>
      </w:tr>
      <w:tr w:rsidR="00EA69AA" w:rsidRPr="00781F59" w14:paraId="3D07F8FD"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998C92D" w14:textId="77777777" w:rsidR="00EA69AA" w:rsidRPr="00781F59" w:rsidRDefault="00EA69AA" w:rsidP="00EA69AA">
            <w:pPr>
              <w:contextualSpacing/>
              <w:rPr>
                <w:sz w:val="20"/>
                <w:szCs w:val="20"/>
              </w:rPr>
            </w:pPr>
            <w:r w:rsidRPr="00781F59">
              <w:rPr>
                <w:sz w:val="20"/>
                <w:szCs w:val="20"/>
              </w:rPr>
              <w:t>832</w:t>
            </w:r>
          </w:p>
        </w:tc>
        <w:tc>
          <w:tcPr>
            <w:tcW w:w="0" w:type="auto"/>
            <w:tcBorders>
              <w:top w:val="single" w:sz="6" w:space="0" w:color="auto"/>
              <w:left w:val="single" w:sz="6" w:space="0" w:color="auto"/>
              <w:bottom w:val="single" w:sz="6" w:space="0" w:color="auto"/>
              <w:right w:val="single" w:sz="6" w:space="0" w:color="auto"/>
            </w:tcBorders>
            <w:hideMark/>
          </w:tcPr>
          <w:p w14:paraId="356AA5CE" w14:textId="77777777" w:rsidR="00EA69AA" w:rsidRPr="00781F59" w:rsidRDefault="00EA69AA" w:rsidP="00EA69AA">
            <w:pPr>
              <w:contextualSpacing/>
              <w:rPr>
                <w:sz w:val="20"/>
                <w:szCs w:val="20"/>
              </w:rPr>
            </w:pPr>
            <w:r w:rsidRPr="00781F59">
              <w:rPr>
                <w:sz w:val="20"/>
                <w:szCs w:val="20"/>
              </w:rPr>
              <w:t xml:space="preserve">Richard Hebert 2004 What's New in Nicotine &amp; Tobacco Research?. Nicotine &amp; Tobacco Research; </w:t>
            </w:r>
            <w:proofErr w:type="gramStart"/>
            <w:r w:rsidRPr="00781F59">
              <w:rPr>
                <w:sz w:val="20"/>
                <w:szCs w:val="20"/>
              </w:rPr>
              <w:t>6.S</w:t>
            </w:r>
            <w:proofErr w:type="gramEnd"/>
            <w:r w:rsidRPr="00781F59">
              <w:rPr>
                <w:sz w:val="20"/>
                <w:szCs w:val="20"/>
              </w:rPr>
              <w:t>1.</w:t>
            </w:r>
          </w:p>
        </w:tc>
        <w:tc>
          <w:tcPr>
            <w:tcW w:w="0" w:type="auto"/>
            <w:tcBorders>
              <w:top w:val="single" w:sz="6" w:space="0" w:color="auto"/>
              <w:left w:val="single" w:sz="6" w:space="0" w:color="auto"/>
              <w:bottom w:val="single" w:sz="6" w:space="0" w:color="auto"/>
              <w:right w:val="single" w:sz="6" w:space="0" w:color="auto"/>
            </w:tcBorders>
            <w:hideMark/>
          </w:tcPr>
          <w:p w14:paraId="57679D3C" w14:textId="77777777" w:rsidR="00EA69AA" w:rsidRPr="00781F59" w:rsidRDefault="00EA69AA" w:rsidP="00EA69AA">
            <w:pPr>
              <w:contextualSpacing/>
              <w:rPr>
                <w:sz w:val="20"/>
                <w:szCs w:val="20"/>
              </w:rPr>
            </w:pPr>
            <w:r w:rsidRPr="00781F59">
              <w:rPr>
                <w:sz w:val="20"/>
                <w:szCs w:val="20"/>
              </w:rPr>
              <w:t>Not original research / data</w:t>
            </w:r>
          </w:p>
        </w:tc>
      </w:tr>
      <w:tr w:rsidR="00EA69AA" w:rsidRPr="00781F59" w14:paraId="373B7370"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5E7D4DA" w14:textId="77777777" w:rsidR="00EA69AA" w:rsidRPr="00781F59" w:rsidRDefault="00EA69AA" w:rsidP="00EA69AA">
            <w:pPr>
              <w:contextualSpacing/>
              <w:rPr>
                <w:sz w:val="20"/>
                <w:szCs w:val="20"/>
              </w:rPr>
            </w:pPr>
            <w:r w:rsidRPr="00781F59">
              <w:rPr>
                <w:sz w:val="20"/>
                <w:szCs w:val="20"/>
              </w:rPr>
              <w:t>836</w:t>
            </w:r>
          </w:p>
        </w:tc>
        <w:tc>
          <w:tcPr>
            <w:tcW w:w="0" w:type="auto"/>
            <w:tcBorders>
              <w:top w:val="single" w:sz="6" w:space="0" w:color="auto"/>
              <w:left w:val="single" w:sz="6" w:space="0" w:color="auto"/>
              <w:bottom w:val="single" w:sz="6" w:space="0" w:color="auto"/>
              <w:right w:val="single" w:sz="6" w:space="0" w:color="auto"/>
            </w:tcBorders>
            <w:hideMark/>
          </w:tcPr>
          <w:p w14:paraId="59DDB252" w14:textId="178AAFC2" w:rsidR="00EA69AA" w:rsidRPr="00781F59" w:rsidRDefault="00EA69AA" w:rsidP="00EA69AA">
            <w:pPr>
              <w:contextualSpacing/>
              <w:rPr>
                <w:sz w:val="20"/>
                <w:szCs w:val="20"/>
              </w:rPr>
            </w:pPr>
            <w:r w:rsidRPr="00781F59">
              <w:rPr>
                <w:sz w:val="20"/>
                <w:szCs w:val="20"/>
              </w:rPr>
              <w:t>Wallace B Pickworth, Reginald V Fant, Richard A Nelson, Melissa S Rohrer, Jack E Henningfield 1999 Pharmacodynamic effects of new de-nicotinized cigarettes</w:t>
            </w:r>
            <w:r w:rsidR="007F2F01">
              <w:rPr>
                <w:sz w:val="20"/>
                <w:szCs w:val="20"/>
              </w:rPr>
              <w:t>.</w:t>
            </w:r>
            <w:r w:rsidRPr="00781F59">
              <w:rPr>
                <w:sz w:val="20"/>
                <w:szCs w:val="20"/>
              </w:rPr>
              <w:t xml:space="preserve"> Nicotine &amp; Tobacco Research; 1.357.</w:t>
            </w:r>
          </w:p>
        </w:tc>
        <w:tc>
          <w:tcPr>
            <w:tcW w:w="0" w:type="auto"/>
            <w:tcBorders>
              <w:top w:val="single" w:sz="6" w:space="0" w:color="auto"/>
              <w:left w:val="single" w:sz="6" w:space="0" w:color="auto"/>
              <w:bottom w:val="single" w:sz="6" w:space="0" w:color="auto"/>
              <w:right w:val="single" w:sz="6" w:space="0" w:color="auto"/>
            </w:tcBorders>
            <w:hideMark/>
          </w:tcPr>
          <w:p w14:paraId="290EC8D6" w14:textId="77777777" w:rsidR="00EA69AA" w:rsidRPr="00781F59" w:rsidRDefault="00EA69AA" w:rsidP="00EA69AA">
            <w:pPr>
              <w:contextualSpacing/>
              <w:rPr>
                <w:sz w:val="20"/>
                <w:szCs w:val="20"/>
              </w:rPr>
            </w:pPr>
            <w:r w:rsidRPr="00781F59">
              <w:rPr>
                <w:sz w:val="20"/>
                <w:szCs w:val="20"/>
              </w:rPr>
              <w:t>Does not address a KQ</w:t>
            </w:r>
          </w:p>
        </w:tc>
      </w:tr>
      <w:tr w:rsidR="00EA69AA" w:rsidRPr="00781F59" w14:paraId="49EFD50B"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EC86447" w14:textId="77777777" w:rsidR="00EA69AA" w:rsidRPr="00781F59" w:rsidRDefault="00EA69AA" w:rsidP="00EA69AA">
            <w:pPr>
              <w:contextualSpacing/>
              <w:rPr>
                <w:sz w:val="20"/>
                <w:szCs w:val="20"/>
              </w:rPr>
            </w:pPr>
            <w:r w:rsidRPr="00781F59">
              <w:rPr>
                <w:sz w:val="20"/>
                <w:szCs w:val="20"/>
              </w:rPr>
              <w:t>838</w:t>
            </w:r>
          </w:p>
        </w:tc>
        <w:tc>
          <w:tcPr>
            <w:tcW w:w="0" w:type="auto"/>
            <w:tcBorders>
              <w:top w:val="single" w:sz="6" w:space="0" w:color="auto"/>
              <w:left w:val="single" w:sz="6" w:space="0" w:color="auto"/>
              <w:bottom w:val="single" w:sz="6" w:space="0" w:color="auto"/>
              <w:right w:val="single" w:sz="6" w:space="0" w:color="auto"/>
            </w:tcBorders>
            <w:hideMark/>
          </w:tcPr>
          <w:p w14:paraId="68BBFAC4" w14:textId="5B187B94" w:rsidR="00EA69AA" w:rsidRPr="00781F59" w:rsidRDefault="00EA69AA" w:rsidP="00EA69AA">
            <w:pPr>
              <w:contextualSpacing/>
              <w:rPr>
                <w:sz w:val="20"/>
                <w:szCs w:val="20"/>
              </w:rPr>
            </w:pPr>
            <w:r w:rsidRPr="00781F59">
              <w:rPr>
                <w:sz w:val="20"/>
                <w:szCs w:val="20"/>
              </w:rPr>
              <w:t>David P Schmahl, Edward Lichtenstein, Darrel E Harris 1972 Successful treatment of habitual smokers with warm, smoky air and rapid smoking</w:t>
            </w:r>
            <w:r w:rsidR="007F2F01">
              <w:rPr>
                <w:sz w:val="20"/>
                <w:szCs w:val="20"/>
              </w:rPr>
              <w:t>.</w:t>
            </w:r>
            <w:r w:rsidRPr="00781F59">
              <w:rPr>
                <w:sz w:val="20"/>
                <w:szCs w:val="20"/>
              </w:rPr>
              <w:t xml:space="preserve"> Journal of Consulting and Clinical Psychology; 38.105.</w:t>
            </w:r>
          </w:p>
        </w:tc>
        <w:tc>
          <w:tcPr>
            <w:tcW w:w="0" w:type="auto"/>
            <w:tcBorders>
              <w:top w:val="single" w:sz="6" w:space="0" w:color="auto"/>
              <w:left w:val="single" w:sz="6" w:space="0" w:color="auto"/>
              <w:bottom w:val="single" w:sz="6" w:space="0" w:color="auto"/>
              <w:right w:val="single" w:sz="6" w:space="0" w:color="auto"/>
            </w:tcBorders>
            <w:hideMark/>
          </w:tcPr>
          <w:p w14:paraId="0E901E87" w14:textId="77777777" w:rsidR="00EA69AA" w:rsidRPr="00781F59" w:rsidRDefault="00EA69AA" w:rsidP="00EA69AA">
            <w:pPr>
              <w:contextualSpacing/>
              <w:rPr>
                <w:sz w:val="20"/>
                <w:szCs w:val="20"/>
              </w:rPr>
            </w:pPr>
            <w:r w:rsidRPr="00781F59">
              <w:rPr>
                <w:sz w:val="20"/>
                <w:szCs w:val="20"/>
              </w:rPr>
              <w:t>Does not address a KQ</w:t>
            </w:r>
          </w:p>
        </w:tc>
      </w:tr>
    </w:tbl>
    <w:p w14:paraId="10CCE316" w14:textId="77777777" w:rsidR="00EA69AA" w:rsidRDefault="00EA69AA" w:rsidP="00EA69AA">
      <w:pPr>
        <w:rPr>
          <w:b/>
        </w:rPr>
      </w:pPr>
    </w:p>
    <w:p w14:paraId="1F307F89" w14:textId="77777777" w:rsidR="00EA69AA" w:rsidRDefault="00EA69AA" w:rsidP="00EA69AA">
      <w:pPr>
        <w:rPr>
          <w:b/>
        </w:rPr>
      </w:pPr>
      <w:r>
        <w:rPr>
          <w:b/>
        </w:rPr>
        <w:br w:type="page"/>
      </w:r>
    </w:p>
    <w:p w14:paraId="22997B9F" w14:textId="77777777" w:rsidR="00EA69AA" w:rsidRDefault="009014AD" w:rsidP="009014AD">
      <w:pPr>
        <w:outlineLvl w:val="0"/>
        <w:rPr>
          <w:b/>
        </w:rPr>
      </w:pPr>
      <w:r>
        <w:rPr>
          <w:b/>
        </w:rPr>
        <w:lastRenderedPageBreak/>
        <w:t>SUPPLEMENTAL SECTION 3</w:t>
      </w:r>
      <w:r w:rsidR="00EA69AA">
        <w:rPr>
          <w:b/>
        </w:rPr>
        <w:t>: Included Studies List (n=118)</w:t>
      </w:r>
    </w:p>
    <w:tbl>
      <w:tblPr>
        <w:tblW w:w="0" w:type="auto"/>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464"/>
        <w:gridCol w:w="8880"/>
      </w:tblGrid>
      <w:tr w:rsidR="00EA69AA" w:rsidRPr="00204223" w14:paraId="03951A65" w14:textId="77777777" w:rsidTr="00EA69AA">
        <w:trPr>
          <w:cantSplit/>
          <w:tblHeader/>
        </w:trPr>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52835DC" w14:textId="77777777" w:rsidR="00EA69AA" w:rsidRPr="00204223" w:rsidRDefault="00EA69AA" w:rsidP="00EA69AA">
            <w:pPr>
              <w:contextualSpacing/>
              <w:rPr>
                <w:rFonts w:ascii="Calibri" w:hAnsi="Calibri"/>
                <w:b/>
                <w:noProof/>
                <w:sz w:val="20"/>
                <w:szCs w:val="20"/>
              </w:rPr>
            </w:pPr>
            <w:r w:rsidRPr="00204223">
              <w:rPr>
                <w:rFonts w:ascii="Calibri" w:hAnsi="Calibri"/>
                <w:b/>
                <w:noProof/>
                <w:sz w:val="20"/>
                <w:szCs w:val="20"/>
              </w:rPr>
              <w:t>Refid</w:t>
            </w:r>
          </w:p>
        </w:tc>
        <w:tc>
          <w:tcPr>
            <w:tcW w:w="0" w:type="auto"/>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2A7347B" w14:textId="77777777" w:rsidR="00EA69AA" w:rsidRPr="00204223" w:rsidRDefault="00EA69AA" w:rsidP="00EA69AA">
            <w:pPr>
              <w:contextualSpacing/>
              <w:rPr>
                <w:rFonts w:ascii="Calibri" w:hAnsi="Calibri"/>
                <w:b/>
                <w:noProof/>
                <w:sz w:val="20"/>
                <w:szCs w:val="20"/>
              </w:rPr>
            </w:pPr>
            <w:r w:rsidRPr="00204223">
              <w:rPr>
                <w:rFonts w:ascii="Calibri" w:hAnsi="Calibri"/>
                <w:b/>
                <w:noProof/>
                <w:sz w:val="20"/>
                <w:szCs w:val="20"/>
              </w:rPr>
              <w:t>Bibliography</w:t>
            </w:r>
          </w:p>
        </w:tc>
      </w:tr>
      <w:tr w:rsidR="00EA69AA" w:rsidRPr="00204223" w14:paraId="4F2DF926"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A2241A7"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77</w:t>
            </w:r>
          </w:p>
        </w:tc>
        <w:tc>
          <w:tcPr>
            <w:tcW w:w="0" w:type="auto"/>
            <w:tcBorders>
              <w:top w:val="single" w:sz="6" w:space="0" w:color="auto"/>
              <w:left w:val="single" w:sz="6" w:space="0" w:color="auto"/>
              <w:bottom w:val="single" w:sz="6" w:space="0" w:color="auto"/>
              <w:right w:val="single" w:sz="6" w:space="0" w:color="auto"/>
            </w:tcBorders>
            <w:hideMark/>
          </w:tcPr>
          <w:p w14:paraId="5F3D568B"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Sulsky S.I.,​Fuller W.G.,​Van Landingham C.,​Ogden M.W.,​Swauger J.E.,​Curtin G.M. 2015 Corrigendum to "Evaluating the association between menthol cigarette use and the likelihood of being a former versus current smoker" [Regul. Toxicol. Pharmacol. 70/1 (2014) 231-241]. Regulatory Toxicology and Pharmacology; 73.114.</w:t>
            </w:r>
          </w:p>
        </w:tc>
      </w:tr>
      <w:tr w:rsidR="00EA69AA" w:rsidRPr="00204223" w14:paraId="49919BF4"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1BBFACD"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121</w:t>
            </w:r>
          </w:p>
        </w:tc>
        <w:tc>
          <w:tcPr>
            <w:tcW w:w="0" w:type="auto"/>
            <w:tcBorders>
              <w:top w:val="single" w:sz="6" w:space="0" w:color="auto"/>
              <w:left w:val="single" w:sz="6" w:space="0" w:color="auto"/>
              <w:bottom w:val="single" w:sz="6" w:space="0" w:color="auto"/>
              <w:right w:val="single" w:sz="6" w:space="0" w:color="auto"/>
            </w:tcBorders>
            <w:hideMark/>
          </w:tcPr>
          <w:p w14:paraId="139155B4"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Sarkar M.,​Wang J.,​Liang Q. 2012 Metabolism of nicotine and 4-(methylnitrosamino)-l-(3-pyridyl)-l-butanone (NNK) in Menthol and Non-menthol Cigarette Smokers. Drug Metabolism Letters; 6.198.</w:t>
            </w:r>
          </w:p>
        </w:tc>
      </w:tr>
      <w:tr w:rsidR="00EA69AA" w:rsidRPr="00204223" w14:paraId="3EDF5722"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218B701"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139</w:t>
            </w:r>
          </w:p>
        </w:tc>
        <w:tc>
          <w:tcPr>
            <w:tcW w:w="0" w:type="auto"/>
            <w:tcBorders>
              <w:top w:val="single" w:sz="6" w:space="0" w:color="auto"/>
              <w:left w:val="single" w:sz="6" w:space="0" w:color="auto"/>
              <w:bottom w:val="single" w:sz="6" w:space="0" w:color="auto"/>
              <w:right w:val="single" w:sz="6" w:space="0" w:color="auto"/>
            </w:tcBorders>
            <w:hideMark/>
          </w:tcPr>
          <w:p w14:paraId="393199A0"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Kanyuch J.A.,​Bercz P.A.,​Chang J.,​Martinez F.J.,​Criner G.J.,​Lawrence M.J.,​Tomko P.A.,​Foreman M.G.,​Silverman E.,​Crapo J.D.,​Sciurba F.C. 2011 Menthol cigarette usage among african americans associated with persistent tobacco use. American Journal of Respiratory and Critical Care Medicine; 183.</w:t>
            </w:r>
          </w:p>
        </w:tc>
      </w:tr>
      <w:tr w:rsidR="00EA69AA" w:rsidRPr="00204223" w14:paraId="212DB02B"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91E7C2F"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141</w:t>
            </w:r>
          </w:p>
        </w:tc>
        <w:tc>
          <w:tcPr>
            <w:tcW w:w="0" w:type="auto"/>
            <w:tcBorders>
              <w:top w:val="single" w:sz="6" w:space="0" w:color="auto"/>
              <w:left w:val="single" w:sz="6" w:space="0" w:color="auto"/>
              <w:bottom w:val="single" w:sz="6" w:space="0" w:color="auto"/>
              <w:right w:val="single" w:sz="6" w:space="0" w:color="auto"/>
            </w:tcBorders>
            <w:hideMark/>
          </w:tcPr>
          <w:p w14:paraId="418EDFD4"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Stellman S.D. 2011 Tobacco-related cancer risks and menthol cigarettes: A case-control study. American Journal of Epidemiology; 173.S86.</w:t>
            </w:r>
          </w:p>
        </w:tc>
      </w:tr>
      <w:tr w:rsidR="00EA69AA" w:rsidRPr="00204223" w14:paraId="35953EF8"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0CC2787" w14:textId="77777777" w:rsidR="00EA69AA" w:rsidRDefault="00EA69AA" w:rsidP="00EA69AA">
            <w:pPr>
              <w:contextualSpacing/>
              <w:rPr>
                <w:rFonts w:ascii="Calibri" w:hAnsi="Calibri"/>
                <w:noProof/>
                <w:sz w:val="20"/>
                <w:szCs w:val="20"/>
              </w:rPr>
            </w:pPr>
            <w:r w:rsidRPr="00204223">
              <w:rPr>
                <w:rFonts w:ascii="Calibri" w:hAnsi="Calibri"/>
                <w:noProof/>
                <w:sz w:val="20"/>
                <w:szCs w:val="20"/>
              </w:rPr>
              <w:t>2</w:t>
            </w:r>
          </w:p>
          <w:p w14:paraId="631551F0"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21</w:t>
            </w:r>
          </w:p>
        </w:tc>
        <w:tc>
          <w:tcPr>
            <w:tcW w:w="0" w:type="auto"/>
            <w:tcBorders>
              <w:top w:val="single" w:sz="6" w:space="0" w:color="auto"/>
              <w:left w:val="single" w:sz="6" w:space="0" w:color="auto"/>
              <w:bottom w:val="single" w:sz="6" w:space="0" w:color="auto"/>
              <w:right w:val="single" w:sz="6" w:space="0" w:color="auto"/>
            </w:tcBorders>
            <w:hideMark/>
          </w:tcPr>
          <w:p w14:paraId="43F5539B" w14:textId="5549CFB4" w:rsidR="00EA69AA" w:rsidRPr="00204223" w:rsidRDefault="00EA69AA" w:rsidP="00EA69AA">
            <w:pPr>
              <w:contextualSpacing/>
              <w:rPr>
                <w:rFonts w:ascii="Calibri" w:hAnsi="Calibri"/>
                <w:noProof/>
                <w:sz w:val="20"/>
                <w:szCs w:val="20"/>
              </w:rPr>
            </w:pPr>
            <w:r w:rsidRPr="00204223">
              <w:rPr>
                <w:rFonts w:ascii="Calibri" w:hAnsi="Calibri"/>
                <w:noProof/>
                <w:sz w:val="20"/>
                <w:szCs w:val="20"/>
              </w:rPr>
              <w:t>Courtney Keeler,​ Wendy Max,​ Valerie B Yerger,​ Tingting Yao,​ Yingning Wang,​ Michael K Ong,​ Hai-Yen Sung 2018 Effects of cigarette prices on intention to quit,​ quit attempts,​ and successful cessation among African American smokers</w:t>
            </w:r>
            <w:r w:rsidR="007F2F01">
              <w:rPr>
                <w:rFonts w:ascii="Calibri" w:hAnsi="Calibri"/>
                <w:noProof/>
                <w:sz w:val="20"/>
                <w:szCs w:val="20"/>
              </w:rPr>
              <w:t>.</w:t>
            </w:r>
            <w:r w:rsidRPr="00204223">
              <w:rPr>
                <w:rFonts w:ascii="Calibri" w:hAnsi="Calibri"/>
                <w:noProof/>
                <w:sz w:val="20"/>
                <w:szCs w:val="20"/>
              </w:rPr>
              <w:t xml:space="preserve"> Nicotine &amp; tobacco research : official journal of the Society for Research on Nicotine and Tobacco; .</w:t>
            </w:r>
          </w:p>
        </w:tc>
      </w:tr>
      <w:tr w:rsidR="00EA69AA" w:rsidRPr="00204223" w14:paraId="28D30DAF"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99D8BE2"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285</w:t>
            </w:r>
          </w:p>
        </w:tc>
        <w:tc>
          <w:tcPr>
            <w:tcW w:w="0" w:type="auto"/>
            <w:tcBorders>
              <w:top w:val="single" w:sz="6" w:space="0" w:color="auto"/>
              <w:left w:val="single" w:sz="6" w:space="0" w:color="auto"/>
              <w:bottom w:val="single" w:sz="6" w:space="0" w:color="auto"/>
              <w:right w:val="single" w:sz="6" w:space="0" w:color="auto"/>
            </w:tcBorders>
            <w:hideMark/>
          </w:tcPr>
          <w:p w14:paraId="6C0C2422" w14:textId="0BB21EA9" w:rsidR="00EA69AA" w:rsidRPr="00204223" w:rsidRDefault="00EA69AA" w:rsidP="00EA69AA">
            <w:pPr>
              <w:contextualSpacing/>
              <w:rPr>
                <w:rFonts w:ascii="Calibri" w:hAnsi="Calibri"/>
                <w:noProof/>
                <w:sz w:val="20"/>
                <w:szCs w:val="20"/>
              </w:rPr>
            </w:pPr>
            <w:r w:rsidRPr="00204223">
              <w:rPr>
                <w:rFonts w:ascii="Calibri" w:hAnsi="Calibri"/>
                <w:noProof/>
                <w:sz w:val="20"/>
                <w:szCs w:val="20"/>
              </w:rPr>
              <w:t>Noah R Gubner,​ Denise D Williams,​ Anna Pagano,​ Barbara K Campbell,​ Joseph Guydish 2018 Menthol cigarette smoking among individuals in treatment for substance use disorders</w:t>
            </w:r>
            <w:r w:rsidR="007F2F01">
              <w:rPr>
                <w:rFonts w:ascii="Calibri" w:hAnsi="Calibri"/>
                <w:noProof/>
                <w:sz w:val="20"/>
                <w:szCs w:val="20"/>
              </w:rPr>
              <w:t>.</w:t>
            </w:r>
            <w:r w:rsidRPr="00204223">
              <w:rPr>
                <w:rFonts w:ascii="Calibri" w:hAnsi="Calibri"/>
                <w:noProof/>
                <w:sz w:val="20"/>
                <w:szCs w:val="20"/>
              </w:rPr>
              <w:t xml:space="preserve"> Addictive behaviors; 80.135.</w:t>
            </w:r>
          </w:p>
        </w:tc>
      </w:tr>
      <w:tr w:rsidR="00EA69AA" w:rsidRPr="00204223" w14:paraId="1D9B60BA"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3C0CA9D"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298</w:t>
            </w:r>
          </w:p>
        </w:tc>
        <w:tc>
          <w:tcPr>
            <w:tcW w:w="0" w:type="auto"/>
            <w:tcBorders>
              <w:top w:val="single" w:sz="6" w:space="0" w:color="auto"/>
              <w:left w:val="single" w:sz="6" w:space="0" w:color="auto"/>
              <w:bottom w:val="single" w:sz="6" w:space="0" w:color="auto"/>
              <w:right w:val="single" w:sz="6" w:space="0" w:color="auto"/>
            </w:tcBorders>
            <w:hideMark/>
          </w:tcPr>
          <w:p w14:paraId="5629D348" w14:textId="4B4EECF2" w:rsidR="00EA69AA" w:rsidRPr="00204223" w:rsidRDefault="00EA69AA" w:rsidP="00EA69AA">
            <w:pPr>
              <w:contextualSpacing/>
              <w:rPr>
                <w:rFonts w:ascii="Calibri" w:hAnsi="Calibri"/>
                <w:noProof/>
                <w:sz w:val="20"/>
                <w:szCs w:val="20"/>
              </w:rPr>
            </w:pPr>
            <w:r w:rsidRPr="00204223">
              <w:rPr>
                <w:rFonts w:ascii="Calibri" w:hAnsi="Calibri"/>
                <w:noProof/>
                <w:sz w:val="20"/>
                <w:szCs w:val="20"/>
              </w:rPr>
              <w:t>Judith Rosenbloom,​ Vaughan W Rees,​ Kathleen Reid,​ Jeannie Wong,​ Taru Kinnunen 2012 A cross-sectional study on tobacco use and dependence among women: Does menthol matter?</w:t>
            </w:r>
            <w:r w:rsidR="007F2F01">
              <w:rPr>
                <w:rFonts w:ascii="Calibri" w:hAnsi="Calibri"/>
                <w:noProof/>
                <w:sz w:val="20"/>
                <w:szCs w:val="20"/>
              </w:rPr>
              <w:t>.</w:t>
            </w:r>
            <w:r w:rsidRPr="00204223">
              <w:rPr>
                <w:rFonts w:ascii="Calibri" w:hAnsi="Calibri"/>
                <w:noProof/>
                <w:sz w:val="20"/>
                <w:szCs w:val="20"/>
              </w:rPr>
              <w:t xml:space="preserve"> Tobacco induced diseases; 10.19.</w:t>
            </w:r>
          </w:p>
        </w:tc>
      </w:tr>
      <w:tr w:rsidR="00EA69AA" w:rsidRPr="00204223" w14:paraId="3D6CC575"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CDA84CD"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305</w:t>
            </w:r>
          </w:p>
        </w:tc>
        <w:tc>
          <w:tcPr>
            <w:tcW w:w="0" w:type="auto"/>
            <w:tcBorders>
              <w:top w:val="single" w:sz="6" w:space="0" w:color="auto"/>
              <w:left w:val="single" w:sz="6" w:space="0" w:color="auto"/>
              <w:bottom w:val="single" w:sz="6" w:space="0" w:color="auto"/>
              <w:right w:val="single" w:sz="6" w:space="0" w:color="auto"/>
            </w:tcBorders>
            <w:hideMark/>
          </w:tcPr>
          <w:p w14:paraId="1625A662" w14:textId="2DE4D88E" w:rsidR="00EA69AA" w:rsidRPr="00204223" w:rsidRDefault="00EA69AA" w:rsidP="00EA69AA">
            <w:pPr>
              <w:contextualSpacing/>
              <w:rPr>
                <w:rFonts w:ascii="Calibri" w:hAnsi="Calibri"/>
                <w:noProof/>
                <w:sz w:val="20"/>
                <w:szCs w:val="20"/>
              </w:rPr>
            </w:pPr>
            <w:r w:rsidRPr="00204223">
              <w:rPr>
                <w:rFonts w:ascii="Calibri" w:hAnsi="Calibri"/>
                <w:noProof/>
                <w:sz w:val="20"/>
                <w:szCs w:val="20"/>
              </w:rPr>
              <w:t>Ralph S Caraballo,​ Katherine Asman 2011 Epidemiology of menthol cigarette use in the United States</w:t>
            </w:r>
            <w:r w:rsidR="007F2F01">
              <w:rPr>
                <w:rFonts w:ascii="Calibri" w:hAnsi="Calibri"/>
                <w:noProof/>
                <w:sz w:val="20"/>
                <w:szCs w:val="20"/>
              </w:rPr>
              <w:t>.</w:t>
            </w:r>
            <w:r w:rsidRPr="00204223">
              <w:rPr>
                <w:rFonts w:ascii="Calibri" w:hAnsi="Calibri"/>
                <w:noProof/>
                <w:sz w:val="20"/>
                <w:szCs w:val="20"/>
              </w:rPr>
              <w:t xml:space="preserve"> Tobacco induced diseases; 9 Suppl 1.S1.</w:t>
            </w:r>
          </w:p>
        </w:tc>
      </w:tr>
      <w:tr w:rsidR="00EA69AA" w:rsidRPr="00204223" w14:paraId="58358824"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0DFFAC4"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316</w:t>
            </w:r>
          </w:p>
        </w:tc>
        <w:tc>
          <w:tcPr>
            <w:tcW w:w="0" w:type="auto"/>
            <w:tcBorders>
              <w:top w:val="single" w:sz="6" w:space="0" w:color="auto"/>
              <w:left w:val="single" w:sz="6" w:space="0" w:color="auto"/>
              <w:bottom w:val="single" w:sz="6" w:space="0" w:color="auto"/>
              <w:right w:val="single" w:sz="6" w:space="0" w:color="auto"/>
            </w:tcBorders>
            <w:hideMark/>
          </w:tcPr>
          <w:p w14:paraId="7BA3DBD6" w14:textId="3F5494DB" w:rsidR="00EA69AA" w:rsidRPr="00204223" w:rsidRDefault="00EA69AA" w:rsidP="00EA69AA">
            <w:pPr>
              <w:contextualSpacing/>
              <w:rPr>
                <w:rFonts w:ascii="Calibri" w:hAnsi="Calibri"/>
                <w:noProof/>
                <w:sz w:val="20"/>
                <w:szCs w:val="20"/>
              </w:rPr>
            </w:pPr>
            <w:r w:rsidRPr="00204223">
              <w:rPr>
                <w:rFonts w:ascii="Calibri" w:hAnsi="Calibri"/>
                <w:noProof/>
                <w:sz w:val="20"/>
                <w:szCs w:val="20"/>
              </w:rPr>
              <w:t>Julia N Soulakova,​ Ryan R Danczak 2017 Impact of Menthol Smoking on Nicotine Dependence for Diverse Racial/Ethnic Groups of Daily Smokers</w:t>
            </w:r>
            <w:r w:rsidR="007F2F01">
              <w:rPr>
                <w:rFonts w:ascii="Calibri" w:hAnsi="Calibri"/>
                <w:noProof/>
                <w:sz w:val="20"/>
                <w:szCs w:val="20"/>
              </w:rPr>
              <w:t>.</w:t>
            </w:r>
            <w:r w:rsidRPr="00204223">
              <w:rPr>
                <w:rFonts w:ascii="Calibri" w:hAnsi="Calibri"/>
                <w:noProof/>
                <w:sz w:val="20"/>
                <w:szCs w:val="20"/>
              </w:rPr>
              <w:t xml:space="preserve"> Healthcare (Basel,​ Switzerland); 5.</w:t>
            </w:r>
          </w:p>
        </w:tc>
      </w:tr>
      <w:tr w:rsidR="00EA69AA" w:rsidRPr="00204223" w14:paraId="30C0BD36"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8B4C065"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344</w:t>
            </w:r>
          </w:p>
        </w:tc>
        <w:tc>
          <w:tcPr>
            <w:tcW w:w="0" w:type="auto"/>
            <w:tcBorders>
              <w:top w:val="single" w:sz="6" w:space="0" w:color="auto"/>
              <w:left w:val="single" w:sz="6" w:space="0" w:color="auto"/>
              <w:bottom w:val="single" w:sz="6" w:space="0" w:color="auto"/>
              <w:right w:val="single" w:sz="6" w:space="0" w:color="auto"/>
            </w:tcBorders>
            <w:hideMark/>
          </w:tcPr>
          <w:p w14:paraId="6945AB12" w14:textId="2ADF6429" w:rsidR="00EA69AA" w:rsidRPr="00204223" w:rsidRDefault="00EA69AA" w:rsidP="00EA69AA">
            <w:pPr>
              <w:contextualSpacing/>
              <w:rPr>
                <w:rFonts w:ascii="Calibri" w:hAnsi="Calibri"/>
                <w:noProof/>
                <w:sz w:val="20"/>
                <w:szCs w:val="20"/>
              </w:rPr>
            </w:pPr>
            <w:r w:rsidRPr="00204223">
              <w:rPr>
                <w:rFonts w:ascii="Calibri" w:hAnsi="Calibri"/>
                <w:noProof/>
                <w:sz w:val="20"/>
                <w:szCs w:val="20"/>
              </w:rPr>
              <w:t>Courtney Keeler,​ Wendy Max,​ Valerie Yerger,​ Tingting Yao,​ Michael K Ong,​ Hai-Yen Sung 2017 The Association of Menthol Cigarette Use With Quit Attempts,​ Successful Cessation,​ and Intention to Quit Across Racial/Ethnic Groups in the United States</w:t>
            </w:r>
            <w:r w:rsidR="007F2F01">
              <w:rPr>
                <w:rFonts w:ascii="Calibri" w:hAnsi="Calibri"/>
                <w:noProof/>
                <w:sz w:val="20"/>
                <w:szCs w:val="20"/>
              </w:rPr>
              <w:t>.</w:t>
            </w:r>
            <w:r w:rsidRPr="00204223">
              <w:rPr>
                <w:rFonts w:ascii="Calibri" w:hAnsi="Calibri"/>
                <w:noProof/>
                <w:sz w:val="20"/>
                <w:szCs w:val="20"/>
              </w:rPr>
              <w:t xml:space="preserve"> Nicotine &amp; tobacco research : official journal of the Society for Research on Nicotine and Tobacco; 19.1450.</w:t>
            </w:r>
          </w:p>
        </w:tc>
      </w:tr>
      <w:tr w:rsidR="00EA69AA" w:rsidRPr="00204223" w14:paraId="2DB9ECD4"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D279B21"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365</w:t>
            </w:r>
          </w:p>
        </w:tc>
        <w:tc>
          <w:tcPr>
            <w:tcW w:w="0" w:type="auto"/>
            <w:tcBorders>
              <w:top w:val="single" w:sz="6" w:space="0" w:color="auto"/>
              <w:left w:val="single" w:sz="6" w:space="0" w:color="auto"/>
              <w:bottom w:val="single" w:sz="6" w:space="0" w:color="auto"/>
              <w:right w:val="single" w:sz="6" w:space="0" w:color="auto"/>
            </w:tcBorders>
            <w:hideMark/>
          </w:tcPr>
          <w:p w14:paraId="23772B04" w14:textId="57124120" w:rsidR="00EA69AA" w:rsidRPr="00204223" w:rsidRDefault="00EA69AA" w:rsidP="00EA69AA">
            <w:pPr>
              <w:contextualSpacing/>
              <w:rPr>
                <w:rFonts w:ascii="Calibri" w:hAnsi="Calibri"/>
                <w:noProof/>
                <w:sz w:val="20"/>
                <w:szCs w:val="20"/>
              </w:rPr>
            </w:pPr>
            <w:r w:rsidRPr="00204223">
              <w:rPr>
                <w:rFonts w:ascii="Calibri" w:hAnsi="Calibri"/>
                <w:noProof/>
                <w:sz w:val="20"/>
                <w:szCs w:val="20"/>
              </w:rPr>
              <w:t>Kenneth A Perkins,​ Nicole Kunkle,​ Joshua L Karelitz 2017 Threshold dose for behavioral discrimination of cigarette nicotine content in menthol vs. non-menthol smokers</w:t>
            </w:r>
            <w:r w:rsidR="007F2F01">
              <w:rPr>
                <w:rFonts w:ascii="Calibri" w:hAnsi="Calibri"/>
                <w:noProof/>
                <w:sz w:val="20"/>
                <w:szCs w:val="20"/>
              </w:rPr>
              <w:t>.</w:t>
            </w:r>
            <w:r w:rsidRPr="00204223">
              <w:rPr>
                <w:rFonts w:ascii="Calibri" w:hAnsi="Calibri"/>
                <w:noProof/>
                <w:sz w:val="20"/>
                <w:szCs w:val="20"/>
              </w:rPr>
              <w:t xml:space="preserve"> Psychopharmacology; 234.1255.</w:t>
            </w:r>
          </w:p>
        </w:tc>
      </w:tr>
      <w:tr w:rsidR="00EA69AA" w:rsidRPr="00204223" w14:paraId="3FDE89AF"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0BF5995"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381</w:t>
            </w:r>
          </w:p>
        </w:tc>
        <w:tc>
          <w:tcPr>
            <w:tcW w:w="0" w:type="auto"/>
            <w:tcBorders>
              <w:top w:val="single" w:sz="6" w:space="0" w:color="auto"/>
              <w:left w:val="single" w:sz="6" w:space="0" w:color="auto"/>
              <w:bottom w:val="single" w:sz="6" w:space="0" w:color="auto"/>
              <w:right w:val="single" w:sz="6" w:space="0" w:color="auto"/>
            </w:tcBorders>
            <w:hideMark/>
          </w:tcPr>
          <w:p w14:paraId="57DC776E" w14:textId="7259465C" w:rsidR="00EA69AA" w:rsidRPr="00204223" w:rsidRDefault="00EA69AA" w:rsidP="00EA69AA">
            <w:pPr>
              <w:contextualSpacing/>
              <w:rPr>
                <w:rFonts w:ascii="Calibri" w:hAnsi="Calibri"/>
                <w:noProof/>
                <w:sz w:val="20"/>
                <w:szCs w:val="20"/>
              </w:rPr>
            </w:pPr>
            <w:r w:rsidRPr="00204223">
              <w:rPr>
                <w:rFonts w:ascii="Calibri" w:hAnsi="Calibri"/>
                <w:noProof/>
                <w:sz w:val="20"/>
                <w:szCs w:val="20"/>
              </w:rPr>
              <w:t>Seoung Ju Park,​ Marilyn G Foreman,​ Dawn L Demeo,​ Surya P Bhatt,​ Nadia N Hansel,​ Robert A Wise,​ Xavier Soler,​ Russell P Bowler 2015 Menthol cigarette smoking in the COPDGene cohort: relationship with COPD,​ comorbidities and CT metrics</w:t>
            </w:r>
            <w:r w:rsidR="007F2F01">
              <w:rPr>
                <w:rFonts w:ascii="Calibri" w:hAnsi="Calibri"/>
                <w:noProof/>
                <w:sz w:val="20"/>
                <w:szCs w:val="20"/>
              </w:rPr>
              <w:t>.</w:t>
            </w:r>
            <w:r w:rsidRPr="00204223">
              <w:rPr>
                <w:rFonts w:ascii="Calibri" w:hAnsi="Calibri"/>
                <w:noProof/>
                <w:sz w:val="20"/>
                <w:szCs w:val="20"/>
              </w:rPr>
              <w:t xml:space="preserve"> Respirology (Carlton,​ Vic.); 20.108.</w:t>
            </w:r>
          </w:p>
        </w:tc>
      </w:tr>
      <w:tr w:rsidR="00EA69AA" w:rsidRPr="00204223" w14:paraId="324B7458"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754C66E"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382</w:t>
            </w:r>
          </w:p>
        </w:tc>
        <w:tc>
          <w:tcPr>
            <w:tcW w:w="0" w:type="auto"/>
            <w:tcBorders>
              <w:top w:val="single" w:sz="6" w:space="0" w:color="auto"/>
              <w:left w:val="single" w:sz="6" w:space="0" w:color="auto"/>
              <w:bottom w:val="single" w:sz="6" w:space="0" w:color="auto"/>
              <w:right w:val="single" w:sz="6" w:space="0" w:color="auto"/>
            </w:tcBorders>
            <w:hideMark/>
          </w:tcPr>
          <w:p w14:paraId="6A4D4B37" w14:textId="65ED1A2D" w:rsidR="00EA69AA" w:rsidRPr="00204223" w:rsidRDefault="00EA69AA" w:rsidP="00EA69AA">
            <w:pPr>
              <w:contextualSpacing/>
              <w:rPr>
                <w:rFonts w:ascii="Calibri" w:hAnsi="Calibri"/>
                <w:noProof/>
                <w:sz w:val="20"/>
                <w:szCs w:val="20"/>
              </w:rPr>
            </w:pPr>
            <w:r w:rsidRPr="00204223">
              <w:rPr>
                <w:rFonts w:ascii="Calibri" w:hAnsi="Calibri"/>
                <w:noProof/>
                <w:sz w:val="20"/>
                <w:szCs w:val="20"/>
              </w:rPr>
              <w:t>Stevens S Smith,​ Michael C Fiore,​ Timothy B Baker 2014 Smoking cessation in smokers who smoke menthol and non-menthol cigarettes</w:t>
            </w:r>
            <w:r w:rsidR="007F2F01">
              <w:rPr>
                <w:rFonts w:ascii="Calibri" w:hAnsi="Calibri"/>
                <w:noProof/>
                <w:sz w:val="20"/>
                <w:szCs w:val="20"/>
              </w:rPr>
              <w:t>.</w:t>
            </w:r>
            <w:r w:rsidRPr="00204223">
              <w:rPr>
                <w:rFonts w:ascii="Calibri" w:hAnsi="Calibri"/>
                <w:noProof/>
                <w:sz w:val="20"/>
                <w:szCs w:val="20"/>
              </w:rPr>
              <w:t xml:space="preserve"> Addiction (Abingdon,​ England); 109.2107.</w:t>
            </w:r>
          </w:p>
        </w:tc>
      </w:tr>
      <w:tr w:rsidR="00EA69AA" w:rsidRPr="00204223" w14:paraId="28036D98"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3BB1502"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384</w:t>
            </w:r>
          </w:p>
        </w:tc>
        <w:tc>
          <w:tcPr>
            <w:tcW w:w="0" w:type="auto"/>
            <w:tcBorders>
              <w:top w:val="single" w:sz="6" w:space="0" w:color="auto"/>
              <w:left w:val="single" w:sz="6" w:space="0" w:color="auto"/>
              <w:bottom w:val="single" w:sz="6" w:space="0" w:color="auto"/>
              <w:right w:val="single" w:sz="6" w:space="0" w:color="auto"/>
            </w:tcBorders>
            <w:hideMark/>
          </w:tcPr>
          <w:p w14:paraId="0B21BAAE" w14:textId="541219C5" w:rsidR="00EA69AA" w:rsidRPr="00204223" w:rsidRDefault="00EA69AA" w:rsidP="00EA69AA">
            <w:pPr>
              <w:contextualSpacing/>
              <w:rPr>
                <w:rFonts w:ascii="Calibri" w:hAnsi="Calibri"/>
                <w:noProof/>
                <w:sz w:val="20"/>
                <w:szCs w:val="20"/>
              </w:rPr>
            </w:pPr>
            <w:r w:rsidRPr="00204223">
              <w:rPr>
                <w:rFonts w:ascii="Calibri" w:hAnsi="Calibri"/>
                <w:noProof/>
                <w:sz w:val="20"/>
                <w:szCs w:val="20"/>
              </w:rPr>
              <w:t>Christine Muench,​ Laura M Juliano 2017 Predictors of smoking lapse during a 48-hour laboratory analogue smoking cessation attempt</w:t>
            </w:r>
            <w:r w:rsidR="007F2F01">
              <w:rPr>
                <w:rFonts w:ascii="Calibri" w:hAnsi="Calibri"/>
                <w:noProof/>
                <w:sz w:val="20"/>
                <w:szCs w:val="20"/>
              </w:rPr>
              <w:t>.</w:t>
            </w:r>
            <w:r w:rsidRPr="00204223">
              <w:rPr>
                <w:rFonts w:ascii="Calibri" w:hAnsi="Calibri"/>
                <w:noProof/>
                <w:sz w:val="20"/>
                <w:szCs w:val="20"/>
              </w:rPr>
              <w:t xml:space="preserve"> Psychology of addictive behaviors : journal of the Society of Psychologists in Addictive Behaviors; 31.415.</w:t>
            </w:r>
          </w:p>
        </w:tc>
      </w:tr>
      <w:tr w:rsidR="00EA69AA" w:rsidRPr="00204223" w14:paraId="2CC2DF9C"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6902588"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416</w:t>
            </w:r>
          </w:p>
        </w:tc>
        <w:tc>
          <w:tcPr>
            <w:tcW w:w="0" w:type="auto"/>
            <w:tcBorders>
              <w:top w:val="single" w:sz="6" w:space="0" w:color="auto"/>
              <w:left w:val="single" w:sz="6" w:space="0" w:color="auto"/>
              <w:bottom w:val="single" w:sz="6" w:space="0" w:color="auto"/>
              <w:right w:val="single" w:sz="6" w:space="0" w:color="auto"/>
            </w:tcBorders>
            <w:hideMark/>
          </w:tcPr>
          <w:p w14:paraId="02FC868F" w14:textId="55738A35" w:rsidR="00EA69AA" w:rsidRPr="00204223" w:rsidRDefault="00EA69AA" w:rsidP="00EA69AA">
            <w:pPr>
              <w:contextualSpacing/>
              <w:rPr>
                <w:rFonts w:ascii="Calibri" w:hAnsi="Calibri"/>
                <w:noProof/>
                <w:sz w:val="20"/>
                <w:szCs w:val="20"/>
              </w:rPr>
            </w:pPr>
            <w:r w:rsidRPr="00204223">
              <w:rPr>
                <w:rFonts w:ascii="Calibri" w:hAnsi="Calibri"/>
                <w:noProof/>
                <w:sz w:val="20"/>
                <w:szCs w:val="20"/>
              </w:rPr>
              <w:t>Cristine D Delnevo,​ Andrea C Villanti,​ Olivia A Wackowski,​ Daniel A Gundersen,​ Daniel P Giovenco 2016 The influence of menthol,​ e-cigarettes and other tobacco products on young adults' self-reported changes in past year smoking</w:t>
            </w:r>
            <w:r w:rsidR="007F2F01">
              <w:rPr>
                <w:rFonts w:ascii="Calibri" w:hAnsi="Calibri"/>
                <w:noProof/>
                <w:sz w:val="20"/>
                <w:szCs w:val="20"/>
              </w:rPr>
              <w:t>.</w:t>
            </w:r>
            <w:r w:rsidRPr="00204223">
              <w:rPr>
                <w:rFonts w:ascii="Calibri" w:hAnsi="Calibri"/>
                <w:noProof/>
                <w:sz w:val="20"/>
                <w:szCs w:val="20"/>
              </w:rPr>
              <w:t xml:space="preserve"> Tobacco control; 25.571.</w:t>
            </w:r>
          </w:p>
        </w:tc>
      </w:tr>
      <w:tr w:rsidR="00EA69AA" w:rsidRPr="00204223" w14:paraId="46B594D3"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B093E56"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452</w:t>
            </w:r>
          </w:p>
        </w:tc>
        <w:tc>
          <w:tcPr>
            <w:tcW w:w="0" w:type="auto"/>
            <w:tcBorders>
              <w:top w:val="single" w:sz="6" w:space="0" w:color="auto"/>
              <w:left w:val="single" w:sz="6" w:space="0" w:color="auto"/>
              <w:bottom w:val="single" w:sz="6" w:space="0" w:color="auto"/>
              <w:right w:val="single" w:sz="6" w:space="0" w:color="auto"/>
            </w:tcBorders>
            <w:hideMark/>
          </w:tcPr>
          <w:p w14:paraId="3CA951D8" w14:textId="4C8A05D2" w:rsidR="00EA69AA" w:rsidRPr="00204223" w:rsidRDefault="00EA69AA" w:rsidP="00EA69AA">
            <w:pPr>
              <w:contextualSpacing/>
              <w:rPr>
                <w:rFonts w:ascii="Calibri" w:hAnsi="Calibri"/>
                <w:noProof/>
                <w:sz w:val="20"/>
                <w:szCs w:val="20"/>
              </w:rPr>
            </w:pPr>
            <w:r w:rsidRPr="00204223">
              <w:rPr>
                <w:rFonts w:ascii="Calibri" w:hAnsi="Calibri"/>
                <w:noProof/>
                <w:sz w:val="20"/>
                <w:szCs w:val="20"/>
              </w:rPr>
              <w:t xml:space="preserve">Pebbles Fagan,​ Pallav Pokhrel,​ Thaddeus A Herzog,​ Ian S Pagano,​ Adrian A Franke,​ Mark S Clanton,​ Linda A Alexander,​ Dennis R Trinidad,​ Kari-Lyn K Sakuma,​ Carl A Johnson,​ Eric T Moolchan 2016 Nicotine Metabolism </w:t>
            </w:r>
            <w:r w:rsidRPr="00204223">
              <w:rPr>
                <w:rFonts w:ascii="Calibri" w:hAnsi="Calibri"/>
                <w:noProof/>
                <w:sz w:val="20"/>
                <w:szCs w:val="20"/>
              </w:rPr>
              <w:lastRenderedPageBreak/>
              <w:t>in Young Adult Daily Menthol and Nonmenthol Smokers</w:t>
            </w:r>
            <w:r w:rsidR="007F2F01">
              <w:rPr>
                <w:rFonts w:ascii="Calibri" w:hAnsi="Calibri"/>
                <w:noProof/>
                <w:sz w:val="20"/>
                <w:szCs w:val="20"/>
              </w:rPr>
              <w:t>.</w:t>
            </w:r>
            <w:r w:rsidRPr="00204223">
              <w:rPr>
                <w:rFonts w:ascii="Calibri" w:hAnsi="Calibri"/>
                <w:noProof/>
                <w:sz w:val="20"/>
                <w:szCs w:val="20"/>
              </w:rPr>
              <w:t xml:space="preserve"> Nicotine &amp; tobacco research : official journal of the Society for Research on Nicotine and Tobacco; 18.437.</w:t>
            </w:r>
          </w:p>
        </w:tc>
      </w:tr>
      <w:tr w:rsidR="00EA69AA" w:rsidRPr="00204223" w14:paraId="3F674189"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F1B35D3"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lastRenderedPageBreak/>
              <w:t>466</w:t>
            </w:r>
          </w:p>
        </w:tc>
        <w:tc>
          <w:tcPr>
            <w:tcW w:w="0" w:type="auto"/>
            <w:tcBorders>
              <w:top w:val="single" w:sz="6" w:space="0" w:color="auto"/>
              <w:left w:val="single" w:sz="6" w:space="0" w:color="auto"/>
              <w:bottom w:val="single" w:sz="6" w:space="0" w:color="auto"/>
              <w:right w:val="single" w:sz="6" w:space="0" w:color="auto"/>
            </w:tcBorders>
            <w:hideMark/>
          </w:tcPr>
          <w:p w14:paraId="11ECAAF5" w14:textId="660E18B6" w:rsidR="00EA69AA" w:rsidRPr="00204223" w:rsidRDefault="00EA69AA" w:rsidP="00EA69AA">
            <w:pPr>
              <w:contextualSpacing/>
              <w:rPr>
                <w:rFonts w:ascii="Calibri" w:hAnsi="Calibri"/>
                <w:noProof/>
                <w:sz w:val="20"/>
                <w:szCs w:val="20"/>
              </w:rPr>
            </w:pPr>
            <w:r w:rsidRPr="00204223">
              <w:rPr>
                <w:rFonts w:ascii="Calibri" w:hAnsi="Calibri"/>
                <w:noProof/>
                <w:sz w:val="20"/>
                <w:szCs w:val="20"/>
              </w:rPr>
              <w:t>Minh-Anh H Nguyen,​ Lorraine R Reitzel,​ Darla E Kendzor,​ Michael S Businelle 2015 Perceived cessation treatment effectiveness,​ medication preferences,​ and barriers to quitting among light and moderate/heavy homeless smokers</w:t>
            </w:r>
            <w:r w:rsidR="007F2F01">
              <w:rPr>
                <w:rFonts w:ascii="Calibri" w:hAnsi="Calibri"/>
                <w:noProof/>
                <w:sz w:val="20"/>
                <w:szCs w:val="20"/>
              </w:rPr>
              <w:t>.</w:t>
            </w:r>
            <w:r w:rsidRPr="00204223">
              <w:rPr>
                <w:rFonts w:ascii="Calibri" w:hAnsi="Calibri"/>
                <w:noProof/>
                <w:sz w:val="20"/>
                <w:szCs w:val="20"/>
              </w:rPr>
              <w:t xml:space="preserve"> Drug and alcohol dependence; 153.341.</w:t>
            </w:r>
          </w:p>
        </w:tc>
      </w:tr>
      <w:tr w:rsidR="00EA69AA" w:rsidRPr="00204223" w14:paraId="3A163B21"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749F803"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468</w:t>
            </w:r>
          </w:p>
        </w:tc>
        <w:tc>
          <w:tcPr>
            <w:tcW w:w="0" w:type="auto"/>
            <w:tcBorders>
              <w:top w:val="single" w:sz="6" w:space="0" w:color="auto"/>
              <w:left w:val="single" w:sz="6" w:space="0" w:color="auto"/>
              <w:bottom w:val="single" w:sz="6" w:space="0" w:color="auto"/>
              <w:right w:val="single" w:sz="6" w:space="0" w:color="auto"/>
            </w:tcBorders>
            <w:hideMark/>
          </w:tcPr>
          <w:p w14:paraId="6BBC83B9" w14:textId="45D6ECA3" w:rsidR="00EA69AA" w:rsidRPr="00204223" w:rsidRDefault="00EA69AA" w:rsidP="00EA69AA">
            <w:pPr>
              <w:contextualSpacing/>
              <w:rPr>
                <w:rFonts w:ascii="Calibri" w:hAnsi="Calibri"/>
                <w:noProof/>
                <w:sz w:val="20"/>
                <w:szCs w:val="20"/>
              </w:rPr>
            </w:pPr>
            <w:r w:rsidRPr="00204223">
              <w:rPr>
                <w:rFonts w:ascii="Calibri" w:hAnsi="Calibri"/>
                <w:noProof/>
                <w:sz w:val="20"/>
                <w:szCs w:val="20"/>
              </w:rPr>
              <w:t>Cheryl Oncken,​ Richard Feinn,​ Jonathan Covault,​ Valerie Duffy,​ Ellen Dornelas,​ Henry R Kranzler,​ Heather Z Sankey 2015 Genetic Vulnerability to Menthol Cigarette Preference in Women</w:t>
            </w:r>
            <w:r w:rsidR="007F2F01">
              <w:rPr>
                <w:rFonts w:ascii="Calibri" w:hAnsi="Calibri"/>
                <w:noProof/>
                <w:sz w:val="20"/>
                <w:szCs w:val="20"/>
              </w:rPr>
              <w:t>.</w:t>
            </w:r>
            <w:r w:rsidRPr="00204223">
              <w:rPr>
                <w:rFonts w:ascii="Calibri" w:hAnsi="Calibri"/>
                <w:noProof/>
                <w:sz w:val="20"/>
                <w:szCs w:val="20"/>
              </w:rPr>
              <w:t xml:space="preserve"> Nicotine &amp; tobacco research : official journal of the Society for Research on Nicotine and Tobacco; 17.1416.</w:t>
            </w:r>
          </w:p>
        </w:tc>
      </w:tr>
      <w:tr w:rsidR="00EA69AA" w:rsidRPr="00204223" w14:paraId="5F9745F5"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1E742A0"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470</w:t>
            </w:r>
          </w:p>
        </w:tc>
        <w:tc>
          <w:tcPr>
            <w:tcW w:w="0" w:type="auto"/>
            <w:tcBorders>
              <w:top w:val="single" w:sz="6" w:space="0" w:color="auto"/>
              <w:left w:val="single" w:sz="6" w:space="0" w:color="auto"/>
              <w:bottom w:val="single" w:sz="6" w:space="0" w:color="auto"/>
              <w:right w:val="single" w:sz="6" w:space="0" w:color="auto"/>
            </w:tcBorders>
            <w:hideMark/>
          </w:tcPr>
          <w:p w14:paraId="1FF39B3D" w14:textId="6140FFFB" w:rsidR="00EA69AA" w:rsidRPr="00204223" w:rsidRDefault="00EA69AA" w:rsidP="00EA69AA">
            <w:pPr>
              <w:contextualSpacing/>
              <w:rPr>
                <w:rFonts w:ascii="Calibri" w:hAnsi="Calibri"/>
                <w:noProof/>
                <w:sz w:val="20"/>
                <w:szCs w:val="20"/>
              </w:rPr>
            </w:pPr>
            <w:r w:rsidRPr="00204223">
              <w:rPr>
                <w:rFonts w:ascii="Calibri" w:hAnsi="Calibri"/>
                <w:noProof/>
                <w:sz w:val="20"/>
                <w:szCs w:val="20"/>
              </w:rPr>
              <w:t>Pebbles Fagan,​ Pallav Pohkrel,​ Thaddeus Herzog,​ Ian Pagano,​ Donna Vallone,​ Dennis R Trinidad,​ Kari-Lyn Sakuma,​ Kymberle Sterling,​ Craig S Fryer,​ Eric Moolchan 2015 Comparisons of three nicotine dependence scales in a multiethnic sample of young adult menthol and non-menthol smokers</w:t>
            </w:r>
            <w:r w:rsidR="007F2F01">
              <w:rPr>
                <w:rFonts w:ascii="Calibri" w:hAnsi="Calibri"/>
                <w:noProof/>
                <w:sz w:val="20"/>
                <w:szCs w:val="20"/>
              </w:rPr>
              <w:t>.</w:t>
            </w:r>
            <w:r w:rsidRPr="00204223">
              <w:rPr>
                <w:rFonts w:ascii="Calibri" w:hAnsi="Calibri"/>
                <w:noProof/>
                <w:sz w:val="20"/>
                <w:szCs w:val="20"/>
              </w:rPr>
              <w:t xml:space="preserve"> Drug and alcohol dependence; 149.203.</w:t>
            </w:r>
          </w:p>
        </w:tc>
      </w:tr>
      <w:tr w:rsidR="00EA69AA" w:rsidRPr="00204223" w14:paraId="67B545F9"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963ADD5"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480</w:t>
            </w:r>
          </w:p>
        </w:tc>
        <w:tc>
          <w:tcPr>
            <w:tcW w:w="0" w:type="auto"/>
            <w:tcBorders>
              <w:top w:val="single" w:sz="6" w:space="0" w:color="auto"/>
              <w:left w:val="single" w:sz="6" w:space="0" w:color="auto"/>
              <w:bottom w:val="single" w:sz="6" w:space="0" w:color="auto"/>
              <w:right w:val="single" w:sz="6" w:space="0" w:color="auto"/>
            </w:tcBorders>
            <w:hideMark/>
          </w:tcPr>
          <w:p w14:paraId="10109874" w14:textId="15A92710" w:rsidR="00EA69AA" w:rsidRPr="00204223" w:rsidRDefault="00EA69AA" w:rsidP="00EA69AA">
            <w:pPr>
              <w:contextualSpacing/>
              <w:rPr>
                <w:rFonts w:ascii="Calibri" w:hAnsi="Calibri"/>
                <w:noProof/>
                <w:sz w:val="20"/>
                <w:szCs w:val="20"/>
              </w:rPr>
            </w:pPr>
            <w:r w:rsidRPr="00204223">
              <w:rPr>
                <w:rFonts w:ascii="Calibri" w:hAnsi="Calibri"/>
                <w:noProof/>
                <w:sz w:val="20"/>
                <w:szCs w:val="20"/>
              </w:rPr>
              <w:t>Jessica M Rath,​ Andrea C Villanti,​ Valerie F Williams,​ Amanda Richardson,​ Jennifer L Pearson,​ Donna M Vallone 2015 Patterns of Longitudinal Transitions in Menthol Use Among US Young Adult Smokers</w:t>
            </w:r>
            <w:r w:rsidR="007F2F01">
              <w:rPr>
                <w:rFonts w:ascii="Calibri" w:hAnsi="Calibri"/>
                <w:noProof/>
                <w:sz w:val="20"/>
                <w:szCs w:val="20"/>
              </w:rPr>
              <w:t>.</w:t>
            </w:r>
            <w:r w:rsidRPr="00204223">
              <w:rPr>
                <w:rFonts w:ascii="Calibri" w:hAnsi="Calibri"/>
                <w:noProof/>
                <w:sz w:val="20"/>
                <w:szCs w:val="20"/>
              </w:rPr>
              <w:t xml:space="preserve"> Nicotine &amp; tobacco research : official journal of the Society for Research on Nicotine and Tobacco; 17.839.</w:t>
            </w:r>
          </w:p>
        </w:tc>
      </w:tr>
      <w:tr w:rsidR="00EA69AA" w:rsidRPr="00204223" w14:paraId="122D3B02"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04A4543"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484</w:t>
            </w:r>
          </w:p>
        </w:tc>
        <w:tc>
          <w:tcPr>
            <w:tcW w:w="0" w:type="auto"/>
            <w:tcBorders>
              <w:top w:val="single" w:sz="6" w:space="0" w:color="auto"/>
              <w:left w:val="single" w:sz="6" w:space="0" w:color="auto"/>
              <w:bottom w:val="single" w:sz="6" w:space="0" w:color="auto"/>
              <w:right w:val="single" w:sz="6" w:space="0" w:color="auto"/>
            </w:tcBorders>
            <w:hideMark/>
          </w:tcPr>
          <w:p w14:paraId="2C4FF315" w14:textId="154C535A" w:rsidR="00EA69AA" w:rsidRPr="00204223" w:rsidRDefault="00EA69AA" w:rsidP="00EA69AA">
            <w:pPr>
              <w:contextualSpacing/>
              <w:rPr>
                <w:rFonts w:ascii="Calibri" w:hAnsi="Calibri"/>
                <w:noProof/>
                <w:sz w:val="20"/>
                <w:szCs w:val="20"/>
              </w:rPr>
            </w:pPr>
            <w:r w:rsidRPr="00204223">
              <w:rPr>
                <w:rFonts w:ascii="Calibri" w:hAnsi="Calibri"/>
                <w:noProof/>
                <w:sz w:val="20"/>
                <w:szCs w:val="20"/>
              </w:rPr>
              <w:t>Yantao Zuo,​ Alexey G Mukhin,​ Sudha Garg,​ Rachid Nazih,​ Frederique M Behm,​ Pradeep K Garg,​ Jed E Rose 2015 Sex-specific effects of cigarette mentholation on brain nicotine accumulation and smoking behavior</w:t>
            </w:r>
            <w:r w:rsidR="007F2F01">
              <w:rPr>
                <w:rFonts w:ascii="Calibri" w:hAnsi="Calibri"/>
                <w:noProof/>
                <w:sz w:val="20"/>
                <w:szCs w:val="20"/>
              </w:rPr>
              <w:t>.</w:t>
            </w:r>
            <w:r w:rsidRPr="00204223">
              <w:rPr>
                <w:rFonts w:ascii="Calibri" w:hAnsi="Calibri"/>
                <w:noProof/>
                <w:sz w:val="20"/>
                <w:szCs w:val="20"/>
              </w:rPr>
              <w:t xml:space="preserve"> Neuropsychopharmacology : official publication of the American College of Neuropsychopharmacology; 40.884.</w:t>
            </w:r>
          </w:p>
        </w:tc>
      </w:tr>
      <w:tr w:rsidR="00EA69AA" w:rsidRPr="00204223" w14:paraId="4C696CEC"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C3D6F0D"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485</w:t>
            </w:r>
          </w:p>
        </w:tc>
        <w:tc>
          <w:tcPr>
            <w:tcW w:w="0" w:type="auto"/>
            <w:tcBorders>
              <w:top w:val="single" w:sz="6" w:space="0" w:color="auto"/>
              <w:left w:val="single" w:sz="6" w:space="0" w:color="auto"/>
              <w:bottom w:val="single" w:sz="6" w:space="0" w:color="auto"/>
              <w:right w:val="single" w:sz="6" w:space="0" w:color="auto"/>
            </w:tcBorders>
            <w:hideMark/>
          </w:tcPr>
          <w:p w14:paraId="0BDA2FD3" w14:textId="2C266290" w:rsidR="00EA69AA" w:rsidRPr="00204223" w:rsidRDefault="00EA69AA" w:rsidP="00EA69AA">
            <w:pPr>
              <w:contextualSpacing/>
              <w:rPr>
                <w:rFonts w:ascii="Calibri" w:hAnsi="Calibri"/>
                <w:noProof/>
                <w:sz w:val="20"/>
                <w:szCs w:val="20"/>
              </w:rPr>
            </w:pPr>
            <w:r w:rsidRPr="00204223">
              <w:rPr>
                <w:rFonts w:ascii="Calibri" w:hAnsi="Calibri"/>
                <w:noProof/>
                <w:sz w:val="20"/>
                <w:szCs w:val="20"/>
              </w:rPr>
              <w:t>Kelly C Young-Wolff,​ Norval J 3rd Hickman,​ Romina Kim,​ Kathleen Gali,​ Judith J Prochaska 2015 Correlates and prevalence of menthol cigarette use among adults with serious mental illness</w:t>
            </w:r>
            <w:r w:rsidR="007F2F01">
              <w:rPr>
                <w:rFonts w:ascii="Calibri" w:hAnsi="Calibri"/>
                <w:noProof/>
                <w:sz w:val="20"/>
                <w:szCs w:val="20"/>
              </w:rPr>
              <w:t>.</w:t>
            </w:r>
            <w:r w:rsidRPr="00204223">
              <w:rPr>
                <w:rFonts w:ascii="Calibri" w:hAnsi="Calibri"/>
                <w:noProof/>
                <w:sz w:val="20"/>
                <w:szCs w:val="20"/>
              </w:rPr>
              <w:t xml:space="preserve"> Nicotine &amp; tobacco research : official journal of the Society for Research on Nicotine and Tobacco; 17.285.</w:t>
            </w:r>
          </w:p>
        </w:tc>
      </w:tr>
      <w:tr w:rsidR="00EA69AA" w:rsidRPr="00204223" w14:paraId="68719255"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3846737"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490</w:t>
            </w:r>
          </w:p>
        </w:tc>
        <w:tc>
          <w:tcPr>
            <w:tcW w:w="0" w:type="auto"/>
            <w:tcBorders>
              <w:top w:val="single" w:sz="6" w:space="0" w:color="auto"/>
              <w:left w:val="single" w:sz="6" w:space="0" w:color="auto"/>
              <w:bottom w:val="single" w:sz="6" w:space="0" w:color="auto"/>
              <w:right w:val="single" w:sz="6" w:space="0" w:color="auto"/>
            </w:tcBorders>
            <w:hideMark/>
          </w:tcPr>
          <w:p w14:paraId="0978556B" w14:textId="579FF0FF" w:rsidR="00EA69AA" w:rsidRPr="00204223" w:rsidRDefault="00EA69AA" w:rsidP="00EA69AA">
            <w:pPr>
              <w:contextualSpacing/>
              <w:rPr>
                <w:rFonts w:ascii="Calibri" w:hAnsi="Calibri"/>
                <w:noProof/>
                <w:sz w:val="20"/>
                <w:szCs w:val="20"/>
              </w:rPr>
            </w:pPr>
            <w:r w:rsidRPr="00204223">
              <w:rPr>
                <w:rFonts w:ascii="Calibri" w:hAnsi="Calibri"/>
                <w:noProof/>
                <w:sz w:val="20"/>
                <w:szCs w:val="20"/>
              </w:rPr>
              <w:t>Gary A Giovino,​ Andrea C Villanti,​ Paul D Mowery,​ Varadan Sevilimedu,​ Raymond S Niaura,​ Donna M Vallone,​ David B Abrams 2015 Differential trends in cigarette smoking in the USA: is menthol slowing progress?</w:t>
            </w:r>
            <w:r w:rsidR="007F2F01">
              <w:rPr>
                <w:rFonts w:ascii="Calibri" w:hAnsi="Calibri"/>
                <w:noProof/>
                <w:sz w:val="20"/>
                <w:szCs w:val="20"/>
              </w:rPr>
              <w:t>.</w:t>
            </w:r>
            <w:r w:rsidRPr="00204223">
              <w:rPr>
                <w:rFonts w:ascii="Calibri" w:hAnsi="Calibri"/>
                <w:noProof/>
                <w:sz w:val="20"/>
                <w:szCs w:val="20"/>
              </w:rPr>
              <w:t xml:space="preserve"> Tobacco control; 24.28.</w:t>
            </w:r>
          </w:p>
        </w:tc>
      </w:tr>
      <w:tr w:rsidR="00EA69AA" w:rsidRPr="00204223" w14:paraId="1ADBC889"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807A403"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496</w:t>
            </w:r>
          </w:p>
        </w:tc>
        <w:tc>
          <w:tcPr>
            <w:tcW w:w="0" w:type="auto"/>
            <w:tcBorders>
              <w:top w:val="single" w:sz="6" w:space="0" w:color="auto"/>
              <w:left w:val="single" w:sz="6" w:space="0" w:color="auto"/>
              <w:bottom w:val="single" w:sz="6" w:space="0" w:color="auto"/>
              <w:right w:val="single" w:sz="6" w:space="0" w:color="auto"/>
            </w:tcBorders>
            <w:hideMark/>
          </w:tcPr>
          <w:p w14:paraId="082BFED4" w14:textId="2DED59CE" w:rsidR="00EA69AA" w:rsidRPr="00204223" w:rsidRDefault="00EA69AA" w:rsidP="00EA69AA">
            <w:pPr>
              <w:contextualSpacing/>
              <w:rPr>
                <w:rFonts w:ascii="Calibri" w:hAnsi="Calibri"/>
                <w:noProof/>
                <w:sz w:val="20"/>
                <w:szCs w:val="20"/>
              </w:rPr>
            </w:pPr>
            <w:r w:rsidRPr="00204223">
              <w:rPr>
                <w:rFonts w:ascii="Calibri" w:hAnsi="Calibri"/>
                <w:noProof/>
                <w:sz w:val="20"/>
                <w:szCs w:val="20"/>
              </w:rPr>
              <w:t>Geoffrey M Curtin,​ Sandra I Sulsky,​ Cynthia Van Landingham,​ Kristin M Marano,​ Monica J Graves,​ Michael W Ogden,​ James E Swauger 2014 Measures of initiation and progression to increased smoking among current menthol compared to non-menthol cigarette smokers based on data from four U.S. government surveys</w:t>
            </w:r>
            <w:r w:rsidR="007F2F01">
              <w:rPr>
                <w:rFonts w:ascii="Calibri" w:hAnsi="Calibri"/>
                <w:noProof/>
                <w:sz w:val="20"/>
                <w:szCs w:val="20"/>
              </w:rPr>
              <w:t>.</w:t>
            </w:r>
            <w:r w:rsidRPr="00204223">
              <w:rPr>
                <w:rFonts w:ascii="Calibri" w:hAnsi="Calibri"/>
                <w:noProof/>
                <w:sz w:val="20"/>
                <w:szCs w:val="20"/>
              </w:rPr>
              <w:t xml:space="preserve"> Regulatory toxicology and pharmacology : RTP; 70.446.</w:t>
            </w:r>
          </w:p>
        </w:tc>
      </w:tr>
      <w:tr w:rsidR="00EA69AA" w:rsidRPr="00204223" w14:paraId="2D165F4F"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CA8E81D"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498</w:t>
            </w:r>
          </w:p>
        </w:tc>
        <w:tc>
          <w:tcPr>
            <w:tcW w:w="0" w:type="auto"/>
            <w:tcBorders>
              <w:top w:val="single" w:sz="6" w:space="0" w:color="auto"/>
              <w:left w:val="single" w:sz="6" w:space="0" w:color="auto"/>
              <w:bottom w:val="single" w:sz="6" w:space="0" w:color="auto"/>
              <w:right w:val="single" w:sz="6" w:space="0" w:color="auto"/>
            </w:tcBorders>
            <w:hideMark/>
          </w:tcPr>
          <w:p w14:paraId="76DD9126" w14:textId="059AEE49" w:rsidR="00EA69AA" w:rsidRPr="00204223" w:rsidRDefault="00EA69AA" w:rsidP="00EA69AA">
            <w:pPr>
              <w:contextualSpacing/>
              <w:rPr>
                <w:rFonts w:ascii="Calibri" w:hAnsi="Calibri"/>
                <w:noProof/>
                <w:sz w:val="20"/>
                <w:szCs w:val="20"/>
              </w:rPr>
            </w:pPr>
            <w:r w:rsidRPr="00204223">
              <w:rPr>
                <w:rFonts w:ascii="Calibri" w:hAnsi="Calibri"/>
                <w:noProof/>
                <w:sz w:val="20"/>
                <w:szCs w:val="20"/>
              </w:rPr>
              <w:t>Sandra I Sulsky,​ William G Fuller,​ Cynthia Van Landingham,​ Michael W Ogden,​ James E Swauger,​ Geoffrey M Curtin 2014 Evaluating the association between menthol cigarette use and the likelihood of being a former versus current smoker</w:t>
            </w:r>
            <w:r w:rsidR="007F2F01">
              <w:rPr>
                <w:rFonts w:ascii="Calibri" w:hAnsi="Calibri"/>
                <w:noProof/>
                <w:sz w:val="20"/>
                <w:szCs w:val="20"/>
              </w:rPr>
              <w:t>.</w:t>
            </w:r>
            <w:r w:rsidRPr="00204223">
              <w:rPr>
                <w:rFonts w:ascii="Calibri" w:hAnsi="Calibri"/>
                <w:noProof/>
                <w:sz w:val="20"/>
                <w:szCs w:val="20"/>
              </w:rPr>
              <w:t xml:space="preserve"> Regulatory toxicology and pharmacology : RTP; 70.231.</w:t>
            </w:r>
          </w:p>
        </w:tc>
      </w:tr>
      <w:tr w:rsidR="00EA69AA" w:rsidRPr="00204223" w14:paraId="13F45158"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E5320F5"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500</w:t>
            </w:r>
          </w:p>
        </w:tc>
        <w:tc>
          <w:tcPr>
            <w:tcW w:w="0" w:type="auto"/>
            <w:tcBorders>
              <w:top w:val="single" w:sz="6" w:space="0" w:color="auto"/>
              <w:left w:val="single" w:sz="6" w:space="0" w:color="auto"/>
              <w:bottom w:val="single" w:sz="6" w:space="0" w:color="auto"/>
              <w:right w:val="single" w:sz="6" w:space="0" w:color="auto"/>
            </w:tcBorders>
            <w:hideMark/>
          </w:tcPr>
          <w:p w14:paraId="662426E0" w14:textId="23B40DB6" w:rsidR="00EA69AA" w:rsidRPr="00204223" w:rsidRDefault="00EA69AA" w:rsidP="00EA69AA">
            <w:pPr>
              <w:contextualSpacing/>
              <w:rPr>
                <w:rFonts w:ascii="Calibri" w:hAnsi="Calibri"/>
                <w:noProof/>
                <w:sz w:val="20"/>
                <w:szCs w:val="20"/>
              </w:rPr>
            </w:pPr>
            <w:r w:rsidRPr="00204223">
              <w:rPr>
                <w:rFonts w:ascii="Calibri" w:hAnsi="Calibri"/>
                <w:noProof/>
                <w:sz w:val="20"/>
                <w:szCs w:val="20"/>
              </w:rPr>
              <w:t>Geoffrey M Curtin,​ Sandra I Sulsky,​ Cynthia Van Landingham,​ Kristin M Marano,​ Monica J Graves,​ Michael W Ogden,​ James E Swauger 2014 Patterns of menthol cigarette use among current smokers,​ overall and within demographic strata,​ based on data from four U.S. government surveys</w:t>
            </w:r>
            <w:r w:rsidR="007F2F01">
              <w:rPr>
                <w:rFonts w:ascii="Calibri" w:hAnsi="Calibri"/>
                <w:noProof/>
                <w:sz w:val="20"/>
                <w:szCs w:val="20"/>
              </w:rPr>
              <w:t>.</w:t>
            </w:r>
            <w:r w:rsidRPr="00204223">
              <w:rPr>
                <w:rFonts w:ascii="Calibri" w:hAnsi="Calibri"/>
                <w:noProof/>
                <w:sz w:val="20"/>
                <w:szCs w:val="20"/>
              </w:rPr>
              <w:t xml:space="preserve"> Regulatory toxicology and pharmacology : RTP; 70.189.</w:t>
            </w:r>
          </w:p>
        </w:tc>
      </w:tr>
      <w:tr w:rsidR="00EA69AA" w:rsidRPr="00204223" w14:paraId="68F732F7"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EE15B03"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501</w:t>
            </w:r>
          </w:p>
        </w:tc>
        <w:tc>
          <w:tcPr>
            <w:tcW w:w="0" w:type="auto"/>
            <w:tcBorders>
              <w:top w:val="single" w:sz="6" w:space="0" w:color="auto"/>
              <w:left w:val="single" w:sz="6" w:space="0" w:color="auto"/>
              <w:bottom w:val="single" w:sz="6" w:space="0" w:color="auto"/>
              <w:right w:val="single" w:sz="6" w:space="0" w:color="auto"/>
            </w:tcBorders>
            <w:hideMark/>
          </w:tcPr>
          <w:p w14:paraId="466D44DA" w14:textId="4D7EB284" w:rsidR="00EA69AA" w:rsidRPr="00204223" w:rsidRDefault="00EA69AA" w:rsidP="00EA69AA">
            <w:pPr>
              <w:contextualSpacing/>
              <w:rPr>
                <w:rFonts w:ascii="Calibri" w:hAnsi="Calibri"/>
                <w:noProof/>
                <w:sz w:val="20"/>
                <w:szCs w:val="20"/>
              </w:rPr>
            </w:pPr>
            <w:r w:rsidRPr="00204223">
              <w:rPr>
                <w:rFonts w:ascii="Calibri" w:hAnsi="Calibri"/>
                <w:noProof/>
                <w:sz w:val="20"/>
                <w:szCs w:val="20"/>
              </w:rPr>
              <w:t>Karin A Kasza,​ Andrew J Hyland,​ Maansi Bansal-Travers,​ Lisa M Vogl,​ Jiping Chen,​ Sarah E Evans,​ Geoffrey T Fong,​ Kenneth Michael Cummings,​ Richard J O'Connor 2014 Switching between menthol and nonmenthol cigarettes: findings from the U.S. Cohort of the International Tobacco Control Four Country Survey</w:t>
            </w:r>
            <w:r w:rsidR="007F2F01">
              <w:rPr>
                <w:rFonts w:ascii="Calibri" w:hAnsi="Calibri"/>
                <w:noProof/>
                <w:sz w:val="20"/>
                <w:szCs w:val="20"/>
              </w:rPr>
              <w:t>.</w:t>
            </w:r>
            <w:r w:rsidRPr="00204223">
              <w:rPr>
                <w:rFonts w:ascii="Calibri" w:hAnsi="Calibri"/>
                <w:noProof/>
                <w:sz w:val="20"/>
                <w:szCs w:val="20"/>
              </w:rPr>
              <w:t xml:space="preserve"> Nicotine &amp; tobacco research : official journal of the Society for Research on Nicotine and Tobacco; 16.1255.</w:t>
            </w:r>
          </w:p>
        </w:tc>
      </w:tr>
      <w:tr w:rsidR="00EA69AA" w:rsidRPr="00204223" w14:paraId="6AD60059"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E6B0A6A"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504</w:t>
            </w:r>
          </w:p>
        </w:tc>
        <w:tc>
          <w:tcPr>
            <w:tcW w:w="0" w:type="auto"/>
            <w:tcBorders>
              <w:top w:val="single" w:sz="6" w:space="0" w:color="auto"/>
              <w:left w:val="single" w:sz="6" w:space="0" w:color="auto"/>
              <w:bottom w:val="single" w:sz="6" w:space="0" w:color="auto"/>
              <w:right w:val="single" w:sz="6" w:space="0" w:color="auto"/>
            </w:tcBorders>
            <w:hideMark/>
          </w:tcPr>
          <w:p w14:paraId="1B7B78CD" w14:textId="10936306" w:rsidR="00EA69AA" w:rsidRPr="00204223" w:rsidRDefault="00EA69AA" w:rsidP="00EA69AA">
            <w:pPr>
              <w:contextualSpacing/>
              <w:rPr>
                <w:rFonts w:ascii="Calibri" w:hAnsi="Calibri"/>
                <w:noProof/>
                <w:sz w:val="20"/>
                <w:szCs w:val="20"/>
              </w:rPr>
            </w:pPr>
            <w:r w:rsidRPr="00204223">
              <w:rPr>
                <w:rFonts w:ascii="Calibri" w:hAnsi="Calibri"/>
                <w:noProof/>
                <w:sz w:val="20"/>
                <w:szCs w:val="20"/>
              </w:rPr>
              <w:t>Geoffrey M Curtin,​ Sandra I Sulsky,​ Cynthia Van Landingham,​ Kristin M Marano,​ Monica J Graves,​ Michael W Ogden,​ James E Swauger 2014 Primary measures of dependence among menthol compared to non-menthol cigarette smokers in the United States</w:t>
            </w:r>
            <w:r w:rsidR="007F2F01">
              <w:rPr>
                <w:rFonts w:ascii="Calibri" w:hAnsi="Calibri"/>
                <w:noProof/>
                <w:sz w:val="20"/>
                <w:szCs w:val="20"/>
              </w:rPr>
              <w:t>.</w:t>
            </w:r>
            <w:r w:rsidRPr="00204223">
              <w:rPr>
                <w:rFonts w:ascii="Calibri" w:hAnsi="Calibri"/>
                <w:noProof/>
                <w:sz w:val="20"/>
                <w:szCs w:val="20"/>
              </w:rPr>
              <w:t xml:space="preserve"> Regulatory toxicology and pharmacology : RTP; 69.451.</w:t>
            </w:r>
          </w:p>
        </w:tc>
      </w:tr>
      <w:tr w:rsidR="00EA69AA" w:rsidRPr="00204223" w14:paraId="2670DD5B"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ED85929"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lastRenderedPageBreak/>
              <w:t>506</w:t>
            </w:r>
          </w:p>
        </w:tc>
        <w:tc>
          <w:tcPr>
            <w:tcW w:w="0" w:type="auto"/>
            <w:tcBorders>
              <w:top w:val="single" w:sz="6" w:space="0" w:color="auto"/>
              <w:left w:val="single" w:sz="6" w:space="0" w:color="auto"/>
              <w:bottom w:val="single" w:sz="6" w:space="0" w:color="auto"/>
              <w:right w:val="single" w:sz="6" w:space="0" w:color="auto"/>
            </w:tcBorders>
            <w:hideMark/>
          </w:tcPr>
          <w:p w14:paraId="3CE13311" w14:textId="014A9455" w:rsidR="00EA69AA" w:rsidRPr="00204223" w:rsidRDefault="00EA69AA" w:rsidP="00EA69AA">
            <w:pPr>
              <w:contextualSpacing/>
              <w:rPr>
                <w:rFonts w:ascii="Calibri" w:hAnsi="Calibri"/>
                <w:noProof/>
                <w:sz w:val="20"/>
                <w:szCs w:val="20"/>
              </w:rPr>
            </w:pPr>
            <w:r w:rsidRPr="00204223">
              <w:rPr>
                <w:rFonts w:ascii="Calibri" w:hAnsi="Calibri"/>
                <w:noProof/>
                <w:sz w:val="20"/>
                <w:szCs w:val="20"/>
              </w:rPr>
              <w:t>Michael Lewis,​ Yanwen Wang,​ Carla J Berg 2014 Tobacco control environment in the United States and individual consumer characteristics in relation to continued smoking: differential responses among menthol smokers?</w:t>
            </w:r>
            <w:r w:rsidR="007F2F01">
              <w:rPr>
                <w:rFonts w:ascii="Calibri" w:hAnsi="Calibri"/>
                <w:noProof/>
                <w:sz w:val="20"/>
                <w:szCs w:val="20"/>
              </w:rPr>
              <w:t>.</w:t>
            </w:r>
            <w:r w:rsidRPr="00204223">
              <w:rPr>
                <w:rFonts w:ascii="Calibri" w:hAnsi="Calibri"/>
                <w:noProof/>
                <w:sz w:val="20"/>
                <w:szCs w:val="20"/>
              </w:rPr>
              <w:t xml:space="preserve"> Preventive medicine; 65.47.</w:t>
            </w:r>
          </w:p>
        </w:tc>
      </w:tr>
      <w:tr w:rsidR="00EA69AA" w:rsidRPr="00204223" w14:paraId="288B824D"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2E8BF27"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507</w:t>
            </w:r>
          </w:p>
        </w:tc>
        <w:tc>
          <w:tcPr>
            <w:tcW w:w="0" w:type="auto"/>
            <w:tcBorders>
              <w:top w:val="single" w:sz="6" w:space="0" w:color="auto"/>
              <w:left w:val="single" w:sz="6" w:space="0" w:color="auto"/>
              <w:bottom w:val="single" w:sz="6" w:space="0" w:color="auto"/>
              <w:right w:val="single" w:sz="6" w:space="0" w:color="auto"/>
            </w:tcBorders>
            <w:hideMark/>
          </w:tcPr>
          <w:p w14:paraId="45FA25DE" w14:textId="2529285E" w:rsidR="00EA69AA" w:rsidRPr="00204223" w:rsidRDefault="00EA69AA" w:rsidP="00EA69AA">
            <w:pPr>
              <w:contextualSpacing/>
              <w:rPr>
                <w:rFonts w:ascii="Calibri" w:hAnsi="Calibri"/>
                <w:noProof/>
                <w:sz w:val="20"/>
                <w:szCs w:val="20"/>
              </w:rPr>
            </w:pPr>
            <w:r w:rsidRPr="00204223">
              <w:rPr>
                <w:rFonts w:ascii="Calibri" w:hAnsi="Calibri"/>
                <w:noProof/>
                <w:sz w:val="20"/>
                <w:szCs w:val="20"/>
              </w:rPr>
              <w:t>Kimberly Frost-Pineda,​ Raheema Muhammad-Kah,​ Lonnie Rimmer,​ Qiwei Liang 2014 Predictors,​ indicators,​ and validated measures of dependence in menthol smokers</w:t>
            </w:r>
            <w:r w:rsidR="007F2F01">
              <w:rPr>
                <w:rFonts w:ascii="Calibri" w:hAnsi="Calibri"/>
                <w:noProof/>
                <w:sz w:val="20"/>
                <w:szCs w:val="20"/>
              </w:rPr>
              <w:t>.</w:t>
            </w:r>
            <w:r w:rsidRPr="00204223">
              <w:rPr>
                <w:rFonts w:ascii="Calibri" w:hAnsi="Calibri"/>
                <w:noProof/>
                <w:sz w:val="20"/>
                <w:szCs w:val="20"/>
              </w:rPr>
              <w:t xml:space="preserve"> Journal of addictive diseases; 33.94.</w:t>
            </w:r>
          </w:p>
        </w:tc>
      </w:tr>
      <w:tr w:rsidR="00EA69AA" w:rsidRPr="00204223" w14:paraId="04908D5C"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B1296D9"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512</w:t>
            </w:r>
          </w:p>
        </w:tc>
        <w:tc>
          <w:tcPr>
            <w:tcW w:w="0" w:type="auto"/>
            <w:tcBorders>
              <w:top w:val="single" w:sz="6" w:space="0" w:color="auto"/>
              <w:left w:val="single" w:sz="6" w:space="0" w:color="auto"/>
              <w:bottom w:val="single" w:sz="6" w:space="0" w:color="auto"/>
              <w:right w:val="single" w:sz="6" w:space="0" w:color="auto"/>
            </w:tcBorders>
            <w:hideMark/>
          </w:tcPr>
          <w:p w14:paraId="6331B243" w14:textId="36FE6D6D" w:rsidR="00EA69AA" w:rsidRPr="00204223" w:rsidRDefault="00EA69AA" w:rsidP="00EA69AA">
            <w:pPr>
              <w:contextualSpacing/>
              <w:rPr>
                <w:rFonts w:ascii="Calibri" w:hAnsi="Calibri"/>
                <w:noProof/>
                <w:sz w:val="20"/>
                <w:szCs w:val="20"/>
              </w:rPr>
            </w:pPr>
            <w:r w:rsidRPr="00204223">
              <w:rPr>
                <w:rFonts w:ascii="Calibri" w:hAnsi="Calibri"/>
                <w:noProof/>
                <w:sz w:val="20"/>
                <w:szCs w:val="20"/>
              </w:rPr>
              <w:t>Ken Resnicow,​ Yan Zhou,​ Taneisha S Scheuermann,​ Nicole L Nollen,​ Jasjit S Ahluwalia 2014 Unplanned quitting in a triethnic sample of U.S. smokers</w:t>
            </w:r>
            <w:r w:rsidR="007F2F01">
              <w:rPr>
                <w:rFonts w:ascii="Calibri" w:hAnsi="Calibri"/>
                <w:noProof/>
                <w:sz w:val="20"/>
                <w:szCs w:val="20"/>
              </w:rPr>
              <w:t>.</w:t>
            </w:r>
            <w:r w:rsidRPr="00204223">
              <w:rPr>
                <w:rFonts w:ascii="Calibri" w:hAnsi="Calibri"/>
                <w:noProof/>
                <w:sz w:val="20"/>
                <w:szCs w:val="20"/>
              </w:rPr>
              <w:t xml:space="preserve"> Nicotine &amp; tobacco research : official journal of the Society for Research on Nicotine and Tobacco; 16.759.</w:t>
            </w:r>
          </w:p>
        </w:tc>
      </w:tr>
      <w:tr w:rsidR="00EA69AA" w:rsidRPr="00204223" w14:paraId="0FB68045"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88BADCE"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515</w:t>
            </w:r>
          </w:p>
        </w:tc>
        <w:tc>
          <w:tcPr>
            <w:tcW w:w="0" w:type="auto"/>
            <w:tcBorders>
              <w:top w:val="single" w:sz="6" w:space="0" w:color="auto"/>
              <w:left w:val="single" w:sz="6" w:space="0" w:color="auto"/>
              <w:bottom w:val="single" w:sz="6" w:space="0" w:color="auto"/>
              <w:right w:val="single" w:sz="6" w:space="0" w:color="auto"/>
            </w:tcBorders>
            <w:hideMark/>
          </w:tcPr>
          <w:p w14:paraId="61979831" w14:textId="59B8B451" w:rsidR="00EA69AA" w:rsidRPr="00204223" w:rsidRDefault="00EA69AA" w:rsidP="00EA69AA">
            <w:pPr>
              <w:contextualSpacing/>
              <w:rPr>
                <w:rFonts w:ascii="Calibri" w:hAnsi="Calibri"/>
                <w:noProof/>
                <w:sz w:val="20"/>
                <w:szCs w:val="20"/>
              </w:rPr>
            </w:pPr>
            <w:r w:rsidRPr="00204223">
              <w:rPr>
                <w:rFonts w:ascii="Calibri" w:hAnsi="Calibri"/>
                <w:noProof/>
                <w:sz w:val="20"/>
                <w:szCs w:val="20"/>
              </w:rPr>
              <w:t>Ram B Jain 2014 Trends in serum cotinine concentrations among daily cigarette smokers: data from NHANES 1999-2010</w:t>
            </w:r>
            <w:r w:rsidR="007F2F01">
              <w:rPr>
                <w:rFonts w:ascii="Calibri" w:hAnsi="Calibri"/>
                <w:noProof/>
                <w:sz w:val="20"/>
                <w:szCs w:val="20"/>
              </w:rPr>
              <w:t>.</w:t>
            </w:r>
            <w:r w:rsidRPr="00204223">
              <w:rPr>
                <w:rFonts w:ascii="Calibri" w:hAnsi="Calibri"/>
                <w:noProof/>
                <w:sz w:val="20"/>
                <w:szCs w:val="20"/>
              </w:rPr>
              <w:t xml:space="preserve"> The Science of the total environment; 472.72.</w:t>
            </w:r>
          </w:p>
        </w:tc>
      </w:tr>
      <w:tr w:rsidR="00EA69AA" w:rsidRPr="00204223" w14:paraId="4D78090A"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763A331"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516</w:t>
            </w:r>
          </w:p>
        </w:tc>
        <w:tc>
          <w:tcPr>
            <w:tcW w:w="0" w:type="auto"/>
            <w:tcBorders>
              <w:top w:val="single" w:sz="6" w:space="0" w:color="auto"/>
              <w:left w:val="single" w:sz="6" w:space="0" w:color="auto"/>
              <w:bottom w:val="single" w:sz="6" w:space="0" w:color="auto"/>
              <w:right w:val="single" w:sz="6" w:space="0" w:color="auto"/>
            </w:tcBorders>
            <w:hideMark/>
          </w:tcPr>
          <w:p w14:paraId="74787D9E" w14:textId="1DEA7520" w:rsidR="00EA69AA" w:rsidRPr="00204223" w:rsidRDefault="00EA69AA" w:rsidP="00EA69AA">
            <w:pPr>
              <w:contextualSpacing/>
              <w:rPr>
                <w:rFonts w:ascii="Calibri" w:hAnsi="Calibri"/>
                <w:noProof/>
                <w:sz w:val="20"/>
                <w:szCs w:val="20"/>
              </w:rPr>
            </w:pPr>
            <w:r w:rsidRPr="00204223">
              <w:rPr>
                <w:rFonts w:ascii="Calibri" w:hAnsi="Calibri"/>
                <w:noProof/>
                <w:sz w:val="20"/>
                <w:szCs w:val="20"/>
              </w:rPr>
              <w:t>Alana M Rojewski,​ Benjamin A Toll,​ Stephanie S O'Malley 2014 Menthol cigarette use predicts treatment outcomes of weight-concerned smokers</w:t>
            </w:r>
            <w:r w:rsidR="007F2F01">
              <w:rPr>
                <w:rFonts w:ascii="Calibri" w:hAnsi="Calibri"/>
                <w:noProof/>
                <w:sz w:val="20"/>
                <w:szCs w:val="20"/>
              </w:rPr>
              <w:t>.</w:t>
            </w:r>
            <w:r w:rsidRPr="00204223">
              <w:rPr>
                <w:rFonts w:ascii="Calibri" w:hAnsi="Calibri"/>
                <w:noProof/>
                <w:sz w:val="20"/>
                <w:szCs w:val="20"/>
              </w:rPr>
              <w:t xml:space="preserve"> Nicotine &amp; tobacco research : official journal of the Society for Research on Nicotine and Tobacco; 16.115.</w:t>
            </w:r>
          </w:p>
        </w:tc>
      </w:tr>
      <w:tr w:rsidR="00EA69AA" w:rsidRPr="00204223" w14:paraId="0BB41BB1"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0FF9B2E"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518</w:t>
            </w:r>
          </w:p>
        </w:tc>
        <w:tc>
          <w:tcPr>
            <w:tcW w:w="0" w:type="auto"/>
            <w:tcBorders>
              <w:top w:val="single" w:sz="6" w:space="0" w:color="auto"/>
              <w:left w:val="single" w:sz="6" w:space="0" w:color="auto"/>
              <w:bottom w:val="single" w:sz="6" w:space="0" w:color="auto"/>
              <w:right w:val="single" w:sz="6" w:space="0" w:color="auto"/>
            </w:tcBorders>
            <w:hideMark/>
          </w:tcPr>
          <w:p w14:paraId="38F0DF52" w14:textId="469BFD1B" w:rsidR="00EA69AA" w:rsidRPr="00204223" w:rsidRDefault="00EA69AA" w:rsidP="00EA69AA">
            <w:pPr>
              <w:contextualSpacing/>
              <w:rPr>
                <w:rFonts w:ascii="Calibri" w:hAnsi="Calibri"/>
                <w:noProof/>
                <w:sz w:val="20"/>
                <w:szCs w:val="20"/>
              </w:rPr>
            </w:pPr>
            <w:r w:rsidRPr="00204223">
              <w:rPr>
                <w:rFonts w:ascii="Calibri" w:hAnsi="Calibri"/>
                <w:noProof/>
                <w:sz w:val="20"/>
                <w:szCs w:val="20"/>
              </w:rPr>
              <w:t>Norval J 3rd Hickman,​ Kevin L Delucchi,​ Judith J Prochaska 2014 Menthol use among smokers with psychological distress: findings from the 2008 and 2009 National Survey on Drug Use and Health</w:t>
            </w:r>
            <w:r w:rsidR="007F2F01">
              <w:rPr>
                <w:rFonts w:ascii="Calibri" w:hAnsi="Calibri"/>
                <w:noProof/>
                <w:sz w:val="20"/>
                <w:szCs w:val="20"/>
              </w:rPr>
              <w:t>.</w:t>
            </w:r>
            <w:r w:rsidRPr="00204223">
              <w:rPr>
                <w:rFonts w:ascii="Calibri" w:hAnsi="Calibri"/>
                <w:noProof/>
                <w:sz w:val="20"/>
                <w:szCs w:val="20"/>
              </w:rPr>
              <w:t xml:space="preserve"> Tobacco control; 23.7.</w:t>
            </w:r>
          </w:p>
        </w:tc>
      </w:tr>
      <w:tr w:rsidR="00EA69AA" w:rsidRPr="00204223" w14:paraId="500D0724"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797130B"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520</w:t>
            </w:r>
          </w:p>
        </w:tc>
        <w:tc>
          <w:tcPr>
            <w:tcW w:w="0" w:type="auto"/>
            <w:tcBorders>
              <w:top w:val="single" w:sz="6" w:space="0" w:color="auto"/>
              <w:left w:val="single" w:sz="6" w:space="0" w:color="auto"/>
              <w:bottom w:val="single" w:sz="6" w:space="0" w:color="auto"/>
              <w:right w:val="single" w:sz="6" w:space="0" w:color="auto"/>
            </w:tcBorders>
            <w:hideMark/>
          </w:tcPr>
          <w:p w14:paraId="19C25A40" w14:textId="6949BC4A" w:rsidR="00EA69AA" w:rsidRPr="00204223" w:rsidRDefault="00EA69AA" w:rsidP="00EA69AA">
            <w:pPr>
              <w:contextualSpacing/>
              <w:rPr>
                <w:rFonts w:ascii="Calibri" w:hAnsi="Calibri"/>
                <w:noProof/>
                <w:sz w:val="20"/>
                <w:szCs w:val="20"/>
              </w:rPr>
            </w:pPr>
            <w:r w:rsidRPr="00204223">
              <w:rPr>
                <w:rFonts w:ascii="Calibri" w:hAnsi="Calibri"/>
                <w:noProof/>
                <w:sz w:val="20"/>
                <w:szCs w:val="20"/>
              </w:rPr>
              <w:t>Theresa M Winhusen,​ Bryon Adinoff,​ Daniel F Lewis,​ Gregory S Brigham,​ John G 2nd Gardin,​ Susan C Sonne,​ Jeff Theobald,​ Udi Ghitza 2013 A tale of two stimulants: mentholated cigarettes may play a role in cocaine,​ but not methamphetamine,​ dependence</w:t>
            </w:r>
            <w:r w:rsidR="007F2F01">
              <w:rPr>
                <w:rFonts w:ascii="Calibri" w:hAnsi="Calibri"/>
                <w:noProof/>
                <w:sz w:val="20"/>
                <w:szCs w:val="20"/>
              </w:rPr>
              <w:t>.</w:t>
            </w:r>
            <w:r w:rsidRPr="00204223">
              <w:rPr>
                <w:rFonts w:ascii="Calibri" w:hAnsi="Calibri"/>
                <w:noProof/>
                <w:sz w:val="20"/>
                <w:szCs w:val="20"/>
              </w:rPr>
              <w:t xml:space="preserve"> Drug and alcohol dependence; 133.845.</w:t>
            </w:r>
          </w:p>
        </w:tc>
      </w:tr>
      <w:tr w:rsidR="00EA69AA" w:rsidRPr="00204223" w14:paraId="5B9D076B"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ED7CB45"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524</w:t>
            </w:r>
          </w:p>
        </w:tc>
        <w:tc>
          <w:tcPr>
            <w:tcW w:w="0" w:type="auto"/>
            <w:tcBorders>
              <w:top w:val="single" w:sz="6" w:space="0" w:color="auto"/>
              <w:left w:val="single" w:sz="6" w:space="0" w:color="auto"/>
              <w:bottom w:val="single" w:sz="6" w:space="0" w:color="auto"/>
              <w:right w:val="single" w:sz="6" w:space="0" w:color="auto"/>
            </w:tcBorders>
            <w:hideMark/>
          </w:tcPr>
          <w:p w14:paraId="579DCBB7" w14:textId="4CC947A9" w:rsidR="00EA69AA" w:rsidRPr="00204223" w:rsidRDefault="00EA69AA" w:rsidP="00EA69AA">
            <w:pPr>
              <w:contextualSpacing/>
              <w:rPr>
                <w:rFonts w:ascii="Calibri" w:hAnsi="Calibri"/>
                <w:noProof/>
                <w:sz w:val="20"/>
                <w:szCs w:val="20"/>
              </w:rPr>
            </w:pPr>
            <w:r w:rsidRPr="00204223">
              <w:rPr>
                <w:rFonts w:ascii="Calibri" w:hAnsi="Calibri"/>
                <w:noProof/>
                <w:sz w:val="20"/>
                <w:szCs w:val="20"/>
              </w:rPr>
              <w:t>Lorraine R Reitzel,​ Carol J Etzel,​ Yumei Cao,​ Kolawole S Okuyemi,​ Jasjit S Ahluwalia 2013 Associations of menthol use with motivation and confidence to quit smoking</w:t>
            </w:r>
            <w:r w:rsidR="007F2F01">
              <w:rPr>
                <w:rFonts w:ascii="Calibri" w:hAnsi="Calibri"/>
                <w:noProof/>
                <w:sz w:val="20"/>
                <w:szCs w:val="20"/>
              </w:rPr>
              <w:t>.</w:t>
            </w:r>
            <w:r w:rsidRPr="00204223">
              <w:rPr>
                <w:rFonts w:ascii="Calibri" w:hAnsi="Calibri"/>
                <w:noProof/>
                <w:sz w:val="20"/>
                <w:szCs w:val="20"/>
              </w:rPr>
              <w:t xml:space="preserve"> American journal of health behavior; 37.629.</w:t>
            </w:r>
          </w:p>
        </w:tc>
      </w:tr>
      <w:tr w:rsidR="00EA69AA" w:rsidRPr="00204223" w14:paraId="63552BE1"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23268D7"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529</w:t>
            </w:r>
          </w:p>
        </w:tc>
        <w:tc>
          <w:tcPr>
            <w:tcW w:w="0" w:type="auto"/>
            <w:tcBorders>
              <w:top w:val="single" w:sz="6" w:space="0" w:color="auto"/>
              <w:left w:val="single" w:sz="6" w:space="0" w:color="auto"/>
              <w:bottom w:val="single" w:sz="6" w:space="0" w:color="auto"/>
              <w:right w:val="single" w:sz="6" w:space="0" w:color="auto"/>
            </w:tcBorders>
            <w:hideMark/>
          </w:tcPr>
          <w:p w14:paraId="52ECD932" w14:textId="60CF03FF" w:rsidR="00EA69AA" w:rsidRPr="00204223" w:rsidRDefault="00EA69AA" w:rsidP="00EA69AA">
            <w:pPr>
              <w:contextualSpacing/>
              <w:rPr>
                <w:rFonts w:ascii="Calibri" w:hAnsi="Calibri"/>
                <w:noProof/>
                <w:sz w:val="20"/>
                <w:szCs w:val="20"/>
              </w:rPr>
            </w:pPr>
            <w:r w:rsidRPr="00204223">
              <w:rPr>
                <w:rFonts w:ascii="Calibri" w:hAnsi="Calibri"/>
                <w:noProof/>
                <w:sz w:val="20"/>
                <w:szCs w:val="20"/>
              </w:rPr>
              <w:t>Grace Kong,​ Nisha Singh,​ Deepa Camenga,​ Dana Cavallo,​ Suchitra Krishnan-Sarin 2013 Menthol cigarette and marijuana use among adolescents</w:t>
            </w:r>
            <w:r w:rsidR="007F2F01">
              <w:rPr>
                <w:rFonts w:ascii="Calibri" w:hAnsi="Calibri"/>
                <w:noProof/>
                <w:sz w:val="20"/>
                <w:szCs w:val="20"/>
              </w:rPr>
              <w:t>.</w:t>
            </w:r>
            <w:r w:rsidRPr="00204223">
              <w:rPr>
                <w:rFonts w:ascii="Calibri" w:hAnsi="Calibri"/>
                <w:noProof/>
                <w:sz w:val="20"/>
                <w:szCs w:val="20"/>
              </w:rPr>
              <w:t xml:space="preserve"> Nicotine &amp; tobacco research : official journal of the Society for Research on Nicotine and Tobacco; 15.2094.</w:t>
            </w:r>
          </w:p>
        </w:tc>
      </w:tr>
      <w:tr w:rsidR="00EA69AA" w:rsidRPr="00204223" w14:paraId="445A3194"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58132F9"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536</w:t>
            </w:r>
          </w:p>
        </w:tc>
        <w:tc>
          <w:tcPr>
            <w:tcW w:w="0" w:type="auto"/>
            <w:tcBorders>
              <w:top w:val="single" w:sz="6" w:space="0" w:color="auto"/>
              <w:left w:val="single" w:sz="6" w:space="0" w:color="auto"/>
              <w:bottom w:val="single" w:sz="6" w:space="0" w:color="auto"/>
              <w:right w:val="single" w:sz="6" w:space="0" w:color="auto"/>
            </w:tcBorders>
            <w:hideMark/>
          </w:tcPr>
          <w:p w14:paraId="588D6B4C" w14:textId="00D9332B" w:rsidR="00EA69AA" w:rsidRPr="00204223" w:rsidRDefault="00EA69AA" w:rsidP="00EA69AA">
            <w:pPr>
              <w:contextualSpacing/>
              <w:rPr>
                <w:rFonts w:ascii="Calibri" w:hAnsi="Calibri"/>
                <w:noProof/>
                <w:sz w:val="20"/>
                <w:szCs w:val="20"/>
              </w:rPr>
            </w:pPr>
            <w:r w:rsidRPr="00204223">
              <w:rPr>
                <w:rFonts w:ascii="Calibri" w:hAnsi="Calibri"/>
                <w:noProof/>
                <w:sz w:val="20"/>
                <w:szCs w:val="20"/>
              </w:rPr>
              <w:t>Lorraine R Reitzel,​ Yisheng Li,​ Diana W Stewart,​ Yumei Cao,​ David W Wetter,​ Andrew J Waters,​ Jennifer I Vidrine 2013 Race moderates the effect of menthol cigarette use on short-term smoking abstinence</w:t>
            </w:r>
            <w:r w:rsidR="007F2F01">
              <w:rPr>
                <w:rFonts w:ascii="Calibri" w:hAnsi="Calibri"/>
                <w:noProof/>
                <w:sz w:val="20"/>
                <w:szCs w:val="20"/>
              </w:rPr>
              <w:t>.</w:t>
            </w:r>
            <w:r w:rsidRPr="00204223">
              <w:rPr>
                <w:rFonts w:ascii="Calibri" w:hAnsi="Calibri"/>
                <w:noProof/>
                <w:sz w:val="20"/>
                <w:szCs w:val="20"/>
              </w:rPr>
              <w:t xml:space="preserve"> Nicotine &amp; tobacco research : official journal of the Society for Research on Nicotine and Tobacco; 15.883.</w:t>
            </w:r>
          </w:p>
        </w:tc>
      </w:tr>
      <w:tr w:rsidR="00EA69AA" w:rsidRPr="00204223" w14:paraId="0B02FB08"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32CD4FA"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538</w:t>
            </w:r>
          </w:p>
        </w:tc>
        <w:tc>
          <w:tcPr>
            <w:tcW w:w="0" w:type="auto"/>
            <w:tcBorders>
              <w:top w:val="single" w:sz="6" w:space="0" w:color="auto"/>
              <w:left w:val="single" w:sz="6" w:space="0" w:color="auto"/>
              <w:bottom w:val="single" w:sz="6" w:space="0" w:color="auto"/>
              <w:right w:val="single" w:sz="6" w:space="0" w:color="auto"/>
            </w:tcBorders>
            <w:hideMark/>
          </w:tcPr>
          <w:p w14:paraId="79F36F55" w14:textId="278CB0D2" w:rsidR="00EA69AA" w:rsidRPr="00204223" w:rsidRDefault="00EA69AA" w:rsidP="00EA69AA">
            <w:pPr>
              <w:contextualSpacing/>
              <w:rPr>
                <w:rFonts w:ascii="Calibri" w:hAnsi="Calibri"/>
                <w:noProof/>
                <w:sz w:val="20"/>
                <w:szCs w:val="20"/>
              </w:rPr>
            </w:pPr>
            <w:r w:rsidRPr="00204223">
              <w:rPr>
                <w:rFonts w:ascii="Calibri" w:hAnsi="Calibri"/>
                <w:noProof/>
                <w:sz w:val="20"/>
                <w:szCs w:val="20"/>
              </w:rPr>
              <w:t>Babalola Faseru,​ Nicole L Nollen,​ Matthew S Mayo,​ Ron Krebill,​ Won S Choi,​ Neal L Benowitz,​ Rachel F Tyndale,​ Kolawole S Okuyemi,​ Jasjit S Ahluwalia,​ Lisa Sanderson Cox 2013 Predictors of cessation in African American light smokers enrolled in a bupropion clinical trial</w:t>
            </w:r>
            <w:r w:rsidR="007F2F01">
              <w:rPr>
                <w:rFonts w:ascii="Calibri" w:hAnsi="Calibri"/>
                <w:noProof/>
                <w:sz w:val="20"/>
                <w:szCs w:val="20"/>
              </w:rPr>
              <w:t>.</w:t>
            </w:r>
            <w:r w:rsidRPr="00204223">
              <w:rPr>
                <w:rFonts w:ascii="Calibri" w:hAnsi="Calibri"/>
                <w:noProof/>
                <w:sz w:val="20"/>
                <w:szCs w:val="20"/>
              </w:rPr>
              <w:t xml:space="preserve"> Addictive behaviors; 38.1796.</w:t>
            </w:r>
          </w:p>
        </w:tc>
      </w:tr>
      <w:tr w:rsidR="00EA69AA" w:rsidRPr="00204223" w14:paraId="6CE4BED0"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C650BCB"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539</w:t>
            </w:r>
          </w:p>
        </w:tc>
        <w:tc>
          <w:tcPr>
            <w:tcW w:w="0" w:type="auto"/>
            <w:tcBorders>
              <w:top w:val="single" w:sz="6" w:space="0" w:color="auto"/>
              <w:left w:val="single" w:sz="6" w:space="0" w:color="auto"/>
              <w:bottom w:val="single" w:sz="6" w:space="0" w:color="auto"/>
              <w:right w:val="single" w:sz="6" w:space="0" w:color="auto"/>
            </w:tcBorders>
            <w:hideMark/>
          </w:tcPr>
          <w:p w14:paraId="1B8232D4" w14:textId="5B68249B" w:rsidR="00EA69AA" w:rsidRPr="00204223" w:rsidRDefault="00EA69AA" w:rsidP="00EA69AA">
            <w:pPr>
              <w:contextualSpacing/>
              <w:rPr>
                <w:rFonts w:ascii="Calibri" w:hAnsi="Calibri"/>
                <w:noProof/>
                <w:sz w:val="20"/>
                <w:szCs w:val="20"/>
              </w:rPr>
            </w:pPr>
            <w:r w:rsidRPr="00204223">
              <w:rPr>
                <w:rFonts w:ascii="Calibri" w:hAnsi="Calibri"/>
                <w:noProof/>
                <w:sz w:val="20"/>
                <w:szCs w:val="20"/>
              </w:rPr>
              <w:t>Miranda R Jones,​ Benjamin J Apelberg,​ Maria Tellez-Plaza,​ Jonathan M Samet,​ Ana Navas-Acien 2013 Menthol cigarettes,​ race/ethnicity,​ and biomarkers of tobacco use in U.S. adults: the 1999-2010 National Health and Nutrition Examination Survey (NHANES)</w:t>
            </w:r>
            <w:r w:rsidR="007F2F01">
              <w:rPr>
                <w:rFonts w:ascii="Calibri" w:hAnsi="Calibri"/>
                <w:noProof/>
                <w:sz w:val="20"/>
                <w:szCs w:val="20"/>
              </w:rPr>
              <w:t>.</w:t>
            </w:r>
            <w:r w:rsidRPr="00204223">
              <w:rPr>
                <w:rFonts w:ascii="Calibri" w:hAnsi="Calibri"/>
                <w:noProof/>
                <w:sz w:val="20"/>
                <w:szCs w:val="20"/>
              </w:rPr>
              <w:t xml:space="preserve"> Cancer epidemiology,​ biomarkers &amp; prevention : a publication of the American Association for Cancer Research,​ cosponsored by the American Society of Preventive Oncology; 22.224.</w:t>
            </w:r>
          </w:p>
        </w:tc>
      </w:tr>
      <w:tr w:rsidR="00EA69AA" w:rsidRPr="00204223" w14:paraId="4A1F44B5"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E791C90"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540</w:t>
            </w:r>
          </w:p>
        </w:tc>
        <w:tc>
          <w:tcPr>
            <w:tcW w:w="0" w:type="auto"/>
            <w:tcBorders>
              <w:top w:val="single" w:sz="6" w:space="0" w:color="auto"/>
              <w:left w:val="single" w:sz="6" w:space="0" w:color="auto"/>
              <w:bottom w:val="single" w:sz="6" w:space="0" w:color="auto"/>
              <w:right w:val="single" w:sz="6" w:space="0" w:color="auto"/>
            </w:tcBorders>
            <w:hideMark/>
          </w:tcPr>
          <w:p w14:paraId="2749827A" w14:textId="45513C1E" w:rsidR="00EA69AA" w:rsidRPr="00204223" w:rsidRDefault="00EA69AA" w:rsidP="00EA69AA">
            <w:pPr>
              <w:contextualSpacing/>
              <w:rPr>
                <w:rFonts w:ascii="Calibri" w:hAnsi="Calibri"/>
                <w:noProof/>
                <w:sz w:val="20"/>
                <w:szCs w:val="20"/>
              </w:rPr>
            </w:pPr>
            <w:r w:rsidRPr="00204223">
              <w:rPr>
                <w:rFonts w:ascii="Calibri" w:hAnsi="Calibri"/>
                <w:noProof/>
                <w:sz w:val="20"/>
                <w:szCs w:val="20"/>
              </w:rPr>
              <w:t>Miranda R Jones,​ Benjamin J Apelberg,​ Jonathan M Samet,​ Ana Navas-Acien 2013 Smoking,​ menthol cigarettes,​ and peripheral artery disease in U.S. adults</w:t>
            </w:r>
            <w:r w:rsidR="007F2F01">
              <w:rPr>
                <w:rFonts w:ascii="Calibri" w:hAnsi="Calibri"/>
                <w:noProof/>
                <w:sz w:val="20"/>
                <w:szCs w:val="20"/>
              </w:rPr>
              <w:t>.</w:t>
            </w:r>
            <w:r w:rsidRPr="00204223">
              <w:rPr>
                <w:rFonts w:ascii="Calibri" w:hAnsi="Calibri"/>
                <w:noProof/>
                <w:sz w:val="20"/>
                <w:szCs w:val="20"/>
              </w:rPr>
              <w:t xml:space="preserve"> Nicotine &amp; tobacco research : official journal of the Society for Research on Nicotine and Tobacco; 15.1183.</w:t>
            </w:r>
          </w:p>
        </w:tc>
      </w:tr>
      <w:tr w:rsidR="00EA69AA" w:rsidRPr="00204223" w14:paraId="224700F0"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C9BAB0C"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541</w:t>
            </w:r>
          </w:p>
        </w:tc>
        <w:tc>
          <w:tcPr>
            <w:tcW w:w="0" w:type="auto"/>
            <w:tcBorders>
              <w:top w:val="single" w:sz="6" w:space="0" w:color="auto"/>
              <w:left w:val="single" w:sz="6" w:space="0" w:color="auto"/>
              <w:bottom w:val="single" w:sz="6" w:space="0" w:color="auto"/>
              <w:right w:val="single" w:sz="6" w:space="0" w:color="auto"/>
            </w:tcBorders>
            <w:hideMark/>
          </w:tcPr>
          <w:p w14:paraId="6AFDB649" w14:textId="587C18F9" w:rsidR="00EA69AA" w:rsidRPr="00204223" w:rsidRDefault="00EA69AA" w:rsidP="00EA69AA">
            <w:pPr>
              <w:contextualSpacing/>
              <w:rPr>
                <w:rFonts w:ascii="Calibri" w:hAnsi="Calibri"/>
                <w:noProof/>
                <w:sz w:val="20"/>
                <w:szCs w:val="20"/>
              </w:rPr>
            </w:pPr>
            <w:r w:rsidRPr="00204223">
              <w:rPr>
                <w:rFonts w:ascii="Calibri" w:hAnsi="Calibri"/>
                <w:noProof/>
                <w:sz w:val="20"/>
                <w:szCs w:val="20"/>
              </w:rPr>
              <w:t>Arthur L Brody,​ Alexey G Mukhin,​ Jaime La Charite,​ Karen Ta,​ Judah Farahi,​ Catherine A Sugar,​ Michael S Mamoun,​ Evan Vellios,​ Meena Archie,​ Maggie Kozman,​ Jonathan Phuong,​ Franca Arlorio,​ Mark A Mandelkern 2013 Up-regulation of nicotinic acetylcholine receptors in menthol cigarette smokers</w:t>
            </w:r>
            <w:r w:rsidR="007F2F01">
              <w:rPr>
                <w:rFonts w:ascii="Calibri" w:hAnsi="Calibri"/>
                <w:noProof/>
                <w:sz w:val="20"/>
                <w:szCs w:val="20"/>
              </w:rPr>
              <w:t>.</w:t>
            </w:r>
            <w:r w:rsidRPr="00204223">
              <w:rPr>
                <w:rFonts w:ascii="Calibri" w:hAnsi="Calibri"/>
                <w:noProof/>
                <w:sz w:val="20"/>
                <w:szCs w:val="20"/>
              </w:rPr>
              <w:t xml:space="preserve"> The international journal of neuropsychopharmacology; 16.957.</w:t>
            </w:r>
          </w:p>
        </w:tc>
      </w:tr>
      <w:tr w:rsidR="00EA69AA" w:rsidRPr="00204223" w14:paraId="62F8D1CB"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8FBB8C1"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544</w:t>
            </w:r>
          </w:p>
        </w:tc>
        <w:tc>
          <w:tcPr>
            <w:tcW w:w="0" w:type="auto"/>
            <w:tcBorders>
              <w:top w:val="single" w:sz="6" w:space="0" w:color="auto"/>
              <w:left w:val="single" w:sz="6" w:space="0" w:color="auto"/>
              <w:bottom w:val="single" w:sz="6" w:space="0" w:color="auto"/>
              <w:right w:val="single" w:sz="6" w:space="0" w:color="auto"/>
            </w:tcBorders>
            <w:hideMark/>
          </w:tcPr>
          <w:p w14:paraId="0BEB751F" w14:textId="2BD6ECA3" w:rsidR="00EA69AA" w:rsidRPr="00204223" w:rsidRDefault="00EA69AA" w:rsidP="00EA69AA">
            <w:pPr>
              <w:contextualSpacing/>
              <w:rPr>
                <w:rFonts w:ascii="Calibri" w:hAnsi="Calibri"/>
                <w:noProof/>
                <w:sz w:val="20"/>
                <w:szCs w:val="20"/>
              </w:rPr>
            </w:pPr>
            <w:r w:rsidRPr="00204223">
              <w:rPr>
                <w:rFonts w:ascii="Calibri" w:hAnsi="Calibri"/>
                <w:noProof/>
                <w:sz w:val="20"/>
                <w:szCs w:val="20"/>
              </w:rPr>
              <w:t>Brian Rostron 2013 NNAL exposure by race and menthol cigarette use among U.S. smokers</w:t>
            </w:r>
            <w:r w:rsidR="007F2F01">
              <w:rPr>
                <w:rFonts w:ascii="Calibri" w:hAnsi="Calibri"/>
                <w:noProof/>
                <w:sz w:val="20"/>
                <w:szCs w:val="20"/>
              </w:rPr>
              <w:t>.</w:t>
            </w:r>
            <w:r w:rsidRPr="00204223">
              <w:rPr>
                <w:rFonts w:ascii="Calibri" w:hAnsi="Calibri"/>
                <w:noProof/>
                <w:sz w:val="20"/>
                <w:szCs w:val="20"/>
              </w:rPr>
              <w:t xml:space="preserve"> Nicotine &amp; tobacco research : official journal of the Society for Research on Nicotine and Tobacco; 15.950.</w:t>
            </w:r>
          </w:p>
        </w:tc>
      </w:tr>
      <w:tr w:rsidR="00EA69AA" w:rsidRPr="00204223" w14:paraId="2452EEE0"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E954709"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lastRenderedPageBreak/>
              <w:t>546</w:t>
            </w:r>
          </w:p>
        </w:tc>
        <w:tc>
          <w:tcPr>
            <w:tcW w:w="0" w:type="auto"/>
            <w:tcBorders>
              <w:top w:val="single" w:sz="6" w:space="0" w:color="auto"/>
              <w:left w:val="single" w:sz="6" w:space="0" w:color="auto"/>
              <w:bottom w:val="single" w:sz="6" w:space="0" w:color="auto"/>
              <w:right w:val="single" w:sz="6" w:space="0" w:color="auto"/>
            </w:tcBorders>
            <w:hideMark/>
          </w:tcPr>
          <w:p w14:paraId="3FD332DC" w14:textId="6F40FD6F" w:rsidR="00EA69AA" w:rsidRPr="00204223" w:rsidRDefault="00EA69AA" w:rsidP="00EA69AA">
            <w:pPr>
              <w:contextualSpacing/>
              <w:rPr>
                <w:rFonts w:ascii="Calibri" w:hAnsi="Calibri"/>
                <w:noProof/>
                <w:sz w:val="20"/>
                <w:szCs w:val="20"/>
              </w:rPr>
            </w:pPr>
            <w:r w:rsidRPr="00204223">
              <w:rPr>
                <w:rFonts w:ascii="Calibri" w:hAnsi="Calibri"/>
                <w:noProof/>
                <w:sz w:val="20"/>
                <w:szCs w:val="20"/>
              </w:rPr>
              <w:t>James Nonnemaker,​ James Hersey,​ Ghada Homsi,​ Andrew Busey,​ Jane Allen,​ Donna Vallone 2013 Initiation with menthol cigarettes and youth smoking uptake</w:t>
            </w:r>
            <w:r w:rsidR="007F2F01">
              <w:rPr>
                <w:rFonts w:ascii="Calibri" w:hAnsi="Calibri"/>
                <w:noProof/>
                <w:sz w:val="20"/>
                <w:szCs w:val="20"/>
              </w:rPr>
              <w:t>.</w:t>
            </w:r>
            <w:r w:rsidRPr="00204223">
              <w:rPr>
                <w:rFonts w:ascii="Calibri" w:hAnsi="Calibri"/>
                <w:noProof/>
                <w:sz w:val="20"/>
                <w:szCs w:val="20"/>
              </w:rPr>
              <w:t xml:space="preserve"> Addiction (Abingdon,​ England); 108.171.</w:t>
            </w:r>
          </w:p>
        </w:tc>
      </w:tr>
      <w:tr w:rsidR="00EA69AA" w:rsidRPr="00204223" w14:paraId="4EEF9B88"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CA2CFC2"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550</w:t>
            </w:r>
          </w:p>
        </w:tc>
        <w:tc>
          <w:tcPr>
            <w:tcW w:w="0" w:type="auto"/>
            <w:tcBorders>
              <w:top w:val="single" w:sz="6" w:space="0" w:color="auto"/>
              <w:left w:val="single" w:sz="6" w:space="0" w:color="auto"/>
              <w:bottom w:val="single" w:sz="6" w:space="0" w:color="auto"/>
              <w:right w:val="single" w:sz="6" w:space="0" w:color="auto"/>
            </w:tcBorders>
            <w:hideMark/>
          </w:tcPr>
          <w:p w14:paraId="2D090AC9" w14:textId="2B476B75" w:rsidR="00EA69AA" w:rsidRPr="00204223" w:rsidRDefault="00EA69AA" w:rsidP="00EA69AA">
            <w:pPr>
              <w:contextualSpacing/>
              <w:rPr>
                <w:rFonts w:ascii="Calibri" w:hAnsi="Calibri"/>
                <w:noProof/>
                <w:sz w:val="20"/>
                <w:szCs w:val="20"/>
              </w:rPr>
            </w:pPr>
            <w:r w:rsidRPr="00204223">
              <w:rPr>
                <w:rFonts w:ascii="Calibri" w:hAnsi="Calibri"/>
                <w:noProof/>
                <w:sz w:val="20"/>
                <w:szCs w:val="20"/>
              </w:rPr>
              <w:t>Joanne D'Silva,​ Raymond G Boyle,​ Rebecca Lien,​ Peter Rode,​ Kolawole S Okuyemi 2012 Cessation outcomes among treatment-seeking menthol and nonmenthol smokers</w:t>
            </w:r>
            <w:r w:rsidR="007F2F01">
              <w:rPr>
                <w:rFonts w:ascii="Calibri" w:hAnsi="Calibri"/>
                <w:noProof/>
                <w:sz w:val="20"/>
                <w:szCs w:val="20"/>
              </w:rPr>
              <w:t>.</w:t>
            </w:r>
            <w:r w:rsidRPr="00204223">
              <w:rPr>
                <w:rFonts w:ascii="Calibri" w:hAnsi="Calibri"/>
                <w:noProof/>
                <w:sz w:val="20"/>
                <w:szCs w:val="20"/>
              </w:rPr>
              <w:t xml:space="preserve"> American journal of preventive medicine; 43.S242.</w:t>
            </w:r>
          </w:p>
        </w:tc>
      </w:tr>
      <w:tr w:rsidR="00EA69AA" w:rsidRPr="00204223" w14:paraId="22D9F3B9"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92E9A6E"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552</w:t>
            </w:r>
          </w:p>
        </w:tc>
        <w:tc>
          <w:tcPr>
            <w:tcW w:w="0" w:type="auto"/>
            <w:tcBorders>
              <w:top w:val="single" w:sz="6" w:space="0" w:color="auto"/>
              <w:left w:val="single" w:sz="6" w:space="0" w:color="auto"/>
              <w:bottom w:val="single" w:sz="6" w:space="0" w:color="auto"/>
              <w:right w:val="single" w:sz="6" w:space="0" w:color="auto"/>
            </w:tcBorders>
            <w:hideMark/>
          </w:tcPr>
          <w:p w14:paraId="6BE7489F" w14:textId="6DF24324" w:rsidR="00EA69AA" w:rsidRPr="00204223" w:rsidRDefault="00EA69AA" w:rsidP="00EA69AA">
            <w:pPr>
              <w:contextualSpacing/>
              <w:rPr>
                <w:rFonts w:ascii="Calibri" w:hAnsi="Calibri"/>
                <w:noProof/>
                <w:sz w:val="20"/>
                <w:szCs w:val="20"/>
              </w:rPr>
            </w:pPr>
            <w:r w:rsidRPr="00204223">
              <w:rPr>
                <w:rFonts w:ascii="Calibri" w:hAnsi="Calibri"/>
                <w:noProof/>
                <w:sz w:val="20"/>
                <w:szCs w:val="20"/>
              </w:rPr>
              <w:t>Jennifer L Pearson,​ David B Abrams,​ Raymond S Niaura,​ Amanda Richardson,​ Donna M Vallone 2012 A ban on menthol cigarettes: impact on public opinion and smokers' intention to quit</w:t>
            </w:r>
            <w:r w:rsidR="007F2F01">
              <w:rPr>
                <w:rFonts w:ascii="Calibri" w:hAnsi="Calibri"/>
                <w:noProof/>
                <w:sz w:val="20"/>
                <w:szCs w:val="20"/>
              </w:rPr>
              <w:t>.</w:t>
            </w:r>
            <w:r w:rsidRPr="00204223">
              <w:rPr>
                <w:rFonts w:ascii="Calibri" w:hAnsi="Calibri"/>
                <w:noProof/>
                <w:sz w:val="20"/>
                <w:szCs w:val="20"/>
              </w:rPr>
              <w:t xml:space="preserve"> American journal of public health; 102.e107.</w:t>
            </w:r>
          </w:p>
        </w:tc>
      </w:tr>
      <w:tr w:rsidR="00EA69AA" w:rsidRPr="00204223" w14:paraId="15591303"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E67D2B5"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560</w:t>
            </w:r>
          </w:p>
        </w:tc>
        <w:tc>
          <w:tcPr>
            <w:tcW w:w="0" w:type="auto"/>
            <w:tcBorders>
              <w:top w:val="single" w:sz="6" w:space="0" w:color="auto"/>
              <w:left w:val="single" w:sz="6" w:space="0" w:color="auto"/>
              <w:bottom w:val="single" w:sz="6" w:space="0" w:color="auto"/>
              <w:right w:val="single" w:sz="6" w:space="0" w:color="auto"/>
            </w:tcBorders>
            <w:hideMark/>
          </w:tcPr>
          <w:p w14:paraId="100B1CB5" w14:textId="02069B8A" w:rsidR="00EA69AA" w:rsidRPr="00204223" w:rsidRDefault="00EA69AA" w:rsidP="00EA69AA">
            <w:pPr>
              <w:contextualSpacing/>
              <w:rPr>
                <w:rFonts w:ascii="Calibri" w:hAnsi="Calibri"/>
                <w:noProof/>
                <w:sz w:val="20"/>
                <w:szCs w:val="20"/>
              </w:rPr>
            </w:pPr>
            <w:r w:rsidRPr="00204223">
              <w:rPr>
                <w:rFonts w:ascii="Calibri" w:hAnsi="Calibri"/>
                <w:noProof/>
                <w:sz w:val="20"/>
                <w:szCs w:val="20"/>
              </w:rPr>
              <w:t>Andrea C Villanti,​ Gary A Giovino,​ Dianne C Barker,​ Paul D Mowery,​ Varadan Sevilimedu,​ David B Abrams 2012 Menthol brand switching among adolescents and young adults in the National Youth Smoking Cessation Survey</w:t>
            </w:r>
            <w:r w:rsidR="007F2F01">
              <w:rPr>
                <w:rFonts w:ascii="Calibri" w:hAnsi="Calibri"/>
                <w:noProof/>
                <w:sz w:val="20"/>
                <w:szCs w:val="20"/>
              </w:rPr>
              <w:t>.</w:t>
            </w:r>
            <w:r w:rsidRPr="00204223">
              <w:rPr>
                <w:rFonts w:ascii="Calibri" w:hAnsi="Calibri"/>
                <w:noProof/>
                <w:sz w:val="20"/>
                <w:szCs w:val="20"/>
              </w:rPr>
              <w:t xml:space="preserve"> American journal of public health; 102.1310.</w:t>
            </w:r>
          </w:p>
        </w:tc>
      </w:tr>
      <w:tr w:rsidR="00EA69AA" w:rsidRPr="00204223" w14:paraId="50A40548"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53B29F7"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565</w:t>
            </w:r>
          </w:p>
        </w:tc>
        <w:tc>
          <w:tcPr>
            <w:tcW w:w="0" w:type="auto"/>
            <w:tcBorders>
              <w:top w:val="single" w:sz="6" w:space="0" w:color="auto"/>
              <w:left w:val="single" w:sz="6" w:space="0" w:color="auto"/>
              <w:bottom w:val="single" w:sz="6" w:space="0" w:color="auto"/>
              <w:right w:val="single" w:sz="6" w:space="0" w:color="auto"/>
            </w:tcBorders>
            <w:hideMark/>
          </w:tcPr>
          <w:p w14:paraId="19C5B456" w14:textId="5289C07E" w:rsidR="00EA69AA" w:rsidRPr="00204223" w:rsidRDefault="00EA69AA" w:rsidP="00EA69AA">
            <w:pPr>
              <w:contextualSpacing/>
              <w:rPr>
                <w:rFonts w:ascii="Calibri" w:hAnsi="Calibri"/>
                <w:noProof/>
                <w:sz w:val="20"/>
                <w:szCs w:val="20"/>
              </w:rPr>
            </w:pPr>
            <w:r w:rsidRPr="00204223">
              <w:rPr>
                <w:rFonts w:ascii="Calibri" w:hAnsi="Calibri"/>
                <w:noProof/>
                <w:sz w:val="20"/>
                <w:szCs w:val="20"/>
              </w:rPr>
              <w:t>Richard J O'Connor,​ Maansi Bansal-Travers,​ Lawrence P Carter,​ K Michael Cummings 2012 What would menthol smokers do if menthol in cigarettes were banned? Behavioral intentions and simulated demand</w:t>
            </w:r>
            <w:r w:rsidR="007F2F01">
              <w:rPr>
                <w:rFonts w:ascii="Calibri" w:hAnsi="Calibri"/>
                <w:noProof/>
                <w:sz w:val="20"/>
                <w:szCs w:val="20"/>
              </w:rPr>
              <w:t>.</w:t>
            </w:r>
            <w:r w:rsidRPr="00204223">
              <w:rPr>
                <w:rFonts w:ascii="Calibri" w:hAnsi="Calibri"/>
                <w:noProof/>
                <w:sz w:val="20"/>
                <w:szCs w:val="20"/>
              </w:rPr>
              <w:t xml:space="preserve"> Addiction (Abingdon,​ England); 107.1330.</w:t>
            </w:r>
          </w:p>
        </w:tc>
      </w:tr>
      <w:tr w:rsidR="00EA69AA" w:rsidRPr="00204223" w14:paraId="1BF10DC9"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F6B8448"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569</w:t>
            </w:r>
          </w:p>
        </w:tc>
        <w:tc>
          <w:tcPr>
            <w:tcW w:w="0" w:type="auto"/>
            <w:tcBorders>
              <w:top w:val="single" w:sz="6" w:space="0" w:color="auto"/>
              <w:left w:val="single" w:sz="6" w:space="0" w:color="auto"/>
              <w:bottom w:val="single" w:sz="6" w:space="0" w:color="auto"/>
              <w:right w:val="single" w:sz="6" w:space="0" w:color="auto"/>
            </w:tcBorders>
            <w:hideMark/>
          </w:tcPr>
          <w:p w14:paraId="1ABE91EE" w14:textId="09AA86EF" w:rsidR="00EA69AA" w:rsidRPr="00204223" w:rsidRDefault="00EA69AA" w:rsidP="00EA69AA">
            <w:pPr>
              <w:contextualSpacing/>
              <w:rPr>
                <w:rFonts w:ascii="Calibri" w:hAnsi="Calibri"/>
                <w:noProof/>
                <w:sz w:val="20"/>
                <w:szCs w:val="20"/>
              </w:rPr>
            </w:pPr>
            <w:r w:rsidRPr="00204223">
              <w:rPr>
                <w:rFonts w:ascii="Calibri" w:hAnsi="Calibri"/>
                <w:noProof/>
                <w:sz w:val="20"/>
                <w:szCs w:val="20"/>
              </w:rPr>
              <w:t>Brian Rostron 2012 Lung cancer mortality risk for U.S. menthol cigarette smokers</w:t>
            </w:r>
            <w:r w:rsidR="007F2F01">
              <w:rPr>
                <w:rFonts w:ascii="Calibri" w:hAnsi="Calibri"/>
                <w:noProof/>
                <w:sz w:val="20"/>
                <w:szCs w:val="20"/>
              </w:rPr>
              <w:t>.</w:t>
            </w:r>
            <w:r w:rsidRPr="00204223">
              <w:rPr>
                <w:rFonts w:ascii="Calibri" w:hAnsi="Calibri"/>
                <w:noProof/>
                <w:sz w:val="20"/>
                <w:szCs w:val="20"/>
              </w:rPr>
              <w:t xml:space="preserve"> Nicotine &amp; tobacco research : official journal of the Society for Research on Nicotine and Tobacco; 14.1140.</w:t>
            </w:r>
          </w:p>
        </w:tc>
      </w:tr>
      <w:tr w:rsidR="00EA69AA" w:rsidRPr="00204223" w14:paraId="7391D9FD"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9AAA5F3"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578</w:t>
            </w:r>
          </w:p>
        </w:tc>
        <w:tc>
          <w:tcPr>
            <w:tcW w:w="0" w:type="auto"/>
            <w:tcBorders>
              <w:top w:val="single" w:sz="6" w:space="0" w:color="auto"/>
              <w:left w:val="single" w:sz="6" w:space="0" w:color="auto"/>
              <w:bottom w:val="single" w:sz="6" w:space="0" w:color="auto"/>
              <w:right w:val="single" w:sz="6" w:space="0" w:color="auto"/>
            </w:tcBorders>
            <w:hideMark/>
          </w:tcPr>
          <w:p w14:paraId="72AD0B27" w14:textId="6E072B2E" w:rsidR="00EA69AA" w:rsidRPr="00204223" w:rsidRDefault="00EA69AA" w:rsidP="00EA69AA">
            <w:pPr>
              <w:contextualSpacing/>
              <w:rPr>
                <w:rFonts w:ascii="Calibri" w:hAnsi="Calibri"/>
                <w:noProof/>
                <w:sz w:val="20"/>
                <w:szCs w:val="20"/>
              </w:rPr>
            </w:pPr>
            <w:r w:rsidRPr="00204223">
              <w:rPr>
                <w:rFonts w:ascii="Calibri" w:hAnsi="Calibri"/>
                <w:noProof/>
                <w:sz w:val="20"/>
                <w:szCs w:val="20"/>
              </w:rPr>
              <w:t>Jennifer W Kahende,​ Ann M Malarcher,​ Anna Teplinskaya,​ Kat J Asman 2011 Quit attempt correlates among smokers by race/ethnicity</w:t>
            </w:r>
            <w:r w:rsidR="007F2F01">
              <w:rPr>
                <w:rFonts w:ascii="Calibri" w:hAnsi="Calibri"/>
                <w:noProof/>
                <w:sz w:val="20"/>
                <w:szCs w:val="20"/>
              </w:rPr>
              <w:t>.</w:t>
            </w:r>
            <w:r w:rsidRPr="00204223">
              <w:rPr>
                <w:rFonts w:ascii="Calibri" w:hAnsi="Calibri"/>
                <w:noProof/>
                <w:sz w:val="20"/>
                <w:szCs w:val="20"/>
              </w:rPr>
              <w:t xml:space="preserve"> International journal of environmental research and public health; 8.3871.</w:t>
            </w:r>
          </w:p>
        </w:tc>
      </w:tr>
      <w:tr w:rsidR="00EA69AA" w:rsidRPr="00204223" w14:paraId="4F945334"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D64C4CF"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579</w:t>
            </w:r>
          </w:p>
        </w:tc>
        <w:tc>
          <w:tcPr>
            <w:tcW w:w="0" w:type="auto"/>
            <w:tcBorders>
              <w:top w:val="single" w:sz="6" w:space="0" w:color="auto"/>
              <w:left w:val="single" w:sz="6" w:space="0" w:color="auto"/>
              <w:bottom w:val="single" w:sz="6" w:space="0" w:color="auto"/>
              <w:right w:val="single" w:sz="6" w:space="0" w:color="auto"/>
            </w:tcBorders>
            <w:hideMark/>
          </w:tcPr>
          <w:p w14:paraId="5DDF0374" w14:textId="241071EF" w:rsidR="00EA69AA" w:rsidRPr="00204223" w:rsidRDefault="00EA69AA" w:rsidP="00EA69AA">
            <w:pPr>
              <w:contextualSpacing/>
              <w:rPr>
                <w:rFonts w:ascii="Calibri" w:hAnsi="Calibri"/>
                <w:noProof/>
                <w:sz w:val="20"/>
                <w:szCs w:val="20"/>
              </w:rPr>
            </w:pPr>
            <w:r w:rsidRPr="00204223">
              <w:rPr>
                <w:rFonts w:ascii="Calibri" w:hAnsi="Calibri"/>
                <w:noProof/>
                <w:sz w:val="20"/>
                <w:szCs w:val="20"/>
              </w:rPr>
              <w:t>Cristine D Delnevo,​ Daniel A Gundersen,​ Mary Hrywna,​ Sandra E Echeverria,​ Michael B Steinberg 2011 Smoking-cessation prevalence among U.S. smokers of menthol versus non-menthol cigarettes</w:t>
            </w:r>
            <w:r w:rsidR="007F2F01">
              <w:rPr>
                <w:rFonts w:ascii="Calibri" w:hAnsi="Calibri"/>
                <w:noProof/>
                <w:sz w:val="20"/>
                <w:szCs w:val="20"/>
              </w:rPr>
              <w:t>.</w:t>
            </w:r>
            <w:r w:rsidRPr="00204223">
              <w:rPr>
                <w:rFonts w:ascii="Calibri" w:hAnsi="Calibri"/>
                <w:noProof/>
                <w:sz w:val="20"/>
                <w:szCs w:val="20"/>
              </w:rPr>
              <w:t xml:space="preserve"> American journal of preventive medicine; 41.357.</w:t>
            </w:r>
          </w:p>
        </w:tc>
      </w:tr>
      <w:tr w:rsidR="00EA69AA" w:rsidRPr="00204223" w14:paraId="77ACE31C"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848D879"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582</w:t>
            </w:r>
          </w:p>
        </w:tc>
        <w:tc>
          <w:tcPr>
            <w:tcW w:w="0" w:type="auto"/>
            <w:tcBorders>
              <w:top w:val="single" w:sz="6" w:space="0" w:color="auto"/>
              <w:left w:val="single" w:sz="6" w:space="0" w:color="auto"/>
              <w:bottom w:val="single" w:sz="6" w:space="0" w:color="auto"/>
              <w:right w:val="single" w:sz="6" w:space="0" w:color="auto"/>
            </w:tcBorders>
            <w:hideMark/>
          </w:tcPr>
          <w:p w14:paraId="6DA5409E" w14:textId="25EF98CB" w:rsidR="00EA69AA" w:rsidRPr="00204223" w:rsidRDefault="00EA69AA" w:rsidP="00EA69AA">
            <w:pPr>
              <w:contextualSpacing/>
              <w:rPr>
                <w:rFonts w:ascii="Calibri" w:hAnsi="Calibri"/>
                <w:noProof/>
                <w:sz w:val="20"/>
                <w:szCs w:val="20"/>
              </w:rPr>
            </w:pPr>
            <w:r w:rsidRPr="00204223">
              <w:rPr>
                <w:rFonts w:ascii="Calibri" w:hAnsi="Calibri"/>
                <w:noProof/>
                <w:sz w:val="20"/>
                <w:szCs w:val="20"/>
              </w:rPr>
              <w:t>Babalola Faseru,​ Won S Choi,​ Ron Krebill,​ Matthew S Mayo,​ Nicole L Nollen,​ Kolawole S Okuyemi,​ Jasjit S Ahluwalia,​ Lisa Sanderson Cox 2011 Factors associated with smoking menthol cigarettes among treatment-seeking African American light smokers</w:t>
            </w:r>
            <w:r w:rsidR="007F2F01">
              <w:rPr>
                <w:rFonts w:ascii="Calibri" w:hAnsi="Calibri"/>
                <w:noProof/>
                <w:sz w:val="20"/>
                <w:szCs w:val="20"/>
              </w:rPr>
              <w:t>.</w:t>
            </w:r>
            <w:r w:rsidRPr="00204223">
              <w:rPr>
                <w:rFonts w:ascii="Calibri" w:hAnsi="Calibri"/>
                <w:noProof/>
                <w:sz w:val="20"/>
                <w:szCs w:val="20"/>
              </w:rPr>
              <w:t xml:space="preserve"> Addictive behaviors; 36.1321.</w:t>
            </w:r>
          </w:p>
        </w:tc>
      </w:tr>
      <w:tr w:rsidR="00EA69AA" w:rsidRPr="00204223" w14:paraId="74A99CFB"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E9190CC"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588</w:t>
            </w:r>
          </w:p>
        </w:tc>
        <w:tc>
          <w:tcPr>
            <w:tcW w:w="0" w:type="auto"/>
            <w:tcBorders>
              <w:top w:val="single" w:sz="6" w:space="0" w:color="auto"/>
              <w:left w:val="single" w:sz="6" w:space="0" w:color="auto"/>
              <w:bottom w:val="single" w:sz="6" w:space="0" w:color="auto"/>
              <w:right w:val="single" w:sz="6" w:space="0" w:color="auto"/>
            </w:tcBorders>
            <w:hideMark/>
          </w:tcPr>
          <w:p w14:paraId="716CC40A" w14:textId="73C57BB6" w:rsidR="00EA69AA" w:rsidRPr="00204223" w:rsidRDefault="00EA69AA" w:rsidP="00EA69AA">
            <w:pPr>
              <w:contextualSpacing/>
              <w:rPr>
                <w:rFonts w:ascii="Calibri" w:hAnsi="Calibri"/>
                <w:noProof/>
                <w:sz w:val="20"/>
                <w:szCs w:val="20"/>
              </w:rPr>
            </w:pPr>
            <w:r w:rsidRPr="00204223">
              <w:rPr>
                <w:rFonts w:ascii="Calibri" w:hAnsi="Calibri"/>
                <w:noProof/>
                <w:sz w:val="20"/>
                <w:szCs w:val="20"/>
              </w:rPr>
              <w:t>Lorraine R Reitzel,​ Nga Nguyen,​ Yumei Cao,​ Jennifer Irvin Vidrine,​ Patricia Daza,​ Patricia Dolan Mullen,​ Mary M Velasquez,​ Yisheng Li,​ Paul M Cinciripini,​ Ludmila Cofta-Woerpel,​ David W Wetter 2011 Race/ethnicity moderates the effect of prepartum menthol cigarette use on postpartum smoking abstinence</w:t>
            </w:r>
            <w:r w:rsidR="007F2F01">
              <w:rPr>
                <w:rFonts w:ascii="Calibri" w:hAnsi="Calibri"/>
                <w:noProof/>
                <w:sz w:val="20"/>
                <w:szCs w:val="20"/>
              </w:rPr>
              <w:t>.</w:t>
            </w:r>
            <w:r w:rsidRPr="00204223">
              <w:rPr>
                <w:rFonts w:ascii="Calibri" w:hAnsi="Calibri"/>
                <w:noProof/>
                <w:sz w:val="20"/>
                <w:szCs w:val="20"/>
              </w:rPr>
              <w:t xml:space="preserve"> Nicotine &amp; tobacco research : official journal of the Society for Research on Nicotine and Tobacco; 13.1305.</w:t>
            </w:r>
          </w:p>
        </w:tc>
      </w:tr>
      <w:tr w:rsidR="00EA69AA" w:rsidRPr="00204223" w14:paraId="62031496"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9F83203"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591</w:t>
            </w:r>
          </w:p>
        </w:tc>
        <w:tc>
          <w:tcPr>
            <w:tcW w:w="0" w:type="auto"/>
            <w:tcBorders>
              <w:top w:val="single" w:sz="6" w:space="0" w:color="auto"/>
              <w:left w:val="single" w:sz="6" w:space="0" w:color="auto"/>
              <w:bottom w:val="single" w:sz="6" w:space="0" w:color="auto"/>
              <w:right w:val="single" w:sz="6" w:space="0" w:color="auto"/>
            </w:tcBorders>
            <w:hideMark/>
          </w:tcPr>
          <w:p w14:paraId="31A35510" w14:textId="7A27D865" w:rsidR="00EA69AA" w:rsidRPr="00204223" w:rsidRDefault="00EA69AA" w:rsidP="00EA69AA">
            <w:pPr>
              <w:contextualSpacing/>
              <w:rPr>
                <w:rFonts w:ascii="Calibri" w:hAnsi="Calibri"/>
                <w:noProof/>
                <w:sz w:val="20"/>
                <w:szCs w:val="20"/>
              </w:rPr>
            </w:pPr>
            <w:r w:rsidRPr="00204223">
              <w:rPr>
                <w:rFonts w:ascii="Calibri" w:hAnsi="Calibri"/>
                <w:noProof/>
                <w:sz w:val="20"/>
                <w:szCs w:val="20"/>
              </w:rPr>
              <w:t>David T Levy,​ Kenneth Blackman,​ John Tauras,​ Frank J Chaloupka,​ Andrea C Villanti,​ Raymond S Niaura,​ Donna M Vallone,​ David B Abrams 2011 Quit attempts and quit rates among menthol and nonmenthol smokers in the United States</w:t>
            </w:r>
            <w:r w:rsidR="007F2F01">
              <w:rPr>
                <w:rFonts w:ascii="Calibri" w:hAnsi="Calibri"/>
                <w:noProof/>
                <w:sz w:val="20"/>
                <w:szCs w:val="20"/>
              </w:rPr>
              <w:t>.</w:t>
            </w:r>
            <w:r w:rsidRPr="00204223">
              <w:rPr>
                <w:rFonts w:ascii="Calibri" w:hAnsi="Calibri"/>
                <w:noProof/>
                <w:sz w:val="20"/>
                <w:szCs w:val="20"/>
              </w:rPr>
              <w:t xml:space="preserve"> American journal of public health; 101.1241.</w:t>
            </w:r>
          </w:p>
        </w:tc>
      </w:tr>
      <w:tr w:rsidR="00EA69AA" w:rsidRPr="00204223" w14:paraId="5C65E637"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B39AD2A"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592</w:t>
            </w:r>
          </w:p>
        </w:tc>
        <w:tc>
          <w:tcPr>
            <w:tcW w:w="0" w:type="auto"/>
            <w:tcBorders>
              <w:top w:val="single" w:sz="6" w:space="0" w:color="auto"/>
              <w:left w:val="single" w:sz="6" w:space="0" w:color="auto"/>
              <w:bottom w:val="single" w:sz="6" w:space="0" w:color="auto"/>
              <w:right w:val="single" w:sz="6" w:space="0" w:color="auto"/>
            </w:tcBorders>
            <w:hideMark/>
          </w:tcPr>
          <w:p w14:paraId="5EB4E299" w14:textId="65A58E74" w:rsidR="00EA69AA" w:rsidRPr="00204223" w:rsidRDefault="00EA69AA" w:rsidP="00EA69AA">
            <w:pPr>
              <w:contextualSpacing/>
              <w:rPr>
                <w:rFonts w:ascii="Calibri" w:hAnsi="Calibri"/>
                <w:noProof/>
                <w:sz w:val="20"/>
                <w:szCs w:val="20"/>
              </w:rPr>
            </w:pPr>
            <w:r w:rsidRPr="00204223">
              <w:rPr>
                <w:rFonts w:ascii="Calibri" w:hAnsi="Calibri"/>
                <w:noProof/>
                <w:sz w:val="20"/>
                <w:szCs w:val="20"/>
              </w:rPr>
              <w:t>Neal L Benowitz,​ Katherine M Dains,​ Delia Dempsey,​ Margaret Wilson,​ Peyton Jacob 2011 Racial differences in the relationship between number of cigarettes smoked and nicotine and carcinogen exposure</w:t>
            </w:r>
            <w:r w:rsidR="007F2F01">
              <w:rPr>
                <w:rFonts w:ascii="Calibri" w:hAnsi="Calibri"/>
                <w:noProof/>
                <w:sz w:val="20"/>
                <w:szCs w:val="20"/>
              </w:rPr>
              <w:t>.</w:t>
            </w:r>
            <w:r w:rsidRPr="00204223">
              <w:rPr>
                <w:rFonts w:ascii="Calibri" w:hAnsi="Calibri"/>
                <w:noProof/>
                <w:sz w:val="20"/>
                <w:szCs w:val="20"/>
              </w:rPr>
              <w:t xml:space="preserve"> Nicotine &amp; tobacco research : official journal of the Society for Research on Nicotine and Tobacco; 13.772.</w:t>
            </w:r>
          </w:p>
        </w:tc>
      </w:tr>
      <w:tr w:rsidR="00EA69AA" w:rsidRPr="00204223" w14:paraId="6B5F0FAF"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C3DB5A1"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598</w:t>
            </w:r>
          </w:p>
        </w:tc>
        <w:tc>
          <w:tcPr>
            <w:tcW w:w="0" w:type="auto"/>
            <w:tcBorders>
              <w:top w:val="single" w:sz="6" w:space="0" w:color="auto"/>
              <w:left w:val="single" w:sz="6" w:space="0" w:color="auto"/>
              <w:bottom w:val="single" w:sz="6" w:space="0" w:color="auto"/>
              <w:right w:val="single" w:sz="6" w:space="0" w:color="auto"/>
            </w:tcBorders>
            <w:hideMark/>
          </w:tcPr>
          <w:p w14:paraId="766DBFAC" w14:textId="1B56EA69" w:rsidR="00EA69AA" w:rsidRPr="00204223" w:rsidRDefault="00EA69AA" w:rsidP="00EA69AA">
            <w:pPr>
              <w:contextualSpacing/>
              <w:rPr>
                <w:rFonts w:ascii="Calibri" w:hAnsi="Calibri"/>
                <w:noProof/>
                <w:sz w:val="20"/>
                <w:szCs w:val="20"/>
              </w:rPr>
            </w:pPr>
            <w:r w:rsidRPr="00204223">
              <w:rPr>
                <w:rFonts w:ascii="Calibri" w:hAnsi="Calibri"/>
                <w:noProof/>
                <w:sz w:val="20"/>
                <w:szCs w:val="20"/>
              </w:rPr>
              <w:t>William J Blot,​ Sarah S Cohen,​ Melinda Aldrich,​ Joseph K McLaughlin,​ Margaret K Hargreaves,​ Lisa B Signorello 2011 Lung cancer risk among smokers of menthol cigarettes</w:t>
            </w:r>
            <w:r w:rsidR="007F2F01">
              <w:rPr>
                <w:rFonts w:ascii="Calibri" w:hAnsi="Calibri"/>
                <w:noProof/>
                <w:sz w:val="20"/>
                <w:szCs w:val="20"/>
              </w:rPr>
              <w:t>.</w:t>
            </w:r>
            <w:r w:rsidRPr="00204223">
              <w:rPr>
                <w:rFonts w:ascii="Calibri" w:hAnsi="Calibri"/>
                <w:noProof/>
                <w:sz w:val="20"/>
                <w:szCs w:val="20"/>
              </w:rPr>
              <w:t xml:space="preserve"> Journal of the National Cancer Institute; 103.810.</w:t>
            </w:r>
          </w:p>
        </w:tc>
      </w:tr>
      <w:tr w:rsidR="00EA69AA" w:rsidRPr="00204223" w14:paraId="6B3CB58C"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8E9A37C"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604</w:t>
            </w:r>
          </w:p>
        </w:tc>
        <w:tc>
          <w:tcPr>
            <w:tcW w:w="0" w:type="auto"/>
            <w:tcBorders>
              <w:top w:val="single" w:sz="6" w:space="0" w:color="auto"/>
              <w:left w:val="single" w:sz="6" w:space="0" w:color="auto"/>
              <w:bottom w:val="single" w:sz="6" w:space="0" w:color="auto"/>
              <w:right w:val="single" w:sz="6" w:space="0" w:color="auto"/>
            </w:tcBorders>
            <w:hideMark/>
          </w:tcPr>
          <w:p w14:paraId="7631B013" w14:textId="706B71B1" w:rsidR="00EA69AA" w:rsidRPr="00204223" w:rsidRDefault="00EA69AA" w:rsidP="00EA69AA">
            <w:pPr>
              <w:contextualSpacing/>
              <w:rPr>
                <w:rFonts w:ascii="Calibri" w:hAnsi="Calibri"/>
                <w:noProof/>
                <w:sz w:val="20"/>
                <w:szCs w:val="20"/>
              </w:rPr>
            </w:pPr>
            <w:r w:rsidRPr="00204223">
              <w:rPr>
                <w:rFonts w:ascii="Calibri" w:hAnsi="Calibri"/>
                <w:noProof/>
                <w:sz w:val="20"/>
                <w:szCs w:val="20"/>
              </w:rPr>
              <w:t>Michael B Steinberg,​ Michelle T Bover,​ Donna L Richardson,​ Amy C Schmelzer,​ Jill M Williams,​ Jonathan Foulds 2011 Abstinence and psychological distress in co-morbid smokers using various pharmacotherapies</w:t>
            </w:r>
            <w:r w:rsidR="007F2F01">
              <w:rPr>
                <w:rFonts w:ascii="Calibri" w:hAnsi="Calibri"/>
                <w:noProof/>
                <w:sz w:val="20"/>
                <w:szCs w:val="20"/>
              </w:rPr>
              <w:t>.</w:t>
            </w:r>
            <w:r w:rsidRPr="00204223">
              <w:rPr>
                <w:rFonts w:ascii="Calibri" w:hAnsi="Calibri"/>
                <w:noProof/>
                <w:sz w:val="20"/>
                <w:szCs w:val="20"/>
              </w:rPr>
              <w:t xml:space="preserve"> Drug and alcohol dependence; 114.77.</w:t>
            </w:r>
          </w:p>
        </w:tc>
      </w:tr>
      <w:tr w:rsidR="00EA69AA" w:rsidRPr="00204223" w14:paraId="707D2FDB"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30DA463"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605</w:t>
            </w:r>
          </w:p>
        </w:tc>
        <w:tc>
          <w:tcPr>
            <w:tcW w:w="0" w:type="auto"/>
            <w:tcBorders>
              <w:top w:val="single" w:sz="6" w:space="0" w:color="auto"/>
              <w:left w:val="single" w:sz="6" w:space="0" w:color="auto"/>
              <w:bottom w:val="single" w:sz="6" w:space="0" w:color="auto"/>
              <w:right w:val="single" w:sz="6" w:space="0" w:color="auto"/>
            </w:tcBorders>
            <w:hideMark/>
          </w:tcPr>
          <w:p w14:paraId="0D682C6E" w14:textId="64F5924D" w:rsidR="00EA69AA" w:rsidRPr="00204223" w:rsidRDefault="00EA69AA" w:rsidP="00EA69AA">
            <w:pPr>
              <w:contextualSpacing/>
              <w:rPr>
                <w:rFonts w:ascii="Calibri" w:hAnsi="Calibri"/>
                <w:noProof/>
                <w:sz w:val="20"/>
                <w:szCs w:val="20"/>
              </w:rPr>
            </w:pPr>
            <w:r w:rsidRPr="00204223">
              <w:rPr>
                <w:rFonts w:ascii="Calibri" w:hAnsi="Calibri"/>
                <w:noProof/>
                <w:sz w:val="20"/>
                <w:szCs w:val="20"/>
              </w:rPr>
              <w:t>Monica Webb Hooper,​ Wei Zhao,​ Margaret M Byrne,​ Evelyn Davila,​ Alberto Caban-Martinez,​ Noella A Dietz,​ Dorothy F Parker,​ Youjie Huang,​ Antoine Messiah,​ David J Lee 2011 Menthol cigarette smoking and health,​ Florida 2007 BRFSS</w:t>
            </w:r>
            <w:r w:rsidR="007F2F01">
              <w:rPr>
                <w:rFonts w:ascii="Calibri" w:hAnsi="Calibri"/>
                <w:noProof/>
                <w:sz w:val="20"/>
                <w:szCs w:val="20"/>
              </w:rPr>
              <w:t>.</w:t>
            </w:r>
            <w:r w:rsidRPr="00204223">
              <w:rPr>
                <w:rFonts w:ascii="Calibri" w:hAnsi="Calibri"/>
                <w:noProof/>
                <w:sz w:val="20"/>
                <w:szCs w:val="20"/>
              </w:rPr>
              <w:t xml:space="preserve"> American journal of health behavior; 35.3.</w:t>
            </w:r>
          </w:p>
        </w:tc>
      </w:tr>
      <w:tr w:rsidR="00EA69AA" w:rsidRPr="00204223" w14:paraId="2277F0A0"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DA1D1BC"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lastRenderedPageBreak/>
              <w:t>611</w:t>
            </w:r>
          </w:p>
        </w:tc>
        <w:tc>
          <w:tcPr>
            <w:tcW w:w="0" w:type="auto"/>
            <w:tcBorders>
              <w:top w:val="single" w:sz="6" w:space="0" w:color="auto"/>
              <w:left w:val="single" w:sz="6" w:space="0" w:color="auto"/>
              <w:bottom w:val="single" w:sz="6" w:space="0" w:color="auto"/>
              <w:right w:val="single" w:sz="6" w:space="0" w:color="auto"/>
            </w:tcBorders>
            <w:hideMark/>
          </w:tcPr>
          <w:p w14:paraId="13F7BF70" w14:textId="3BFA8FAE" w:rsidR="00EA69AA" w:rsidRPr="00204223" w:rsidRDefault="00EA69AA" w:rsidP="00EA69AA">
            <w:pPr>
              <w:contextualSpacing/>
              <w:rPr>
                <w:rFonts w:ascii="Calibri" w:hAnsi="Calibri"/>
                <w:noProof/>
                <w:sz w:val="20"/>
                <w:szCs w:val="20"/>
              </w:rPr>
            </w:pPr>
            <w:r w:rsidRPr="00204223">
              <w:rPr>
                <w:rFonts w:ascii="Calibri" w:hAnsi="Calibri"/>
                <w:noProof/>
                <w:sz w:val="20"/>
                <w:szCs w:val="20"/>
              </w:rPr>
              <w:t>James C Hersey,​ James M Nonnemaker,​ Ghada Homsi 2010 Menthol cigarettes contribute to the appeal and addiction potential of smoking for youth</w:t>
            </w:r>
            <w:r w:rsidR="007F2F01">
              <w:rPr>
                <w:rFonts w:ascii="Calibri" w:hAnsi="Calibri"/>
                <w:noProof/>
                <w:sz w:val="20"/>
                <w:szCs w:val="20"/>
              </w:rPr>
              <w:t>.</w:t>
            </w:r>
            <w:r w:rsidRPr="00204223">
              <w:rPr>
                <w:rFonts w:ascii="Calibri" w:hAnsi="Calibri"/>
                <w:noProof/>
                <w:sz w:val="20"/>
                <w:szCs w:val="20"/>
              </w:rPr>
              <w:t xml:space="preserve"> Nicotine &amp; tobacco research : official journal of the Society for Research on Nicotine and Tobacco; 12 Suppl 2.S136.</w:t>
            </w:r>
          </w:p>
        </w:tc>
      </w:tr>
      <w:tr w:rsidR="00EA69AA" w:rsidRPr="00204223" w14:paraId="10F066D1"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E56E1CB"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617</w:t>
            </w:r>
          </w:p>
        </w:tc>
        <w:tc>
          <w:tcPr>
            <w:tcW w:w="0" w:type="auto"/>
            <w:tcBorders>
              <w:top w:val="single" w:sz="6" w:space="0" w:color="auto"/>
              <w:left w:val="single" w:sz="6" w:space="0" w:color="auto"/>
              <w:bottom w:val="single" w:sz="6" w:space="0" w:color="auto"/>
              <w:right w:val="single" w:sz="6" w:space="0" w:color="auto"/>
            </w:tcBorders>
            <w:hideMark/>
          </w:tcPr>
          <w:p w14:paraId="16212761" w14:textId="1666DBC8" w:rsidR="00EA69AA" w:rsidRPr="00204223" w:rsidRDefault="00EA69AA" w:rsidP="00EA69AA">
            <w:pPr>
              <w:contextualSpacing/>
              <w:rPr>
                <w:rFonts w:ascii="Calibri" w:hAnsi="Calibri"/>
                <w:noProof/>
                <w:sz w:val="20"/>
                <w:szCs w:val="20"/>
              </w:rPr>
            </w:pPr>
            <w:r w:rsidRPr="00204223">
              <w:rPr>
                <w:rFonts w:ascii="Calibri" w:hAnsi="Calibri"/>
                <w:noProof/>
                <w:sz w:val="20"/>
                <w:szCs w:val="20"/>
              </w:rPr>
              <w:t>Marta S Mendiondo,​ Linda A Alexander,​ Tim Crawford 2010 Health profile differences for menthol and non-menthol smokers: findings from the National Health Interview Survey</w:t>
            </w:r>
            <w:r w:rsidR="007F2F01">
              <w:rPr>
                <w:rFonts w:ascii="Calibri" w:hAnsi="Calibri"/>
                <w:noProof/>
                <w:sz w:val="20"/>
                <w:szCs w:val="20"/>
              </w:rPr>
              <w:t>.</w:t>
            </w:r>
            <w:r w:rsidRPr="00204223">
              <w:rPr>
                <w:rFonts w:ascii="Calibri" w:hAnsi="Calibri"/>
                <w:noProof/>
                <w:sz w:val="20"/>
                <w:szCs w:val="20"/>
              </w:rPr>
              <w:t xml:space="preserve"> Addiction (Abingdon,​ England); 105 Suppl 1.124.</w:t>
            </w:r>
          </w:p>
        </w:tc>
      </w:tr>
      <w:tr w:rsidR="00EA69AA" w:rsidRPr="00204223" w14:paraId="642777D0"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1A52AB4"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620</w:t>
            </w:r>
          </w:p>
        </w:tc>
        <w:tc>
          <w:tcPr>
            <w:tcW w:w="0" w:type="auto"/>
            <w:tcBorders>
              <w:top w:val="single" w:sz="6" w:space="0" w:color="auto"/>
              <w:left w:val="single" w:sz="6" w:space="0" w:color="auto"/>
              <w:bottom w:val="single" w:sz="6" w:space="0" w:color="auto"/>
              <w:right w:val="single" w:sz="6" w:space="0" w:color="auto"/>
            </w:tcBorders>
            <w:hideMark/>
          </w:tcPr>
          <w:p w14:paraId="68641FDE" w14:textId="030A4BC5" w:rsidR="00EA69AA" w:rsidRPr="00204223" w:rsidRDefault="00EA69AA" w:rsidP="00EA69AA">
            <w:pPr>
              <w:contextualSpacing/>
              <w:rPr>
                <w:rFonts w:ascii="Calibri" w:hAnsi="Calibri"/>
                <w:noProof/>
                <w:sz w:val="20"/>
                <w:szCs w:val="20"/>
              </w:rPr>
            </w:pPr>
            <w:r w:rsidRPr="00204223">
              <w:rPr>
                <w:rFonts w:ascii="Calibri" w:hAnsi="Calibri"/>
                <w:noProof/>
                <w:sz w:val="20"/>
                <w:szCs w:val="20"/>
              </w:rPr>
              <w:t>Dennis R Trinidad,​ Eliseo J Perez-Stable,​ Karen Messer,​ Martha M White,​ John P Pierce 2010 Menthol cigarettes and smoking cessation among racial/ethnic groups in the United States</w:t>
            </w:r>
            <w:r w:rsidR="007F2F01">
              <w:rPr>
                <w:rFonts w:ascii="Calibri" w:hAnsi="Calibri"/>
                <w:noProof/>
                <w:sz w:val="20"/>
                <w:szCs w:val="20"/>
              </w:rPr>
              <w:t>.</w:t>
            </w:r>
            <w:r w:rsidRPr="00204223">
              <w:rPr>
                <w:rFonts w:ascii="Calibri" w:hAnsi="Calibri"/>
                <w:noProof/>
                <w:sz w:val="20"/>
                <w:szCs w:val="20"/>
              </w:rPr>
              <w:t xml:space="preserve"> Addiction (Abingdon,​ England); 105 Suppl 1.84.</w:t>
            </w:r>
          </w:p>
        </w:tc>
      </w:tr>
      <w:tr w:rsidR="00EA69AA" w:rsidRPr="00204223" w14:paraId="1BF82778"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92C638B"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621</w:t>
            </w:r>
          </w:p>
        </w:tc>
        <w:tc>
          <w:tcPr>
            <w:tcW w:w="0" w:type="auto"/>
            <w:tcBorders>
              <w:top w:val="single" w:sz="6" w:space="0" w:color="auto"/>
              <w:left w:val="single" w:sz="6" w:space="0" w:color="auto"/>
              <w:bottom w:val="single" w:sz="6" w:space="0" w:color="auto"/>
              <w:right w:val="single" w:sz="6" w:space="0" w:color="auto"/>
            </w:tcBorders>
            <w:hideMark/>
          </w:tcPr>
          <w:p w14:paraId="16F3A470" w14:textId="3D097C50" w:rsidR="00EA69AA" w:rsidRPr="00204223" w:rsidRDefault="00EA69AA" w:rsidP="00EA69AA">
            <w:pPr>
              <w:contextualSpacing/>
              <w:rPr>
                <w:rFonts w:ascii="Calibri" w:hAnsi="Calibri"/>
                <w:noProof/>
                <w:sz w:val="20"/>
                <w:szCs w:val="20"/>
              </w:rPr>
            </w:pPr>
            <w:r w:rsidRPr="00204223">
              <w:rPr>
                <w:rFonts w:ascii="Calibri" w:hAnsi="Calibri"/>
                <w:noProof/>
                <w:sz w:val="20"/>
                <w:szCs w:val="20"/>
              </w:rPr>
              <w:t>Linda A Alexander,​ Tim Crawford,​ Marta S Mendiondo 2010 Occupational status,​ work-site cessation programs and policies and menthol smoking on quitting behaviors of US smokers</w:t>
            </w:r>
            <w:r w:rsidR="007F2F01">
              <w:rPr>
                <w:rFonts w:ascii="Calibri" w:hAnsi="Calibri"/>
                <w:noProof/>
                <w:sz w:val="20"/>
                <w:szCs w:val="20"/>
              </w:rPr>
              <w:t>.</w:t>
            </w:r>
            <w:r w:rsidRPr="00204223">
              <w:rPr>
                <w:rFonts w:ascii="Calibri" w:hAnsi="Calibri"/>
                <w:noProof/>
                <w:sz w:val="20"/>
                <w:szCs w:val="20"/>
              </w:rPr>
              <w:t xml:space="preserve"> Addiction (Abingdon,​ England); 105 Suppl 1.95.</w:t>
            </w:r>
          </w:p>
        </w:tc>
      </w:tr>
      <w:tr w:rsidR="00EA69AA" w:rsidRPr="00204223" w14:paraId="7AF9CB7A"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A0EE4B6"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622</w:t>
            </w:r>
          </w:p>
        </w:tc>
        <w:tc>
          <w:tcPr>
            <w:tcW w:w="0" w:type="auto"/>
            <w:tcBorders>
              <w:top w:val="single" w:sz="6" w:space="0" w:color="auto"/>
              <w:left w:val="single" w:sz="6" w:space="0" w:color="auto"/>
              <w:bottom w:val="single" w:sz="6" w:space="0" w:color="auto"/>
              <w:right w:val="single" w:sz="6" w:space="0" w:color="auto"/>
            </w:tcBorders>
            <w:hideMark/>
          </w:tcPr>
          <w:p w14:paraId="4868E3D9" w14:textId="2FF2E84D" w:rsidR="00EA69AA" w:rsidRPr="00204223" w:rsidRDefault="00EA69AA" w:rsidP="00EA69AA">
            <w:pPr>
              <w:contextualSpacing/>
              <w:rPr>
                <w:rFonts w:ascii="Calibri" w:hAnsi="Calibri"/>
                <w:noProof/>
                <w:sz w:val="20"/>
                <w:szCs w:val="20"/>
              </w:rPr>
            </w:pPr>
            <w:r w:rsidRPr="00204223">
              <w:rPr>
                <w:rFonts w:ascii="Calibri" w:hAnsi="Calibri"/>
                <w:noProof/>
                <w:sz w:val="20"/>
                <w:szCs w:val="20"/>
              </w:rPr>
              <w:t>Mandy Stahre,​ Kolawole S Okuyemi,​ Anne M Joseph,​ Steven S Fu 2010 Racial/ethnic differences in menthol cigarette smoking,​ population quit ratios and utilization of evidence-based tobacco cessation treatments</w:t>
            </w:r>
            <w:r w:rsidR="007F2F01">
              <w:rPr>
                <w:rFonts w:ascii="Calibri" w:hAnsi="Calibri"/>
                <w:noProof/>
                <w:sz w:val="20"/>
                <w:szCs w:val="20"/>
              </w:rPr>
              <w:t>.</w:t>
            </w:r>
            <w:r w:rsidRPr="00204223">
              <w:rPr>
                <w:rFonts w:ascii="Calibri" w:hAnsi="Calibri"/>
                <w:noProof/>
                <w:sz w:val="20"/>
                <w:szCs w:val="20"/>
              </w:rPr>
              <w:t xml:space="preserve"> Addiction (Abingdon,​ England); 105 Suppl 1.75.</w:t>
            </w:r>
          </w:p>
        </w:tc>
      </w:tr>
      <w:tr w:rsidR="00EA69AA" w:rsidRPr="00204223" w14:paraId="583BEC20"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C000ABE"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623</w:t>
            </w:r>
          </w:p>
        </w:tc>
        <w:tc>
          <w:tcPr>
            <w:tcW w:w="0" w:type="auto"/>
            <w:tcBorders>
              <w:top w:val="single" w:sz="6" w:space="0" w:color="auto"/>
              <w:left w:val="single" w:sz="6" w:space="0" w:color="auto"/>
              <w:bottom w:val="single" w:sz="6" w:space="0" w:color="auto"/>
              <w:right w:val="single" w:sz="6" w:space="0" w:color="auto"/>
            </w:tcBorders>
            <w:hideMark/>
          </w:tcPr>
          <w:p w14:paraId="08A90BF2" w14:textId="14C69749" w:rsidR="00EA69AA" w:rsidRPr="00204223" w:rsidRDefault="00EA69AA" w:rsidP="00EA69AA">
            <w:pPr>
              <w:contextualSpacing/>
              <w:rPr>
                <w:rFonts w:ascii="Calibri" w:hAnsi="Calibri"/>
                <w:noProof/>
                <w:sz w:val="20"/>
                <w:szCs w:val="20"/>
              </w:rPr>
            </w:pPr>
            <w:r w:rsidRPr="00204223">
              <w:rPr>
                <w:rFonts w:ascii="Calibri" w:hAnsi="Calibri"/>
                <w:noProof/>
                <w:sz w:val="20"/>
                <w:szCs w:val="20"/>
              </w:rPr>
              <w:t>Pebbles Fagan,​ Eric T Moolchan,​ Alton Jr Hart,​ Allison Rose,​ Deirdre Lawrence,​ Vickie L Shavers,​ James Todd Gibson 2010 Nicotine dependence and quitting behaviors among menthol and non-menthol smokers with similar consumptive patterns</w:t>
            </w:r>
            <w:r w:rsidR="007F2F01">
              <w:rPr>
                <w:rFonts w:ascii="Calibri" w:hAnsi="Calibri"/>
                <w:noProof/>
                <w:sz w:val="20"/>
                <w:szCs w:val="20"/>
              </w:rPr>
              <w:t>.</w:t>
            </w:r>
            <w:r w:rsidRPr="00204223">
              <w:rPr>
                <w:rFonts w:ascii="Calibri" w:hAnsi="Calibri"/>
                <w:noProof/>
                <w:sz w:val="20"/>
                <w:szCs w:val="20"/>
              </w:rPr>
              <w:t xml:space="preserve"> Addiction (Abingdon,​ England); 105 Suppl 1.55.</w:t>
            </w:r>
          </w:p>
        </w:tc>
      </w:tr>
      <w:tr w:rsidR="00EA69AA" w:rsidRPr="00204223" w14:paraId="686C3FC6"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DDE5DB9"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624</w:t>
            </w:r>
          </w:p>
        </w:tc>
        <w:tc>
          <w:tcPr>
            <w:tcW w:w="0" w:type="auto"/>
            <w:tcBorders>
              <w:top w:val="single" w:sz="6" w:space="0" w:color="auto"/>
              <w:left w:val="single" w:sz="6" w:space="0" w:color="auto"/>
              <w:bottom w:val="single" w:sz="6" w:space="0" w:color="auto"/>
              <w:right w:val="single" w:sz="6" w:space="0" w:color="auto"/>
            </w:tcBorders>
            <w:hideMark/>
          </w:tcPr>
          <w:p w14:paraId="26BE2A5F" w14:textId="21A67FAC" w:rsidR="00EA69AA" w:rsidRPr="00204223" w:rsidRDefault="00EA69AA" w:rsidP="00EA69AA">
            <w:pPr>
              <w:contextualSpacing/>
              <w:rPr>
                <w:rFonts w:ascii="Calibri" w:hAnsi="Calibri"/>
                <w:noProof/>
                <w:sz w:val="20"/>
                <w:szCs w:val="20"/>
              </w:rPr>
            </w:pPr>
            <w:r w:rsidRPr="00204223">
              <w:rPr>
                <w:rFonts w:ascii="Calibri" w:hAnsi="Calibri"/>
                <w:noProof/>
                <w:sz w:val="20"/>
                <w:szCs w:val="20"/>
              </w:rPr>
              <w:t>Karen Ahijevych,​ Jodi Ford 2010 The relationships between menthol cigarette preference and state tobacco control policies on smoking behaviors of young adult smokers in the 2006-07 Tobacco Use Supplements to the Current Population Surveys (TUS CPS)</w:t>
            </w:r>
            <w:r w:rsidR="007F2F01">
              <w:rPr>
                <w:rFonts w:ascii="Calibri" w:hAnsi="Calibri"/>
                <w:noProof/>
                <w:sz w:val="20"/>
                <w:szCs w:val="20"/>
              </w:rPr>
              <w:t>.</w:t>
            </w:r>
            <w:r w:rsidRPr="00204223">
              <w:rPr>
                <w:rFonts w:ascii="Calibri" w:hAnsi="Calibri"/>
                <w:noProof/>
                <w:sz w:val="20"/>
                <w:szCs w:val="20"/>
              </w:rPr>
              <w:t xml:space="preserve"> Addiction (Abingdon,​ England); 105 Suppl 1.46.</w:t>
            </w:r>
          </w:p>
        </w:tc>
      </w:tr>
      <w:tr w:rsidR="00EA69AA" w:rsidRPr="00204223" w14:paraId="55B882D9"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BD770CA"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625</w:t>
            </w:r>
          </w:p>
        </w:tc>
        <w:tc>
          <w:tcPr>
            <w:tcW w:w="0" w:type="auto"/>
            <w:tcBorders>
              <w:top w:val="single" w:sz="6" w:space="0" w:color="auto"/>
              <w:left w:val="single" w:sz="6" w:space="0" w:color="auto"/>
              <w:bottom w:val="single" w:sz="6" w:space="0" w:color="auto"/>
              <w:right w:val="single" w:sz="6" w:space="0" w:color="auto"/>
            </w:tcBorders>
            <w:hideMark/>
          </w:tcPr>
          <w:p w14:paraId="330EB167" w14:textId="0B7CAD26" w:rsidR="00EA69AA" w:rsidRPr="00204223" w:rsidRDefault="00EA69AA" w:rsidP="00EA69AA">
            <w:pPr>
              <w:contextualSpacing/>
              <w:rPr>
                <w:rFonts w:ascii="Calibri" w:hAnsi="Calibri"/>
                <w:noProof/>
                <w:sz w:val="20"/>
                <w:szCs w:val="20"/>
              </w:rPr>
            </w:pPr>
            <w:r w:rsidRPr="00204223">
              <w:rPr>
                <w:rFonts w:ascii="Calibri" w:hAnsi="Calibri"/>
                <w:noProof/>
                <w:sz w:val="20"/>
                <w:szCs w:val="20"/>
              </w:rPr>
              <w:t>Anita Fernander,​ Mary Kay Rayens,​ Mei Zhang,​ Sarah Adkins 2010 Are age of smoking initiation and purchasing patterns associated with menthol smoking?</w:t>
            </w:r>
            <w:r w:rsidR="007F2F01">
              <w:rPr>
                <w:rFonts w:ascii="Calibri" w:hAnsi="Calibri"/>
                <w:noProof/>
                <w:sz w:val="20"/>
                <w:szCs w:val="20"/>
              </w:rPr>
              <w:t>.</w:t>
            </w:r>
            <w:r w:rsidRPr="00204223">
              <w:rPr>
                <w:rFonts w:ascii="Calibri" w:hAnsi="Calibri"/>
                <w:noProof/>
                <w:sz w:val="20"/>
                <w:szCs w:val="20"/>
              </w:rPr>
              <w:t xml:space="preserve"> Addiction (Abingdon,​ England); 105 Suppl 1.39.</w:t>
            </w:r>
          </w:p>
        </w:tc>
      </w:tr>
      <w:tr w:rsidR="00EA69AA" w:rsidRPr="00204223" w14:paraId="525C965F"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280B525"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626</w:t>
            </w:r>
          </w:p>
        </w:tc>
        <w:tc>
          <w:tcPr>
            <w:tcW w:w="0" w:type="auto"/>
            <w:tcBorders>
              <w:top w:val="single" w:sz="6" w:space="0" w:color="auto"/>
              <w:left w:val="single" w:sz="6" w:space="0" w:color="auto"/>
              <w:bottom w:val="single" w:sz="6" w:space="0" w:color="auto"/>
              <w:right w:val="single" w:sz="6" w:space="0" w:color="auto"/>
            </w:tcBorders>
            <w:hideMark/>
          </w:tcPr>
          <w:p w14:paraId="3EB21F03" w14:textId="490B3F1B" w:rsidR="00EA69AA" w:rsidRPr="00204223" w:rsidRDefault="00EA69AA" w:rsidP="00EA69AA">
            <w:pPr>
              <w:contextualSpacing/>
              <w:rPr>
                <w:rFonts w:ascii="Calibri" w:hAnsi="Calibri"/>
                <w:noProof/>
                <w:sz w:val="20"/>
                <w:szCs w:val="20"/>
              </w:rPr>
            </w:pPr>
            <w:r w:rsidRPr="00204223">
              <w:rPr>
                <w:rFonts w:ascii="Calibri" w:hAnsi="Calibri"/>
                <w:noProof/>
                <w:sz w:val="20"/>
                <w:szCs w:val="20"/>
              </w:rPr>
              <w:t>Catherine Cubbin,​ Mah-Jabeen Soobader,​ Felicia B LeClere 2010 The intersection of gender and race/ethnicity in smoking behaviors among menthol and non-menthol smokers in the United States</w:t>
            </w:r>
            <w:r w:rsidR="007F2F01">
              <w:rPr>
                <w:rFonts w:ascii="Calibri" w:hAnsi="Calibri"/>
                <w:noProof/>
                <w:sz w:val="20"/>
                <w:szCs w:val="20"/>
              </w:rPr>
              <w:t>.</w:t>
            </w:r>
            <w:r w:rsidRPr="00204223">
              <w:rPr>
                <w:rFonts w:ascii="Calibri" w:hAnsi="Calibri"/>
                <w:noProof/>
                <w:sz w:val="20"/>
                <w:szCs w:val="20"/>
              </w:rPr>
              <w:t xml:space="preserve"> Addiction (Abingdon,​ England); 105 Suppl 1.32.</w:t>
            </w:r>
          </w:p>
        </w:tc>
      </w:tr>
      <w:tr w:rsidR="00EA69AA" w:rsidRPr="00204223" w14:paraId="273AECB0"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501A403"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627</w:t>
            </w:r>
          </w:p>
        </w:tc>
        <w:tc>
          <w:tcPr>
            <w:tcW w:w="0" w:type="auto"/>
            <w:tcBorders>
              <w:top w:val="single" w:sz="6" w:space="0" w:color="auto"/>
              <w:left w:val="single" w:sz="6" w:space="0" w:color="auto"/>
              <w:bottom w:val="single" w:sz="6" w:space="0" w:color="auto"/>
              <w:right w:val="single" w:sz="6" w:space="0" w:color="auto"/>
            </w:tcBorders>
            <w:hideMark/>
          </w:tcPr>
          <w:p w14:paraId="6AFDD756" w14:textId="4F80C068" w:rsidR="00EA69AA" w:rsidRPr="00204223" w:rsidRDefault="00EA69AA" w:rsidP="00EA69AA">
            <w:pPr>
              <w:contextualSpacing/>
              <w:rPr>
                <w:rFonts w:ascii="Calibri" w:hAnsi="Calibri"/>
                <w:noProof/>
                <w:sz w:val="20"/>
                <w:szCs w:val="20"/>
              </w:rPr>
            </w:pPr>
            <w:r w:rsidRPr="00204223">
              <w:rPr>
                <w:rFonts w:ascii="Calibri" w:hAnsi="Calibri"/>
                <w:noProof/>
                <w:sz w:val="20"/>
                <w:szCs w:val="20"/>
              </w:rPr>
              <w:t>Deirdre Lawrence,​ Allison Rose,​ Pebbles Fagan,​ Eric T Moolchan,​ James Todd Gibson,​ Cathy L Backinger 2010 National patterns and correlates of mentholated cigarette use in the United States</w:t>
            </w:r>
            <w:r w:rsidR="007F2F01">
              <w:rPr>
                <w:rFonts w:ascii="Calibri" w:hAnsi="Calibri"/>
                <w:noProof/>
                <w:sz w:val="20"/>
                <w:szCs w:val="20"/>
              </w:rPr>
              <w:t>.</w:t>
            </w:r>
            <w:r w:rsidRPr="00204223">
              <w:rPr>
                <w:rFonts w:ascii="Calibri" w:hAnsi="Calibri"/>
                <w:noProof/>
                <w:sz w:val="20"/>
                <w:szCs w:val="20"/>
              </w:rPr>
              <w:t xml:space="preserve"> Addiction (Abingdon,​ England); 105 Suppl 1.13.</w:t>
            </w:r>
          </w:p>
        </w:tc>
      </w:tr>
      <w:tr w:rsidR="00EA69AA" w:rsidRPr="00204223" w14:paraId="0FF9D78E"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A96EBE3"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628</w:t>
            </w:r>
          </w:p>
        </w:tc>
        <w:tc>
          <w:tcPr>
            <w:tcW w:w="0" w:type="auto"/>
            <w:tcBorders>
              <w:top w:val="single" w:sz="6" w:space="0" w:color="auto"/>
              <w:left w:val="single" w:sz="6" w:space="0" w:color="auto"/>
              <w:bottom w:val="single" w:sz="6" w:space="0" w:color="auto"/>
              <w:right w:val="single" w:sz="6" w:space="0" w:color="auto"/>
            </w:tcBorders>
            <w:hideMark/>
          </w:tcPr>
          <w:p w14:paraId="2AE4360A" w14:textId="19622834" w:rsidR="00EA69AA" w:rsidRPr="00204223" w:rsidRDefault="00EA69AA" w:rsidP="00EA69AA">
            <w:pPr>
              <w:contextualSpacing/>
              <w:rPr>
                <w:rFonts w:ascii="Calibri" w:hAnsi="Calibri"/>
                <w:noProof/>
                <w:sz w:val="20"/>
                <w:szCs w:val="20"/>
              </w:rPr>
            </w:pPr>
            <w:r w:rsidRPr="00204223">
              <w:rPr>
                <w:rFonts w:ascii="Calibri" w:hAnsi="Calibri"/>
                <w:noProof/>
                <w:sz w:val="20"/>
                <w:szCs w:val="20"/>
              </w:rPr>
              <w:t>Neal L Benowitz,​ Katherine M Dains,​ Delia Dempsey,​ Christopher Havel,​ Margaret Wilson,​ Peyton 3rd Jacob 2010 Urine menthol as a biomarker of mentholated cigarette smoking</w:t>
            </w:r>
            <w:r w:rsidR="007F2F01">
              <w:rPr>
                <w:rFonts w:ascii="Calibri" w:hAnsi="Calibri"/>
                <w:noProof/>
                <w:sz w:val="20"/>
                <w:szCs w:val="20"/>
              </w:rPr>
              <w:t>.</w:t>
            </w:r>
            <w:r w:rsidRPr="00204223">
              <w:rPr>
                <w:rFonts w:ascii="Calibri" w:hAnsi="Calibri"/>
                <w:noProof/>
                <w:sz w:val="20"/>
                <w:szCs w:val="20"/>
              </w:rPr>
              <w:t xml:space="preserve"> Cancer epidemiology,​ biomarkers &amp; prevention : a publication of the American Association for Cancer Research,​ cosponsored by the American Society of Preventive Oncology; 19.3013.</w:t>
            </w:r>
          </w:p>
        </w:tc>
      </w:tr>
      <w:tr w:rsidR="00EA69AA" w:rsidRPr="00204223" w14:paraId="172322AA"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ECF25B8"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634</w:t>
            </w:r>
          </w:p>
        </w:tc>
        <w:tc>
          <w:tcPr>
            <w:tcW w:w="0" w:type="auto"/>
            <w:tcBorders>
              <w:top w:val="single" w:sz="6" w:space="0" w:color="auto"/>
              <w:left w:val="single" w:sz="6" w:space="0" w:color="auto"/>
              <w:bottom w:val="single" w:sz="6" w:space="0" w:color="auto"/>
              <w:right w:val="single" w:sz="6" w:space="0" w:color="auto"/>
            </w:tcBorders>
            <w:hideMark/>
          </w:tcPr>
          <w:p w14:paraId="6BE6FA74" w14:textId="65AD253C" w:rsidR="00EA69AA" w:rsidRPr="00204223" w:rsidRDefault="00EA69AA" w:rsidP="00EA69AA">
            <w:pPr>
              <w:contextualSpacing/>
              <w:rPr>
                <w:rFonts w:ascii="Calibri" w:hAnsi="Calibri"/>
                <w:noProof/>
                <w:sz w:val="20"/>
                <w:szCs w:val="20"/>
              </w:rPr>
            </w:pPr>
            <w:r w:rsidRPr="00204223">
              <w:rPr>
                <w:rFonts w:ascii="Calibri" w:hAnsi="Calibri"/>
                <w:noProof/>
                <w:sz w:val="20"/>
                <w:szCs w:val="20"/>
              </w:rPr>
              <w:t>Jennifer B Unger,​ Bruce Jr Allen,​ Earl Leonard,​ Made Wenten,​ Tess Boley Cruz 2010 Menthol and non-menthol cigarette use among Black smokers in Southern California</w:t>
            </w:r>
            <w:r w:rsidR="007F2F01">
              <w:rPr>
                <w:rFonts w:ascii="Calibri" w:hAnsi="Calibri"/>
                <w:noProof/>
                <w:sz w:val="20"/>
                <w:szCs w:val="20"/>
              </w:rPr>
              <w:t>.</w:t>
            </w:r>
            <w:r w:rsidRPr="00204223">
              <w:rPr>
                <w:rFonts w:ascii="Calibri" w:hAnsi="Calibri"/>
                <w:noProof/>
                <w:sz w:val="20"/>
                <w:szCs w:val="20"/>
              </w:rPr>
              <w:t xml:space="preserve"> Nicotine &amp; tobacco research : official journal of the Society for Research on Nicotine and Tobacco; 12.398.</w:t>
            </w:r>
          </w:p>
        </w:tc>
      </w:tr>
      <w:tr w:rsidR="00EA69AA" w:rsidRPr="00204223" w14:paraId="73367B5B"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9F5843D"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638</w:t>
            </w:r>
          </w:p>
        </w:tc>
        <w:tc>
          <w:tcPr>
            <w:tcW w:w="0" w:type="auto"/>
            <w:tcBorders>
              <w:top w:val="single" w:sz="6" w:space="0" w:color="auto"/>
              <w:left w:val="single" w:sz="6" w:space="0" w:color="auto"/>
              <w:bottom w:val="single" w:sz="6" w:space="0" w:color="auto"/>
              <w:right w:val="single" w:sz="6" w:space="0" w:color="auto"/>
            </w:tcBorders>
            <w:hideMark/>
          </w:tcPr>
          <w:p w14:paraId="1ADEDFA5" w14:textId="3E7A608A" w:rsidR="00EA69AA" w:rsidRPr="00204223" w:rsidRDefault="00EA69AA" w:rsidP="00EA69AA">
            <w:pPr>
              <w:contextualSpacing/>
              <w:rPr>
                <w:rFonts w:ascii="Calibri" w:hAnsi="Calibri"/>
                <w:noProof/>
                <w:sz w:val="20"/>
                <w:szCs w:val="20"/>
              </w:rPr>
            </w:pPr>
            <w:r w:rsidRPr="00204223">
              <w:rPr>
                <w:rFonts w:ascii="Calibri" w:hAnsi="Calibri"/>
                <w:noProof/>
                <w:sz w:val="20"/>
                <w:szCs w:val="20"/>
              </w:rPr>
              <w:t>Jingzhu Wang,​ Hans J Roethig,​ Scott Appleton,​ Michael Werley,​ Raheema Muhammad-Kah,​ Paul Mendes 2010 The effect of menthol containing cigarettes on adult smokers' exposure to nicotine and carbon monoxide</w:t>
            </w:r>
            <w:r w:rsidR="007F2F01">
              <w:rPr>
                <w:rFonts w:ascii="Calibri" w:hAnsi="Calibri"/>
                <w:noProof/>
                <w:sz w:val="20"/>
                <w:szCs w:val="20"/>
              </w:rPr>
              <w:t>.</w:t>
            </w:r>
            <w:r w:rsidRPr="00204223">
              <w:rPr>
                <w:rFonts w:ascii="Calibri" w:hAnsi="Calibri"/>
                <w:noProof/>
                <w:sz w:val="20"/>
                <w:szCs w:val="20"/>
              </w:rPr>
              <w:t xml:space="preserve"> Regulatory toxicology and pharmacology : RTP; 57.24.</w:t>
            </w:r>
          </w:p>
        </w:tc>
      </w:tr>
      <w:tr w:rsidR="00EA69AA" w:rsidRPr="00204223" w14:paraId="2BC7C34C"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C2737AA"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642</w:t>
            </w:r>
          </w:p>
        </w:tc>
        <w:tc>
          <w:tcPr>
            <w:tcW w:w="0" w:type="auto"/>
            <w:tcBorders>
              <w:top w:val="single" w:sz="6" w:space="0" w:color="auto"/>
              <w:left w:val="single" w:sz="6" w:space="0" w:color="auto"/>
              <w:bottom w:val="single" w:sz="6" w:space="0" w:color="auto"/>
              <w:right w:val="single" w:sz="6" w:space="0" w:color="auto"/>
            </w:tcBorders>
            <w:hideMark/>
          </w:tcPr>
          <w:p w14:paraId="578F33EC" w14:textId="77D65DA1" w:rsidR="00EA69AA" w:rsidRPr="00204223" w:rsidRDefault="00EA69AA" w:rsidP="00EA69AA">
            <w:pPr>
              <w:contextualSpacing/>
              <w:rPr>
                <w:rFonts w:ascii="Calibri" w:hAnsi="Calibri"/>
                <w:noProof/>
                <w:sz w:val="20"/>
                <w:szCs w:val="20"/>
              </w:rPr>
            </w:pPr>
            <w:r w:rsidRPr="00204223">
              <w:rPr>
                <w:rFonts w:ascii="Calibri" w:hAnsi="Calibri"/>
                <w:noProof/>
                <w:sz w:val="20"/>
                <w:szCs w:val="20"/>
              </w:rPr>
              <w:t>Daniel A Gundersen,​ Cristine D Delnevo,​ Olivia Wackowski 2009 Exploring the relationship between race/ethnicity,​ menthol smoking,​ and cessation,​ in a nationally representative sample of adults</w:t>
            </w:r>
            <w:r w:rsidR="007F2F01">
              <w:rPr>
                <w:rFonts w:ascii="Calibri" w:hAnsi="Calibri"/>
                <w:noProof/>
                <w:sz w:val="20"/>
                <w:szCs w:val="20"/>
              </w:rPr>
              <w:t>.</w:t>
            </w:r>
            <w:r w:rsidRPr="00204223">
              <w:rPr>
                <w:rFonts w:ascii="Calibri" w:hAnsi="Calibri"/>
                <w:noProof/>
                <w:sz w:val="20"/>
                <w:szCs w:val="20"/>
              </w:rPr>
              <w:t xml:space="preserve"> Preventive medicine; 49.553.</w:t>
            </w:r>
          </w:p>
        </w:tc>
      </w:tr>
      <w:tr w:rsidR="00EA69AA" w:rsidRPr="00204223" w14:paraId="04E78940"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99BF6EE"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648</w:t>
            </w:r>
          </w:p>
        </w:tc>
        <w:tc>
          <w:tcPr>
            <w:tcW w:w="0" w:type="auto"/>
            <w:tcBorders>
              <w:top w:val="single" w:sz="6" w:space="0" w:color="auto"/>
              <w:left w:val="single" w:sz="6" w:space="0" w:color="auto"/>
              <w:bottom w:val="single" w:sz="6" w:space="0" w:color="auto"/>
              <w:right w:val="single" w:sz="6" w:space="0" w:color="auto"/>
            </w:tcBorders>
            <w:hideMark/>
          </w:tcPr>
          <w:p w14:paraId="5F5CC467" w14:textId="75D2DEF9" w:rsidR="00EA69AA" w:rsidRPr="00204223" w:rsidRDefault="00EA69AA" w:rsidP="00EA69AA">
            <w:pPr>
              <w:contextualSpacing/>
              <w:rPr>
                <w:rFonts w:ascii="Calibri" w:hAnsi="Calibri"/>
                <w:noProof/>
                <w:sz w:val="20"/>
                <w:szCs w:val="20"/>
              </w:rPr>
            </w:pPr>
            <w:r w:rsidRPr="00204223">
              <w:rPr>
                <w:rFonts w:ascii="Calibri" w:hAnsi="Calibri"/>
                <w:noProof/>
                <w:sz w:val="20"/>
                <w:szCs w:val="20"/>
              </w:rPr>
              <w:t xml:space="preserve">Karen L Cropsey,​ Michael F Weaver,​ Gloria D Eldridge,​ Gabriela C Villalobos,​ Al M Best,​ Maxine L Stitzer 2009 Differential success rates in racial groups: results of a clinical trial of smoking cessation among female </w:t>
            </w:r>
            <w:r w:rsidRPr="00204223">
              <w:rPr>
                <w:rFonts w:ascii="Calibri" w:hAnsi="Calibri"/>
                <w:noProof/>
                <w:sz w:val="20"/>
                <w:szCs w:val="20"/>
              </w:rPr>
              <w:lastRenderedPageBreak/>
              <w:t>prisoners</w:t>
            </w:r>
            <w:r w:rsidR="007F2F01">
              <w:rPr>
                <w:rFonts w:ascii="Calibri" w:hAnsi="Calibri"/>
                <w:noProof/>
                <w:sz w:val="20"/>
                <w:szCs w:val="20"/>
              </w:rPr>
              <w:t>.</w:t>
            </w:r>
            <w:r w:rsidRPr="00204223">
              <w:rPr>
                <w:rFonts w:ascii="Calibri" w:hAnsi="Calibri"/>
                <w:noProof/>
                <w:sz w:val="20"/>
                <w:szCs w:val="20"/>
              </w:rPr>
              <w:t xml:space="preserve"> Nicotine &amp; tobacco research : official journal of the Society for Research on Nicotine and Tobacco; 11.690.</w:t>
            </w:r>
          </w:p>
        </w:tc>
      </w:tr>
      <w:tr w:rsidR="00EA69AA" w:rsidRPr="00204223" w14:paraId="2DA65E55"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18909F5"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lastRenderedPageBreak/>
              <w:t>650</w:t>
            </w:r>
          </w:p>
        </w:tc>
        <w:tc>
          <w:tcPr>
            <w:tcW w:w="0" w:type="auto"/>
            <w:tcBorders>
              <w:top w:val="single" w:sz="6" w:space="0" w:color="auto"/>
              <w:left w:val="single" w:sz="6" w:space="0" w:color="auto"/>
              <w:bottom w:val="single" w:sz="6" w:space="0" w:color="auto"/>
              <w:right w:val="single" w:sz="6" w:space="0" w:color="auto"/>
            </w:tcBorders>
            <w:hideMark/>
          </w:tcPr>
          <w:p w14:paraId="414FCE33" w14:textId="35C0EF78" w:rsidR="00EA69AA" w:rsidRPr="00204223" w:rsidRDefault="00EA69AA" w:rsidP="00EA69AA">
            <w:pPr>
              <w:contextualSpacing/>
              <w:rPr>
                <w:rFonts w:ascii="Calibri" w:hAnsi="Calibri"/>
                <w:noProof/>
                <w:sz w:val="20"/>
                <w:szCs w:val="20"/>
              </w:rPr>
            </w:pPr>
            <w:r w:rsidRPr="00204223">
              <w:rPr>
                <w:rFonts w:ascii="Calibri" w:hAnsi="Calibri"/>
                <w:noProof/>
                <w:sz w:val="20"/>
                <w:szCs w:val="20"/>
              </w:rPr>
              <w:t>K K Gandhi,​ J Foulds,​ M B Steinberg,​ S-E Lu,​ J M Williams 2009 Lower quit rates among African American and Latino menthol cigarette smokers at a tobacco treatment clinic</w:t>
            </w:r>
            <w:r w:rsidR="007F2F01">
              <w:rPr>
                <w:rFonts w:ascii="Calibri" w:hAnsi="Calibri"/>
                <w:noProof/>
                <w:sz w:val="20"/>
                <w:szCs w:val="20"/>
              </w:rPr>
              <w:t>.</w:t>
            </w:r>
            <w:r w:rsidRPr="00204223">
              <w:rPr>
                <w:rFonts w:ascii="Calibri" w:hAnsi="Calibri"/>
                <w:noProof/>
                <w:sz w:val="20"/>
                <w:szCs w:val="20"/>
              </w:rPr>
              <w:t xml:space="preserve"> International journal of clinical practice; 63.360.</w:t>
            </w:r>
          </w:p>
        </w:tc>
      </w:tr>
      <w:tr w:rsidR="00EA69AA" w:rsidRPr="00204223" w14:paraId="5475FC67"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27DBA9E"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652</w:t>
            </w:r>
          </w:p>
        </w:tc>
        <w:tc>
          <w:tcPr>
            <w:tcW w:w="0" w:type="auto"/>
            <w:tcBorders>
              <w:top w:val="single" w:sz="6" w:space="0" w:color="auto"/>
              <w:left w:val="single" w:sz="6" w:space="0" w:color="auto"/>
              <w:bottom w:val="single" w:sz="6" w:space="0" w:color="auto"/>
              <w:right w:val="single" w:sz="6" w:space="0" w:color="auto"/>
            </w:tcBorders>
            <w:hideMark/>
          </w:tcPr>
          <w:p w14:paraId="0C6D3424" w14:textId="45AF8F8E" w:rsidR="00EA69AA" w:rsidRPr="00204223" w:rsidRDefault="00EA69AA" w:rsidP="00EA69AA">
            <w:pPr>
              <w:contextualSpacing/>
              <w:rPr>
                <w:rFonts w:ascii="Calibri" w:hAnsi="Calibri"/>
                <w:noProof/>
                <w:sz w:val="20"/>
                <w:szCs w:val="20"/>
              </w:rPr>
            </w:pPr>
            <w:r w:rsidRPr="00204223">
              <w:rPr>
                <w:rFonts w:ascii="Calibri" w:hAnsi="Calibri"/>
                <w:noProof/>
                <w:sz w:val="20"/>
                <w:szCs w:val="20"/>
              </w:rPr>
              <w:t>Joshua E Muscat,​ Gang Chen,​ Ashley Knipe,​ Steven D Stellman,​ Philip Lazarus,​ John P Jr Richie 2009 Effects of menthol on tobacco smoke exposure,​ nicotine dependence,​ and NNAL glucuronidation</w:t>
            </w:r>
            <w:r w:rsidR="007F2F01">
              <w:rPr>
                <w:rFonts w:ascii="Calibri" w:hAnsi="Calibri"/>
                <w:noProof/>
                <w:sz w:val="20"/>
                <w:szCs w:val="20"/>
              </w:rPr>
              <w:t>.</w:t>
            </w:r>
            <w:r w:rsidRPr="00204223">
              <w:rPr>
                <w:rFonts w:ascii="Calibri" w:hAnsi="Calibri"/>
                <w:noProof/>
                <w:sz w:val="20"/>
                <w:szCs w:val="20"/>
              </w:rPr>
              <w:t xml:space="preserve"> Cancer epidemiology,​ biomarkers &amp; prevention : a publication of the American Association for Cancer Research,​ cosponsored by the American Society of Preventive Oncology; 18.35.</w:t>
            </w:r>
          </w:p>
        </w:tc>
      </w:tr>
      <w:tr w:rsidR="00EA69AA" w:rsidRPr="00204223" w14:paraId="743B79F7"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D60E584"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654</w:t>
            </w:r>
          </w:p>
        </w:tc>
        <w:tc>
          <w:tcPr>
            <w:tcW w:w="0" w:type="auto"/>
            <w:tcBorders>
              <w:top w:val="single" w:sz="6" w:space="0" w:color="auto"/>
              <w:left w:val="single" w:sz="6" w:space="0" w:color="auto"/>
              <w:bottom w:val="single" w:sz="6" w:space="0" w:color="auto"/>
              <w:right w:val="single" w:sz="6" w:space="0" w:color="auto"/>
            </w:tcBorders>
            <w:hideMark/>
          </w:tcPr>
          <w:p w14:paraId="1951DA96" w14:textId="7B2326EE" w:rsidR="00EA69AA" w:rsidRPr="00204223" w:rsidRDefault="00EA69AA" w:rsidP="00EA69AA">
            <w:pPr>
              <w:contextualSpacing/>
              <w:rPr>
                <w:rFonts w:ascii="Calibri" w:hAnsi="Calibri"/>
                <w:noProof/>
                <w:sz w:val="20"/>
                <w:szCs w:val="20"/>
              </w:rPr>
            </w:pPr>
            <w:r w:rsidRPr="00204223">
              <w:rPr>
                <w:rFonts w:ascii="Calibri" w:hAnsi="Calibri"/>
                <w:noProof/>
                <w:sz w:val="20"/>
                <w:szCs w:val="20"/>
              </w:rPr>
              <w:t>Jessica L Muilenburg,​ Jerome S Jr Legge 2008 African American adolescents and menthol cigarettes: smoking behavior among secondary school students</w:t>
            </w:r>
            <w:r w:rsidR="007F2F01">
              <w:rPr>
                <w:rFonts w:ascii="Calibri" w:hAnsi="Calibri"/>
                <w:noProof/>
                <w:sz w:val="20"/>
                <w:szCs w:val="20"/>
              </w:rPr>
              <w:t>.</w:t>
            </w:r>
            <w:r w:rsidRPr="00204223">
              <w:rPr>
                <w:rFonts w:ascii="Calibri" w:hAnsi="Calibri"/>
                <w:noProof/>
                <w:sz w:val="20"/>
                <w:szCs w:val="20"/>
              </w:rPr>
              <w:t xml:space="preserve"> The Journal of adolescent health : official publication of the Society for Adolescent Medicine; 43.570.</w:t>
            </w:r>
          </w:p>
        </w:tc>
      </w:tr>
      <w:tr w:rsidR="00EA69AA" w:rsidRPr="00204223" w14:paraId="302B71AD"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8C2F1E4"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665</w:t>
            </w:r>
          </w:p>
        </w:tc>
        <w:tc>
          <w:tcPr>
            <w:tcW w:w="0" w:type="auto"/>
            <w:tcBorders>
              <w:top w:val="single" w:sz="6" w:space="0" w:color="auto"/>
              <w:left w:val="single" w:sz="6" w:space="0" w:color="auto"/>
              <w:bottom w:val="single" w:sz="6" w:space="0" w:color="auto"/>
              <w:right w:val="single" w:sz="6" w:space="0" w:color="auto"/>
            </w:tcBorders>
            <w:hideMark/>
          </w:tcPr>
          <w:p w14:paraId="59C686BA" w14:textId="0E996B54" w:rsidR="00EA69AA" w:rsidRPr="00204223" w:rsidRDefault="00EA69AA" w:rsidP="00EA69AA">
            <w:pPr>
              <w:contextualSpacing/>
              <w:rPr>
                <w:rFonts w:ascii="Calibri" w:hAnsi="Calibri"/>
                <w:noProof/>
                <w:sz w:val="20"/>
                <w:szCs w:val="20"/>
              </w:rPr>
            </w:pPr>
            <w:r w:rsidRPr="00204223">
              <w:rPr>
                <w:rFonts w:ascii="Calibri" w:hAnsi="Calibri"/>
                <w:noProof/>
                <w:sz w:val="20"/>
                <w:szCs w:val="20"/>
              </w:rPr>
              <w:t>Steven S Fu,​ Kolawole S Okuyemi,​ Melissa R Partin,​ Jasjit S Ahluwalia,​ David B Nelson,​ Barbara A Clothier,​ Anne M Joseph 2008 Menthol cigarettes and smoking cessation during an aided quit attempt</w:t>
            </w:r>
            <w:r w:rsidR="007F2F01">
              <w:rPr>
                <w:rFonts w:ascii="Calibri" w:hAnsi="Calibri"/>
                <w:noProof/>
                <w:sz w:val="20"/>
                <w:szCs w:val="20"/>
              </w:rPr>
              <w:t>.</w:t>
            </w:r>
            <w:r w:rsidRPr="00204223">
              <w:rPr>
                <w:rFonts w:ascii="Calibri" w:hAnsi="Calibri"/>
                <w:noProof/>
                <w:sz w:val="20"/>
                <w:szCs w:val="20"/>
              </w:rPr>
              <w:t xml:space="preserve"> Nicotine &amp; tobacco research : official journal of the Society for Research on Nicotine and Tobacco; 10.457.</w:t>
            </w:r>
          </w:p>
        </w:tc>
      </w:tr>
      <w:tr w:rsidR="00EA69AA" w:rsidRPr="00204223" w14:paraId="1B32346F"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DB4C71A"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668</w:t>
            </w:r>
          </w:p>
        </w:tc>
        <w:tc>
          <w:tcPr>
            <w:tcW w:w="0" w:type="auto"/>
            <w:tcBorders>
              <w:top w:val="single" w:sz="6" w:space="0" w:color="auto"/>
              <w:left w:val="single" w:sz="6" w:space="0" w:color="auto"/>
              <w:bottom w:val="single" w:sz="6" w:space="0" w:color="auto"/>
              <w:right w:val="single" w:sz="6" w:space="0" w:color="auto"/>
            </w:tcBorders>
            <w:hideMark/>
          </w:tcPr>
          <w:p w14:paraId="6B46EE55" w14:textId="2EB73A8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M T Bover,​ J Foulds,​ M B Steinberg,​ D Richardson,​ S W Marcella 2008 Waking at night to smoke as a marker for tobacco dependence: patient characteristics and relationship to treatment outcome</w:t>
            </w:r>
            <w:r w:rsidR="007F2F01">
              <w:rPr>
                <w:rFonts w:ascii="Calibri" w:hAnsi="Calibri"/>
                <w:noProof/>
                <w:sz w:val="20"/>
                <w:szCs w:val="20"/>
              </w:rPr>
              <w:t>.</w:t>
            </w:r>
            <w:r w:rsidRPr="00204223">
              <w:rPr>
                <w:rFonts w:ascii="Calibri" w:hAnsi="Calibri"/>
                <w:noProof/>
                <w:sz w:val="20"/>
                <w:szCs w:val="20"/>
              </w:rPr>
              <w:t xml:space="preserve"> International journal of clinical practice; 62.182.</w:t>
            </w:r>
          </w:p>
        </w:tc>
      </w:tr>
      <w:tr w:rsidR="00EA69AA" w:rsidRPr="00204223" w14:paraId="5603B08D"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0123C0C"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672</w:t>
            </w:r>
          </w:p>
        </w:tc>
        <w:tc>
          <w:tcPr>
            <w:tcW w:w="0" w:type="auto"/>
            <w:tcBorders>
              <w:top w:val="single" w:sz="6" w:space="0" w:color="auto"/>
              <w:left w:val="single" w:sz="6" w:space="0" w:color="auto"/>
              <w:bottom w:val="single" w:sz="6" w:space="0" w:color="auto"/>
              <w:right w:val="single" w:sz="6" w:space="0" w:color="auto"/>
            </w:tcBorders>
            <w:hideMark/>
          </w:tcPr>
          <w:p w14:paraId="06967B45" w14:textId="464D0BAF" w:rsidR="00EA69AA" w:rsidRPr="00204223" w:rsidRDefault="00EA69AA" w:rsidP="00EA69AA">
            <w:pPr>
              <w:contextualSpacing/>
              <w:rPr>
                <w:rFonts w:ascii="Calibri" w:hAnsi="Calibri"/>
                <w:noProof/>
                <w:sz w:val="20"/>
                <w:szCs w:val="20"/>
              </w:rPr>
            </w:pPr>
            <w:r w:rsidRPr="00204223">
              <w:rPr>
                <w:rFonts w:ascii="Calibri" w:hAnsi="Calibri"/>
                <w:noProof/>
                <w:sz w:val="20"/>
                <w:szCs w:val="20"/>
              </w:rPr>
              <w:t>Kolawole S Okuyemi,​ Babalola Faseru,​ Lisa Sanderson Cox,​ Carrie A Bronars,​ Jasjit S Ahluwalia 2007 Relationship between menthol cigarettes and smoking cessation among African American light smokers</w:t>
            </w:r>
            <w:r w:rsidR="007F2F01">
              <w:rPr>
                <w:rFonts w:ascii="Calibri" w:hAnsi="Calibri"/>
                <w:noProof/>
                <w:sz w:val="20"/>
                <w:szCs w:val="20"/>
              </w:rPr>
              <w:t>.</w:t>
            </w:r>
            <w:r w:rsidRPr="00204223">
              <w:rPr>
                <w:rFonts w:ascii="Calibri" w:hAnsi="Calibri"/>
                <w:noProof/>
                <w:sz w:val="20"/>
                <w:szCs w:val="20"/>
              </w:rPr>
              <w:t xml:space="preserve"> Addiction (Abingdon,​ England); 102.1979.</w:t>
            </w:r>
          </w:p>
        </w:tc>
      </w:tr>
      <w:tr w:rsidR="00EA69AA" w:rsidRPr="00204223" w14:paraId="52FFDAFB"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698EAAF"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678</w:t>
            </w:r>
          </w:p>
        </w:tc>
        <w:tc>
          <w:tcPr>
            <w:tcW w:w="0" w:type="auto"/>
            <w:tcBorders>
              <w:top w:val="single" w:sz="6" w:space="0" w:color="auto"/>
              <w:left w:val="single" w:sz="6" w:space="0" w:color="auto"/>
              <w:bottom w:val="single" w:sz="6" w:space="0" w:color="auto"/>
              <w:right w:val="single" w:sz="6" w:space="0" w:color="auto"/>
            </w:tcBorders>
            <w:hideMark/>
          </w:tcPr>
          <w:p w14:paraId="13703722" w14:textId="14C60CB9" w:rsidR="00EA69AA" w:rsidRPr="00204223" w:rsidRDefault="00EA69AA" w:rsidP="00EA69AA">
            <w:pPr>
              <w:contextualSpacing/>
              <w:rPr>
                <w:rFonts w:ascii="Calibri" w:hAnsi="Calibri"/>
                <w:noProof/>
                <w:sz w:val="20"/>
                <w:szCs w:val="20"/>
              </w:rPr>
            </w:pPr>
            <w:r w:rsidRPr="00204223">
              <w:rPr>
                <w:rFonts w:ascii="Calibri" w:hAnsi="Calibri"/>
                <w:noProof/>
                <w:sz w:val="20"/>
                <w:szCs w:val="20"/>
              </w:rPr>
              <w:t>Bruce Jr Allen,​ Jennifer B Unger 2007 Sociocultural correlates of menthol cigarette smoking among adult African Americans in Los Angeles</w:t>
            </w:r>
            <w:r w:rsidR="007F2F01">
              <w:rPr>
                <w:rFonts w:ascii="Calibri" w:hAnsi="Calibri"/>
                <w:noProof/>
                <w:sz w:val="20"/>
                <w:szCs w:val="20"/>
              </w:rPr>
              <w:t>.</w:t>
            </w:r>
            <w:r w:rsidRPr="00204223">
              <w:rPr>
                <w:rFonts w:ascii="Calibri" w:hAnsi="Calibri"/>
                <w:noProof/>
                <w:sz w:val="20"/>
                <w:szCs w:val="20"/>
              </w:rPr>
              <w:t xml:space="preserve"> Nicotine &amp; tobacco research : official journal of the Society for Research on Nicotine and Tobacco; 9.447.</w:t>
            </w:r>
          </w:p>
        </w:tc>
      </w:tr>
      <w:tr w:rsidR="00EA69AA" w:rsidRPr="00204223" w14:paraId="106E044A"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C80C1E6"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680</w:t>
            </w:r>
          </w:p>
        </w:tc>
        <w:tc>
          <w:tcPr>
            <w:tcW w:w="0" w:type="auto"/>
            <w:tcBorders>
              <w:top w:val="single" w:sz="6" w:space="0" w:color="auto"/>
              <w:left w:val="single" w:sz="6" w:space="0" w:color="auto"/>
              <w:bottom w:val="single" w:sz="6" w:space="0" w:color="auto"/>
              <w:right w:val="single" w:sz="6" w:space="0" w:color="auto"/>
            </w:tcBorders>
            <w:hideMark/>
          </w:tcPr>
          <w:p w14:paraId="329B71EB" w14:textId="0CE2C803" w:rsidR="00EA69AA" w:rsidRPr="00204223" w:rsidRDefault="00EA69AA" w:rsidP="00EA69AA">
            <w:pPr>
              <w:contextualSpacing/>
              <w:rPr>
                <w:rFonts w:ascii="Calibri" w:hAnsi="Calibri"/>
                <w:noProof/>
                <w:sz w:val="20"/>
                <w:szCs w:val="20"/>
              </w:rPr>
            </w:pPr>
            <w:r w:rsidRPr="00204223">
              <w:rPr>
                <w:rFonts w:ascii="Calibri" w:hAnsi="Calibri"/>
                <w:noProof/>
                <w:sz w:val="20"/>
                <w:szCs w:val="20"/>
              </w:rPr>
              <w:t>Robert P Murray,​ John E Connett,​ Melissa A Skeans,​ Donald P Tashkin 2007 Menthol cigarettes and health risks in Lung Health Study data</w:t>
            </w:r>
            <w:r w:rsidR="007F2F01">
              <w:rPr>
                <w:rFonts w:ascii="Calibri" w:hAnsi="Calibri"/>
                <w:noProof/>
                <w:sz w:val="20"/>
                <w:szCs w:val="20"/>
              </w:rPr>
              <w:t>.</w:t>
            </w:r>
            <w:r w:rsidRPr="00204223">
              <w:rPr>
                <w:rFonts w:ascii="Calibri" w:hAnsi="Calibri"/>
                <w:noProof/>
                <w:sz w:val="20"/>
                <w:szCs w:val="20"/>
              </w:rPr>
              <w:t xml:space="preserve"> Nicotine &amp; tobacco research : official journal of the Society for Research on Nicotine and Tobacco; 9.101.</w:t>
            </w:r>
          </w:p>
        </w:tc>
      </w:tr>
      <w:tr w:rsidR="00EA69AA" w:rsidRPr="00204223" w14:paraId="294B9C80"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7A73C09"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681</w:t>
            </w:r>
          </w:p>
        </w:tc>
        <w:tc>
          <w:tcPr>
            <w:tcW w:w="0" w:type="auto"/>
            <w:tcBorders>
              <w:top w:val="single" w:sz="6" w:space="0" w:color="auto"/>
              <w:left w:val="single" w:sz="6" w:space="0" w:color="auto"/>
              <w:bottom w:val="single" w:sz="6" w:space="0" w:color="auto"/>
              <w:right w:val="single" w:sz="6" w:space="0" w:color="auto"/>
            </w:tcBorders>
            <w:hideMark/>
          </w:tcPr>
          <w:p w14:paraId="15B7051B" w14:textId="731FD468" w:rsidR="00EA69AA" w:rsidRPr="00204223" w:rsidRDefault="00EA69AA" w:rsidP="00EA69AA">
            <w:pPr>
              <w:contextualSpacing/>
              <w:rPr>
                <w:rFonts w:ascii="Calibri" w:hAnsi="Calibri"/>
                <w:noProof/>
                <w:sz w:val="20"/>
                <w:szCs w:val="20"/>
              </w:rPr>
            </w:pPr>
            <w:r w:rsidRPr="00204223">
              <w:rPr>
                <w:rFonts w:ascii="Calibri" w:hAnsi="Calibri"/>
                <w:noProof/>
                <w:sz w:val="20"/>
                <w:szCs w:val="20"/>
              </w:rPr>
              <w:t>Olivia Wackowski,​ Cristine D Delnevo 2007 Menthol cigarettes and indicators of tobacco dependence among adolescents</w:t>
            </w:r>
            <w:r w:rsidR="007F2F01">
              <w:rPr>
                <w:rFonts w:ascii="Calibri" w:hAnsi="Calibri"/>
                <w:noProof/>
                <w:sz w:val="20"/>
                <w:szCs w:val="20"/>
              </w:rPr>
              <w:t>.</w:t>
            </w:r>
            <w:r w:rsidRPr="00204223">
              <w:rPr>
                <w:rFonts w:ascii="Calibri" w:hAnsi="Calibri"/>
                <w:noProof/>
                <w:sz w:val="20"/>
                <w:szCs w:val="20"/>
              </w:rPr>
              <w:t xml:space="preserve"> Addictive behaviors; 32.1964.</w:t>
            </w:r>
          </w:p>
        </w:tc>
      </w:tr>
      <w:tr w:rsidR="00EA69AA" w:rsidRPr="00204223" w14:paraId="1F222614"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4BF9D1C"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683</w:t>
            </w:r>
          </w:p>
        </w:tc>
        <w:tc>
          <w:tcPr>
            <w:tcW w:w="0" w:type="auto"/>
            <w:tcBorders>
              <w:top w:val="single" w:sz="6" w:space="0" w:color="auto"/>
              <w:left w:val="single" w:sz="6" w:space="0" w:color="auto"/>
              <w:bottom w:val="single" w:sz="6" w:space="0" w:color="auto"/>
              <w:right w:val="single" w:sz="6" w:space="0" w:color="auto"/>
            </w:tcBorders>
            <w:hideMark/>
          </w:tcPr>
          <w:p w14:paraId="55FB275E" w14:textId="27249843" w:rsidR="00EA69AA" w:rsidRPr="00204223" w:rsidRDefault="00EA69AA" w:rsidP="00EA69AA">
            <w:pPr>
              <w:contextualSpacing/>
              <w:rPr>
                <w:rFonts w:ascii="Calibri" w:hAnsi="Calibri"/>
                <w:noProof/>
                <w:sz w:val="20"/>
                <w:szCs w:val="20"/>
              </w:rPr>
            </w:pPr>
            <w:r w:rsidRPr="00204223">
              <w:rPr>
                <w:rFonts w:ascii="Calibri" w:hAnsi="Calibri"/>
                <w:noProof/>
                <w:sz w:val="20"/>
                <w:szCs w:val="20"/>
              </w:rPr>
              <w:t>Mark J Pletcher,​ Benjamin J Hulley,​ Thomas Houston,​ Catarina I Kiefe,​ Neal Benowitz,​ Stephen Sidney 2006 Menthol cigarettes,​ smoking cessation,​ atherosclerosis,​ and pulmonary function: the Coronary Artery Risk Development in Young Adults (CARDIA) Study</w:t>
            </w:r>
            <w:r w:rsidR="007F2F01">
              <w:rPr>
                <w:rFonts w:ascii="Calibri" w:hAnsi="Calibri"/>
                <w:noProof/>
                <w:sz w:val="20"/>
                <w:szCs w:val="20"/>
              </w:rPr>
              <w:t>.</w:t>
            </w:r>
            <w:r w:rsidRPr="00204223">
              <w:rPr>
                <w:rFonts w:ascii="Calibri" w:hAnsi="Calibri"/>
                <w:noProof/>
                <w:sz w:val="20"/>
                <w:szCs w:val="20"/>
              </w:rPr>
              <w:t xml:space="preserve"> Archives of internal medicine; 166.1915.</w:t>
            </w:r>
          </w:p>
        </w:tc>
      </w:tr>
      <w:tr w:rsidR="00EA69AA" w:rsidRPr="00204223" w14:paraId="1992C8A1"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C1B9A70"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685</w:t>
            </w:r>
          </w:p>
        </w:tc>
        <w:tc>
          <w:tcPr>
            <w:tcW w:w="0" w:type="auto"/>
            <w:tcBorders>
              <w:top w:val="single" w:sz="6" w:space="0" w:color="auto"/>
              <w:left w:val="single" w:sz="6" w:space="0" w:color="auto"/>
              <w:bottom w:val="single" w:sz="6" w:space="0" w:color="auto"/>
              <w:right w:val="single" w:sz="6" w:space="0" w:color="auto"/>
            </w:tcBorders>
            <w:hideMark/>
          </w:tcPr>
          <w:p w14:paraId="4A00BE56" w14:textId="41F20D32" w:rsidR="00EA69AA" w:rsidRPr="00204223" w:rsidRDefault="00EA69AA" w:rsidP="00EA69AA">
            <w:pPr>
              <w:contextualSpacing/>
              <w:rPr>
                <w:rFonts w:ascii="Calibri" w:hAnsi="Calibri"/>
                <w:noProof/>
                <w:sz w:val="20"/>
                <w:szCs w:val="20"/>
              </w:rPr>
            </w:pPr>
            <w:r w:rsidRPr="00204223">
              <w:rPr>
                <w:rFonts w:ascii="Calibri" w:hAnsi="Calibri"/>
                <w:noProof/>
                <w:sz w:val="20"/>
                <w:szCs w:val="20"/>
              </w:rPr>
              <w:t>James C Hersey,​ Shu Wen Ng,​ James M Nonnemaker,​ Paul Mowery,​ Kristin Y Thomas,​ My-Charllins Vilsaint,​ Jane A Allen,​ M Lyndon Haviland 2006 Are menthol cigarettes a starter product for youth?</w:t>
            </w:r>
            <w:r w:rsidR="007F2F01">
              <w:rPr>
                <w:rFonts w:ascii="Calibri" w:hAnsi="Calibri"/>
                <w:noProof/>
                <w:sz w:val="20"/>
                <w:szCs w:val="20"/>
              </w:rPr>
              <w:t>.</w:t>
            </w:r>
            <w:r w:rsidRPr="00204223">
              <w:rPr>
                <w:rFonts w:ascii="Calibri" w:hAnsi="Calibri"/>
                <w:noProof/>
                <w:sz w:val="20"/>
                <w:szCs w:val="20"/>
              </w:rPr>
              <w:t xml:space="preserve"> Nicotine &amp; tobacco research : official journal of the Society for Research on Nicotine and Tobacco; 8.403.</w:t>
            </w:r>
          </w:p>
        </w:tc>
      </w:tr>
      <w:tr w:rsidR="00EA69AA" w:rsidRPr="00204223" w14:paraId="38D1A204"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F2784BB"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690</w:t>
            </w:r>
          </w:p>
        </w:tc>
        <w:tc>
          <w:tcPr>
            <w:tcW w:w="0" w:type="auto"/>
            <w:tcBorders>
              <w:top w:val="single" w:sz="6" w:space="0" w:color="auto"/>
              <w:left w:val="single" w:sz="6" w:space="0" w:color="auto"/>
              <w:bottom w:val="single" w:sz="6" w:space="0" w:color="auto"/>
              <w:right w:val="single" w:sz="6" w:space="0" w:color="auto"/>
            </w:tcBorders>
            <w:hideMark/>
          </w:tcPr>
          <w:p w14:paraId="1A1BD546" w14:textId="7DF0FC3F" w:rsidR="00EA69AA" w:rsidRPr="00204223" w:rsidRDefault="00EA69AA" w:rsidP="00EA69AA">
            <w:pPr>
              <w:contextualSpacing/>
              <w:rPr>
                <w:rFonts w:ascii="Calibri" w:hAnsi="Calibri"/>
                <w:noProof/>
                <w:sz w:val="20"/>
                <w:szCs w:val="20"/>
              </w:rPr>
            </w:pPr>
            <w:r w:rsidRPr="00204223">
              <w:rPr>
                <w:rFonts w:ascii="Calibri" w:hAnsi="Calibri"/>
                <w:noProof/>
                <w:sz w:val="20"/>
                <w:szCs w:val="20"/>
              </w:rPr>
              <w:t>Charles C Collins,​ Eric T Moolchan 2006 Shorter time to first cigarette of the day in menthol adolescent cigarette smokers</w:t>
            </w:r>
            <w:r w:rsidR="007F2F01">
              <w:rPr>
                <w:rFonts w:ascii="Calibri" w:hAnsi="Calibri"/>
                <w:noProof/>
                <w:sz w:val="20"/>
                <w:szCs w:val="20"/>
              </w:rPr>
              <w:t>.</w:t>
            </w:r>
            <w:r w:rsidRPr="00204223">
              <w:rPr>
                <w:rFonts w:ascii="Calibri" w:hAnsi="Calibri"/>
                <w:noProof/>
                <w:sz w:val="20"/>
                <w:szCs w:val="20"/>
              </w:rPr>
              <w:t xml:space="preserve"> Addictive behaviors; 31.1460.</w:t>
            </w:r>
          </w:p>
        </w:tc>
      </w:tr>
      <w:tr w:rsidR="00EA69AA" w:rsidRPr="00204223" w14:paraId="1391B0BB"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D414726"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692</w:t>
            </w:r>
          </w:p>
        </w:tc>
        <w:tc>
          <w:tcPr>
            <w:tcW w:w="0" w:type="auto"/>
            <w:tcBorders>
              <w:top w:val="single" w:sz="6" w:space="0" w:color="auto"/>
              <w:left w:val="single" w:sz="6" w:space="0" w:color="auto"/>
              <w:bottom w:val="single" w:sz="6" w:space="0" w:color="auto"/>
              <w:right w:val="single" w:sz="6" w:space="0" w:color="auto"/>
            </w:tcBorders>
            <w:hideMark/>
          </w:tcPr>
          <w:p w14:paraId="2C535286" w14:textId="2109E8DC" w:rsidR="00EA69AA" w:rsidRPr="00204223" w:rsidRDefault="00EA69AA" w:rsidP="00EA69AA">
            <w:pPr>
              <w:contextualSpacing/>
              <w:rPr>
                <w:rFonts w:ascii="Calibri" w:hAnsi="Calibri"/>
                <w:noProof/>
                <w:sz w:val="20"/>
                <w:szCs w:val="20"/>
              </w:rPr>
            </w:pPr>
            <w:r w:rsidRPr="00204223">
              <w:rPr>
                <w:rFonts w:ascii="Calibri" w:hAnsi="Calibri"/>
                <w:noProof/>
                <w:sz w:val="20"/>
                <w:szCs w:val="20"/>
              </w:rPr>
              <w:t>Taru Kinnunen Mustonen,​ Stacie M Spencer,​ Randall A Hoskinson,​ David P L Sachs,​ Arthur J Garvey 2005 The influence of gender,​ race,​ and menthol content on tobacco exposure measures</w:t>
            </w:r>
            <w:r w:rsidR="007F2F01">
              <w:rPr>
                <w:rFonts w:ascii="Calibri" w:hAnsi="Calibri"/>
                <w:noProof/>
                <w:sz w:val="20"/>
                <w:szCs w:val="20"/>
              </w:rPr>
              <w:t>.</w:t>
            </w:r>
            <w:r w:rsidRPr="00204223">
              <w:rPr>
                <w:rFonts w:ascii="Calibri" w:hAnsi="Calibri"/>
                <w:noProof/>
                <w:sz w:val="20"/>
                <w:szCs w:val="20"/>
              </w:rPr>
              <w:t xml:space="preserve"> Nicotine &amp; tobacco research : official journal of the Society for Research on Nicotine and Tobacco; 7.581.</w:t>
            </w:r>
          </w:p>
        </w:tc>
      </w:tr>
      <w:tr w:rsidR="00EA69AA" w:rsidRPr="00204223" w14:paraId="0ACC291D"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735A570"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698</w:t>
            </w:r>
          </w:p>
        </w:tc>
        <w:tc>
          <w:tcPr>
            <w:tcW w:w="0" w:type="auto"/>
            <w:tcBorders>
              <w:top w:val="single" w:sz="6" w:space="0" w:color="auto"/>
              <w:left w:val="single" w:sz="6" w:space="0" w:color="auto"/>
              <w:bottom w:val="single" w:sz="6" w:space="0" w:color="auto"/>
              <w:right w:val="single" w:sz="6" w:space="0" w:color="auto"/>
            </w:tcBorders>
            <w:hideMark/>
          </w:tcPr>
          <w:p w14:paraId="401899AC" w14:textId="14371006" w:rsidR="00EA69AA" w:rsidRPr="00204223" w:rsidRDefault="00EA69AA" w:rsidP="00EA69AA">
            <w:pPr>
              <w:contextualSpacing/>
              <w:rPr>
                <w:rFonts w:ascii="Calibri" w:hAnsi="Calibri"/>
                <w:noProof/>
                <w:sz w:val="20"/>
                <w:szCs w:val="20"/>
              </w:rPr>
            </w:pPr>
            <w:r w:rsidRPr="00204223">
              <w:rPr>
                <w:rFonts w:ascii="Calibri" w:hAnsi="Calibri"/>
                <w:noProof/>
                <w:sz w:val="20"/>
                <w:szCs w:val="20"/>
              </w:rPr>
              <w:t>Kolawole S Okuyemi,​ Maiko Ebersole-Robinson,​ Niaman Nazir,​ Jasjit S Ahluwalia 2004 African-American menthol and nonmenthol smokers: differences in smoking and cessation experiences</w:t>
            </w:r>
            <w:r w:rsidR="007F2F01">
              <w:rPr>
                <w:rFonts w:ascii="Calibri" w:hAnsi="Calibri"/>
                <w:noProof/>
                <w:sz w:val="20"/>
                <w:szCs w:val="20"/>
              </w:rPr>
              <w:t>.</w:t>
            </w:r>
            <w:r w:rsidRPr="00204223">
              <w:rPr>
                <w:rFonts w:ascii="Calibri" w:hAnsi="Calibri"/>
                <w:noProof/>
                <w:sz w:val="20"/>
                <w:szCs w:val="20"/>
              </w:rPr>
              <w:t xml:space="preserve"> Journal of the National Medical Association; 96.1208.</w:t>
            </w:r>
          </w:p>
        </w:tc>
      </w:tr>
      <w:tr w:rsidR="00EA69AA" w:rsidRPr="00204223" w14:paraId="53A50D2B"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551F7E7"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702</w:t>
            </w:r>
          </w:p>
        </w:tc>
        <w:tc>
          <w:tcPr>
            <w:tcW w:w="0" w:type="auto"/>
            <w:tcBorders>
              <w:top w:val="single" w:sz="6" w:space="0" w:color="auto"/>
              <w:left w:val="single" w:sz="6" w:space="0" w:color="auto"/>
              <w:bottom w:val="single" w:sz="6" w:space="0" w:color="auto"/>
              <w:right w:val="single" w:sz="6" w:space="0" w:color="auto"/>
            </w:tcBorders>
            <w:hideMark/>
          </w:tcPr>
          <w:p w14:paraId="44A045DD" w14:textId="1F6E7054" w:rsidR="00EA69AA" w:rsidRPr="00204223" w:rsidRDefault="00EA69AA" w:rsidP="00EA69AA">
            <w:pPr>
              <w:contextualSpacing/>
              <w:rPr>
                <w:rFonts w:ascii="Calibri" w:hAnsi="Calibri"/>
                <w:noProof/>
                <w:sz w:val="20"/>
                <w:szCs w:val="20"/>
              </w:rPr>
            </w:pPr>
            <w:r w:rsidRPr="00204223">
              <w:rPr>
                <w:rFonts w:ascii="Calibri" w:hAnsi="Calibri"/>
                <w:noProof/>
                <w:sz w:val="20"/>
                <w:szCs w:val="20"/>
              </w:rPr>
              <w:t>Neal L Benowitz,​ Brenda Herrera,​ Peyton 3rd Jacob 2004 Mentholated cigarette smoking inhibits nicotine metabolism</w:t>
            </w:r>
            <w:r w:rsidR="007F2F01">
              <w:rPr>
                <w:rFonts w:ascii="Calibri" w:hAnsi="Calibri"/>
                <w:noProof/>
                <w:sz w:val="20"/>
                <w:szCs w:val="20"/>
              </w:rPr>
              <w:t>.</w:t>
            </w:r>
            <w:r w:rsidRPr="00204223">
              <w:rPr>
                <w:rFonts w:ascii="Calibri" w:hAnsi="Calibri"/>
                <w:noProof/>
                <w:sz w:val="20"/>
                <w:szCs w:val="20"/>
              </w:rPr>
              <w:t xml:space="preserve"> The Journal of pharmacology and experimental therapeutics; 310.1208.</w:t>
            </w:r>
          </w:p>
        </w:tc>
      </w:tr>
      <w:tr w:rsidR="00EA69AA" w:rsidRPr="00204223" w14:paraId="1F005440"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DF71B4F"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lastRenderedPageBreak/>
              <w:t>703</w:t>
            </w:r>
          </w:p>
        </w:tc>
        <w:tc>
          <w:tcPr>
            <w:tcW w:w="0" w:type="auto"/>
            <w:tcBorders>
              <w:top w:val="single" w:sz="6" w:space="0" w:color="auto"/>
              <w:left w:val="single" w:sz="6" w:space="0" w:color="auto"/>
              <w:bottom w:val="single" w:sz="6" w:space="0" w:color="auto"/>
              <w:right w:val="single" w:sz="6" w:space="0" w:color="auto"/>
            </w:tcBorders>
            <w:hideMark/>
          </w:tcPr>
          <w:p w14:paraId="0BDFAD19" w14:textId="6AD7F831" w:rsidR="00EA69AA" w:rsidRPr="00204223" w:rsidRDefault="00EA69AA" w:rsidP="00EA69AA">
            <w:pPr>
              <w:contextualSpacing/>
              <w:rPr>
                <w:rFonts w:ascii="Calibri" w:hAnsi="Calibri"/>
                <w:noProof/>
                <w:sz w:val="20"/>
                <w:szCs w:val="20"/>
              </w:rPr>
            </w:pPr>
            <w:r w:rsidRPr="00204223">
              <w:rPr>
                <w:rFonts w:ascii="Calibri" w:hAnsi="Calibri"/>
                <w:noProof/>
                <w:sz w:val="20"/>
                <w:szCs w:val="20"/>
              </w:rPr>
              <w:t>Kari Jo Harris,​ Kolawole S Okuyemi,​ Delwyn Catley,​ Matthew S Mayo,​ Bin Ge,​ Jasjit S Ahluwalia 2004 Predictors of smoking cessation among African-Americans enrolled in a randomized controlled trial of bupropion</w:t>
            </w:r>
            <w:r w:rsidR="007F2F01">
              <w:rPr>
                <w:rFonts w:ascii="Calibri" w:hAnsi="Calibri"/>
                <w:noProof/>
                <w:sz w:val="20"/>
                <w:szCs w:val="20"/>
              </w:rPr>
              <w:t>.</w:t>
            </w:r>
            <w:r w:rsidRPr="00204223">
              <w:rPr>
                <w:rFonts w:ascii="Calibri" w:hAnsi="Calibri"/>
                <w:noProof/>
                <w:sz w:val="20"/>
                <w:szCs w:val="20"/>
              </w:rPr>
              <w:t xml:space="preserve"> Preventive medicine; 38.498.</w:t>
            </w:r>
          </w:p>
        </w:tc>
      </w:tr>
      <w:tr w:rsidR="00EA69AA" w:rsidRPr="00204223" w14:paraId="25A7C4EA"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AACEF9E"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706</w:t>
            </w:r>
          </w:p>
        </w:tc>
        <w:tc>
          <w:tcPr>
            <w:tcW w:w="0" w:type="auto"/>
            <w:tcBorders>
              <w:top w:val="single" w:sz="6" w:space="0" w:color="auto"/>
              <w:left w:val="single" w:sz="6" w:space="0" w:color="auto"/>
              <w:bottom w:val="single" w:sz="6" w:space="0" w:color="auto"/>
              <w:right w:val="single" w:sz="6" w:space="0" w:color="auto"/>
            </w:tcBorders>
            <w:hideMark/>
          </w:tcPr>
          <w:p w14:paraId="07716E79" w14:textId="7A595A0C" w:rsidR="00EA69AA" w:rsidRPr="00204223" w:rsidRDefault="00EA69AA" w:rsidP="00EA69AA">
            <w:pPr>
              <w:contextualSpacing/>
              <w:rPr>
                <w:rFonts w:ascii="Calibri" w:hAnsi="Calibri"/>
                <w:noProof/>
                <w:sz w:val="20"/>
                <w:szCs w:val="20"/>
              </w:rPr>
            </w:pPr>
            <w:r w:rsidRPr="00204223">
              <w:rPr>
                <w:rFonts w:ascii="Calibri" w:hAnsi="Calibri"/>
                <w:noProof/>
                <w:sz w:val="20"/>
                <w:szCs w:val="20"/>
              </w:rPr>
              <w:t>Gary A Giovino,​ Stephen Sidney,​ Joseph C Gfroerer,​ Patrick M O'Malley,​ Jane A Allen,​ Patricia A Richter,​ K Michael Cummings 2004 Epidemiology of menthol cigarette use</w:t>
            </w:r>
            <w:r w:rsidR="007F2F01">
              <w:rPr>
                <w:rFonts w:ascii="Calibri" w:hAnsi="Calibri"/>
                <w:noProof/>
                <w:sz w:val="20"/>
                <w:szCs w:val="20"/>
              </w:rPr>
              <w:t>.</w:t>
            </w:r>
            <w:r w:rsidRPr="00204223">
              <w:rPr>
                <w:rFonts w:ascii="Calibri" w:hAnsi="Calibri"/>
                <w:noProof/>
                <w:sz w:val="20"/>
                <w:szCs w:val="20"/>
              </w:rPr>
              <w:t xml:space="preserve"> Nicotine &amp; tobacco research : official journal of the Society for Research on Nicotine and Tobacco; 6 Suppl 1.S67.</w:t>
            </w:r>
          </w:p>
        </w:tc>
      </w:tr>
      <w:tr w:rsidR="00EA69AA" w:rsidRPr="00204223" w14:paraId="6AF0AB20"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03A1E40"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712</w:t>
            </w:r>
          </w:p>
        </w:tc>
        <w:tc>
          <w:tcPr>
            <w:tcW w:w="0" w:type="auto"/>
            <w:tcBorders>
              <w:top w:val="single" w:sz="6" w:space="0" w:color="auto"/>
              <w:left w:val="single" w:sz="6" w:space="0" w:color="auto"/>
              <w:bottom w:val="single" w:sz="6" w:space="0" w:color="auto"/>
              <w:right w:val="single" w:sz="6" w:space="0" w:color="auto"/>
            </w:tcBorders>
            <w:hideMark/>
          </w:tcPr>
          <w:p w14:paraId="40A73D8A" w14:textId="50E06E14" w:rsidR="00EA69AA" w:rsidRPr="00204223" w:rsidRDefault="00EA69AA" w:rsidP="00EA69AA">
            <w:pPr>
              <w:contextualSpacing/>
              <w:rPr>
                <w:rFonts w:ascii="Calibri" w:hAnsi="Calibri"/>
                <w:noProof/>
                <w:sz w:val="20"/>
                <w:szCs w:val="20"/>
              </w:rPr>
            </w:pPr>
            <w:r w:rsidRPr="00204223">
              <w:rPr>
                <w:rFonts w:ascii="Calibri" w:hAnsi="Calibri"/>
                <w:noProof/>
                <w:sz w:val="20"/>
                <w:szCs w:val="20"/>
              </w:rPr>
              <w:t>Joseph R DiFranza,​ Judith A Savageau,​ Kenneth Fletcher,​ Judith K Ockene,​ Nancy A Rigotti,​ Ann D McNeill,​ Mardia Coleman,​ Constance Wood 2004 Recollections and repercussions of the first inhaled cigarette</w:t>
            </w:r>
            <w:r w:rsidR="007F2F01">
              <w:rPr>
                <w:rFonts w:ascii="Calibri" w:hAnsi="Calibri"/>
                <w:noProof/>
                <w:sz w:val="20"/>
                <w:szCs w:val="20"/>
              </w:rPr>
              <w:t>.</w:t>
            </w:r>
            <w:r w:rsidRPr="00204223">
              <w:rPr>
                <w:rFonts w:ascii="Calibri" w:hAnsi="Calibri"/>
                <w:noProof/>
                <w:sz w:val="20"/>
                <w:szCs w:val="20"/>
              </w:rPr>
              <w:t xml:space="preserve"> Addictive behaviors; 29.261.</w:t>
            </w:r>
          </w:p>
        </w:tc>
      </w:tr>
      <w:tr w:rsidR="00EA69AA" w:rsidRPr="00204223" w14:paraId="7F1DC8A5"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DE1DC38"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713</w:t>
            </w:r>
          </w:p>
        </w:tc>
        <w:tc>
          <w:tcPr>
            <w:tcW w:w="0" w:type="auto"/>
            <w:tcBorders>
              <w:top w:val="single" w:sz="6" w:space="0" w:color="auto"/>
              <w:left w:val="single" w:sz="6" w:space="0" w:color="auto"/>
              <w:bottom w:val="single" w:sz="6" w:space="0" w:color="auto"/>
              <w:right w:val="single" w:sz="6" w:space="0" w:color="auto"/>
            </w:tcBorders>
            <w:hideMark/>
          </w:tcPr>
          <w:p w14:paraId="4CCA11E8" w14:textId="4CEBC883" w:rsidR="00EA69AA" w:rsidRPr="00204223" w:rsidRDefault="00EA69AA" w:rsidP="00EA69AA">
            <w:pPr>
              <w:contextualSpacing/>
              <w:rPr>
                <w:rFonts w:ascii="Calibri" w:hAnsi="Calibri"/>
                <w:noProof/>
                <w:sz w:val="20"/>
                <w:szCs w:val="20"/>
              </w:rPr>
            </w:pPr>
            <w:r w:rsidRPr="00204223">
              <w:rPr>
                <w:rFonts w:ascii="Calibri" w:hAnsi="Calibri"/>
                <w:noProof/>
                <w:sz w:val="20"/>
                <w:szCs w:val="20"/>
              </w:rPr>
              <w:t>Kolawole S Okuyemi,​ Jasjit S Ahluwalia,​ Maiko Ebersole-Robinson,​ Delwyn Catley,​ Matthew S Mayo,​ Ken Resnicow 2003 Does menthol attenuate the effect of bupropion among African American smokers?</w:t>
            </w:r>
            <w:r w:rsidR="007F2F01">
              <w:rPr>
                <w:rFonts w:ascii="Calibri" w:hAnsi="Calibri"/>
                <w:noProof/>
                <w:sz w:val="20"/>
                <w:szCs w:val="20"/>
              </w:rPr>
              <w:t>.</w:t>
            </w:r>
            <w:r w:rsidRPr="00204223">
              <w:rPr>
                <w:rFonts w:ascii="Calibri" w:hAnsi="Calibri"/>
                <w:noProof/>
                <w:sz w:val="20"/>
                <w:szCs w:val="20"/>
              </w:rPr>
              <w:t xml:space="preserve"> Addiction (Abingdon,​ England); 98.1387.</w:t>
            </w:r>
          </w:p>
        </w:tc>
      </w:tr>
      <w:tr w:rsidR="00EA69AA" w:rsidRPr="00204223" w14:paraId="0A2BF463"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4A75A34"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715</w:t>
            </w:r>
          </w:p>
        </w:tc>
        <w:tc>
          <w:tcPr>
            <w:tcW w:w="0" w:type="auto"/>
            <w:tcBorders>
              <w:top w:val="single" w:sz="6" w:space="0" w:color="auto"/>
              <w:left w:val="single" w:sz="6" w:space="0" w:color="auto"/>
              <w:bottom w:val="single" w:sz="6" w:space="0" w:color="auto"/>
              <w:right w:val="single" w:sz="6" w:space="0" w:color="auto"/>
            </w:tcBorders>
            <w:hideMark/>
          </w:tcPr>
          <w:p w14:paraId="133C44E6" w14:textId="0C781BDD" w:rsidR="00EA69AA" w:rsidRPr="00204223" w:rsidRDefault="00EA69AA" w:rsidP="00EA69AA">
            <w:pPr>
              <w:contextualSpacing/>
              <w:rPr>
                <w:rFonts w:ascii="Calibri" w:hAnsi="Calibri"/>
                <w:noProof/>
                <w:sz w:val="20"/>
                <w:szCs w:val="20"/>
              </w:rPr>
            </w:pPr>
            <w:r w:rsidRPr="00204223">
              <w:rPr>
                <w:rFonts w:ascii="Calibri" w:hAnsi="Calibri"/>
                <w:noProof/>
                <w:sz w:val="20"/>
                <w:szCs w:val="20"/>
              </w:rPr>
              <w:t>Daniel R Brooks,​ Julie R Palmer,​ Brian L Strom,​ Lynn Rosenberg 2003 Menthol cigarettes and risk of lung cancer</w:t>
            </w:r>
            <w:r w:rsidR="007F2F01">
              <w:rPr>
                <w:rFonts w:ascii="Calibri" w:hAnsi="Calibri"/>
                <w:noProof/>
                <w:sz w:val="20"/>
                <w:szCs w:val="20"/>
              </w:rPr>
              <w:t>.</w:t>
            </w:r>
            <w:r w:rsidRPr="00204223">
              <w:rPr>
                <w:rFonts w:ascii="Calibri" w:hAnsi="Calibri"/>
                <w:noProof/>
                <w:sz w:val="20"/>
                <w:szCs w:val="20"/>
              </w:rPr>
              <w:t xml:space="preserve"> American journal of epidemiology; 158.609.</w:t>
            </w:r>
          </w:p>
        </w:tc>
      </w:tr>
      <w:tr w:rsidR="00EA69AA" w:rsidRPr="00204223" w14:paraId="2ED4208C"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34B42B8"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723</w:t>
            </w:r>
          </w:p>
        </w:tc>
        <w:tc>
          <w:tcPr>
            <w:tcW w:w="0" w:type="auto"/>
            <w:tcBorders>
              <w:top w:val="single" w:sz="6" w:space="0" w:color="auto"/>
              <w:left w:val="single" w:sz="6" w:space="0" w:color="auto"/>
              <w:bottom w:val="single" w:sz="6" w:space="0" w:color="auto"/>
              <w:right w:val="single" w:sz="6" w:space="0" w:color="auto"/>
            </w:tcBorders>
            <w:hideMark/>
          </w:tcPr>
          <w:p w14:paraId="094B74FF" w14:textId="76D1B1B1" w:rsidR="00EA69AA" w:rsidRPr="00204223" w:rsidRDefault="00EA69AA" w:rsidP="00EA69AA">
            <w:pPr>
              <w:contextualSpacing/>
              <w:rPr>
                <w:rFonts w:ascii="Calibri" w:hAnsi="Calibri"/>
                <w:noProof/>
                <w:sz w:val="20"/>
                <w:szCs w:val="20"/>
              </w:rPr>
            </w:pPr>
            <w:r w:rsidRPr="00204223">
              <w:rPr>
                <w:rFonts w:ascii="Calibri" w:hAnsi="Calibri"/>
                <w:noProof/>
                <w:sz w:val="20"/>
                <w:szCs w:val="20"/>
              </w:rPr>
              <w:t>J E Muscat,​ J P Jr Richie,​ S D Stellman 2002 Mentholated cigarettes and smoking habits in whites and blacks</w:t>
            </w:r>
            <w:r w:rsidR="007F2F01">
              <w:rPr>
                <w:rFonts w:ascii="Calibri" w:hAnsi="Calibri"/>
                <w:noProof/>
                <w:sz w:val="20"/>
                <w:szCs w:val="20"/>
              </w:rPr>
              <w:t>.</w:t>
            </w:r>
            <w:r w:rsidRPr="00204223">
              <w:rPr>
                <w:rFonts w:ascii="Calibri" w:hAnsi="Calibri"/>
                <w:noProof/>
                <w:sz w:val="20"/>
                <w:szCs w:val="20"/>
              </w:rPr>
              <w:t xml:space="preserve"> Tobacco control; 11.368.</w:t>
            </w:r>
          </w:p>
        </w:tc>
      </w:tr>
      <w:tr w:rsidR="00EA69AA" w:rsidRPr="00204223" w14:paraId="14943C0D"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AF16065"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725</w:t>
            </w:r>
          </w:p>
        </w:tc>
        <w:tc>
          <w:tcPr>
            <w:tcW w:w="0" w:type="auto"/>
            <w:tcBorders>
              <w:top w:val="single" w:sz="6" w:space="0" w:color="auto"/>
              <w:left w:val="single" w:sz="6" w:space="0" w:color="auto"/>
              <w:bottom w:val="single" w:sz="6" w:space="0" w:color="auto"/>
              <w:right w:val="single" w:sz="6" w:space="0" w:color="auto"/>
            </w:tcBorders>
            <w:hideMark/>
          </w:tcPr>
          <w:p w14:paraId="390BCBBF" w14:textId="659ACD48" w:rsidR="00EA69AA" w:rsidRPr="00204223" w:rsidRDefault="00EA69AA" w:rsidP="00EA69AA">
            <w:pPr>
              <w:contextualSpacing/>
              <w:rPr>
                <w:rFonts w:ascii="Calibri" w:hAnsi="Calibri"/>
                <w:noProof/>
                <w:sz w:val="20"/>
                <w:szCs w:val="20"/>
              </w:rPr>
            </w:pPr>
            <w:r w:rsidRPr="00204223">
              <w:rPr>
                <w:rFonts w:ascii="Calibri" w:hAnsi="Calibri"/>
                <w:noProof/>
                <w:sz w:val="20"/>
                <w:szCs w:val="20"/>
              </w:rPr>
              <w:t>A Hyland,​ S Garten,​ G A Giovino,​ K M Cummings 2002 Mentholated cigarettes and smoking cessation: findings from COMMIT. Community Intervention Trial for Smoking Cessation</w:t>
            </w:r>
            <w:r w:rsidR="007F2F01">
              <w:rPr>
                <w:rFonts w:ascii="Calibri" w:hAnsi="Calibri"/>
                <w:noProof/>
                <w:sz w:val="20"/>
                <w:szCs w:val="20"/>
              </w:rPr>
              <w:t>.</w:t>
            </w:r>
            <w:r w:rsidRPr="00204223">
              <w:rPr>
                <w:rFonts w:ascii="Calibri" w:hAnsi="Calibri"/>
                <w:noProof/>
                <w:sz w:val="20"/>
                <w:szCs w:val="20"/>
              </w:rPr>
              <w:t xml:space="preserve"> Tobacco control; 11.135.</w:t>
            </w:r>
          </w:p>
        </w:tc>
      </w:tr>
      <w:tr w:rsidR="00EA69AA" w:rsidRPr="00204223" w14:paraId="41019F13"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15D07426"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734</w:t>
            </w:r>
          </w:p>
        </w:tc>
        <w:tc>
          <w:tcPr>
            <w:tcW w:w="0" w:type="auto"/>
            <w:tcBorders>
              <w:top w:val="single" w:sz="6" w:space="0" w:color="auto"/>
              <w:left w:val="single" w:sz="6" w:space="0" w:color="auto"/>
              <w:bottom w:val="single" w:sz="6" w:space="0" w:color="auto"/>
              <w:right w:val="single" w:sz="6" w:space="0" w:color="auto"/>
            </w:tcBorders>
            <w:hideMark/>
          </w:tcPr>
          <w:p w14:paraId="79049CD5" w14:textId="7EC23844" w:rsidR="00EA69AA" w:rsidRPr="00204223" w:rsidRDefault="00EA69AA" w:rsidP="00EA69AA">
            <w:pPr>
              <w:contextualSpacing/>
              <w:rPr>
                <w:rFonts w:ascii="Calibri" w:hAnsi="Calibri"/>
                <w:noProof/>
                <w:sz w:val="20"/>
                <w:szCs w:val="20"/>
              </w:rPr>
            </w:pPr>
            <w:r w:rsidRPr="00204223">
              <w:rPr>
                <w:rFonts w:ascii="Calibri" w:hAnsi="Calibri"/>
                <w:noProof/>
                <w:sz w:val="20"/>
                <w:szCs w:val="20"/>
              </w:rPr>
              <w:t>K Ahijevych,​ L A Parsley 1999 Smoke constituent exposure and stage of change in black and white women cigarette smokers</w:t>
            </w:r>
            <w:r w:rsidR="007F2F01">
              <w:rPr>
                <w:rFonts w:ascii="Calibri" w:hAnsi="Calibri"/>
                <w:noProof/>
                <w:sz w:val="20"/>
                <w:szCs w:val="20"/>
              </w:rPr>
              <w:t>.</w:t>
            </w:r>
            <w:r w:rsidRPr="00204223">
              <w:rPr>
                <w:rFonts w:ascii="Calibri" w:hAnsi="Calibri"/>
                <w:noProof/>
                <w:sz w:val="20"/>
                <w:szCs w:val="20"/>
              </w:rPr>
              <w:t xml:space="preserve"> Addictive behaviors; 24.115.</w:t>
            </w:r>
          </w:p>
        </w:tc>
      </w:tr>
      <w:tr w:rsidR="00EA69AA" w:rsidRPr="00204223" w14:paraId="7D8657D3"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764073F1"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748</w:t>
            </w:r>
          </w:p>
        </w:tc>
        <w:tc>
          <w:tcPr>
            <w:tcW w:w="0" w:type="auto"/>
            <w:tcBorders>
              <w:top w:val="single" w:sz="6" w:space="0" w:color="auto"/>
              <w:left w:val="single" w:sz="6" w:space="0" w:color="auto"/>
              <w:bottom w:val="single" w:sz="6" w:space="0" w:color="auto"/>
              <w:right w:val="single" w:sz="6" w:space="0" w:color="auto"/>
            </w:tcBorders>
            <w:hideMark/>
          </w:tcPr>
          <w:p w14:paraId="21ACCECD" w14:textId="7BF5853B" w:rsidR="00EA69AA" w:rsidRPr="00204223" w:rsidRDefault="00EA69AA" w:rsidP="00EA69AA">
            <w:pPr>
              <w:contextualSpacing/>
              <w:rPr>
                <w:rFonts w:ascii="Calibri" w:hAnsi="Calibri"/>
                <w:noProof/>
                <w:sz w:val="20"/>
                <w:szCs w:val="20"/>
              </w:rPr>
            </w:pPr>
            <w:r w:rsidRPr="00204223">
              <w:rPr>
                <w:rFonts w:ascii="Calibri" w:hAnsi="Calibri"/>
                <w:noProof/>
                <w:sz w:val="20"/>
                <w:szCs w:val="20"/>
              </w:rPr>
              <w:t>S Sidney,​ I S Tekawa,​ G D Friedman,​ M C Sadler,​ D P Tashkin 1995 Mentholated cigarette use and lung cancer</w:t>
            </w:r>
            <w:r w:rsidR="007F2F01">
              <w:rPr>
                <w:rFonts w:ascii="Calibri" w:hAnsi="Calibri"/>
                <w:noProof/>
                <w:sz w:val="20"/>
                <w:szCs w:val="20"/>
              </w:rPr>
              <w:t>.</w:t>
            </w:r>
            <w:r w:rsidRPr="00204223">
              <w:rPr>
                <w:rFonts w:ascii="Calibri" w:hAnsi="Calibri"/>
                <w:noProof/>
                <w:sz w:val="20"/>
                <w:szCs w:val="20"/>
              </w:rPr>
              <w:t xml:space="preserve"> Archives of internal medicine; 155.727.</w:t>
            </w:r>
          </w:p>
        </w:tc>
      </w:tr>
      <w:tr w:rsidR="00EA69AA" w:rsidRPr="00204223" w14:paraId="2FAC984C"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5E43330"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751</w:t>
            </w:r>
          </w:p>
        </w:tc>
        <w:tc>
          <w:tcPr>
            <w:tcW w:w="0" w:type="auto"/>
            <w:tcBorders>
              <w:top w:val="single" w:sz="6" w:space="0" w:color="auto"/>
              <w:left w:val="single" w:sz="6" w:space="0" w:color="auto"/>
              <w:bottom w:val="single" w:sz="6" w:space="0" w:color="auto"/>
              <w:right w:val="single" w:sz="6" w:space="0" w:color="auto"/>
            </w:tcBorders>
            <w:hideMark/>
          </w:tcPr>
          <w:p w14:paraId="3E8C83E4" w14:textId="15052471" w:rsidR="00EA69AA" w:rsidRPr="00204223" w:rsidRDefault="00EA69AA" w:rsidP="00EA69AA">
            <w:pPr>
              <w:contextualSpacing/>
              <w:rPr>
                <w:rFonts w:ascii="Calibri" w:hAnsi="Calibri"/>
                <w:noProof/>
                <w:sz w:val="20"/>
                <w:szCs w:val="20"/>
              </w:rPr>
            </w:pPr>
            <w:r w:rsidRPr="00204223">
              <w:rPr>
                <w:rFonts w:ascii="Calibri" w:hAnsi="Calibri"/>
                <w:noProof/>
                <w:sz w:val="20"/>
                <w:szCs w:val="20"/>
              </w:rPr>
              <w:t>M E Jarvik,​ D P Tashkin,​ N H Caskey,​ W J McCarthy,​ M R Rosenblatt 1994 Mentholated cigarettes decrease puff volume of smoke and increase carbon monoxide absorption</w:t>
            </w:r>
            <w:r w:rsidR="007F2F01">
              <w:rPr>
                <w:rFonts w:ascii="Calibri" w:hAnsi="Calibri"/>
                <w:noProof/>
                <w:sz w:val="20"/>
                <w:szCs w:val="20"/>
              </w:rPr>
              <w:t>.</w:t>
            </w:r>
            <w:r w:rsidRPr="00204223">
              <w:rPr>
                <w:rFonts w:ascii="Calibri" w:hAnsi="Calibri"/>
                <w:noProof/>
                <w:sz w:val="20"/>
                <w:szCs w:val="20"/>
              </w:rPr>
              <w:t xml:space="preserve"> Physiology &amp; behavior; 56.563.</w:t>
            </w:r>
          </w:p>
        </w:tc>
      </w:tr>
      <w:tr w:rsidR="00EA69AA" w:rsidRPr="00204223" w14:paraId="5BB0C4D0"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B5B669E"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762</w:t>
            </w:r>
          </w:p>
        </w:tc>
        <w:tc>
          <w:tcPr>
            <w:tcW w:w="0" w:type="auto"/>
            <w:tcBorders>
              <w:top w:val="single" w:sz="6" w:space="0" w:color="auto"/>
              <w:left w:val="single" w:sz="6" w:space="0" w:color="auto"/>
              <w:bottom w:val="single" w:sz="6" w:space="0" w:color="auto"/>
              <w:right w:val="single" w:sz="6" w:space="0" w:color="auto"/>
            </w:tcBorders>
            <w:hideMark/>
          </w:tcPr>
          <w:p w14:paraId="4C7C680E" w14:textId="0153CE35" w:rsidR="00EA69AA" w:rsidRPr="00204223" w:rsidRDefault="00EA69AA" w:rsidP="00EA69AA">
            <w:pPr>
              <w:contextualSpacing/>
              <w:rPr>
                <w:rFonts w:ascii="Calibri" w:hAnsi="Calibri"/>
                <w:noProof/>
                <w:sz w:val="20"/>
                <w:szCs w:val="20"/>
              </w:rPr>
            </w:pPr>
            <w:r w:rsidRPr="00204223">
              <w:rPr>
                <w:rFonts w:ascii="Calibri" w:hAnsi="Calibri"/>
                <w:noProof/>
                <w:sz w:val="20"/>
                <w:szCs w:val="20"/>
              </w:rPr>
              <w:t>S Sidney,​ I Tekawa,​ G D Friedman 1989 Mentholated cigarette use among multiphasic examinees,​ 1979-86</w:t>
            </w:r>
            <w:r w:rsidR="007F2F01">
              <w:rPr>
                <w:rFonts w:ascii="Calibri" w:hAnsi="Calibri"/>
                <w:noProof/>
                <w:sz w:val="20"/>
                <w:szCs w:val="20"/>
              </w:rPr>
              <w:t>.</w:t>
            </w:r>
            <w:r w:rsidRPr="00204223">
              <w:rPr>
                <w:rFonts w:ascii="Calibri" w:hAnsi="Calibri"/>
                <w:noProof/>
                <w:sz w:val="20"/>
                <w:szCs w:val="20"/>
              </w:rPr>
              <w:t xml:space="preserve"> American journal of public health; 79.1415.</w:t>
            </w:r>
          </w:p>
        </w:tc>
      </w:tr>
      <w:tr w:rsidR="00EA69AA" w:rsidRPr="00204223" w14:paraId="135A64FF"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77B56B3"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787</w:t>
            </w:r>
          </w:p>
        </w:tc>
        <w:tc>
          <w:tcPr>
            <w:tcW w:w="0" w:type="auto"/>
            <w:tcBorders>
              <w:top w:val="single" w:sz="6" w:space="0" w:color="auto"/>
              <w:left w:val="single" w:sz="6" w:space="0" w:color="auto"/>
              <w:bottom w:val="single" w:sz="6" w:space="0" w:color="auto"/>
              <w:right w:val="single" w:sz="6" w:space="0" w:color="auto"/>
            </w:tcBorders>
            <w:hideMark/>
          </w:tcPr>
          <w:p w14:paraId="41B9E386" w14:textId="071A81DA" w:rsidR="00EA69AA" w:rsidRPr="00204223" w:rsidRDefault="00EA69AA" w:rsidP="00EA69AA">
            <w:pPr>
              <w:contextualSpacing/>
              <w:rPr>
                <w:rFonts w:ascii="Calibri" w:hAnsi="Calibri"/>
                <w:noProof/>
                <w:sz w:val="20"/>
                <w:szCs w:val="20"/>
              </w:rPr>
            </w:pPr>
            <w:r w:rsidRPr="00204223">
              <w:rPr>
                <w:rFonts w:ascii="Calibri" w:hAnsi="Calibri"/>
                <w:noProof/>
                <w:sz w:val="20"/>
                <w:szCs w:val="20"/>
              </w:rPr>
              <w:t>Ji-Yeun Park 2017 Tobacco use behaviors among vulnerable populations</w:t>
            </w:r>
            <w:r w:rsidR="007F2F01">
              <w:rPr>
                <w:rFonts w:ascii="Calibri" w:hAnsi="Calibri"/>
                <w:noProof/>
                <w:sz w:val="20"/>
                <w:szCs w:val="20"/>
              </w:rPr>
              <w:t>.</w:t>
            </w:r>
            <w:r w:rsidRPr="00204223">
              <w:rPr>
                <w:rFonts w:ascii="Calibri" w:hAnsi="Calibri"/>
                <w:noProof/>
                <w:sz w:val="20"/>
                <w:szCs w:val="20"/>
              </w:rPr>
              <w:t xml:space="preserve"> Dissertation Abstracts International: Section B: The Sciences and Engineering; 77.No.</w:t>
            </w:r>
          </w:p>
        </w:tc>
      </w:tr>
      <w:tr w:rsidR="00EA69AA" w:rsidRPr="00204223" w14:paraId="27C9EDC8"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DE151E6"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803</w:t>
            </w:r>
          </w:p>
        </w:tc>
        <w:tc>
          <w:tcPr>
            <w:tcW w:w="0" w:type="auto"/>
            <w:tcBorders>
              <w:top w:val="single" w:sz="6" w:space="0" w:color="auto"/>
              <w:left w:val="single" w:sz="6" w:space="0" w:color="auto"/>
              <w:bottom w:val="single" w:sz="6" w:space="0" w:color="auto"/>
              <w:right w:val="single" w:sz="6" w:space="0" w:color="auto"/>
            </w:tcBorders>
            <w:hideMark/>
          </w:tcPr>
          <w:p w14:paraId="180F8E11" w14:textId="1EF43D53" w:rsidR="00EA69AA" w:rsidRPr="00204223" w:rsidRDefault="00EA69AA" w:rsidP="00EA69AA">
            <w:pPr>
              <w:contextualSpacing/>
              <w:rPr>
                <w:rFonts w:ascii="Calibri" w:hAnsi="Calibri"/>
                <w:noProof/>
                <w:sz w:val="20"/>
                <w:szCs w:val="20"/>
              </w:rPr>
            </w:pPr>
            <w:r w:rsidRPr="00204223">
              <w:rPr>
                <w:rFonts w:ascii="Calibri" w:hAnsi="Calibri"/>
                <w:noProof/>
                <w:sz w:val="20"/>
                <w:szCs w:val="20"/>
              </w:rPr>
              <w:t>Sayone Thihalolipavan,​ Molly Jung,​ John Jasek,​ Shadi Chamany 2014 Menthol smokers in large-scale nicotine replacement therapy program</w:t>
            </w:r>
            <w:r w:rsidR="007F2F01">
              <w:rPr>
                <w:rFonts w:ascii="Calibri" w:hAnsi="Calibri"/>
                <w:noProof/>
                <w:sz w:val="20"/>
                <w:szCs w:val="20"/>
              </w:rPr>
              <w:t>.</w:t>
            </w:r>
            <w:r w:rsidRPr="00204223">
              <w:rPr>
                <w:rFonts w:ascii="Calibri" w:hAnsi="Calibri"/>
                <w:noProof/>
                <w:sz w:val="20"/>
                <w:szCs w:val="20"/>
              </w:rPr>
              <w:t xml:space="preserve"> American Journal of Public Health; 104.e3.</w:t>
            </w:r>
          </w:p>
        </w:tc>
      </w:tr>
      <w:tr w:rsidR="00EA69AA" w:rsidRPr="00204223" w14:paraId="5EAAC127"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8B3CFB3"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811</w:t>
            </w:r>
          </w:p>
        </w:tc>
        <w:tc>
          <w:tcPr>
            <w:tcW w:w="0" w:type="auto"/>
            <w:tcBorders>
              <w:top w:val="single" w:sz="6" w:space="0" w:color="auto"/>
              <w:left w:val="single" w:sz="6" w:space="0" w:color="auto"/>
              <w:bottom w:val="single" w:sz="6" w:space="0" w:color="auto"/>
              <w:right w:val="single" w:sz="6" w:space="0" w:color="auto"/>
            </w:tcBorders>
            <w:hideMark/>
          </w:tcPr>
          <w:p w14:paraId="7533C8C9" w14:textId="1AE14FD1" w:rsidR="00EA69AA" w:rsidRPr="00204223" w:rsidRDefault="00EA69AA" w:rsidP="00EA69AA">
            <w:pPr>
              <w:contextualSpacing/>
              <w:rPr>
                <w:rFonts w:ascii="Calibri" w:hAnsi="Calibri"/>
                <w:noProof/>
                <w:sz w:val="20"/>
                <w:szCs w:val="20"/>
              </w:rPr>
            </w:pPr>
            <w:r w:rsidRPr="00204223">
              <w:rPr>
                <w:rFonts w:ascii="Calibri" w:hAnsi="Calibri"/>
                <w:noProof/>
                <w:sz w:val="20"/>
                <w:szCs w:val="20"/>
              </w:rPr>
              <w:t>Jennifer Lynn Pearson 2012 Public reaction to potential food and drug administration actions under the Family Smoking Prevention and Tobacco Control Act: Regulating e-cigarettes,​ banning menthol,​ and reducing cigarette nicotine content</w:t>
            </w:r>
            <w:r w:rsidR="007F2F01">
              <w:rPr>
                <w:rFonts w:ascii="Calibri" w:hAnsi="Calibri"/>
                <w:noProof/>
                <w:sz w:val="20"/>
                <w:szCs w:val="20"/>
              </w:rPr>
              <w:t>.</w:t>
            </w:r>
            <w:r w:rsidRPr="00204223">
              <w:rPr>
                <w:rFonts w:ascii="Calibri" w:hAnsi="Calibri"/>
                <w:noProof/>
                <w:sz w:val="20"/>
                <w:szCs w:val="20"/>
              </w:rPr>
              <w:t xml:space="preserve"> Dissertation Abstracts International: Section B: The Sciences and Engineering; 73.2156.</w:t>
            </w:r>
          </w:p>
        </w:tc>
      </w:tr>
      <w:tr w:rsidR="00EA69AA" w:rsidRPr="00204223" w14:paraId="4C8A1B12"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7C0D201"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821</w:t>
            </w:r>
          </w:p>
        </w:tc>
        <w:tc>
          <w:tcPr>
            <w:tcW w:w="0" w:type="auto"/>
            <w:tcBorders>
              <w:top w:val="single" w:sz="6" w:space="0" w:color="auto"/>
              <w:left w:val="single" w:sz="6" w:space="0" w:color="auto"/>
              <w:bottom w:val="single" w:sz="6" w:space="0" w:color="auto"/>
              <w:right w:val="single" w:sz="6" w:space="0" w:color="auto"/>
            </w:tcBorders>
            <w:hideMark/>
          </w:tcPr>
          <w:p w14:paraId="1B454C3A" w14:textId="50BFB8AA" w:rsidR="00EA69AA" w:rsidRPr="00204223" w:rsidRDefault="00EA69AA" w:rsidP="00EA69AA">
            <w:pPr>
              <w:contextualSpacing/>
              <w:rPr>
                <w:rFonts w:ascii="Calibri" w:hAnsi="Calibri"/>
                <w:noProof/>
                <w:sz w:val="20"/>
                <w:szCs w:val="20"/>
              </w:rPr>
            </w:pPr>
            <w:r w:rsidRPr="00204223">
              <w:rPr>
                <w:rFonts w:ascii="Calibri" w:hAnsi="Calibri"/>
                <w:noProof/>
                <w:sz w:val="20"/>
                <w:szCs w:val="20"/>
              </w:rPr>
              <w:t>Stacy L Thorne 2010 Association between nicotine dependence as measured by the Heaviness of Smoking Index and types of cigarettes among adults in the United States</w:t>
            </w:r>
            <w:r w:rsidR="007F2F01">
              <w:rPr>
                <w:rFonts w:ascii="Calibri" w:hAnsi="Calibri"/>
                <w:noProof/>
                <w:sz w:val="20"/>
                <w:szCs w:val="20"/>
              </w:rPr>
              <w:t>.</w:t>
            </w:r>
            <w:r w:rsidRPr="00204223">
              <w:rPr>
                <w:rFonts w:ascii="Calibri" w:hAnsi="Calibri"/>
                <w:noProof/>
                <w:sz w:val="20"/>
                <w:szCs w:val="20"/>
              </w:rPr>
              <w:t xml:space="preserve"> Dissertation Abstracts International: Section B: The Sciences and Engineering; 70.7473.</w:t>
            </w:r>
          </w:p>
        </w:tc>
      </w:tr>
      <w:tr w:rsidR="00EA69AA" w:rsidRPr="00204223" w14:paraId="3837861D"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93D5EBF"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826</w:t>
            </w:r>
          </w:p>
        </w:tc>
        <w:tc>
          <w:tcPr>
            <w:tcW w:w="0" w:type="auto"/>
            <w:tcBorders>
              <w:top w:val="single" w:sz="6" w:space="0" w:color="auto"/>
              <w:left w:val="single" w:sz="6" w:space="0" w:color="auto"/>
              <w:bottom w:val="single" w:sz="6" w:space="0" w:color="auto"/>
              <w:right w:val="single" w:sz="6" w:space="0" w:color="auto"/>
            </w:tcBorders>
            <w:hideMark/>
          </w:tcPr>
          <w:p w14:paraId="7268C416" w14:textId="661C28A3" w:rsidR="00EA69AA" w:rsidRPr="00204223" w:rsidRDefault="00EA69AA" w:rsidP="00EA69AA">
            <w:pPr>
              <w:contextualSpacing/>
              <w:rPr>
                <w:rFonts w:ascii="Calibri" w:hAnsi="Calibri"/>
                <w:noProof/>
                <w:sz w:val="20"/>
                <w:szCs w:val="20"/>
              </w:rPr>
            </w:pPr>
            <w:r w:rsidRPr="00204223">
              <w:rPr>
                <w:rFonts w:ascii="Calibri" w:hAnsi="Calibri"/>
                <w:noProof/>
                <w:sz w:val="20"/>
                <w:szCs w:val="20"/>
              </w:rPr>
              <w:t>William Anthony Garner 2009 The color of smoke: An examination of the relationship between menthol cigarettes and youth smoking</w:t>
            </w:r>
            <w:r w:rsidR="007F2F01">
              <w:rPr>
                <w:rFonts w:ascii="Calibri" w:hAnsi="Calibri"/>
                <w:noProof/>
                <w:sz w:val="20"/>
                <w:szCs w:val="20"/>
              </w:rPr>
              <w:t>.</w:t>
            </w:r>
            <w:r w:rsidRPr="00204223">
              <w:rPr>
                <w:rFonts w:ascii="Calibri" w:hAnsi="Calibri"/>
                <w:noProof/>
                <w:sz w:val="20"/>
                <w:szCs w:val="20"/>
              </w:rPr>
              <w:t xml:space="preserve"> Dissertation Abstracts International: Section B: The Sciences and Engineering; 70.2243.</w:t>
            </w:r>
          </w:p>
        </w:tc>
      </w:tr>
      <w:tr w:rsidR="00EA69AA" w:rsidRPr="00204223" w14:paraId="2DB96061"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520E5C5"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837</w:t>
            </w:r>
          </w:p>
        </w:tc>
        <w:tc>
          <w:tcPr>
            <w:tcW w:w="0" w:type="auto"/>
            <w:tcBorders>
              <w:top w:val="single" w:sz="6" w:space="0" w:color="auto"/>
              <w:left w:val="single" w:sz="6" w:space="0" w:color="auto"/>
              <w:bottom w:val="single" w:sz="6" w:space="0" w:color="auto"/>
              <w:right w:val="single" w:sz="6" w:space="0" w:color="auto"/>
            </w:tcBorders>
            <w:hideMark/>
          </w:tcPr>
          <w:p w14:paraId="1A1B8B3D" w14:textId="614FD353" w:rsidR="00EA69AA" w:rsidRPr="00204223" w:rsidRDefault="00EA69AA" w:rsidP="00EA69AA">
            <w:pPr>
              <w:contextualSpacing/>
              <w:rPr>
                <w:rFonts w:ascii="Calibri" w:hAnsi="Calibri"/>
                <w:noProof/>
                <w:sz w:val="20"/>
                <w:szCs w:val="20"/>
              </w:rPr>
            </w:pPr>
            <w:r w:rsidRPr="00204223">
              <w:rPr>
                <w:rFonts w:ascii="Calibri" w:hAnsi="Calibri"/>
                <w:noProof/>
                <w:sz w:val="20"/>
                <w:szCs w:val="20"/>
              </w:rPr>
              <w:t>Gregory E Miller,​ Murray E Jarvik,​ Nicholas H Caskey,​ Suzanne C Segerstrom,​ Martin R Rosenblatt,​ William J McCarthy 1994 Cigarette mentholation increases smokers' exhaled carbon monoxide levels</w:t>
            </w:r>
            <w:r w:rsidR="007F2F01">
              <w:rPr>
                <w:rFonts w:ascii="Calibri" w:hAnsi="Calibri"/>
                <w:noProof/>
                <w:sz w:val="20"/>
                <w:szCs w:val="20"/>
              </w:rPr>
              <w:t>.</w:t>
            </w:r>
            <w:r w:rsidRPr="00204223">
              <w:rPr>
                <w:rFonts w:ascii="Calibri" w:hAnsi="Calibri"/>
                <w:noProof/>
                <w:sz w:val="20"/>
                <w:szCs w:val="20"/>
              </w:rPr>
              <w:t xml:space="preserve"> Experimental and Clinical Psychopharmacology; 2.154.</w:t>
            </w:r>
          </w:p>
        </w:tc>
      </w:tr>
      <w:tr w:rsidR="00EA69AA" w:rsidRPr="00204223" w14:paraId="3F94FF25"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BB32C13"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lastRenderedPageBreak/>
              <w:t>839</w:t>
            </w:r>
          </w:p>
        </w:tc>
        <w:tc>
          <w:tcPr>
            <w:tcW w:w="0" w:type="auto"/>
            <w:tcBorders>
              <w:top w:val="single" w:sz="6" w:space="0" w:color="auto"/>
              <w:left w:val="single" w:sz="6" w:space="0" w:color="auto"/>
              <w:bottom w:val="single" w:sz="6" w:space="0" w:color="auto"/>
              <w:right w:val="single" w:sz="6" w:space="0" w:color="auto"/>
            </w:tcBorders>
            <w:hideMark/>
          </w:tcPr>
          <w:p w14:paraId="63AEAFA3" w14:textId="4E6AF663" w:rsidR="00EA69AA" w:rsidRPr="00204223" w:rsidRDefault="00EA69AA" w:rsidP="00EA69AA">
            <w:pPr>
              <w:contextualSpacing/>
              <w:rPr>
                <w:rFonts w:ascii="Calibri" w:hAnsi="Calibri"/>
                <w:noProof/>
                <w:sz w:val="20"/>
                <w:szCs w:val="20"/>
              </w:rPr>
            </w:pPr>
            <w:r w:rsidRPr="00204223">
              <w:rPr>
                <w:rFonts w:ascii="Calibri" w:hAnsi="Calibri"/>
                <w:noProof/>
                <w:sz w:val="20"/>
                <w:szCs w:val="20"/>
              </w:rPr>
              <w:t>KL Ahijevych,​ ME Wewers 1994 Patterns of cigarette consumption and cotinine levels among African American women smokers</w:t>
            </w:r>
            <w:r w:rsidR="007F2F01">
              <w:rPr>
                <w:rFonts w:ascii="Calibri" w:hAnsi="Calibri"/>
                <w:noProof/>
                <w:sz w:val="20"/>
                <w:szCs w:val="20"/>
              </w:rPr>
              <w:t>.</w:t>
            </w:r>
            <w:r w:rsidRPr="00204223">
              <w:rPr>
                <w:rFonts w:ascii="Calibri" w:hAnsi="Calibri"/>
                <w:noProof/>
                <w:sz w:val="20"/>
                <w:szCs w:val="20"/>
              </w:rPr>
              <w:t xml:space="preserve"> American journal of respiratory and critical care medicine; 150.</w:t>
            </w:r>
          </w:p>
        </w:tc>
      </w:tr>
      <w:tr w:rsidR="00EA69AA" w:rsidRPr="00204223" w14:paraId="2089823F"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20CFCBE"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840</w:t>
            </w:r>
          </w:p>
        </w:tc>
        <w:tc>
          <w:tcPr>
            <w:tcW w:w="0" w:type="auto"/>
            <w:tcBorders>
              <w:top w:val="single" w:sz="6" w:space="0" w:color="auto"/>
              <w:left w:val="single" w:sz="6" w:space="0" w:color="auto"/>
              <w:bottom w:val="single" w:sz="6" w:space="0" w:color="auto"/>
              <w:right w:val="single" w:sz="6" w:space="0" w:color="auto"/>
            </w:tcBorders>
            <w:hideMark/>
          </w:tcPr>
          <w:p w14:paraId="5748D7BE" w14:textId="787B08A1" w:rsidR="00EA69AA" w:rsidRPr="00204223" w:rsidRDefault="00EA69AA" w:rsidP="00EA69AA">
            <w:pPr>
              <w:contextualSpacing/>
              <w:rPr>
                <w:rFonts w:ascii="Calibri" w:hAnsi="Calibri"/>
                <w:noProof/>
                <w:sz w:val="20"/>
                <w:szCs w:val="20"/>
              </w:rPr>
            </w:pPr>
            <w:r w:rsidRPr="00204223">
              <w:rPr>
                <w:rFonts w:ascii="Calibri" w:hAnsi="Calibri"/>
                <w:noProof/>
                <w:sz w:val="20"/>
                <w:szCs w:val="20"/>
              </w:rPr>
              <w:t>CJ Berg,​ JL Thomas,​ H Guo,​ LC An,​ KS Okuyemi,​ TC Collins,​ JS Ahluwalia 2010 Predictors of smoking reduction among Blacks</w:t>
            </w:r>
            <w:r w:rsidR="007F2F01">
              <w:rPr>
                <w:rFonts w:ascii="Calibri" w:hAnsi="Calibri"/>
                <w:noProof/>
                <w:sz w:val="20"/>
                <w:szCs w:val="20"/>
              </w:rPr>
              <w:t>.</w:t>
            </w:r>
            <w:r w:rsidRPr="00204223">
              <w:rPr>
                <w:rFonts w:ascii="Calibri" w:hAnsi="Calibri"/>
                <w:noProof/>
                <w:sz w:val="20"/>
                <w:szCs w:val="20"/>
              </w:rPr>
              <w:t xml:space="preserve"> Nicotine &amp; tobacco research : official journal of the Society for Research on Nicotine and Tobacco; 12.</w:t>
            </w:r>
          </w:p>
        </w:tc>
      </w:tr>
      <w:tr w:rsidR="00EA69AA" w:rsidRPr="00204223" w14:paraId="40ED4012"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65665C8"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841</w:t>
            </w:r>
          </w:p>
        </w:tc>
        <w:tc>
          <w:tcPr>
            <w:tcW w:w="0" w:type="auto"/>
            <w:tcBorders>
              <w:top w:val="single" w:sz="6" w:space="0" w:color="auto"/>
              <w:left w:val="single" w:sz="6" w:space="0" w:color="auto"/>
              <w:bottom w:val="single" w:sz="6" w:space="0" w:color="auto"/>
              <w:right w:val="single" w:sz="6" w:space="0" w:color="auto"/>
            </w:tcBorders>
            <w:hideMark/>
          </w:tcPr>
          <w:p w14:paraId="4B8B7AA7" w14:textId="2307126F" w:rsidR="00EA69AA" w:rsidRPr="00204223" w:rsidRDefault="00EA69AA" w:rsidP="00EA69AA">
            <w:pPr>
              <w:contextualSpacing/>
              <w:rPr>
                <w:rFonts w:ascii="Calibri" w:hAnsi="Calibri"/>
                <w:noProof/>
                <w:sz w:val="20"/>
                <w:szCs w:val="20"/>
              </w:rPr>
            </w:pPr>
            <w:r w:rsidRPr="00204223">
              <w:rPr>
                <w:rFonts w:ascii="Calibri" w:hAnsi="Calibri"/>
                <w:noProof/>
                <w:sz w:val="20"/>
                <w:szCs w:val="20"/>
              </w:rPr>
              <w:t>P Fagan,​ E Augustson,​ CL Backinger,​ ME O'Connell,​ RE Vollinger,​ A Kaufman,​ JT Gibson 2007 Quit attempts and intention to quit cigarette smoking among young adults in the United States</w:t>
            </w:r>
            <w:r w:rsidR="007F2F01">
              <w:rPr>
                <w:rFonts w:ascii="Calibri" w:hAnsi="Calibri"/>
                <w:noProof/>
                <w:sz w:val="20"/>
                <w:szCs w:val="20"/>
              </w:rPr>
              <w:t>.</w:t>
            </w:r>
            <w:r w:rsidRPr="00204223">
              <w:rPr>
                <w:rFonts w:ascii="Calibri" w:hAnsi="Calibri"/>
                <w:noProof/>
                <w:sz w:val="20"/>
                <w:szCs w:val="20"/>
              </w:rPr>
              <w:t xml:space="preserve"> American journal of public health; 97.</w:t>
            </w:r>
          </w:p>
        </w:tc>
      </w:tr>
      <w:tr w:rsidR="00EA69AA" w:rsidRPr="00204223" w14:paraId="785F7CD6"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68BFBF7D"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842</w:t>
            </w:r>
          </w:p>
        </w:tc>
        <w:tc>
          <w:tcPr>
            <w:tcW w:w="0" w:type="auto"/>
            <w:tcBorders>
              <w:top w:val="single" w:sz="6" w:space="0" w:color="auto"/>
              <w:left w:val="single" w:sz="6" w:space="0" w:color="auto"/>
              <w:bottom w:val="single" w:sz="6" w:space="0" w:color="auto"/>
              <w:right w:val="single" w:sz="6" w:space="0" w:color="auto"/>
            </w:tcBorders>
            <w:hideMark/>
          </w:tcPr>
          <w:p w14:paraId="1F220D28" w14:textId="615AEF3C" w:rsidR="00EA69AA" w:rsidRPr="00204223" w:rsidRDefault="00EA69AA" w:rsidP="00EA69AA">
            <w:pPr>
              <w:contextualSpacing/>
              <w:rPr>
                <w:rFonts w:ascii="Calibri" w:hAnsi="Calibri"/>
                <w:noProof/>
                <w:sz w:val="20"/>
                <w:szCs w:val="20"/>
              </w:rPr>
            </w:pPr>
            <w:r w:rsidRPr="00204223">
              <w:rPr>
                <w:rFonts w:ascii="Calibri" w:hAnsi="Calibri"/>
                <w:noProof/>
                <w:sz w:val="20"/>
                <w:szCs w:val="20"/>
              </w:rPr>
              <w:t>J Foulds,​ KK Gandhi,​ MB Steinberg,​ DL Richardson,​ JM Williams,​ MV Burke,​ GG Rhoads Factors associated with quitting smoking at a tobacco dependence treatment clinic</w:t>
            </w:r>
            <w:r w:rsidR="007F2F01">
              <w:rPr>
                <w:rFonts w:ascii="Calibri" w:hAnsi="Calibri"/>
                <w:noProof/>
                <w:sz w:val="20"/>
                <w:szCs w:val="20"/>
              </w:rPr>
              <w:t>.</w:t>
            </w:r>
            <w:r w:rsidRPr="00204223">
              <w:rPr>
                <w:rFonts w:ascii="Calibri" w:hAnsi="Calibri"/>
                <w:noProof/>
                <w:sz w:val="20"/>
                <w:szCs w:val="20"/>
              </w:rPr>
              <w:t xml:space="preserve"> American journal of health behavior; 30.</w:t>
            </w:r>
          </w:p>
        </w:tc>
      </w:tr>
      <w:tr w:rsidR="00EA69AA" w:rsidRPr="00204223" w14:paraId="173C72E7"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2451E9F"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843</w:t>
            </w:r>
          </w:p>
        </w:tc>
        <w:tc>
          <w:tcPr>
            <w:tcW w:w="0" w:type="auto"/>
            <w:tcBorders>
              <w:top w:val="single" w:sz="6" w:space="0" w:color="auto"/>
              <w:left w:val="single" w:sz="6" w:space="0" w:color="auto"/>
              <w:bottom w:val="single" w:sz="6" w:space="0" w:color="auto"/>
              <w:right w:val="single" w:sz="6" w:space="0" w:color="auto"/>
            </w:tcBorders>
            <w:hideMark/>
          </w:tcPr>
          <w:p w14:paraId="30B47D6C" w14:textId="7898B280" w:rsidR="00EA69AA" w:rsidRPr="00204223" w:rsidRDefault="00EA69AA" w:rsidP="00EA69AA">
            <w:pPr>
              <w:contextualSpacing/>
              <w:rPr>
                <w:rFonts w:ascii="Calibri" w:hAnsi="Calibri"/>
                <w:noProof/>
                <w:sz w:val="20"/>
                <w:szCs w:val="20"/>
              </w:rPr>
            </w:pPr>
            <w:r w:rsidRPr="00204223">
              <w:rPr>
                <w:rFonts w:ascii="Calibri" w:hAnsi="Calibri"/>
                <w:noProof/>
                <w:sz w:val="20"/>
                <w:szCs w:val="20"/>
              </w:rPr>
              <w:t>Delnevo CD,​ Gunderson DA,​ Hrwyna M 2011 Examining the relationship between menthol smoking and cessation using data from the 2003 and 2006/7 Tobacco Use Supplement. Paper presented to: TPSAC,​ 10-11 Jan 2011</w:t>
            </w:r>
            <w:r w:rsidR="007F2F01">
              <w:rPr>
                <w:rFonts w:ascii="Calibri" w:hAnsi="Calibri"/>
                <w:noProof/>
                <w:sz w:val="20"/>
                <w:szCs w:val="20"/>
              </w:rPr>
              <w:t>.</w:t>
            </w:r>
            <w:r w:rsidRPr="00204223">
              <w:rPr>
                <w:rFonts w:ascii="Calibri" w:hAnsi="Calibri"/>
                <w:noProof/>
                <w:sz w:val="20"/>
                <w:szCs w:val="20"/>
              </w:rPr>
              <w:t xml:space="preserve"> #journal#; .</w:t>
            </w:r>
          </w:p>
        </w:tc>
      </w:tr>
      <w:tr w:rsidR="00EA69AA" w:rsidRPr="00204223" w14:paraId="4FDBBCA2"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510CA29"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844</w:t>
            </w:r>
          </w:p>
        </w:tc>
        <w:tc>
          <w:tcPr>
            <w:tcW w:w="0" w:type="auto"/>
            <w:tcBorders>
              <w:top w:val="single" w:sz="6" w:space="0" w:color="auto"/>
              <w:left w:val="single" w:sz="6" w:space="0" w:color="auto"/>
              <w:bottom w:val="single" w:sz="6" w:space="0" w:color="auto"/>
              <w:right w:val="single" w:sz="6" w:space="0" w:color="auto"/>
            </w:tcBorders>
            <w:hideMark/>
          </w:tcPr>
          <w:p w14:paraId="702829E2" w14:textId="1504D34F" w:rsidR="00EA69AA" w:rsidRPr="00204223" w:rsidRDefault="00EA69AA" w:rsidP="00EA69AA">
            <w:pPr>
              <w:contextualSpacing/>
              <w:rPr>
                <w:rFonts w:ascii="Calibri" w:hAnsi="Calibri"/>
                <w:noProof/>
                <w:sz w:val="20"/>
                <w:szCs w:val="20"/>
              </w:rPr>
            </w:pPr>
            <w:r w:rsidRPr="00204223">
              <w:rPr>
                <w:rFonts w:ascii="Calibri" w:hAnsi="Calibri"/>
                <w:noProof/>
                <w:sz w:val="20"/>
                <w:szCs w:val="20"/>
              </w:rPr>
              <w:t>Hersey JC,​ Nonnemaker J,​ Homsi G,​ Allen J 2011 Menthol cigarettes,​ saliva cotinine,​ and nicotine dependence in adolescents. Paper presented to: TPSAC,​ 10-11 Jan 2011</w:t>
            </w:r>
            <w:r w:rsidR="007F2F01">
              <w:rPr>
                <w:rFonts w:ascii="Calibri" w:hAnsi="Calibri"/>
                <w:noProof/>
                <w:sz w:val="20"/>
                <w:szCs w:val="20"/>
              </w:rPr>
              <w:t>.</w:t>
            </w:r>
            <w:r w:rsidRPr="00204223">
              <w:rPr>
                <w:rFonts w:ascii="Calibri" w:hAnsi="Calibri"/>
                <w:noProof/>
                <w:sz w:val="20"/>
                <w:szCs w:val="20"/>
              </w:rPr>
              <w:t xml:space="preserve"> #journal#; .</w:t>
            </w:r>
          </w:p>
        </w:tc>
      </w:tr>
      <w:tr w:rsidR="00EA69AA" w:rsidRPr="00204223" w14:paraId="6E5BEDDB"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BE084AB"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845</w:t>
            </w:r>
          </w:p>
        </w:tc>
        <w:tc>
          <w:tcPr>
            <w:tcW w:w="0" w:type="auto"/>
            <w:tcBorders>
              <w:top w:val="single" w:sz="6" w:space="0" w:color="auto"/>
              <w:left w:val="single" w:sz="6" w:space="0" w:color="auto"/>
              <w:bottom w:val="single" w:sz="6" w:space="0" w:color="auto"/>
              <w:right w:val="single" w:sz="6" w:space="0" w:color="auto"/>
            </w:tcBorders>
            <w:hideMark/>
          </w:tcPr>
          <w:p w14:paraId="2F4E6A97" w14:textId="752B4C72" w:rsidR="00EA69AA" w:rsidRPr="00204223" w:rsidRDefault="00EA69AA" w:rsidP="00EA69AA">
            <w:pPr>
              <w:contextualSpacing/>
              <w:rPr>
                <w:rFonts w:ascii="Calibri" w:hAnsi="Calibri"/>
                <w:noProof/>
                <w:sz w:val="20"/>
                <w:szCs w:val="20"/>
              </w:rPr>
            </w:pPr>
            <w:r w:rsidRPr="00204223">
              <w:rPr>
                <w:rFonts w:ascii="Calibri" w:hAnsi="Calibri"/>
                <w:noProof/>
                <w:sz w:val="20"/>
                <w:szCs w:val="20"/>
              </w:rPr>
              <w:t>Hyland A,​ Rivard C 2011 Analysis of mentholated cigarettes using the COMMIT Data. Paper presented to: TPSAC,​ 10-11 Jan 2011</w:t>
            </w:r>
            <w:r w:rsidR="007F2F01">
              <w:rPr>
                <w:rFonts w:ascii="Calibri" w:hAnsi="Calibri"/>
                <w:noProof/>
                <w:sz w:val="20"/>
                <w:szCs w:val="20"/>
              </w:rPr>
              <w:t>.</w:t>
            </w:r>
            <w:r w:rsidRPr="00204223">
              <w:rPr>
                <w:rFonts w:ascii="Calibri" w:hAnsi="Calibri"/>
                <w:noProof/>
                <w:sz w:val="20"/>
                <w:szCs w:val="20"/>
              </w:rPr>
              <w:t xml:space="preserve"> #journal#; .</w:t>
            </w:r>
          </w:p>
        </w:tc>
      </w:tr>
      <w:tr w:rsidR="00EA69AA" w:rsidRPr="00204223" w14:paraId="6D1432ED"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57C0E3F1"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846</w:t>
            </w:r>
          </w:p>
        </w:tc>
        <w:tc>
          <w:tcPr>
            <w:tcW w:w="0" w:type="auto"/>
            <w:tcBorders>
              <w:top w:val="single" w:sz="6" w:space="0" w:color="auto"/>
              <w:left w:val="single" w:sz="6" w:space="0" w:color="auto"/>
              <w:bottom w:val="single" w:sz="6" w:space="0" w:color="auto"/>
              <w:right w:val="single" w:sz="6" w:space="0" w:color="auto"/>
            </w:tcBorders>
            <w:hideMark/>
          </w:tcPr>
          <w:p w14:paraId="1DF57848" w14:textId="1920ADF3" w:rsidR="00EA69AA" w:rsidRPr="00204223" w:rsidRDefault="00EA69AA" w:rsidP="00EA69AA">
            <w:pPr>
              <w:contextualSpacing/>
              <w:rPr>
                <w:rFonts w:ascii="Calibri" w:hAnsi="Calibri"/>
                <w:noProof/>
                <w:sz w:val="20"/>
                <w:szCs w:val="20"/>
              </w:rPr>
            </w:pPr>
            <w:r w:rsidRPr="00204223">
              <w:rPr>
                <w:rFonts w:ascii="Calibri" w:hAnsi="Calibri"/>
                <w:noProof/>
                <w:sz w:val="20"/>
                <w:szCs w:val="20"/>
              </w:rPr>
              <w:t>King A,​ Cao D,​ Matthews A 2011 Influence of menthol use on smoking cessation outcomes in a smoking cessation treatment program. Paper presented to: TPSAC,​ 10-11 Jan 2011</w:t>
            </w:r>
            <w:r w:rsidR="007F2F01">
              <w:rPr>
                <w:rFonts w:ascii="Calibri" w:hAnsi="Calibri"/>
                <w:noProof/>
                <w:sz w:val="20"/>
                <w:szCs w:val="20"/>
              </w:rPr>
              <w:t>.</w:t>
            </w:r>
            <w:r w:rsidRPr="00204223">
              <w:rPr>
                <w:rFonts w:ascii="Calibri" w:hAnsi="Calibri"/>
                <w:noProof/>
                <w:sz w:val="20"/>
                <w:szCs w:val="20"/>
              </w:rPr>
              <w:t xml:space="preserve"> #journal#; .</w:t>
            </w:r>
          </w:p>
        </w:tc>
      </w:tr>
      <w:tr w:rsidR="00EA69AA" w:rsidRPr="00204223" w14:paraId="1E8F96EB"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AF2A6F5"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847</w:t>
            </w:r>
          </w:p>
        </w:tc>
        <w:tc>
          <w:tcPr>
            <w:tcW w:w="0" w:type="auto"/>
            <w:tcBorders>
              <w:top w:val="single" w:sz="6" w:space="0" w:color="auto"/>
              <w:left w:val="single" w:sz="6" w:space="0" w:color="auto"/>
              <w:bottom w:val="single" w:sz="6" w:space="0" w:color="auto"/>
              <w:right w:val="single" w:sz="6" w:space="0" w:color="auto"/>
            </w:tcBorders>
            <w:hideMark/>
          </w:tcPr>
          <w:p w14:paraId="09FBDE66" w14:textId="15BDF28F" w:rsidR="00EA69AA" w:rsidRPr="00204223" w:rsidRDefault="00EA69AA" w:rsidP="00EA69AA">
            <w:pPr>
              <w:contextualSpacing/>
              <w:rPr>
                <w:rFonts w:ascii="Calibri" w:hAnsi="Calibri"/>
                <w:noProof/>
                <w:sz w:val="20"/>
                <w:szCs w:val="20"/>
              </w:rPr>
            </w:pPr>
            <w:r w:rsidRPr="00204223">
              <w:rPr>
                <w:rFonts w:ascii="Calibri" w:hAnsi="Calibri"/>
                <w:noProof/>
                <w:sz w:val="20"/>
                <w:szCs w:val="20"/>
              </w:rPr>
              <w:t>Reitzel L 2011 Menthol cigarettes,​ tobacco dependence,​ and smoking cessation: Project CARE. Paper presented to: TPSAC,​ 10-11 Jan 2011</w:t>
            </w:r>
            <w:r w:rsidR="007F2F01">
              <w:rPr>
                <w:rFonts w:ascii="Calibri" w:hAnsi="Calibri"/>
                <w:noProof/>
                <w:sz w:val="20"/>
                <w:szCs w:val="20"/>
              </w:rPr>
              <w:t>.</w:t>
            </w:r>
            <w:r w:rsidRPr="00204223">
              <w:rPr>
                <w:rFonts w:ascii="Calibri" w:hAnsi="Calibri"/>
                <w:noProof/>
                <w:sz w:val="20"/>
                <w:szCs w:val="20"/>
              </w:rPr>
              <w:t xml:space="preserve"> #journal#; .</w:t>
            </w:r>
          </w:p>
        </w:tc>
      </w:tr>
      <w:tr w:rsidR="00EA69AA" w:rsidRPr="00204223" w14:paraId="7CD918D3"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059D8121"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848</w:t>
            </w:r>
          </w:p>
        </w:tc>
        <w:tc>
          <w:tcPr>
            <w:tcW w:w="0" w:type="auto"/>
            <w:tcBorders>
              <w:top w:val="single" w:sz="6" w:space="0" w:color="auto"/>
              <w:left w:val="single" w:sz="6" w:space="0" w:color="auto"/>
              <w:bottom w:val="single" w:sz="6" w:space="0" w:color="auto"/>
              <w:right w:val="single" w:sz="6" w:space="0" w:color="auto"/>
            </w:tcBorders>
            <w:hideMark/>
          </w:tcPr>
          <w:p w14:paraId="066F749B" w14:textId="330F230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Reitzel LA 2011 Menthol cigarettes,​ tobacco dependence,​ and smoking cessations: Project BREAK FREE. Paper presented to: TPSAC,​ 10-11 Jan 2011</w:t>
            </w:r>
            <w:r w:rsidR="007F2F01">
              <w:rPr>
                <w:rFonts w:ascii="Calibri" w:hAnsi="Calibri"/>
                <w:noProof/>
                <w:sz w:val="20"/>
                <w:szCs w:val="20"/>
              </w:rPr>
              <w:t>.</w:t>
            </w:r>
            <w:r w:rsidRPr="00204223">
              <w:rPr>
                <w:rFonts w:ascii="Calibri" w:hAnsi="Calibri"/>
                <w:noProof/>
                <w:sz w:val="20"/>
                <w:szCs w:val="20"/>
              </w:rPr>
              <w:t xml:space="preserve"> #journal#; .</w:t>
            </w:r>
          </w:p>
        </w:tc>
      </w:tr>
      <w:tr w:rsidR="00EA69AA" w:rsidRPr="00204223" w14:paraId="27000F96"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2F9A5189"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849</w:t>
            </w:r>
          </w:p>
        </w:tc>
        <w:tc>
          <w:tcPr>
            <w:tcW w:w="0" w:type="auto"/>
            <w:tcBorders>
              <w:top w:val="single" w:sz="6" w:space="0" w:color="auto"/>
              <w:left w:val="single" w:sz="6" w:space="0" w:color="auto"/>
              <w:bottom w:val="single" w:sz="6" w:space="0" w:color="auto"/>
              <w:right w:val="single" w:sz="6" w:space="0" w:color="auto"/>
            </w:tcBorders>
            <w:hideMark/>
          </w:tcPr>
          <w:p w14:paraId="4E36CA69" w14:textId="66BF9D88" w:rsidR="00EA69AA" w:rsidRPr="00204223" w:rsidRDefault="00EA69AA" w:rsidP="00EA69AA">
            <w:pPr>
              <w:contextualSpacing/>
              <w:rPr>
                <w:rFonts w:ascii="Calibri" w:hAnsi="Calibri"/>
                <w:noProof/>
                <w:sz w:val="20"/>
                <w:szCs w:val="20"/>
              </w:rPr>
            </w:pPr>
            <w:r w:rsidRPr="00204223">
              <w:rPr>
                <w:rFonts w:ascii="Calibri" w:hAnsi="Calibri"/>
                <w:noProof/>
                <w:sz w:val="20"/>
                <w:szCs w:val="20"/>
              </w:rPr>
              <w:t>Reitzel LA 2011 Menthol cigarettes,​ tobacco dependence,​ and smoking cessations: Project MOM. Paper presented to: TPSAC,​ 10-11 Jan 2011</w:t>
            </w:r>
            <w:r w:rsidR="007F2F01">
              <w:rPr>
                <w:rFonts w:ascii="Calibri" w:hAnsi="Calibri"/>
                <w:noProof/>
                <w:sz w:val="20"/>
                <w:szCs w:val="20"/>
              </w:rPr>
              <w:t>.</w:t>
            </w:r>
            <w:r w:rsidRPr="00204223">
              <w:rPr>
                <w:rFonts w:ascii="Calibri" w:hAnsi="Calibri"/>
                <w:noProof/>
                <w:sz w:val="20"/>
                <w:szCs w:val="20"/>
              </w:rPr>
              <w:t xml:space="preserve"> #journal#; .</w:t>
            </w:r>
          </w:p>
        </w:tc>
      </w:tr>
      <w:tr w:rsidR="00EA69AA" w:rsidRPr="00204223" w14:paraId="5684A364"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4862C77B"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850</w:t>
            </w:r>
          </w:p>
        </w:tc>
        <w:tc>
          <w:tcPr>
            <w:tcW w:w="0" w:type="auto"/>
            <w:tcBorders>
              <w:top w:val="single" w:sz="6" w:space="0" w:color="auto"/>
              <w:left w:val="single" w:sz="6" w:space="0" w:color="auto"/>
              <w:bottom w:val="single" w:sz="6" w:space="0" w:color="auto"/>
              <w:right w:val="single" w:sz="6" w:space="0" w:color="auto"/>
            </w:tcBorders>
            <w:hideMark/>
          </w:tcPr>
          <w:p w14:paraId="108B994C" w14:textId="600B4A03" w:rsidR="00EA69AA" w:rsidRPr="00204223" w:rsidRDefault="00EA69AA" w:rsidP="00EA69AA">
            <w:pPr>
              <w:contextualSpacing/>
              <w:rPr>
                <w:rFonts w:ascii="Calibri" w:hAnsi="Calibri"/>
                <w:noProof/>
                <w:sz w:val="20"/>
                <w:szCs w:val="20"/>
              </w:rPr>
            </w:pPr>
            <w:r w:rsidRPr="00204223">
              <w:rPr>
                <w:rFonts w:ascii="Calibri" w:hAnsi="Calibri"/>
                <w:noProof/>
                <w:sz w:val="20"/>
                <w:szCs w:val="20"/>
              </w:rPr>
              <w:t>Unger JB,​ Cruz TB,​ Allen B Jr 2011 Nicotine dependence and intentions to quit among a community-based sample of African American menthol and non-menthol smokers in Los Angeles. Paper presented to: TPSAC,​ 10-11 Jan 2011</w:t>
            </w:r>
            <w:r w:rsidR="007F2F01">
              <w:rPr>
                <w:rFonts w:ascii="Calibri" w:hAnsi="Calibri"/>
                <w:noProof/>
                <w:sz w:val="20"/>
                <w:szCs w:val="20"/>
              </w:rPr>
              <w:t>.</w:t>
            </w:r>
            <w:r w:rsidRPr="00204223">
              <w:rPr>
                <w:rFonts w:ascii="Calibri" w:hAnsi="Calibri"/>
                <w:noProof/>
                <w:sz w:val="20"/>
                <w:szCs w:val="20"/>
              </w:rPr>
              <w:t xml:space="preserve"> #journal#; .</w:t>
            </w:r>
          </w:p>
        </w:tc>
      </w:tr>
      <w:tr w:rsidR="00EA69AA" w:rsidRPr="00204223" w14:paraId="0CC37083" w14:textId="77777777" w:rsidTr="00EA69AA">
        <w:tc>
          <w:tcPr>
            <w:tcW w:w="0" w:type="auto"/>
            <w:tcBorders>
              <w:top w:val="single" w:sz="6" w:space="0" w:color="auto"/>
              <w:left w:val="single" w:sz="6" w:space="0" w:color="auto"/>
              <w:bottom w:val="single" w:sz="6" w:space="0" w:color="auto"/>
              <w:right w:val="single" w:sz="6" w:space="0" w:color="auto"/>
            </w:tcBorders>
            <w:hideMark/>
          </w:tcPr>
          <w:p w14:paraId="397D28AB"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851</w:t>
            </w:r>
          </w:p>
        </w:tc>
        <w:tc>
          <w:tcPr>
            <w:tcW w:w="0" w:type="auto"/>
            <w:tcBorders>
              <w:top w:val="single" w:sz="6" w:space="0" w:color="auto"/>
              <w:left w:val="single" w:sz="6" w:space="0" w:color="auto"/>
              <w:bottom w:val="single" w:sz="6" w:space="0" w:color="auto"/>
              <w:right w:val="single" w:sz="6" w:space="0" w:color="auto"/>
            </w:tcBorders>
            <w:hideMark/>
          </w:tcPr>
          <w:p w14:paraId="118DECD5" w14:textId="77777777" w:rsidR="00EA69AA" w:rsidRPr="00204223" w:rsidRDefault="00EA69AA" w:rsidP="00EA69AA">
            <w:pPr>
              <w:contextualSpacing/>
              <w:rPr>
                <w:rFonts w:ascii="Calibri" w:hAnsi="Calibri"/>
                <w:noProof/>
                <w:sz w:val="20"/>
                <w:szCs w:val="20"/>
              </w:rPr>
            </w:pPr>
            <w:r w:rsidRPr="00204223">
              <w:rPr>
                <w:rFonts w:ascii="Calibri" w:hAnsi="Calibri"/>
                <w:noProof/>
                <w:sz w:val="20"/>
                <w:szCs w:val="20"/>
              </w:rPr>
              <w:t>Thorne S,​ Davis S,​ Caraballo RS 2010 Menthol use and nicotine dependence among US adults,​ 2001-2006. #journal#; .</w:t>
            </w:r>
          </w:p>
        </w:tc>
      </w:tr>
    </w:tbl>
    <w:p w14:paraId="40C00FDB" w14:textId="77777777" w:rsidR="00EA69AA" w:rsidRDefault="00EA69AA" w:rsidP="00EA69AA">
      <w:pPr>
        <w:rPr>
          <w:rFonts w:ascii="Calibri" w:hAnsi="Calibri"/>
          <w:noProof/>
        </w:rPr>
      </w:pPr>
    </w:p>
    <w:p w14:paraId="232D1C3A" w14:textId="77777777" w:rsidR="00EA69AA" w:rsidRDefault="00EA69AA" w:rsidP="00EA69AA">
      <w:pPr>
        <w:rPr>
          <w:rFonts w:ascii="Calibri" w:hAnsi="Calibri"/>
          <w:noProof/>
        </w:rPr>
      </w:pPr>
      <w:r>
        <w:rPr>
          <w:rFonts w:ascii="Calibri" w:hAnsi="Calibri"/>
          <w:noProof/>
        </w:rPr>
        <w:br w:type="page"/>
      </w:r>
    </w:p>
    <w:p w14:paraId="23A69AA2" w14:textId="1B7EB918" w:rsidR="00D04C52" w:rsidRDefault="00D04C52" w:rsidP="00EA69AA">
      <w:pPr>
        <w:spacing w:after="120"/>
        <w:outlineLvl w:val="0"/>
        <w:rPr>
          <w:b/>
        </w:rPr>
      </w:pPr>
      <w:r>
        <w:rPr>
          <w:b/>
        </w:rPr>
        <w:lastRenderedPageBreak/>
        <w:t xml:space="preserve">SUPPLEMENTAL SECTION </w:t>
      </w:r>
      <w:r w:rsidR="009014AD">
        <w:rPr>
          <w:b/>
        </w:rPr>
        <w:t>4</w:t>
      </w:r>
      <w:r>
        <w:rPr>
          <w:b/>
        </w:rPr>
        <w:t>: Conceptual Framework</w:t>
      </w:r>
    </w:p>
    <w:p w14:paraId="4986F46B" w14:textId="77777777" w:rsidR="00A20AE4" w:rsidRDefault="00D04C52" w:rsidP="00B46744">
      <w:pPr>
        <w:spacing w:after="240"/>
        <w:jc w:val="both"/>
        <w:rPr>
          <w:color w:val="000000" w:themeColor="text1"/>
          <w:shd w:val="clear" w:color="auto" w:fill="FFFFFF"/>
        </w:rPr>
      </w:pPr>
      <w:r w:rsidRPr="007A60C3">
        <w:rPr>
          <w:color w:val="000000" w:themeColor="text1"/>
          <w:shd w:val="clear" w:color="auto" w:fill="FFFFFF"/>
        </w:rPr>
        <w:t>It is essential that the factors that influence smoking behaviors be considered to the extent possible base</w:t>
      </w:r>
      <w:r>
        <w:rPr>
          <w:color w:val="000000" w:themeColor="text1"/>
          <w:shd w:val="clear" w:color="auto" w:fill="FFFFFF"/>
        </w:rPr>
        <w:t xml:space="preserve">d on available data. </w:t>
      </w:r>
      <w:r w:rsidRPr="007A60C3">
        <w:rPr>
          <w:color w:val="000000" w:themeColor="text1"/>
          <w:shd w:val="clear" w:color="auto" w:fill="FFFFFF"/>
        </w:rPr>
        <w:t xml:space="preserve">As applied to this </w:t>
      </w:r>
      <w:r>
        <w:rPr>
          <w:color w:val="000000" w:themeColor="text1"/>
          <w:shd w:val="clear" w:color="auto" w:fill="FFFFFF"/>
        </w:rPr>
        <w:t>review</w:t>
      </w:r>
      <w:r w:rsidRPr="007A60C3">
        <w:rPr>
          <w:color w:val="000000" w:themeColor="text1"/>
          <w:shd w:val="clear" w:color="auto" w:fill="FFFFFF"/>
        </w:rPr>
        <w:t xml:space="preserve">, the </w:t>
      </w:r>
      <w:r>
        <w:rPr>
          <w:color w:val="000000" w:themeColor="text1"/>
          <w:shd w:val="clear" w:color="auto" w:fill="FFFFFF"/>
        </w:rPr>
        <w:t>s</w:t>
      </w:r>
      <w:r w:rsidRPr="007A60C3">
        <w:rPr>
          <w:color w:val="000000" w:themeColor="text1"/>
          <w:shd w:val="clear" w:color="auto" w:fill="FFFFFF"/>
        </w:rPr>
        <w:t xml:space="preserve">ocio-ecological model includes three main levels of factors that influence an individual’s smoking behaviors: characteristics of the individual (“micro”); characteristics of the individual’s social environment (“meso”); and characteristics of the systems-level environment in which the individual exists (“macro”) </w:t>
      </w:r>
      <w:r w:rsidRPr="007A60C3">
        <w:rPr>
          <w:b/>
          <w:color w:val="000000" w:themeColor="text1"/>
          <w:shd w:val="clear" w:color="auto" w:fill="FFFFFF"/>
        </w:rPr>
        <w:t>(Figure </w:t>
      </w:r>
      <w:r w:rsidR="009014AD">
        <w:rPr>
          <w:b/>
          <w:color w:val="000000" w:themeColor="text1"/>
          <w:shd w:val="clear" w:color="auto" w:fill="FFFFFF"/>
        </w:rPr>
        <w:t>4</w:t>
      </w:r>
      <w:r>
        <w:rPr>
          <w:b/>
          <w:color w:val="000000" w:themeColor="text1"/>
          <w:shd w:val="clear" w:color="auto" w:fill="FFFFFF"/>
        </w:rPr>
        <w:t>-</w:t>
      </w:r>
      <w:r w:rsidRPr="007A60C3">
        <w:rPr>
          <w:b/>
          <w:color w:val="000000" w:themeColor="text1"/>
          <w:shd w:val="clear" w:color="auto" w:fill="FFFFFF"/>
        </w:rPr>
        <w:t>1</w:t>
      </w:r>
      <w:r w:rsidRPr="007A60C3">
        <w:rPr>
          <w:color w:val="000000" w:themeColor="text1"/>
          <w:shd w:val="clear" w:color="auto" w:fill="FFFFFF"/>
        </w:rPr>
        <w:t xml:space="preserve">). Examples of micro-level factors are age, race/ethnicity, gender, and education. Meso-level factors include living in a home where someone smokes, having friends who smoke, and whether someone lives in an urban or rural area, among others. </w:t>
      </w:r>
      <w:r>
        <w:rPr>
          <w:color w:val="000000" w:themeColor="text1"/>
          <w:shd w:val="clear" w:color="auto" w:fill="FFFFFF"/>
        </w:rPr>
        <w:t>M</w:t>
      </w:r>
      <w:r w:rsidRPr="007A60C3">
        <w:rPr>
          <w:color w:val="000000" w:themeColor="text1"/>
          <w:shd w:val="clear" w:color="auto" w:fill="FFFFFF"/>
        </w:rPr>
        <w:t xml:space="preserve">acro-level factors </w:t>
      </w:r>
      <w:r>
        <w:rPr>
          <w:color w:val="000000" w:themeColor="text1"/>
          <w:shd w:val="clear" w:color="auto" w:fill="FFFFFF"/>
        </w:rPr>
        <w:t xml:space="preserve">might </w:t>
      </w:r>
      <w:r w:rsidRPr="007A60C3">
        <w:rPr>
          <w:color w:val="000000" w:themeColor="text1"/>
          <w:shd w:val="clear" w:color="auto" w:fill="FFFFFF"/>
        </w:rPr>
        <w:t>include cigarette taxes, workplace smoking policies, and local or state tobacco control</w:t>
      </w:r>
      <w:r w:rsidR="009970B4">
        <w:rPr>
          <w:color w:val="000000" w:themeColor="text1"/>
          <w:shd w:val="clear" w:color="auto" w:fill="FFFFFF"/>
        </w:rPr>
        <w:t xml:space="preserve"> activities</w:t>
      </w:r>
      <w:r w:rsidR="00A20AE4">
        <w:rPr>
          <w:color w:val="000000" w:themeColor="text1"/>
          <w:shd w:val="clear" w:color="auto" w:fill="FFFFFF"/>
        </w:rPr>
        <w:t>.</w:t>
      </w:r>
    </w:p>
    <w:p w14:paraId="595B9638" w14:textId="77777777" w:rsidR="00D04C52" w:rsidRPr="00BE1742" w:rsidRDefault="00D04C52" w:rsidP="00E83BE3">
      <w:pPr>
        <w:spacing w:after="120"/>
        <w:jc w:val="both"/>
        <w:outlineLvl w:val="1"/>
        <w:rPr>
          <w:rStyle w:val="apple-converted-space"/>
          <w:b/>
          <w:color w:val="000000" w:themeColor="text1"/>
          <w:shd w:val="clear" w:color="auto" w:fill="FFFFFF"/>
        </w:rPr>
      </w:pPr>
      <w:r w:rsidRPr="001F5299">
        <w:rPr>
          <w:rFonts w:ascii="Times New Roman" w:hAnsi="Times New Roman"/>
          <w:noProof/>
          <w:lang w:val="en-CA" w:eastAsia="en-CA"/>
        </w:rPr>
        <mc:AlternateContent>
          <mc:Choice Requires="wpg">
            <w:drawing>
              <wp:anchor distT="0" distB="0" distL="114300" distR="114300" simplePos="0" relativeHeight="251658240" behindDoc="0" locked="0" layoutInCell="1" allowOverlap="1" wp14:anchorId="29D36432" wp14:editId="2DB78F15">
                <wp:simplePos x="0" y="0"/>
                <wp:positionH relativeFrom="margin">
                  <wp:align>center</wp:align>
                </wp:positionH>
                <wp:positionV relativeFrom="paragraph">
                  <wp:posOffset>440055</wp:posOffset>
                </wp:positionV>
                <wp:extent cx="4451985" cy="4038600"/>
                <wp:effectExtent l="76200" t="57150" r="100965" b="152400"/>
                <wp:wrapTopAndBottom/>
                <wp:docPr id="40" name="Group 40"/>
                <wp:cNvGraphicFramePr/>
                <a:graphic xmlns:a="http://schemas.openxmlformats.org/drawingml/2006/main">
                  <a:graphicData uri="http://schemas.microsoft.com/office/word/2010/wordprocessingGroup">
                    <wpg:wgp>
                      <wpg:cNvGrpSpPr/>
                      <wpg:grpSpPr>
                        <a:xfrm>
                          <a:off x="0" y="0"/>
                          <a:ext cx="4451985" cy="4038600"/>
                          <a:chOff x="136775" y="427704"/>
                          <a:chExt cx="2598741" cy="2773445"/>
                        </a:xfrm>
                      </wpg:grpSpPr>
                      <wps:wsp>
                        <wps:cNvPr id="41" name="Oval 41"/>
                        <wps:cNvSpPr/>
                        <wps:spPr>
                          <a:xfrm>
                            <a:off x="136775" y="427704"/>
                            <a:ext cx="2598741" cy="2768130"/>
                          </a:xfrm>
                          <a:prstGeom prst="ellipse">
                            <a:avLst/>
                          </a:prstGeom>
                          <a:solidFill>
                            <a:srgbClr val="9CCA7C"/>
                          </a:solidFill>
                          <a:ln w="6350">
                            <a:solidFill>
                              <a:schemeClr val="bg2">
                                <a:lumMod val="50000"/>
                              </a:schemeClr>
                            </a:solidFill>
                          </a:ln>
                          <a:effectLst>
                            <a:outerShdw blurRad="50800" dist="38100" dir="5400000" algn="t" rotWithShape="0">
                              <a:prstClr val="black">
                                <a:alpha val="40000"/>
                              </a:prstClr>
                            </a:outerShdw>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Oval 42"/>
                        <wps:cNvSpPr/>
                        <wps:spPr>
                          <a:xfrm>
                            <a:off x="390312" y="1173268"/>
                            <a:ext cx="2084998" cy="2027881"/>
                          </a:xfrm>
                          <a:prstGeom prst="ellipse">
                            <a:avLst/>
                          </a:prstGeom>
                          <a:solidFill>
                            <a:srgbClr val="B194DC"/>
                          </a:solidFill>
                          <a:ln w="6350">
                            <a:solidFill>
                              <a:schemeClr val="bg2">
                                <a:lumMod val="50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Text Box 43"/>
                        <wps:cNvSpPr txBox="1"/>
                        <wps:spPr>
                          <a:xfrm>
                            <a:off x="637671" y="450727"/>
                            <a:ext cx="1600200" cy="9098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C5561A" w14:textId="77777777" w:rsidR="00325254" w:rsidRPr="001510AF" w:rsidRDefault="00325254" w:rsidP="00B46744">
                              <w:pPr>
                                <w:contextualSpacing/>
                                <w:jc w:val="center"/>
                                <w:rPr>
                                  <w:b/>
                                  <w:color w:val="FFFFFF" w:themeColor="background1"/>
                                  <w:sz w:val="20"/>
                                </w:rPr>
                              </w:pPr>
                              <w:r>
                                <w:rPr>
                                  <w:b/>
                                  <w:color w:val="FFFFFF" w:themeColor="background1"/>
                                  <w:sz w:val="20"/>
                                </w:rPr>
                                <w:t>MACRO</w:t>
                              </w:r>
                            </w:p>
                            <w:p w14:paraId="2084D81F" w14:textId="77777777" w:rsidR="00325254" w:rsidRPr="00182607" w:rsidRDefault="00325254" w:rsidP="00B46744">
                              <w:pPr>
                                <w:spacing w:after="60" w:line="240" w:lineRule="auto"/>
                                <w:contextualSpacing/>
                                <w:jc w:val="center"/>
                                <w:rPr>
                                  <w:color w:val="FFFFFF" w:themeColor="background1"/>
                                  <w:sz w:val="20"/>
                                </w:rPr>
                              </w:pPr>
                              <w:r w:rsidRPr="00182607">
                                <w:rPr>
                                  <w:color w:val="FFFFFF" w:themeColor="background1"/>
                                  <w:sz w:val="20"/>
                                </w:rPr>
                                <w:t>Policies, Government, and Industry</w:t>
                              </w:r>
                            </w:p>
                            <w:p w14:paraId="2363EB57" w14:textId="77777777" w:rsidR="00325254" w:rsidRPr="00BE659D" w:rsidRDefault="00325254" w:rsidP="00B46744">
                              <w:pPr>
                                <w:pStyle w:val="ListParagraph"/>
                                <w:numPr>
                                  <w:ilvl w:val="0"/>
                                  <w:numId w:val="18"/>
                                </w:numPr>
                                <w:tabs>
                                  <w:tab w:val="left" w:pos="900"/>
                                </w:tabs>
                                <w:ind w:left="990" w:hanging="270"/>
                                <w:rPr>
                                  <w:color w:val="1F3864" w:themeColor="accent5" w:themeShade="80"/>
                                  <w:sz w:val="18"/>
                                  <w:szCs w:val="18"/>
                                </w:rPr>
                              </w:pPr>
                              <w:r w:rsidRPr="00BE659D">
                                <w:rPr>
                                  <w:color w:val="1F3864" w:themeColor="accent5" w:themeShade="80"/>
                                  <w:sz w:val="18"/>
                                  <w:szCs w:val="18"/>
                                </w:rPr>
                                <w:t>State or local tobacco control policies</w:t>
                              </w:r>
                            </w:p>
                            <w:p w14:paraId="4B48266C" w14:textId="77777777" w:rsidR="00325254" w:rsidRPr="00BE659D" w:rsidRDefault="00325254" w:rsidP="00B46744">
                              <w:pPr>
                                <w:pStyle w:val="ListParagraph"/>
                                <w:numPr>
                                  <w:ilvl w:val="0"/>
                                  <w:numId w:val="18"/>
                                </w:numPr>
                                <w:tabs>
                                  <w:tab w:val="left" w:pos="900"/>
                                </w:tabs>
                                <w:ind w:left="990" w:hanging="270"/>
                                <w:rPr>
                                  <w:color w:val="1F3864" w:themeColor="accent5" w:themeShade="80"/>
                                  <w:sz w:val="18"/>
                                  <w:szCs w:val="18"/>
                                </w:rPr>
                              </w:pPr>
                              <w:r w:rsidRPr="00BE659D">
                                <w:rPr>
                                  <w:color w:val="1F3864" w:themeColor="accent5" w:themeShade="80"/>
                                  <w:sz w:val="18"/>
                                  <w:szCs w:val="18"/>
                                </w:rPr>
                                <w:t>Cigarette prices or taxes</w:t>
                              </w:r>
                            </w:p>
                            <w:p w14:paraId="29F6D175" w14:textId="77777777" w:rsidR="00325254" w:rsidRPr="00BE659D" w:rsidRDefault="00325254" w:rsidP="00B46744">
                              <w:pPr>
                                <w:pStyle w:val="ListParagraph"/>
                                <w:numPr>
                                  <w:ilvl w:val="0"/>
                                  <w:numId w:val="18"/>
                                </w:numPr>
                                <w:tabs>
                                  <w:tab w:val="left" w:pos="900"/>
                                </w:tabs>
                                <w:ind w:left="990" w:hanging="270"/>
                                <w:rPr>
                                  <w:color w:val="1F3864" w:themeColor="accent5" w:themeShade="80"/>
                                  <w:sz w:val="18"/>
                                  <w:szCs w:val="18"/>
                                </w:rPr>
                              </w:pPr>
                              <w:r w:rsidRPr="00BE659D">
                                <w:rPr>
                                  <w:color w:val="1F3864" w:themeColor="accent5" w:themeShade="80"/>
                                  <w:sz w:val="18"/>
                                  <w:szCs w:val="18"/>
                                </w:rPr>
                                <w:t>Workplace smoking policies</w:t>
                              </w:r>
                            </w:p>
                            <w:p w14:paraId="7CCE2F45" w14:textId="77777777" w:rsidR="00325254" w:rsidRPr="00BE659D" w:rsidRDefault="00325254" w:rsidP="00B46744">
                              <w:pPr>
                                <w:pStyle w:val="ListParagraph"/>
                                <w:numPr>
                                  <w:ilvl w:val="0"/>
                                  <w:numId w:val="18"/>
                                </w:numPr>
                                <w:tabs>
                                  <w:tab w:val="left" w:pos="900"/>
                                </w:tabs>
                                <w:ind w:left="990" w:hanging="270"/>
                                <w:rPr>
                                  <w:color w:val="1F3864" w:themeColor="accent5" w:themeShade="80"/>
                                  <w:sz w:val="18"/>
                                  <w:szCs w:val="18"/>
                                </w:rPr>
                              </w:pPr>
                              <w:r w:rsidRPr="00BE659D">
                                <w:rPr>
                                  <w:color w:val="1F3864" w:themeColor="accent5" w:themeShade="80"/>
                                  <w:sz w:val="18"/>
                                  <w:szCs w:val="18"/>
                                </w:rPr>
                                <w:t>Tobacco industry marketing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xt Box 44"/>
                        <wps:cNvSpPr txBox="1"/>
                        <wps:spPr>
                          <a:xfrm>
                            <a:off x="501518" y="1219266"/>
                            <a:ext cx="1865179" cy="94096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53C7EA" w14:textId="77777777" w:rsidR="00325254" w:rsidRPr="001510AF" w:rsidRDefault="00325254" w:rsidP="00B46744">
                              <w:pPr>
                                <w:contextualSpacing/>
                                <w:jc w:val="center"/>
                                <w:rPr>
                                  <w:b/>
                                  <w:color w:val="FFFFFF" w:themeColor="background1"/>
                                  <w:sz w:val="20"/>
                                </w:rPr>
                              </w:pPr>
                              <w:r>
                                <w:rPr>
                                  <w:b/>
                                  <w:color w:val="FFFFFF" w:themeColor="background1"/>
                                  <w:sz w:val="20"/>
                                </w:rPr>
                                <w:t>MESO</w:t>
                              </w:r>
                            </w:p>
                            <w:p w14:paraId="76293146" w14:textId="77777777" w:rsidR="00325254" w:rsidRPr="00182607" w:rsidRDefault="00325254" w:rsidP="00B46744">
                              <w:pPr>
                                <w:spacing w:after="60" w:line="240" w:lineRule="auto"/>
                                <w:contextualSpacing/>
                                <w:jc w:val="center"/>
                                <w:rPr>
                                  <w:color w:val="FFFFFF" w:themeColor="background1"/>
                                  <w:sz w:val="20"/>
                                </w:rPr>
                              </w:pPr>
                              <w:r w:rsidRPr="00182607">
                                <w:rPr>
                                  <w:color w:val="FFFFFF" w:themeColor="background1"/>
                                  <w:sz w:val="20"/>
                                </w:rPr>
                                <w:t>Sociocultural and Physical Environments</w:t>
                              </w:r>
                            </w:p>
                            <w:p w14:paraId="25543F65" w14:textId="77777777" w:rsidR="00325254" w:rsidRPr="00BE659D" w:rsidRDefault="00325254" w:rsidP="00B46744">
                              <w:pPr>
                                <w:pStyle w:val="ListParagraph"/>
                                <w:numPr>
                                  <w:ilvl w:val="0"/>
                                  <w:numId w:val="17"/>
                                </w:numPr>
                                <w:spacing w:line="240" w:lineRule="auto"/>
                                <w:ind w:left="1260" w:hanging="180"/>
                                <w:rPr>
                                  <w:color w:val="1F3864" w:themeColor="accent5" w:themeShade="80"/>
                                  <w:sz w:val="18"/>
                                  <w:szCs w:val="18"/>
                                </w:rPr>
                              </w:pPr>
                              <w:r w:rsidRPr="00BE659D">
                                <w:rPr>
                                  <w:color w:val="1F3864" w:themeColor="accent5" w:themeShade="80"/>
                                  <w:sz w:val="18"/>
                                  <w:szCs w:val="18"/>
                                </w:rPr>
                                <w:t>Living with smoking relatives</w:t>
                              </w:r>
                            </w:p>
                            <w:p w14:paraId="2C10CE00" w14:textId="77777777" w:rsidR="00325254" w:rsidRPr="00BE659D" w:rsidRDefault="00325254" w:rsidP="00B46744">
                              <w:pPr>
                                <w:pStyle w:val="ListParagraph"/>
                                <w:numPr>
                                  <w:ilvl w:val="0"/>
                                  <w:numId w:val="17"/>
                                </w:numPr>
                                <w:spacing w:line="240" w:lineRule="auto"/>
                                <w:ind w:left="1260" w:hanging="180"/>
                                <w:rPr>
                                  <w:color w:val="1F3864" w:themeColor="accent5" w:themeShade="80"/>
                                  <w:sz w:val="18"/>
                                  <w:szCs w:val="18"/>
                                </w:rPr>
                              </w:pPr>
                              <w:r w:rsidRPr="00BE659D">
                                <w:rPr>
                                  <w:color w:val="1F3864" w:themeColor="accent5" w:themeShade="80"/>
                                  <w:sz w:val="18"/>
                                  <w:szCs w:val="18"/>
                                </w:rPr>
                                <w:t>Smoking allowed at home</w:t>
                              </w:r>
                            </w:p>
                            <w:p w14:paraId="1BBB9458" w14:textId="77777777" w:rsidR="00325254" w:rsidRPr="00BE659D" w:rsidRDefault="00325254" w:rsidP="00B46744">
                              <w:pPr>
                                <w:pStyle w:val="ListParagraph"/>
                                <w:numPr>
                                  <w:ilvl w:val="0"/>
                                  <w:numId w:val="17"/>
                                </w:numPr>
                                <w:spacing w:line="240" w:lineRule="auto"/>
                                <w:ind w:left="1260" w:hanging="180"/>
                                <w:rPr>
                                  <w:color w:val="1F3864" w:themeColor="accent5" w:themeShade="80"/>
                                  <w:sz w:val="18"/>
                                  <w:szCs w:val="18"/>
                                </w:rPr>
                              </w:pPr>
                              <w:r w:rsidRPr="00BE659D">
                                <w:rPr>
                                  <w:color w:val="1F3864" w:themeColor="accent5" w:themeShade="80"/>
                                  <w:sz w:val="18"/>
                                  <w:szCs w:val="18"/>
                                </w:rPr>
                                <w:t>Having a friend that smokes</w:t>
                              </w:r>
                            </w:p>
                            <w:p w14:paraId="0636AC3E" w14:textId="77777777" w:rsidR="00325254" w:rsidRPr="00BE659D" w:rsidRDefault="00325254" w:rsidP="00B46744">
                              <w:pPr>
                                <w:pStyle w:val="ListParagraph"/>
                                <w:numPr>
                                  <w:ilvl w:val="0"/>
                                  <w:numId w:val="17"/>
                                </w:numPr>
                                <w:spacing w:line="240" w:lineRule="auto"/>
                                <w:ind w:left="1260" w:hanging="180"/>
                                <w:rPr>
                                  <w:color w:val="1F3864" w:themeColor="accent5" w:themeShade="80"/>
                                  <w:sz w:val="18"/>
                                  <w:szCs w:val="18"/>
                                </w:rPr>
                              </w:pPr>
                              <w:r w:rsidRPr="00BE659D">
                                <w:rPr>
                                  <w:color w:val="1F3864" w:themeColor="accent5" w:themeShade="80"/>
                                  <w:sz w:val="18"/>
                                  <w:szCs w:val="18"/>
                                </w:rPr>
                                <w:t>Brand preference for menthol cigarettes</w:t>
                              </w:r>
                            </w:p>
                            <w:p w14:paraId="7A7A89CE" w14:textId="77777777" w:rsidR="00325254" w:rsidRPr="00BE659D" w:rsidRDefault="00325254" w:rsidP="00B46744">
                              <w:pPr>
                                <w:pStyle w:val="ListParagraph"/>
                                <w:numPr>
                                  <w:ilvl w:val="0"/>
                                  <w:numId w:val="17"/>
                                </w:numPr>
                                <w:spacing w:line="240" w:lineRule="auto"/>
                                <w:ind w:left="1260" w:hanging="180"/>
                                <w:rPr>
                                  <w:color w:val="1F3864" w:themeColor="accent5" w:themeShade="80"/>
                                  <w:sz w:val="18"/>
                                  <w:szCs w:val="18"/>
                                </w:rPr>
                              </w:pPr>
                              <w:r w:rsidRPr="00BE659D">
                                <w:rPr>
                                  <w:color w:val="1F3864" w:themeColor="accent5" w:themeShade="80"/>
                                  <w:sz w:val="18"/>
                                  <w:szCs w:val="18"/>
                                </w:rPr>
                                <w:t>Geography (urban vs. rural)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Oval 45"/>
                        <wps:cNvSpPr/>
                        <wps:spPr>
                          <a:xfrm>
                            <a:off x="760606" y="2003520"/>
                            <a:ext cx="1381103" cy="1192314"/>
                          </a:xfrm>
                          <a:prstGeom prst="ellipse">
                            <a:avLst/>
                          </a:prstGeom>
                          <a:solidFill>
                            <a:srgbClr val="AAC0E4"/>
                          </a:solidFill>
                          <a:ln w="6350">
                            <a:solidFill>
                              <a:schemeClr val="bg2">
                                <a:lumMod val="50000"/>
                              </a:schemeClr>
                            </a:solid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Text Box 46"/>
                        <wps:cNvSpPr txBox="1"/>
                        <wps:spPr>
                          <a:xfrm>
                            <a:off x="636327" y="2008836"/>
                            <a:ext cx="1600200" cy="10832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199DE1" w14:textId="77777777" w:rsidR="00325254" w:rsidRPr="001510AF" w:rsidRDefault="00325254" w:rsidP="00B46744">
                              <w:pPr>
                                <w:contextualSpacing/>
                                <w:jc w:val="center"/>
                                <w:rPr>
                                  <w:b/>
                                  <w:color w:val="FFFFFF" w:themeColor="background1"/>
                                  <w:sz w:val="20"/>
                                </w:rPr>
                              </w:pPr>
                              <w:r>
                                <w:rPr>
                                  <w:b/>
                                  <w:color w:val="FFFFFF" w:themeColor="background1"/>
                                  <w:sz w:val="20"/>
                                </w:rPr>
                                <w:t>MICRO</w:t>
                              </w:r>
                            </w:p>
                            <w:p w14:paraId="2FCA9841" w14:textId="77777777" w:rsidR="00325254" w:rsidRDefault="00325254" w:rsidP="00B46744">
                              <w:pPr>
                                <w:spacing w:after="0"/>
                                <w:contextualSpacing/>
                                <w:jc w:val="center"/>
                                <w:rPr>
                                  <w:color w:val="1F3864" w:themeColor="accent5" w:themeShade="80"/>
                                  <w:sz w:val="20"/>
                                </w:rPr>
                              </w:pPr>
                              <w:r w:rsidRPr="00182607">
                                <w:rPr>
                                  <w:color w:val="1F3864" w:themeColor="accent5" w:themeShade="80"/>
                                  <w:sz w:val="20"/>
                                </w:rPr>
                                <w:t>Individual Factors</w:t>
                              </w:r>
                            </w:p>
                            <w:p w14:paraId="0A3FD573" w14:textId="77777777" w:rsidR="00325254" w:rsidRPr="00431639" w:rsidRDefault="00325254" w:rsidP="00B46744">
                              <w:pPr>
                                <w:pStyle w:val="ListParagraph"/>
                                <w:numPr>
                                  <w:ilvl w:val="0"/>
                                  <w:numId w:val="16"/>
                                </w:numPr>
                                <w:spacing w:line="240" w:lineRule="auto"/>
                                <w:ind w:left="1166" w:hanging="187"/>
                                <w:rPr>
                                  <w:color w:val="1F3864" w:themeColor="accent5" w:themeShade="80"/>
                                  <w:sz w:val="18"/>
                                  <w:szCs w:val="18"/>
                                </w:rPr>
                              </w:pPr>
                              <w:r w:rsidRPr="00431639">
                                <w:rPr>
                                  <w:color w:val="1F3864" w:themeColor="accent5" w:themeShade="80"/>
                                  <w:sz w:val="18"/>
                                  <w:szCs w:val="18"/>
                                </w:rPr>
                                <w:t>Age</w:t>
                              </w:r>
                              <w:r w:rsidRPr="00431639">
                                <w:rPr>
                                  <w:color w:val="1F3864" w:themeColor="accent5" w:themeShade="80"/>
                                  <w:sz w:val="18"/>
                                  <w:szCs w:val="18"/>
                                  <w:vertAlign w:val="superscript"/>
                                </w:rPr>
                                <w:t>a</w:t>
                              </w:r>
                            </w:p>
                            <w:p w14:paraId="4DEC5C77" w14:textId="77777777" w:rsidR="00325254" w:rsidRPr="00431639" w:rsidRDefault="00325254" w:rsidP="00B46744">
                              <w:pPr>
                                <w:pStyle w:val="ListParagraph"/>
                                <w:numPr>
                                  <w:ilvl w:val="0"/>
                                  <w:numId w:val="16"/>
                                </w:numPr>
                                <w:spacing w:line="240" w:lineRule="auto"/>
                                <w:ind w:left="1166" w:hanging="187"/>
                                <w:rPr>
                                  <w:color w:val="1F3864" w:themeColor="accent5" w:themeShade="80"/>
                                  <w:sz w:val="18"/>
                                  <w:szCs w:val="18"/>
                                </w:rPr>
                              </w:pPr>
                              <w:r w:rsidRPr="00431639">
                                <w:rPr>
                                  <w:color w:val="1F3864" w:themeColor="accent5" w:themeShade="80"/>
                                  <w:sz w:val="18"/>
                                  <w:szCs w:val="18"/>
                                </w:rPr>
                                <w:t>Race/ethnicity</w:t>
                              </w:r>
                              <w:r w:rsidRPr="00431639">
                                <w:rPr>
                                  <w:color w:val="1F3864" w:themeColor="accent5" w:themeShade="80"/>
                                  <w:sz w:val="18"/>
                                  <w:szCs w:val="18"/>
                                  <w:vertAlign w:val="superscript"/>
                                </w:rPr>
                                <w:t>a</w:t>
                              </w:r>
                            </w:p>
                            <w:p w14:paraId="7FA42A34" w14:textId="77777777" w:rsidR="00325254" w:rsidRPr="00BE659D" w:rsidRDefault="00325254" w:rsidP="00B46744">
                              <w:pPr>
                                <w:pStyle w:val="ListParagraph"/>
                                <w:numPr>
                                  <w:ilvl w:val="0"/>
                                  <w:numId w:val="16"/>
                                </w:numPr>
                                <w:spacing w:line="240" w:lineRule="auto"/>
                                <w:ind w:left="1166" w:hanging="187"/>
                                <w:rPr>
                                  <w:color w:val="1F3864" w:themeColor="accent5" w:themeShade="80"/>
                                  <w:sz w:val="18"/>
                                  <w:szCs w:val="18"/>
                                </w:rPr>
                              </w:pPr>
                              <w:r>
                                <w:rPr>
                                  <w:color w:val="1F3864" w:themeColor="accent5" w:themeShade="80"/>
                                  <w:sz w:val="18"/>
                                  <w:szCs w:val="18"/>
                                </w:rPr>
                                <w:t>Gender</w:t>
                              </w:r>
                              <w:r w:rsidRPr="00431639">
                                <w:rPr>
                                  <w:color w:val="1F3864" w:themeColor="accent5" w:themeShade="80"/>
                                  <w:sz w:val="18"/>
                                  <w:szCs w:val="18"/>
                                  <w:vertAlign w:val="superscript"/>
                                </w:rPr>
                                <w:t>a</w:t>
                              </w:r>
                            </w:p>
                            <w:p w14:paraId="57F3F916" w14:textId="77777777" w:rsidR="00325254" w:rsidRPr="00BE659D" w:rsidRDefault="00325254" w:rsidP="00B46744">
                              <w:pPr>
                                <w:pStyle w:val="ListParagraph"/>
                                <w:numPr>
                                  <w:ilvl w:val="0"/>
                                  <w:numId w:val="16"/>
                                </w:numPr>
                                <w:spacing w:line="240" w:lineRule="auto"/>
                                <w:ind w:left="1166" w:hanging="187"/>
                                <w:rPr>
                                  <w:color w:val="1F3864" w:themeColor="accent5" w:themeShade="80"/>
                                  <w:sz w:val="18"/>
                                  <w:szCs w:val="18"/>
                                </w:rPr>
                              </w:pPr>
                              <w:r w:rsidRPr="00BE659D">
                                <w:rPr>
                                  <w:color w:val="1F3864" w:themeColor="accent5" w:themeShade="80"/>
                                  <w:sz w:val="18"/>
                                  <w:szCs w:val="18"/>
                                </w:rPr>
                                <w:t>Education</w:t>
                              </w:r>
                            </w:p>
                            <w:p w14:paraId="45A7A5EC" w14:textId="77777777" w:rsidR="00325254" w:rsidRPr="00BE659D" w:rsidRDefault="00325254" w:rsidP="00B46744">
                              <w:pPr>
                                <w:pStyle w:val="ListParagraph"/>
                                <w:numPr>
                                  <w:ilvl w:val="0"/>
                                  <w:numId w:val="16"/>
                                </w:numPr>
                                <w:spacing w:line="240" w:lineRule="auto"/>
                                <w:ind w:left="1166" w:hanging="187"/>
                                <w:rPr>
                                  <w:color w:val="1F3864" w:themeColor="accent5" w:themeShade="80"/>
                                  <w:sz w:val="18"/>
                                  <w:szCs w:val="18"/>
                                </w:rPr>
                              </w:pPr>
                              <w:r w:rsidRPr="00BE659D">
                                <w:rPr>
                                  <w:color w:val="1F3864" w:themeColor="accent5" w:themeShade="80"/>
                                  <w:sz w:val="18"/>
                                  <w:szCs w:val="18"/>
                                </w:rPr>
                                <w:t>Marital status</w:t>
                              </w:r>
                            </w:p>
                            <w:p w14:paraId="4B951BE9" w14:textId="77777777" w:rsidR="00325254" w:rsidRPr="00BE659D" w:rsidRDefault="00325254" w:rsidP="00B46744">
                              <w:pPr>
                                <w:pStyle w:val="ListParagraph"/>
                                <w:numPr>
                                  <w:ilvl w:val="0"/>
                                  <w:numId w:val="16"/>
                                </w:numPr>
                                <w:spacing w:line="240" w:lineRule="auto"/>
                                <w:ind w:left="1166" w:hanging="187"/>
                                <w:rPr>
                                  <w:color w:val="1F3864" w:themeColor="accent5" w:themeShade="80"/>
                                  <w:sz w:val="18"/>
                                  <w:szCs w:val="18"/>
                                </w:rPr>
                              </w:pPr>
                              <w:r w:rsidRPr="00BE659D">
                                <w:rPr>
                                  <w:color w:val="1F3864" w:themeColor="accent5" w:themeShade="80"/>
                                  <w:sz w:val="18"/>
                                  <w:szCs w:val="18"/>
                                </w:rPr>
                                <w:t>Income/financial situation</w:t>
                              </w:r>
                            </w:p>
                            <w:p w14:paraId="325C96EE" w14:textId="77777777" w:rsidR="00325254" w:rsidRPr="00BE659D" w:rsidRDefault="00325254" w:rsidP="00B46744">
                              <w:pPr>
                                <w:pStyle w:val="ListParagraph"/>
                                <w:numPr>
                                  <w:ilvl w:val="0"/>
                                  <w:numId w:val="16"/>
                                </w:numPr>
                                <w:spacing w:line="240" w:lineRule="auto"/>
                                <w:ind w:left="1166" w:hanging="187"/>
                                <w:rPr>
                                  <w:color w:val="1F3864" w:themeColor="accent5" w:themeShade="80"/>
                                  <w:sz w:val="18"/>
                                  <w:szCs w:val="18"/>
                                </w:rPr>
                              </w:pPr>
                              <w:r w:rsidRPr="00BE659D">
                                <w:rPr>
                                  <w:color w:val="1F3864" w:themeColor="accent5" w:themeShade="80"/>
                                  <w:sz w:val="18"/>
                                  <w:szCs w:val="18"/>
                                </w:rPr>
                                <w:t>Dependence</w:t>
                              </w:r>
                            </w:p>
                            <w:p w14:paraId="251707C6" w14:textId="77777777" w:rsidR="00325254" w:rsidRPr="00BE659D" w:rsidRDefault="00325254" w:rsidP="00B46744">
                              <w:pPr>
                                <w:pStyle w:val="ListParagraph"/>
                                <w:numPr>
                                  <w:ilvl w:val="0"/>
                                  <w:numId w:val="16"/>
                                </w:numPr>
                                <w:spacing w:line="240" w:lineRule="auto"/>
                                <w:ind w:left="1166" w:hanging="187"/>
                                <w:rPr>
                                  <w:color w:val="1F3864" w:themeColor="accent5" w:themeShade="80"/>
                                  <w:sz w:val="18"/>
                                  <w:szCs w:val="18"/>
                                </w:rPr>
                              </w:pPr>
                              <w:r w:rsidRPr="00BE659D">
                                <w:rPr>
                                  <w:color w:val="1F3864" w:themeColor="accent5" w:themeShade="80"/>
                                  <w:sz w:val="18"/>
                                  <w:szCs w:val="18"/>
                                </w:rPr>
                                <w:t>Cotinine level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D36432" id="Group 40" o:spid="_x0000_s1026" style="position:absolute;left:0;text-align:left;margin-left:0;margin-top:34.65pt;width:350.55pt;height:318pt;z-index:251658240;mso-position-horizontal:center;mso-position-horizontal-relative:margin;mso-width-relative:margin;mso-height-relative:margin" coordorigin="1367,4277" coordsize="25987,27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">
                <v:oval id="Oval 41" o:spid="_x0000_s1027" style="position:absolute;left:1367;top:4277;width:25988;height:276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" fillcolor="#9cca7c" strokecolor="#747070 [1614]" strokeweight=".5pt">
                  <v:stroke joinstyle="miter"/>
                  <v:shadow on="t" color="black" opacity="26214f" origin=",-.5" offset="0,3pt"/>
                </v:oval>
                <v:oval id="Oval 42" o:spid="_x0000_s1028" style="position:absolute;left:3903;top:11732;width:20850;height:20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" fillcolor="#b194dc" strokecolor="#747070 [1614]" strokeweight=".5pt">
                  <v:stroke joinstyle="miter"/>
                </v:oval>
                <v:shapetype id="_x0000_t202" coordsize="21600,21600" o:spt="202" path="m,l,21600r21600,l21600,xe">
                  <v:stroke joinstyle="miter"/>
                  <v:path gradientshapeok="t" o:connecttype="rect"/>
                </v:shapetype>
                <v:shape id="Text Box 43" o:spid="_x0000_s1029" type="#_x0000_t202" style="position:absolute;left:6376;top:4507;width:16002;height:9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14:paraId="0FC5561A" w14:textId="77777777" w:rsidR="00325254" w:rsidRPr="001510AF" w:rsidRDefault="00325254" w:rsidP="00B46744">
                        <w:pPr>
                          <w:contextualSpacing/>
                          <w:jc w:val="center"/>
                          <w:rPr>
                            <w:b/>
                            <w:color w:val="FFFFFF" w:themeColor="background1"/>
                            <w:sz w:val="20"/>
                          </w:rPr>
                        </w:pPr>
                        <w:r>
                          <w:rPr>
                            <w:b/>
                            <w:color w:val="FFFFFF" w:themeColor="background1"/>
                            <w:sz w:val="20"/>
                          </w:rPr>
                          <w:t>MACRO</w:t>
                        </w:r>
                      </w:p>
                      <w:p w14:paraId="2084D81F" w14:textId="77777777" w:rsidR="00325254" w:rsidRPr="00182607" w:rsidRDefault="00325254" w:rsidP="00B46744">
                        <w:pPr>
                          <w:spacing w:after="60" w:line="240" w:lineRule="auto"/>
                          <w:contextualSpacing/>
                          <w:jc w:val="center"/>
                          <w:rPr>
                            <w:color w:val="FFFFFF" w:themeColor="background1"/>
                            <w:sz w:val="20"/>
                          </w:rPr>
                        </w:pPr>
                        <w:r w:rsidRPr="00182607">
                          <w:rPr>
                            <w:color w:val="FFFFFF" w:themeColor="background1"/>
                            <w:sz w:val="20"/>
                          </w:rPr>
                          <w:t>Policies, Government, and Industry</w:t>
                        </w:r>
                      </w:p>
                      <w:p w14:paraId="2363EB57" w14:textId="77777777" w:rsidR="00325254" w:rsidRPr="00BE659D" w:rsidRDefault="00325254" w:rsidP="00B46744">
                        <w:pPr>
                          <w:pStyle w:val="ListParagraph"/>
                          <w:numPr>
                            <w:ilvl w:val="0"/>
                            <w:numId w:val="18"/>
                          </w:numPr>
                          <w:tabs>
                            <w:tab w:val="left" w:pos="900"/>
                          </w:tabs>
                          <w:ind w:left="990" w:hanging="270"/>
                          <w:rPr>
                            <w:color w:val="1F3864" w:themeColor="accent5" w:themeShade="80"/>
                            <w:sz w:val="18"/>
                            <w:szCs w:val="18"/>
                          </w:rPr>
                        </w:pPr>
                        <w:r w:rsidRPr="00BE659D">
                          <w:rPr>
                            <w:color w:val="1F3864" w:themeColor="accent5" w:themeShade="80"/>
                            <w:sz w:val="18"/>
                            <w:szCs w:val="18"/>
                          </w:rPr>
                          <w:t>State or local tobacco control policies</w:t>
                        </w:r>
                      </w:p>
                      <w:p w14:paraId="4B48266C" w14:textId="77777777" w:rsidR="00325254" w:rsidRPr="00BE659D" w:rsidRDefault="00325254" w:rsidP="00B46744">
                        <w:pPr>
                          <w:pStyle w:val="ListParagraph"/>
                          <w:numPr>
                            <w:ilvl w:val="0"/>
                            <w:numId w:val="18"/>
                          </w:numPr>
                          <w:tabs>
                            <w:tab w:val="left" w:pos="900"/>
                          </w:tabs>
                          <w:ind w:left="990" w:hanging="270"/>
                          <w:rPr>
                            <w:color w:val="1F3864" w:themeColor="accent5" w:themeShade="80"/>
                            <w:sz w:val="18"/>
                            <w:szCs w:val="18"/>
                          </w:rPr>
                        </w:pPr>
                        <w:r w:rsidRPr="00BE659D">
                          <w:rPr>
                            <w:color w:val="1F3864" w:themeColor="accent5" w:themeShade="80"/>
                            <w:sz w:val="18"/>
                            <w:szCs w:val="18"/>
                          </w:rPr>
                          <w:t>Cigarette prices or taxes</w:t>
                        </w:r>
                      </w:p>
                      <w:p w14:paraId="29F6D175" w14:textId="77777777" w:rsidR="00325254" w:rsidRPr="00BE659D" w:rsidRDefault="00325254" w:rsidP="00B46744">
                        <w:pPr>
                          <w:pStyle w:val="ListParagraph"/>
                          <w:numPr>
                            <w:ilvl w:val="0"/>
                            <w:numId w:val="18"/>
                          </w:numPr>
                          <w:tabs>
                            <w:tab w:val="left" w:pos="900"/>
                          </w:tabs>
                          <w:ind w:left="990" w:hanging="270"/>
                          <w:rPr>
                            <w:color w:val="1F3864" w:themeColor="accent5" w:themeShade="80"/>
                            <w:sz w:val="18"/>
                            <w:szCs w:val="18"/>
                          </w:rPr>
                        </w:pPr>
                        <w:r w:rsidRPr="00BE659D">
                          <w:rPr>
                            <w:color w:val="1F3864" w:themeColor="accent5" w:themeShade="80"/>
                            <w:sz w:val="18"/>
                            <w:szCs w:val="18"/>
                          </w:rPr>
                          <w:t>Workplace smoking policies</w:t>
                        </w:r>
                      </w:p>
                      <w:p w14:paraId="7CCE2F45" w14:textId="77777777" w:rsidR="00325254" w:rsidRPr="00BE659D" w:rsidRDefault="00325254" w:rsidP="00B46744">
                        <w:pPr>
                          <w:pStyle w:val="ListParagraph"/>
                          <w:numPr>
                            <w:ilvl w:val="0"/>
                            <w:numId w:val="18"/>
                          </w:numPr>
                          <w:tabs>
                            <w:tab w:val="left" w:pos="900"/>
                          </w:tabs>
                          <w:ind w:left="990" w:hanging="270"/>
                          <w:rPr>
                            <w:color w:val="1F3864" w:themeColor="accent5" w:themeShade="80"/>
                            <w:sz w:val="18"/>
                            <w:szCs w:val="18"/>
                          </w:rPr>
                        </w:pPr>
                        <w:r w:rsidRPr="00BE659D">
                          <w:rPr>
                            <w:color w:val="1F3864" w:themeColor="accent5" w:themeShade="80"/>
                            <w:sz w:val="18"/>
                            <w:szCs w:val="18"/>
                          </w:rPr>
                          <w:t>Tobacco industry marketing</w:t>
                        </w:r>
                      </w:p>
                    </w:txbxContent>
                  </v:textbox>
                </v:shape>
                <v:shape id="Text Box 44" o:spid="_x0000_s1030" type="#_x0000_t202" style="position:absolute;left:5015;top:12192;width:18651;height:9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zORxQAAANsAAAAPAAAAZHJzL2Rvd25yZXYueG1sRI9Pi8Iw&#10;FMTvgt8hPGFvmioq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C4nzORxQAAANsAAAAP&#10;AAAAAAAAAAAAAAAAAAcCAABkcnMvZG93bnJldi54bWxQSwUGAAAAAAMAAwC3AAAA+QIAAAAA&#10;" filled="f" stroked="f" strokeweight=".5pt">
                  <v:textbox>
                    <w:txbxContent>
                      <w:p w14:paraId="3153C7EA" w14:textId="77777777" w:rsidR="00325254" w:rsidRPr="001510AF" w:rsidRDefault="00325254" w:rsidP="00B46744">
                        <w:pPr>
                          <w:contextualSpacing/>
                          <w:jc w:val="center"/>
                          <w:rPr>
                            <w:b/>
                            <w:color w:val="FFFFFF" w:themeColor="background1"/>
                            <w:sz w:val="20"/>
                          </w:rPr>
                        </w:pPr>
                        <w:r>
                          <w:rPr>
                            <w:b/>
                            <w:color w:val="FFFFFF" w:themeColor="background1"/>
                            <w:sz w:val="20"/>
                          </w:rPr>
                          <w:t>MESO</w:t>
                        </w:r>
                      </w:p>
                      <w:p w14:paraId="76293146" w14:textId="77777777" w:rsidR="00325254" w:rsidRPr="00182607" w:rsidRDefault="00325254" w:rsidP="00B46744">
                        <w:pPr>
                          <w:spacing w:after="60" w:line="240" w:lineRule="auto"/>
                          <w:contextualSpacing/>
                          <w:jc w:val="center"/>
                          <w:rPr>
                            <w:color w:val="FFFFFF" w:themeColor="background1"/>
                            <w:sz w:val="20"/>
                          </w:rPr>
                        </w:pPr>
                        <w:r w:rsidRPr="00182607">
                          <w:rPr>
                            <w:color w:val="FFFFFF" w:themeColor="background1"/>
                            <w:sz w:val="20"/>
                          </w:rPr>
                          <w:t>Sociocultural and Physical Environments</w:t>
                        </w:r>
                      </w:p>
                      <w:p w14:paraId="25543F65" w14:textId="77777777" w:rsidR="00325254" w:rsidRPr="00BE659D" w:rsidRDefault="00325254" w:rsidP="00B46744">
                        <w:pPr>
                          <w:pStyle w:val="ListParagraph"/>
                          <w:numPr>
                            <w:ilvl w:val="0"/>
                            <w:numId w:val="17"/>
                          </w:numPr>
                          <w:spacing w:line="240" w:lineRule="auto"/>
                          <w:ind w:left="1260" w:hanging="180"/>
                          <w:rPr>
                            <w:color w:val="1F3864" w:themeColor="accent5" w:themeShade="80"/>
                            <w:sz w:val="18"/>
                            <w:szCs w:val="18"/>
                          </w:rPr>
                        </w:pPr>
                        <w:r w:rsidRPr="00BE659D">
                          <w:rPr>
                            <w:color w:val="1F3864" w:themeColor="accent5" w:themeShade="80"/>
                            <w:sz w:val="18"/>
                            <w:szCs w:val="18"/>
                          </w:rPr>
                          <w:t>Living with smoking relatives</w:t>
                        </w:r>
                      </w:p>
                      <w:p w14:paraId="2C10CE00" w14:textId="77777777" w:rsidR="00325254" w:rsidRPr="00BE659D" w:rsidRDefault="00325254" w:rsidP="00B46744">
                        <w:pPr>
                          <w:pStyle w:val="ListParagraph"/>
                          <w:numPr>
                            <w:ilvl w:val="0"/>
                            <w:numId w:val="17"/>
                          </w:numPr>
                          <w:spacing w:line="240" w:lineRule="auto"/>
                          <w:ind w:left="1260" w:hanging="180"/>
                          <w:rPr>
                            <w:color w:val="1F3864" w:themeColor="accent5" w:themeShade="80"/>
                            <w:sz w:val="18"/>
                            <w:szCs w:val="18"/>
                          </w:rPr>
                        </w:pPr>
                        <w:r w:rsidRPr="00BE659D">
                          <w:rPr>
                            <w:color w:val="1F3864" w:themeColor="accent5" w:themeShade="80"/>
                            <w:sz w:val="18"/>
                            <w:szCs w:val="18"/>
                          </w:rPr>
                          <w:t>Smoking allowed at home</w:t>
                        </w:r>
                      </w:p>
                      <w:p w14:paraId="1BBB9458" w14:textId="77777777" w:rsidR="00325254" w:rsidRPr="00BE659D" w:rsidRDefault="00325254" w:rsidP="00B46744">
                        <w:pPr>
                          <w:pStyle w:val="ListParagraph"/>
                          <w:numPr>
                            <w:ilvl w:val="0"/>
                            <w:numId w:val="17"/>
                          </w:numPr>
                          <w:spacing w:line="240" w:lineRule="auto"/>
                          <w:ind w:left="1260" w:hanging="180"/>
                          <w:rPr>
                            <w:color w:val="1F3864" w:themeColor="accent5" w:themeShade="80"/>
                            <w:sz w:val="18"/>
                            <w:szCs w:val="18"/>
                          </w:rPr>
                        </w:pPr>
                        <w:r w:rsidRPr="00BE659D">
                          <w:rPr>
                            <w:color w:val="1F3864" w:themeColor="accent5" w:themeShade="80"/>
                            <w:sz w:val="18"/>
                            <w:szCs w:val="18"/>
                          </w:rPr>
                          <w:t>Having a friend that smokes</w:t>
                        </w:r>
                      </w:p>
                      <w:p w14:paraId="0636AC3E" w14:textId="77777777" w:rsidR="00325254" w:rsidRPr="00BE659D" w:rsidRDefault="00325254" w:rsidP="00B46744">
                        <w:pPr>
                          <w:pStyle w:val="ListParagraph"/>
                          <w:numPr>
                            <w:ilvl w:val="0"/>
                            <w:numId w:val="17"/>
                          </w:numPr>
                          <w:spacing w:line="240" w:lineRule="auto"/>
                          <w:ind w:left="1260" w:hanging="180"/>
                          <w:rPr>
                            <w:color w:val="1F3864" w:themeColor="accent5" w:themeShade="80"/>
                            <w:sz w:val="18"/>
                            <w:szCs w:val="18"/>
                          </w:rPr>
                        </w:pPr>
                        <w:r w:rsidRPr="00BE659D">
                          <w:rPr>
                            <w:color w:val="1F3864" w:themeColor="accent5" w:themeShade="80"/>
                            <w:sz w:val="18"/>
                            <w:szCs w:val="18"/>
                          </w:rPr>
                          <w:t>Brand preference for menthol cigarettes</w:t>
                        </w:r>
                      </w:p>
                      <w:p w14:paraId="7A7A89CE" w14:textId="77777777" w:rsidR="00325254" w:rsidRPr="00BE659D" w:rsidRDefault="00325254" w:rsidP="00B46744">
                        <w:pPr>
                          <w:pStyle w:val="ListParagraph"/>
                          <w:numPr>
                            <w:ilvl w:val="0"/>
                            <w:numId w:val="17"/>
                          </w:numPr>
                          <w:spacing w:line="240" w:lineRule="auto"/>
                          <w:ind w:left="1260" w:hanging="180"/>
                          <w:rPr>
                            <w:color w:val="1F3864" w:themeColor="accent5" w:themeShade="80"/>
                            <w:sz w:val="18"/>
                            <w:szCs w:val="18"/>
                          </w:rPr>
                        </w:pPr>
                        <w:r w:rsidRPr="00BE659D">
                          <w:rPr>
                            <w:color w:val="1F3864" w:themeColor="accent5" w:themeShade="80"/>
                            <w:sz w:val="18"/>
                            <w:szCs w:val="18"/>
                          </w:rPr>
                          <w:t>Geography (urban vs. rural)</w:t>
                        </w:r>
                      </w:p>
                    </w:txbxContent>
                  </v:textbox>
                </v:shape>
                <v:oval id="Oval 45" o:spid="_x0000_s1031" style="position:absolute;left:7606;top:20035;width:13811;height:119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" fillcolor="#aac0e4" strokecolor="#747070 [1614]" strokeweight=".5pt">
                  <v:stroke joinstyle="miter"/>
                </v:oval>
                <v:shape id="Text Box 46" o:spid="_x0000_s1032" type="#_x0000_t202" style="position:absolute;left:6363;top:20088;width:16002;height:108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Qh9xQAAANsAAAAPAAAAZHJzL2Rvd25yZXYueG1sRI9Ba8JA&#10;FITvBf/D8gRvdWNQ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AnAQh9xQAAANsAAAAP&#10;AAAAAAAAAAAAAAAAAAcCAABkcnMvZG93bnJldi54bWxQSwUGAAAAAAMAAwC3AAAA+QIAAAAA&#10;" filled="f" stroked="f" strokeweight=".5pt">
                  <v:textbox>
                    <w:txbxContent>
                      <w:p w14:paraId="56199DE1" w14:textId="77777777" w:rsidR="00325254" w:rsidRPr="001510AF" w:rsidRDefault="00325254" w:rsidP="00B46744">
                        <w:pPr>
                          <w:contextualSpacing/>
                          <w:jc w:val="center"/>
                          <w:rPr>
                            <w:b/>
                            <w:color w:val="FFFFFF" w:themeColor="background1"/>
                            <w:sz w:val="20"/>
                          </w:rPr>
                        </w:pPr>
                        <w:r>
                          <w:rPr>
                            <w:b/>
                            <w:color w:val="FFFFFF" w:themeColor="background1"/>
                            <w:sz w:val="20"/>
                          </w:rPr>
                          <w:t>MICRO</w:t>
                        </w:r>
                      </w:p>
                      <w:p w14:paraId="2FCA9841" w14:textId="77777777" w:rsidR="00325254" w:rsidRDefault="00325254" w:rsidP="00B46744">
                        <w:pPr>
                          <w:spacing w:after="0"/>
                          <w:contextualSpacing/>
                          <w:jc w:val="center"/>
                          <w:rPr>
                            <w:color w:val="1F3864" w:themeColor="accent5" w:themeShade="80"/>
                            <w:sz w:val="20"/>
                          </w:rPr>
                        </w:pPr>
                        <w:r w:rsidRPr="00182607">
                          <w:rPr>
                            <w:color w:val="1F3864" w:themeColor="accent5" w:themeShade="80"/>
                            <w:sz w:val="20"/>
                          </w:rPr>
                          <w:t>Individual Factors</w:t>
                        </w:r>
                      </w:p>
                      <w:p w14:paraId="0A3FD573" w14:textId="77777777" w:rsidR="00325254" w:rsidRPr="00431639" w:rsidRDefault="00325254" w:rsidP="00B46744">
                        <w:pPr>
                          <w:pStyle w:val="ListParagraph"/>
                          <w:numPr>
                            <w:ilvl w:val="0"/>
                            <w:numId w:val="16"/>
                          </w:numPr>
                          <w:spacing w:line="240" w:lineRule="auto"/>
                          <w:ind w:left="1166" w:hanging="187"/>
                          <w:rPr>
                            <w:color w:val="1F3864" w:themeColor="accent5" w:themeShade="80"/>
                            <w:sz w:val="18"/>
                            <w:szCs w:val="18"/>
                          </w:rPr>
                        </w:pPr>
                        <w:r w:rsidRPr="00431639">
                          <w:rPr>
                            <w:color w:val="1F3864" w:themeColor="accent5" w:themeShade="80"/>
                            <w:sz w:val="18"/>
                            <w:szCs w:val="18"/>
                          </w:rPr>
                          <w:t>Age</w:t>
                        </w:r>
                        <w:r w:rsidRPr="00431639">
                          <w:rPr>
                            <w:color w:val="1F3864" w:themeColor="accent5" w:themeShade="80"/>
                            <w:sz w:val="18"/>
                            <w:szCs w:val="18"/>
                            <w:vertAlign w:val="superscript"/>
                          </w:rPr>
                          <w:t>a</w:t>
                        </w:r>
                      </w:p>
                      <w:p w14:paraId="4DEC5C77" w14:textId="77777777" w:rsidR="00325254" w:rsidRPr="00431639" w:rsidRDefault="00325254" w:rsidP="00B46744">
                        <w:pPr>
                          <w:pStyle w:val="ListParagraph"/>
                          <w:numPr>
                            <w:ilvl w:val="0"/>
                            <w:numId w:val="16"/>
                          </w:numPr>
                          <w:spacing w:line="240" w:lineRule="auto"/>
                          <w:ind w:left="1166" w:hanging="187"/>
                          <w:rPr>
                            <w:color w:val="1F3864" w:themeColor="accent5" w:themeShade="80"/>
                            <w:sz w:val="18"/>
                            <w:szCs w:val="18"/>
                          </w:rPr>
                        </w:pPr>
                        <w:r w:rsidRPr="00431639">
                          <w:rPr>
                            <w:color w:val="1F3864" w:themeColor="accent5" w:themeShade="80"/>
                            <w:sz w:val="18"/>
                            <w:szCs w:val="18"/>
                          </w:rPr>
                          <w:t>Race/ethnicity</w:t>
                        </w:r>
                        <w:r w:rsidRPr="00431639">
                          <w:rPr>
                            <w:color w:val="1F3864" w:themeColor="accent5" w:themeShade="80"/>
                            <w:sz w:val="18"/>
                            <w:szCs w:val="18"/>
                            <w:vertAlign w:val="superscript"/>
                          </w:rPr>
                          <w:t>a</w:t>
                        </w:r>
                      </w:p>
                      <w:p w14:paraId="7FA42A34" w14:textId="77777777" w:rsidR="00325254" w:rsidRPr="00BE659D" w:rsidRDefault="00325254" w:rsidP="00B46744">
                        <w:pPr>
                          <w:pStyle w:val="ListParagraph"/>
                          <w:numPr>
                            <w:ilvl w:val="0"/>
                            <w:numId w:val="16"/>
                          </w:numPr>
                          <w:spacing w:line="240" w:lineRule="auto"/>
                          <w:ind w:left="1166" w:hanging="187"/>
                          <w:rPr>
                            <w:color w:val="1F3864" w:themeColor="accent5" w:themeShade="80"/>
                            <w:sz w:val="18"/>
                            <w:szCs w:val="18"/>
                          </w:rPr>
                        </w:pPr>
                        <w:r>
                          <w:rPr>
                            <w:color w:val="1F3864" w:themeColor="accent5" w:themeShade="80"/>
                            <w:sz w:val="18"/>
                            <w:szCs w:val="18"/>
                          </w:rPr>
                          <w:t>Gender</w:t>
                        </w:r>
                        <w:r w:rsidRPr="00431639">
                          <w:rPr>
                            <w:color w:val="1F3864" w:themeColor="accent5" w:themeShade="80"/>
                            <w:sz w:val="18"/>
                            <w:szCs w:val="18"/>
                            <w:vertAlign w:val="superscript"/>
                          </w:rPr>
                          <w:t>a</w:t>
                        </w:r>
                      </w:p>
                      <w:p w14:paraId="57F3F916" w14:textId="77777777" w:rsidR="00325254" w:rsidRPr="00BE659D" w:rsidRDefault="00325254" w:rsidP="00B46744">
                        <w:pPr>
                          <w:pStyle w:val="ListParagraph"/>
                          <w:numPr>
                            <w:ilvl w:val="0"/>
                            <w:numId w:val="16"/>
                          </w:numPr>
                          <w:spacing w:line="240" w:lineRule="auto"/>
                          <w:ind w:left="1166" w:hanging="187"/>
                          <w:rPr>
                            <w:color w:val="1F3864" w:themeColor="accent5" w:themeShade="80"/>
                            <w:sz w:val="18"/>
                            <w:szCs w:val="18"/>
                          </w:rPr>
                        </w:pPr>
                        <w:r w:rsidRPr="00BE659D">
                          <w:rPr>
                            <w:color w:val="1F3864" w:themeColor="accent5" w:themeShade="80"/>
                            <w:sz w:val="18"/>
                            <w:szCs w:val="18"/>
                          </w:rPr>
                          <w:t>Education</w:t>
                        </w:r>
                      </w:p>
                      <w:p w14:paraId="45A7A5EC" w14:textId="77777777" w:rsidR="00325254" w:rsidRPr="00BE659D" w:rsidRDefault="00325254" w:rsidP="00B46744">
                        <w:pPr>
                          <w:pStyle w:val="ListParagraph"/>
                          <w:numPr>
                            <w:ilvl w:val="0"/>
                            <w:numId w:val="16"/>
                          </w:numPr>
                          <w:spacing w:line="240" w:lineRule="auto"/>
                          <w:ind w:left="1166" w:hanging="187"/>
                          <w:rPr>
                            <w:color w:val="1F3864" w:themeColor="accent5" w:themeShade="80"/>
                            <w:sz w:val="18"/>
                            <w:szCs w:val="18"/>
                          </w:rPr>
                        </w:pPr>
                        <w:r w:rsidRPr="00BE659D">
                          <w:rPr>
                            <w:color w:val="1F3864" w:themeColor="accent5" w:themeShade="80"/>
                            <w:sz w:val="18"/>
                            <w:szCs w:val="18"/>
                          </w:rPr>
                          <w:t>Marital status</w:t>
                        </w:r>
                      </w:p>
                      <w:p w14:paraId="4B951BE9" w14:textId="77777777" w:rsidR="00325254" w:rsidRPr="00BE659D" w:rsidRDefault="00325254" w:rsidP="00B46744">
                        <w:pPr>
                          <w:pStyle w:val="ListParagraph"/>
                          <w:numPr>
                            <w:ilvl w:val="0"/>
                            <w:numId w:val="16"/>
                          </w:numPr>
                          <w:spacing w:line="240" w:lineRule="auto"/>
                          <w:ind w:left="1166" w:hanging="187"/>
                          <w:rPr>
                            <w:color w:val="1F3864" w:themeColor="accent5" w:themeShade="80"/>
                            <w:sz w:val="18"/>
                            <w:szCs w:val="18"/>
                          </w:rPr>
                        </w:pPr>
                        <w:r w:rsidRPr="00BE659D">
                          <w:rPr>
                            <w:color w:val="1F3864" w:themeColor="accent5" w:themeShade="80"/>
                            <w:sz w:val="18"/>
                            <w:szCs w:val="18"/>
                          </w:rPr>
                          <w:t>Income/financial situation</w:t>
                        </w:r>
                      </w:p>
                      <w:p w14:paraId="325C96EE" w14:textId="77777777" w:rsidR="00325254" w:rsidRPr="00BE659D" w:rsidRDefault="00325254" w:rsidP="00B46744">
                        <w:pPr>
                          <w:pStyle w:val="ListParagraph"/>
                          <w:numPr>
                            <w:ilvl w:val="0"/>
                            <w:numId w:val="16"/>
                          </w:numPr>
                          <w:spacing w:line="240" w:lineRule="auto"/>
                          <w:ind w:left="1166" w:hanging="187"/>
                          <w:rPr>
                            <w:color w:val="1F3864" w:themeColor="accent5" w:themeShade="80"/>
                            <w:sz w:val="18"/>
                            <w:szCs w:val="18"/>
                          </w:rPr>
                        </w:pPr>
                        <w:r w:rsidRPr="00BE659D">
                          <w:rPr>
                            <w:color w:val="1F3864" w:themeColor="accent5" w:themeShade="80"/>
                            <w:sz w:val="18"/>
                            <w:szCs w:val="18"/>
                          </w:rPr>
                          <w:t>Dependence</w:t>
                        </w:r>
                      </w:p>
                      <w:p w14:paraId="251707C6" w14:textId="77777777" w:rsidR="00325254" w:rsidRPr="00BE659D" w:rsidRDefault="00325254" w:rsidP="00B46744">
                        <w:pPr>
                          <w:pStyle w:val="ListParagraph"/>
                          <w:numPr>
                            <w:ilvl w:val="0"/>
                            <w:numId w:val="16"/>
                          </w:numPr>
                          <w:spacing w:line="240" w:lineRule="auto"/>
                          <w:ind w:left="1166" w:hanging="187"/>
                          <w:rPr>
                            <w:color w:val="1F3864" w:themeColor="accent5" w:themeShade="80"/>
                            <w:sz w:val="18"/>
                            <w:szCs w:val="18"/>
                          </w:rPr>
                        </w:pPr>
                        <w:r w:rsidRPr="00BE659D">
                          <w:rPr>
                            <w:color w:val="1F3864" w:themeColor="accent5" w:themeShade="80"/>
                            <w:sz w:val="18"/>
                            <w:szCs w:val="18"/>
                          </w:rPr>
                          <w:t>Cotinine level</w:t>
                        </w:r>
                      </w:p>
                    </w:txbxContent>
                  </v:textbox>
                </v:shape>
                <w10:wrap type="topAndBottom" anchorx="margin"/>
              </v:group>
            </w:pict>
          </mc:Fallback>
        </mc:AlternateContent>
      </w:r>
      <w:r>
        <w:rPr>
          <w:b/>
          <w:color w:val="000000" w:themeColor="text1"/>
          <w:shd w:val="clear" w:color="auto" w:fill="FFFFFF"/>
        </w:rPr>
        <w:t xml:space="preserve">FIGURE </w:t>
      </w:r>
      <w:r w:rsidR="009014AD">
        <w:rPr>
          <w:b/>
          <w:color w:val="000000" w:themeColor="text1"/>
          <w:shd w:val="clear" w:color="auto" w:fill="FFFFFF"/>
        </w:rPr>
        <w:t>4</w:t>
      </w:r>
      <w:r>
        <w:rPr>
          <w:b/>
          <w:color w:val="000000" w:themeColor="text1"/>
          <w:shd w:val="clear" w:color="auto" w:fill="FFFFFF"/>
        </w:rPr>
        <w:t>-1: The Socio-E</w:t>
      </w:r>
      <w:r w:rsidRPr="00BE1742">
        <w:rPr>
          <w:b/>
          <w:color w:val="000000" w:themeColor="text1"/>
          <w:shd w:val="clear" w:color="auto" w:fill="FFFFFF"/>
        </w:rPr>
        <w:t>cological Model</w:t>
      </w:r>
    </w:p>
    <w:p w14:paraId="299ECB05" w14:textId="77777777" w:rsidR="00D04C52" w:rsidRDefault="00D04C52" w:rsidP="00B46744"/>
    <w:p w14:paraId="4BDF4F24" w14:textId="77777777" w:rsidR="00D04C52" w:rsidRDefault="00D04C52">
      <w:r>
        <w:rPr>
          <w:noProof/>
          <w:lang w:val="en-CA" w:eastAsia="en-CA"/>
        </w:rPr>
        <mc:AlternateContent>
          <mc:Choice Requires="wps">
            <w:drawing>
              <wp:anchor distT="0" distB="0" distL="114300" distR="114300" simplePos="0" relativeHeight="251660288" behindDoc="0" locked="0" layoutInCell="1" allowOverlap="1" wp14:anchorId="75F8E5F4" wp14:editId="689AACDC">
                <wp:simplePos x="0" y="0"/>
                <wp:positionH relativeFrom="column">
                  <wp:posOffset>317500</wp:posOffset>
                </wp:positionH>
                <wp:positionV relativeFrom="paragraph">
                  <wp:posOffset>-445135</wp:posOffset>
                </wp:positionV>
                <wp:extent cx="5409968" cy="451933"/>
                <wp:effectExtent l="0" t="0" r="0" b="0"/>
                <wp:wrapNone/>
                <wp:docPr id="47" name="Text Box 47"/>
                <wp:cNvGraphicFramePr/>
                <a:graphic xmlns:a="http://schemas.openxmlformats.org/drawingml/2006/main">
                  <a:graphicData uri="http://schemas.microsoft.com/office/word/2010/wordprocessingShape">
                    <wps:wsp>
                      <wps:cNvSpPr txBox="1"/>
                      <wps:spPr>
                        <a:xfrm>
                          <a:off x="0" y="0"/>
                          <a:ext cx="5409968" cy="45193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C1F665A" w14:textId="77777777" w:rsidR="00325254" w:rsidRPr="00182607" w:rsidRDefault="00325254" w:rsidP="00B46744">
                            <w:pPr>
                              <w:pStyle w:val="details"/>
                              <w:shd w:val="clear" w:color="auto" w:fill="FFFFFF"/>
                              <w:spacing w:line="270" w:lineRule="atLeast"/>
                              <w:rPr>
                                <w:rFonts w:asciiTheme="minorHAnsi" w:hAnsiTheme="minorHAnsi"/>
                                <w:bCs/>
                                <w:sz w:val="20"/>
                                <w:szCs w:val="20"/>
                              </w:rPr>
                            </w:pPr>
                            <w:r w:rsidRPr="00182607">
                              <w:rPr>
                                <w:rFonts w:asciiTheme="minorHAnsi" w:hAnsiTheme="minorHAnsi"/>
                                <w:sz w:val="20"/>
                                <w:szCs w:val="20"/>
                                <w:vertAlign w:val="superscript"/>
                              </w:rPr>
                              <w:t xml:space="preserve">a </w:t>
                            </w:r>
                            <w:r w:rsidRPr="00182607">
                              <w:rPr>
                                <w:rFonts w:asciiTheme="minorHAnsi" w:hAnsiTheme="minorHAnsi"/>
                                <w:sz w:val="20"/>
                                <w:szCs w:val="20"/>
                              </w:rPr>
                              <w:t>Key confounder (see “</w:t>
                            </w:r>
                            <w:r w:rsidRPr="00182607">
                              <w:rPr>
                                <w:rFonts w:asciiTheme="minorHAnsi" w:hAnsiTheme="minorHAnsi"/>
                                <w:bCs/>
                                <w:sz w:val="20"/>
                                <w:szCs w:val="20"/>
                              </w:rPr>
                              <w:t xml:space="preserve">Assessment of Confounding” section); race and ethnicity were used in this </w:t>
                            </w:r>
                            <w:r>
                              <w:rPr>
                                <w:rFonts w:asciiTheme="minorHAnsi" w:hAnsiTheme="minorHAnsi"/>
                                <w:bCs/>
                                <w:sz w:val="20"/>
                                <w:szCs w:val="20"/>
                              </w:rPr>
                              <w:t>r</w:t>
                            </w:r>
                            <w:r w:rsidRPr="00182607">
                              <w:rPr>
                                <w:rFonts w:asciiTheme="minorHAnsi" w:hAnsiTheme="minorHAnsi"/>
                                <w:bCs/>
                                <w:sz w:val="20"/>
                                <w:szCs w:val="20"/>
                              </w:rPr>
                              <w:t>eview as defined by the included studies</w:t>
                            </w:r>
                            <w:r>
                              <w:rPr>
                                <w:rFonts w:asciiTheme="minorHAnsi" w:hAnsiTheme="minorHAnsi"/>
                                <w:bCs/>
                                <w:sz w:val="20"/>
                                <w:szCs w:val="20"/>
                              </w:rPr>
                              <w:t>.</w:t>
                            </w:r>
                          </w:p>
                          <w:p w14:paraId="7BA64E0D" w14:textId="77777777" w:rsidR="00325254" w:rsidRPr="00182607" w:rsidRDefault="00325254" w:rsidP="00B4674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F8E5F4" id="Text Box 47" o:spid="_x0000_s1033" type="#_x0000_t202" style="position:absolute;margin-left:25pt;margin-top:-35.05pt;width:426pt;height:35.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" filled="f" stroked="f">
                <v:textbox>
                  <w:txbxContent>
                    <w:p w14:paraId="1C1F665A" w14:textId="77777777" w:rsidR="00325254" w:rsidRPr="00182607" w:rsidRDefault="00325254" w:rsidP="00B46744">
                      <w:pPr>
                        <w:pStyle w:val="details"/>
                        <w:shd w:val="clear" w:color="auto" w:fill="FFFFFF"/>
                        <w:spacing w:line="270" w:lineRule="atLeast"/>
                        <w:rPr>
                          <w:rFonts w:asciiTheme="minorHAnsi" w:hAnsiTheme="minorHAnsi"/>
                          <w:bCs/>
                          <w:sz w:val="20"/>
                          <w:szCs w:val="20"/>
                        </w:rPr>
                      </w:pPr>
                      <w:r w:rsidRPr="00182607">
                        <w:rPr>
                          <w:rFonts w:asciiTheme="minorHAnsi" w:hAnsiTheme="minorHAnsi"/>
                          <w:sz w:val="20"/>
                          <w:szCs w:val="20"/>
                          <w:vertAlign w:val="superscript"/>
                        </w:rPr>
                        <w:t xml:space="preserve">a </w:t>
                      </w:r>
                      <w:r w:rsidRPr="00182607">
                        <w:rPr>
                          <w:rFonts w:asciiTheme="minorHAnsi" w:hAnsiTheme="minorHAnsi"/>
                          <w:sz w:val="20"/>
                          <w:szCs w:val="20"/>
                        </w:rPr>
                        <w:t>Key confounder (see “</w:t>
                      </w:r>
                      <w:r w:rsidRPr="00182607">
                        <w:rPr>
                          <w:rFonts w:asciiTheme="minorHAnsi" w:hAnsiTheme="minorHAnsi"/>
                          <w:bCs/>
                          <w:sz w:val="20"/>
                          <w:szCs w:val="20"/>
                        </w:rPr>
                        <w:t xml:space="preserve">Assessment of Confounding” section); race and ethnicity were used in this </w:t>
                      </w:r>
                      <w:r>
                        <w:rPr>
                          <w:rFonts w:asciiTheme="minorHAnsi" w:hAnsiTheme="minorHAnsi"/>
                          <w:bCs/>
                          <w:sz w:val="20"/>
                          <w:szCs w:val="20"/>
                        </w:rPr>
                        <w:t>r</w:t>
                      </w:r>
                      <w:r w:rsidRPr="00182607">
                        <w:rPr>
                          <w:rFonts w:asciiTheme="minorHAnsi" w:hAnsiTheme="minorHAnsi"/>
                          <w:bCs/>
                          <w:sz w:val="20"/>
                          <w:szCs w:val="20"/>
                        </w:rPr>
                        <w:t>eview as defined by the included studies</w:t>
                      </w:r>
                      <w:r>
                        <w:rPr>
                          <w:rFonts w:asciiTheme="minorHAnsi" w:hAnsiTheme="minorHAnsi"/>
                          <w:bCs/>
                          <w:sz w:val="20"/>
                          <w:szCs w:val="20"/>
                        </w:rPr>
                        <w:t>.</w:t>
                      </w:r>
                    </w:p>
                    <w:p w14:paraId="7BA64E0D" w14:textId="77777777" w:rsidR="00325254" w:rsidRPr="00182607" w:rsidRDefault="00325254" w:rsidP="00B46744"/>
                  </w:txbxContent>
                </v:textbox>
              </v:shape>
            </w:pict>
          </mc:Fallback>
        </mc:AlternateContent>
      </w:r>
    </w:p>
    <w:p w14:paraId="50EBE720" w14:textId="77777777" w:rsidR="00D04C52" w:rsidRDefault="00D04C52">
      <w:pPr>
        <w:rPr>
          <w:b/>
        </w:rPr>
      </w:pPr>
      <w:r>
        <w:rPr>
          <w:b/>
        </w:rPr>
        <w:br w:type="page"/>
      </w:r>
    </w:p>
    <w:p w14:paraId="050EA8AB" w14:textId="77777777" w:rsidR="00D04C52" w:rsidRDefault="00D04C52" w:rsidP="00EA69AA">
      <w:pPr>
        <w:spacing w:after="120"/>
        <w:outlineLvl w:val="0"/>
        <w:rPr>
          <w:b/>
        </w:rPr>
      </w:pPr>
      <w:r>
        <w:rPr>
          <w:b/>
        </w:rPr>
        <w:lastRenderedPageBreak/>
        <w:t xml:space="preserve">SUPPLEMENTAL SECTION </w:t>
      </w:r>
      <w:r w:rsidR="009014AD">
        <w:rPr>
          <w:b/>
        </w:rPr>
        <w:t>5</w:t>
      </w:r>
      <w:r>
        <w:rPr>
          <w:b/>
        </w:rPr>
        <w:t>: Search Strategy</w:t>
      </w:r>
    </w:p>
    <w:p w14:paraId="1E696D22" w14:textId="77777777" w:rsidR="00070A7D" w:rsidRPr="00070A7D" w:rsidRDefault="00070A7D" w:rsidP="009C309B">
      <w:pPr>
        <w:spacing w:after="120" w:line="240" w:lineRule="auto"/>
        <w:jc w:val="both"/>
      </w:pPr>
      <w:r w:rsidRPr="00070A7D">
        <w:t xml:space="preserve">The literature search was conducted by an Information Specialist. </w:t>
      </w:r>
      <w:r w:rsidR="004218C5" w:rsidRPr="00070A7D">
        <w:t>Search terms were developed using medical subject headings (MeSH) and text words related to the associations</w:t>
      </w:r>
      <w:r w:rsidR="004218C5">
        <w:t xml:space="preserve"> between </w:t>
      </w:r>
      <w:r w:rsidR="004218C5" w:rsidRPr="00D81A79">
        <w:t>menthol versus non-menthol cigarette use and initiation/progression to regular smoking</w:t>
      </w:r>
      <w:r w:rsidR="004218C5" w:rsidRPr="00070A7D">
        <w:t xml:space="preserve">. </w:t>
      </w:r>
      <w:r w:rsidRPr="00070A7D">
        <w:t xml:space="preserve">The search strategy included using synonyms of search terms, truncation, wild card symbols, Boolean logic, proximity operators, and limits, </w:t>
      </w:r>
      <w:r w:rsidR="00391A17" w:rsidRPr="00070A7D">
        <w:t>to</w:t>
      </w:r>
      <w:r w:rsidRPr="00070A7D">
        <w:t xml:space="preserve"> focus the search towards the most relevant clinical literature.</w:t>
      </w:r>
    </w:p>
    <w:p w14:paraId="4D8C6FFE" w14:textId="77777777" w:rsidR="00070A7D" w:rsidRDefault="00070A7D" w:rsidP="00070A7D">
      <w:pPr>
        <w:spacing w:after="120" w:line="240" w:lineRule="auto"/>
        <w:jc w:val="both"/>
      </w:pPr>
      <w:r w:rsidRPr="00070A7D">
        <w:t xml:space="preserve">The following online databases were searched for relevant articles published from inception to 14 December 2018: </w:t>
      </w:r>
      <w:r w:rsidRPr="00070A7D">
        <w:rPr>
          <w:bCs/>
        </w:rPr>
        <w:t>Cochrane Central Register of Controlled Trials,</w:t>
      </w:r>
      <w:r w:rsidRPr="00070A7D">
        <w:t xml:space="preserve"> </w:t>
      </w:r>
      <w:r w:rsidRPr="00070A7D">
        <w:rPr>
          <w:bCs/>
        </w:rPr>
        <w:t>Cochrane Database of Systematic Reviews,</w:t>
      </w:r>
      <w:r w:rsidRPr="00070A7D">
        <w:t xml:space="preserve"> </w:t>
      </w:r>
      <w:r w:rsidRPr="00070A7D">
        <w:rPr>
          <w:bCs/>
        </w:rPr>
        <w:t>Database of Abstracts of Reviews of Effects,</w:t>
      </w:r>
      <w:r w:rsidRPr="00070A7D">
        <w:t xml:space="preserve"> MEDLINE, Embase and PsycInfo.</w:t>
      </w:r>
    </w:p>
    <w:p w14:paraId="1FB1376C" w14:textId="77777777" w:rsidR="00391A17" w:rsidRPr="00070A7D" w:rsidRDefault="00391A17" w:rsidP="00070A7D">
      <w:pPr>
        <w:spacing w:after="120" w:line="240" w:lineRule="auto"/>
        <w:jc w:val="both"/>
      </w:pPr>
    </w:p>
    <w:tbl>
      <w:tblPr>
        <w:tblW w:w="0" w:type="auto"/>
        <w:shd w:val="clear" w:color="auto" w:fill="FFFFFF"/>
        <w:tblCellMar>
          <w:left w:w="0" w:type="dxa"/>
          <w:right w:w="0" w:type="dxa"/>
        </w:tblCellMar>
        <w:tblLook w:val="04A0" w:firstRow="1" w:lastRow="0" w:firstColumn="1" w:lastColumn="0" w:noHBand="0" w:noVBand="1"/>
      </w:tblPr>
      <w:tblGrid>
        <w:gridCol w:w="295"/>
        <w:gridCol w:w="6668"/>
        <w:gridCol w:w="749"/>
      </w:tblGrid>
      <w:tr w:rsidR="004B57D0" w:rsidRPr="00BC3A96" w14:paraId="4200CE47" w14:textId="77777777" w:rsidTr="004B57D0">
        <w:tc>
          <w:tcPr>
            <w:tcW w:w="0" w:type="auto"/>
            <w:tcBorders>
              <w:top w:val="single" w:sz="8" w:space="0" w:color="757575"/>
              <w:left w:val="single" w:sz="8" w:space="0" w:color="757575"/>
              <w:bottom w:val="single" w:sz="8" w:space="0" w:color="757575"/>
              <w:right w:val="single" w:sz="8" w:space="0" w:color="757575"/>
            </w:tcBorders>
            <w:shd w:val="clear" w:color="auto" w:fill="B9B9B9"/>
            <w:tcMar>
              <w:top w:w="15" w:type="dxa"/>
              <w:left w:w="75" w:type="dxa"/>
              <w:bottom w:w="15" w:type="dxa"/>
              <w:right w:w="75" w:type="dxa"/>
            </w:tcMar>
            <w:vAlign w:val="center"/>
            <w:hideMark/>
          </w:tcPr>
          <w:p w14:paraId="6CA7DD09" w14:textId="77777777" w:rsidR="004B57D0" w:rsidRPr="00BC3A96" w:rsidRDefault="00D04C52" w:rsidP="00BC3A96">
            <w:pPr>
              <w:spacing w:before="150" w:after="30" w:line="360" w:lineRule="atLeast"/>
              <w:contextualSpacing/>
              <w:rPr>
                <w:rFonts w:cstheme="minorHAnsi"/>
                <w:b/>
                <w:bCs/>
                <w:color w:val="0A0905"/>
                <w:sz w:val="20"/>
                <w:szCs w:val="20"/>
              </w:rPr>
            </w:pPr>
            <w:r w:rsidRPr="00BC3A96">
              <w:rPr>
                <w:rFonts w:cstheme="minorHAnsi"/>
                <w:sz w:val="20"/>
                <w:szCs w:val="20"/>
              </w:rPr>
              <w:t xml:space="preserve"> </w:t>
            </w:r>
            <w:r w:rsidR="004B57D0" w:rsidRPr="00BC3A96">
              <w:rPr>
                <w:rFonts w:cstheme="minorHAnsi"/>
                <w:b/>
                <w:bCs/>
                <w:color w:val="0A0905"/>
                <w:sz w:val="20"/>
                <w:szCs w:val="20"/>
              </w:rPr>
              <w:t>#</w:t>
            </w:r>
          </w:p>
        </w:tc>
        <w:tc>
          <w:tcPr>
            <w:tcW w:w="0" w:type="auto"/>
            <w:tcBorders>
              <w:top w:val="single" w:sz="8" w:space="0" w:color="757575"/>
              <w:left w:val="nil"/>
              <w:bottom w:val="single" w:sz="8" w:space="0" w:color="757575"/>
              <w:right w:val="single" w:sz="8" w:space="0" w:color="757575"/>
            </w:tcBorders>
            <w:shd w:val="clear" w:color="auto" w:fill="B9B9B9"/>
            <w:tcMar>
              <w:top w:w="15" w:type="dxa"/>
              <w:left w:w="75" w:type="dxa"/>
              <w:bottom w:w="15" w:type="dxa"/>
              <w:right w:w="75" w:type="dxa"/>
            </w:tcMar>
            <w:vAlign w:val="center"/>
            <w:hideMark/>
          </w:tcPr>
          <w:p w14:paraId="7ED781F3" w14:textId="77777777" w:rsidR="004B57D0" w:rsidRPr="00BC3A96" w:rsidRDefault="004B57D0" w:rsidP="00BC3A96">
            <w:pPr>
              <w:spacing w:before="150" w:after="30" w:line="360" w:lineRule="atLeast"/>
              <w:contextualSpacing/>
              <w:rPr>
                <w:rFonts w:cstheme="minorHAnsi"/>
                <w:b/>
                <w:bCs/>
                <w:color w:val="0A0905"/>
                <w:sz w:val="20"/>
                <w:szCs w:val="20"/>
              </w:rPr>
            </w:pPr>
            <w:r w:rsidRPr="00BC3A96">
              <w:rPr>
                <w:rFonts w:cstheme="minorHAnsi"/>
                <w:b/>
                <w:bCs/>
                <w:color w:val="0A0905"/>
                <w:sz w:val="20"/>
                <w:szCs w:val="20"/>
              </w:rPr>
              <w:t>Searches</w:t>
            </w:r>
          </w:p>
        </w:tc>
        <w:tc>
          <w:tcPr>
            <w:tcW w:w="0" w:type="auto"/>
            <w:tcBorders>
              <w:top w:val="single" w:sz="8" w:space="0" w:color="757575"/>
              <w:left w:val="nil"/>
              <w:bottom w:val="single" w:sz="8" w:space="0" w:color="757575"/>
              <w:right w:val="single" w:sz="8" w:space="0" w:color="757575"/>
            </w:tcBorders>
            <w:shd w:val="clear" w:color="auto" w:fill="B9B9B9"/>
            <w:tcMar>
              <w:top w:w="15" w:type="dxa"/>
              <w:left w:w="75" w:type="dxa"/>
              <w:bottom w:w="15" w:type="dxa"/>
              <w:right w:w="75" w:type="dxa"/>
            </w:tcMar>
            <w:vAlign w:val="center"/>
            <w:hideMark/>
          </w:tcPr>
          <w:p w14:paraId="2CA145D5" w14:textId="77777777" w:rsidR="004B57D0" w:rsidRPr="00BC3A96" w:rsidRDefault="004B57D0" w:rsidP="00BC3A96">
            <w:pPr>
              <w:spacing w:before="150" w:after="30" w:line="360" w:lineRule="atLeast"/>
              <w:contextualSpacing/>
              <w:rPr>
                <w:rFonts w:cstheme="minorHAnsi"/>
                <w:b/>
                <w:bCs/>
                <w:color w:val="0A0905"/>
                <w:sz w:val="20"/>
                <w:szCs w:val="20"/>
              </w:rPr>
            </w:pPr>
            <w:r w:rsidRPr="00BC3A96">
              <w:rPr>
                <w:rFonts w:cstheme="minorHAnsi"/>
                <w:b/>
                <w:bCs/>
                <w:color w:val="0A0905"/>
                <w:sz w:val="20"/>
                <w:szCs w:val="20"/>
              </w:rPr>
              <w:t>Results</w:t>
            </w:r>
          </w:p>
        </w:tc>
      </w:tr>
      <w:tr w:rsidR="004B57D0" w:rsidRPr="00BC3A96" w14:paraId="3D9A8D4E" w14:textId="77777777" w:rsidTr="004B57D0">
        <w:tc>
          <w:tcPr>
            <w:tcW w:w="0" w:type="auto"/>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33F641BA" w14:textId="77777777" w:rsidR="004B57D0" w:rsidRPr="00BC3A96" w:rsidRDefault="004B57D0" w:rsidP="00BC3A96">
            <w:pPr>
              <w:spacing w:line="360" w:lineRule="atLeast"/>
              <w:contextualSpacing/>
              <w:rPr>
                <w:rFonts w:cstheme="minorHAnsi"/>
                <w:color w:val="0A0905"/>
                <w:sz w:val="20"/>
                <w:szCs w:val="20"/>
              </w:rPr>
            </w:pPr>
            <w:r w:rsidRPr="00BC3A96">
              <w:rPr>
                <w:rFonts w:cstheme="minorHAnsi"/>
                <w:color w:val="0A0905"/>
                <w:sz w:val="20"/>
                <w:szCs w:val="20"/>
              </w:rPr>
              <w:t>1</w:t>
            </w:r>
          </w:p>
        </w:tc>
        <w:tc>
          <w:tcPr>
            <w:tcW w:w="0" w:type="auto"/>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09443E70" w14:textId="77777777" w:rsidR="004B57D0" w:rsidRPr="00BC3A96" w:rsidRDefault="004B57D0" w:rsidP="00BC3A96">
            <w:pPr>
              <w:spacing w:line="360" w:lineRule="atLeast"/>
              <w:contextualSpacing/>
              <w:rPr>
                <w:rFonts w:cstheme="minorHAnsi"/>
                <w:color w:val="0A0905"/>
                <w:sz w:val="20"/>
                <w:szCs w:val="20"/>
              </w:rPr>
            </w:pPr>
            <w:r w:rsidRPr="00BC3A96">
              <w:rPr>
                <w:rFonts w:cstheme="minorHAnsi"/>
                <w:color w:val="0A0905"/>
                <w:sz w:val="20"/>
                <w:szCs w:val="20"/>
              </w:rPr>
              <w:t>(menthol* and (smok* or cigarette*)).mp.</w:t>
            </w:r>
          </w:p>
        </w:tc>
        <w:tc>
          <w:tcPr>
            <w:tcW w:w="0" w:type="auto"/>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1A1BF534" w14:textId="77777777" w:rsidR="004B57D0" w:rsidRPr="00BC3A96" w:rsidRDefault="004B57D0" w:rsidP="00BC3A96">
            <w:pPr>
              <w:spacing w:line="360" w:lineRule="atLeast"/>
              <w:contextualSpacing/>
              <w:rPr>
                <w:rFonts w:cstheme="minorHAnsi"/>
                <w:color w:val="0A0905"/>
                <w:sz w:val="20"/>
                <w:szCs w:val="20"/>
              </w:rPr>
            </w:pPr>
            <w:r w:rsidRPr="00BC3A96">
              <w:rPr>
                <w:rFonts w:cstheme="minorHAnsi"/>
                <w:color w:val="0A0905"/>
                <w:sz w:val="20"/>
                <w:szCs w:val="20"/>
              </w:rPr>
              <w:t>1749</w:t>
            </w:r>
          </w:p>
        </w:tc>
      </w:tr>
      <w:tr w:rsidR="004B57D0" w:rsidRPr="00BC3A96" w14:paraId="505476F1" w14:textId="77777777" w:rsidTr="004B57D0">
        <w:tc>
          <w:tcPr>
            <w:tcW w:w="0" w:type="auto"/>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6D2BB2C3" w14:textId="77777777" w:rsidR="004B57D0" w:rsidRPr="00BC3A96" w:rsidRDefault="004B57D0" w:rsidP="00BC3A96">
            <w:pPr>
              <w:spacing w:line="360" w:lineRule="atLeast"/>
              <w:contextualSpacing/>
              <w:rPr>
                <w:rFonts w:cstheme="minorHAnsi"/>
                <w:color w:val="0A0905"/>
                <w:sz w:val="20"/>
                <w:szCs w:val="20"/>
              </w:rPr>
            </w:pPr>
            <w:r w:rsidRPr="00BC3A96">
              <w:rPr>
                <w:rFonts w:cstheme="minorHAnsi"/>
                <w:color w:val="0A0905"/>
                <w:sz w:val="20"/>
                <w:szCs w:val="20"/>
              </w:rPr>
              <w:t>2</w:t>
            </w:r>
          </w:p>
        </w:tc>
        <w:tc>
          <w:tcPr>
            <w:tcW w:w="0" w:type="auto"/>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4075E358" w14:textId="77777777" w:rsidR="004B57D0" w:rsidRPr="00BC3A96" w:rsidRDefault="004B57D0" w:rsidP="00BC3A96">
            <w:pPr>
              <w:spacing w:line="360" w:lineRule="atLeast"/>
              <w:contextualSpacing/>
              <w:rPr>
                <w:rFonts w:cstheme="minorHAnsi"/>
                <w:color w:val="0A0905"/>
                <w:sz w:val="20"/>
                <w:szCs w:val="20"/>
              </w:rPr>
            </w:pPr>
            <w:r w:rsidRPr="00BC3A96">
              <w:rPr>
                <w:rFonts w:cstheme="minorHAnsi"/>
                <w:color w:val="0A0905"/>
                <w:sz w:val="20"/>
                <w:szCs w:val="20"/>
              </w:rPr>
              <w:t xml:space="preserve">limit 1 to english language [Limit not valid in </w:t>
            </w:r>
            <w:proofErr w:type="gramStart"/>
            <w:r w:rsidRPr="00BC3A96">
              <w:rPr>
                <w:rFonts w:cstheme="minorHAnsi"/>
                <w:color w:val="0A0905"/>
                <w:sz w:val="20"/>
                <w:szCs w:val="20"/>
              </w:rPr>
              <w:t>CDSR,DARE</w:t>
            </w:r>
            <w:proofErr w:type="gramEnd"/>
            <w:r w:rsidRPr="00BC3A96">
              <w:rPr>
                <w:rFonts w:cstheme="minorHAnsi"/>
                <w:color w:val="0A0905"/>
                <w:sz w:val="20"/>
                <w:szCs w:val="20"/>
              </w:rPr>
              <w:t>; records were retained]</w:t>
            </w:r>
          </w:p>
        </w:tc>
        <w:tc>
          <w:tcPr>
            <w:tcW w:w="0" w:type="auto"/>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059F6E3B" w14:textId="77777777" w:rsidR="004B57D0" w:rsidRPr="00BC3A96" w:rsidRDefault="004B57D0" w:rsidP="00BC3A96">
            <w:pPr>
              <w:spacing w:line="360" w:lineRule="atLeast"/>
              <w:contextualSpacing/>
              <w:rPr>
                <w:rFonts w:cstheme="minorHAnsi"/>
                <w:color w:val="0A0905"/>
                <w:sz w:val="20"/>
                <w:szCs w:val="20"/>
              </w:rPr>
            </w:pPr>
            <w:r w:rsidRPr="00BC3A96">
              <w:rPr>
                <w:rFonts w:cstheme="minorHAnsi"/>
                <w:color w:val="0A0905"/>
                <w:sz w:val="20"/>
                <w:szCs w:val="20"/>
              </w:rPr>
              <w:t>1675</w:t>
            </w:r>
          </w:p>
        </w:tc>
      </w:tr>
      <w:tr w:rsidR="004B57D0" w:rsidRPr="00BC3A96" w14:paraId="2D3F67D8" w14:textId="77777777" w:rsidTr="004B57D0">
        <w:tc>
          <w:tcPr>
            <w:tcW w:w="0" w:type="auto"/>
            <w:tcBorders>
              <w:top w:val="nil"/>
              <w:left w:val="single" w:sz="8" w:space="0" w:color="757575"/>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5363ED84" w14:textId="77777777" w:rsidR="004B57D0" w:rsidRPr="00BC3A96" w:rsidRDefault="004B57D0" w:rsidP="00BC3A96">
            <w:pPr>
              <w:spacing w:line="360" w:lineRule="atLeast"/>
              <w:contextualSpacing/>
              <w:rPr>
                <w:rFonts w:cstheme="minorHAnsi"/>
                <w:color w:val="0A0905"/>
                <w:sz w:val="20"/>
                <w:szCs w:val="20"/>
              </w:rPr>
            </w:pPr>
            <w:r w:rsidRPr="00BC3A96">
              <w:rPr>
                <w:rFonts w:cstheme="minorHAnsi"/>
                <w:color w:val="0A0905"/>
                <w:sz w:val="20"/>
                <w:szCs w:val="20"/>
              </w:rPr>
              <w:t>3</w:t>
            </w:r>
          </w:p>
        </w:tc>
        <w:tc>
          <w:tcPr>
            <w:tcW w:w="0" w:type="auto"/>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3B9BC55C" w14:textId="77777777" w:rsidR="004B57D0" w:rsidRPr="00BC3A96" w:rsidRDefault="004B57D0" w:rsidP="00BC3A96">
            <w:pPr>
              <w:spacing w:line="360" w:lineRule="atLeast"/>
              <w:contextualSpacing/>
              <w:rPr>
                <w:rFonts w:cstheme="minorHAnsi"/>
                <w:color w:val="0A0905"/>
                <w:sz w:val="20"/>
                <w:szCs w:val="20"/>
              </w:rPr>
            </w:pPr>
            <w:r w:rsidRPr="00BC3A96">
              <w:rPr>
                <w:rFonts w:cstheme="minorHAnsi"/>
                <w:color w:val="0A0905"/>
                <w:sz w:val="20"/>
                <w:szCs w:val="20"/>
              </w:rPr>
              <w:t>remove duplicates from 2</w:t>
            </w:r>
          </w:p>
        </w:tc>
        <w:tc>
          <w:tcPr>
            <w:tcW w:w="0" w:type="auto"/>
            <w:tcBorders>
              <w:top w:val="nil"/>
              <w:left w:val="nil"/>
              <w:bottom w:val="single" w:sz="8" w:space="0" w:color="757575"/>
              <w:right w:val="single" w:sz="8" w:space="0" w:color="757575"/>
            </w:tcBorders>
            <w:shd w:val="clear" w:color="auto" w:fill="FFFFFF"/>
            <w:tcMar>
              <w:top w:w="15" w:type="dxa"/>
              <w:left w:w="75" w:type="dxa"/>
              <w:bottom w:w="15" w:type="dxa"/>
              <w:right w:w="75" w:type="dxa"/>
            </w:tcMar>
            <w:vAlign w:val="center"/>
            <w:hideMark/>
          </w:tcPr>
          <w:p w14:paraId="61EF1D2E" w14:textId="77777777" w:rsidR="004B57D0" w:rsidRPr="00BC3A96" w:rsidRDefault="004B57D0" w:rsidP="00BC3A96">
            <w:pPr>
              <w:spacing w:line="360" w:lineRule="atLeast"/>
              <w:contextualSpacing/>
              <w:rPr>
                <w:rFonts w:cstheme="minorHAnsi"/>
                <w:color w:val="0A0905"/>
                <w:sz w:val="20"/>
                <w:szCs w:val="20"/>
              </w:rPr>
            </w:pPr>
            <w:r w:rsidRPr="00BC3A96">
              <w:rPr>
                <w:rFonts w:cstheme="minorHAnsi"/>
                <w:color w:val="0A0905"/>
                <w:sz w:val="20"/>
                <w:szCs w:val="20"/>
              </w:rPr>
              <w:t>838</w:t>
            </w:r>
          </w:p>
        </w:tc>
      </w:tr>
    </w:tbl>
    <w:p w14:paraId="747FA627" w14:textId="77777777" w:rsidR="004B57D0" w:rsidRDefault="004B57D0" w:rsidP="004B57D0">
      <w:pPr>
        <w:spacing w:after="240"/>
        <w:rPr>
          <w:rFonts w:ascii="Calibri" w:hAnsi="Calibri" w:cs="Calibri"/>
          <w:color w:val="000000"/>
          <w:sz w:val="24"/>
          <w:szCs w:val="24"/>
        </w:rPr>
      </w:pPr>
    </w:p>
    <w:p w14:paraId="60161A74" w14:textId="77777777" w:rsidR="00D04C52" w:rsidRDefault="00D04C52" w:rsidP="00B46744">
      <w:pPr>
        <w:keepNext/>
        <w:spacing w:after="0" w:line="240" w:lineRule="auto"/>
        <w:jc w:val="both"/>
        <w:rPr>
          <w:b/>
        </w:rPr>
        <w:sectPr w:rsidR="00D04C52" w:rsidSect="00B46744">
          <w:footerReference w:type="default" r:id="rId11"/>
          <w:footerReference w:type="first" r:id="rId12"/>
          <w:pgSz w:w="12240" w:h="15840"/>
          <w:pgMar w:top="1440" w:right="1440" w:bottom="1440" w:left="1440" w:header="720" w:footer="720" w:gutter="0"/>
          <w:cols w:space="720"/>
          <w:docGrid w:linePitch="360"/>
        </w:sectPr>
      </w:pPr>
      <w:r>
        <w:rPr>
          <w:b/>
        </w:rPr>
        <w:t xml:space="preserve"> </w:t>
      </w:r>
    </w:p>
    <w:p w14:paraId="4B01D0BF" w14:textId="77777777" w:rsidR="00D04C52" w:rsidRDefault="00D04C52" w:rsidP="00EA69AA">
      <w:pPr>
        <w:spacing w:after="120"/>
        <w:outlineLvl w:val="0"/>
        <w:rPr>
          <w:b/>
        </w:rPr>
      </w:pPr>
      <w:r>
        <w:rPr>
          <w:b/>
        </w:rPr>
        <w:lastRenderedPageBreak/>
        <w:t xml:space="preserve">SUPPLEMENTAL SECTION </w:t>
      </w:r>
      <w:r w:rsidR="009014AD">
        <w:rPr>
          <w:b/>
        </w:rPr>
        <w:t>6</w:t>
      </w:r>
      <w:r>
        <w:rPr>
          <w:b/>
        </w:rPr>
        <w:t>: Terminology</w:t>
      </w:r>
    </w:p>
    <w:p w14:paraId="1FB20BDA" w14:textId="77777777" w:rsidR="00D04C52" w:rsidRPr="00142931" w:rsidRDefault="00D04C52" w:rsidP="00B46744">
      <w:pPr>
        <w:spacing w:after="120" w:line="240" w:lineRule="auto"/>
        <w:jc w:val="both"/>
        <w:rPr>
          <w:color w:val="000000" w:themeColor="text1"/>
        </w:rPr>
      </w:pPr>
      <w:r w:rsidRPr="00142931">
        <w:rPr>
          <w:color w:val="000000" w:themeColor="text1"/>
        </w:rPr>
        <w:t xml:space="preserve">A glossary of smoking-related and key epidemiological terminology used in this </w:t>
      </w:r>
      <w:r w:rsidR="00B46744">
        <w:rPr>
          <w:color w:val="000000" w:themeColor="text1"/>
        </w:rPr>
        <w:t>review</w:t>
      </w:r>
      <w:r w:rsidRPr="00142931">
        <w:rPr>
          <w:color w:val="000000" w:themeColor="text1"/>
        </w:rPr>
        <w:t xml:space="preserve"> is provided </w:t>
      </w:r>
      <w:r>
        <w:rPr>
          <w:color w:val="000000" w:themeColor="text1"/>
        </w:rPr>
        <w:t>in</w:t>
      </w:r>
      <w:r w:rsidRPr="00142931">
        <w:rPr>
          <w:color w:val="000000" w:themeColor="text1"/>
        </w:rPr>
        <w:t xml:space="preserve"> </w:t>
      </w:r>
      <w:r>
        <w:rPr>
          <w:b/>
          <w:color w:val="000000" w:themeColor="text1"/>
        </w:rPr>
        <w:t>TABLE</w:t>
      </w:r>
      <w:r w:rsidRPr="00142931">
        <w:rPr>
          <w:b/>
          <w:color w:val="000000" w:themeColor="text1"/>
        </w:rPr>
        <w:t xml:space="preserve"> </w:t>
      </w:r>
      <w:r w:rsidR="009014AD">
        <w:rPr>
          <w:b/>
          <w:color w:val="000000" w:themeColor="text1"/>
        </w:rPr>
        <w:t>6</w:t>
      </w:r>
      <w:r>
        <w:rPr>
          <w:b/>
          <w:color w:val="000000" w:themeColor="text1"/>
        </w:rPr>
        <w:t>-</w:t>
      </w:r>
      <w:r w:rsidRPr="00142931">
        <w:rPr>
          <w:b/>
          <w:color w:val="000000" w:themeColor="text1"/>
        </w:rPr>
        <w:t>1</w:t>
      </w:r>
      <w:r>
        <w:rPr>
          <w:b/>
          <w:color w:val="000000" w:themeColor="text1"/>
        </w:rPr>
        <w:t xml:space="preserve"> </w:t>
      </w:r>
      <w:r>
        <w:t>below</w:t>
      </w:r>
      <w:r w:rsidRPr="00142931">
        <w:rPr>
          <w:color w:val="000000" w:themeColor="text1"/>
        </w:rPr>
        <w:t>. However, specific definitions of some smoking-related terms did vary among individual studies.</w:t>
      </w:r>
    </w:p>
    <w:p w14:paraId="0C7D6338" w14:textId="77777777" w:rsidR="00D04C52" w:rsidRDefault="00D04C52" w:rsidP="00B46744">
      <w:pPr>
        <w:spacing w:after="120" w:line="240" w:lineRule="auto"/>
        <w:jc w:val="both"/>
        <w:rPr>
          <w:color w:val="000000" w:themeColor="text1"/>
        </w:rPr>
      </w:pPr>
      <w:r w:rsidRPr="00142931">
        <w:rPr>
          <w:color w:val="000000" w:themeColor="text1"/>
        </w:rPr>
        <w:t xml:space="preserve">For consistency in this </w:t>
      </w:r>
      <w:r>
        <w:rPr>
          <w:color w:val="000000" w:themeColor="text1"/>
        </w:rPr>
        <w:t>review</w:t>
      </w:r>
      <w:r w:rsidRPr="00142931">
        <w:rPr>
          <w:color w:val="000000" w:themeColor="text1"/>
        </w:rPr>
        <w:t xml:space="preserve">, </w:t>
      </w:r>
      <w:r>
        <w:rPr>
          <w:color w:val="000000" w:themeColor="text1"/>
        </w:rPr>
        <w:t xml:space="preserve">the term </w:t>
      </w:r>
      <w:r w:rsidRPr="00142931">
        <w:rPr>
          <w:color w:val="000000" w:themeColor="text1"/>
        </w:rPr>
        <w:t xml:space="preserve">“youth” </w:t>
      </w:r>
      <w:r>
        <w:rPr>
          <w:color w:val="000000" w:themeColor="text1"/>
        </w:rPr>
        <w:t>refers</w:t>
      </w:r>
      <w:r w:rsidRPr="00142931">
        <w:rPr>
          <w:color w:val="000000" w:themeColor="text1"/>
        </w:rPr>
        <w:t xml:space="preserve"> to children, youth, and adolescents, typically age 11 to 17. The use of “young adults” as defined in studies included in this </w:t>
      </w:r>
      <w:r>
        <w:rPr>
          <w:color w:val="000000" w:themeColor="text1"/>
        </w:rPr>
        <w:t>review</w:t>
      </w:r>
      <w:r w:rsidRPr="00142931">
        <w:rPr>
          <w:color w:val="000000" w:themeColor="text1"/>
        </w:rPr>
        <w:t xml:space="preserve"> varied in age within the range of 18 to 40 (most often between 18 and 25 years), and “adults” were age 18 or over (includes young adults).</w:t>
      </w:r>
    </w:p>
    <w:p w14:paraId="41541796" w14:textId="77777777" w:rsidR="00D04C52" w:rsidRDefault="00D04C52" w:rsidP="00B46744">
      <w:pPr>
        <w:spacing w:after="120" w:line="240" w:lineRule="auto"/>
        <w:jc w:val="both"/>
        <w:rPr>
          <w:color w:val="000000" w:themeColor="text1"/>
        </w:rPr>
      </w:pPr>
      <w:r>
        <w:rPr>
          <w:color w:val="000000" w:themeColor="text1"/>
        </w:rPr>
        <w:t xml:space="preserve">Evidence summaries in this review refer to “studies,” “data sets,” and “analyses.” A study is an investigation that uses information from a data set to answer a research question. A study may be represented by more than one reference or publication. A data set may be used by multiple studies (e.g., several studies used the 2010 National Health Interview Survey data set), and some studies reported analyses of more than one data set (e.g., some studies reported analyses of the 2010 National Health Interview Survey data set </w:t>
      </w:r>
      <w:r>
        <w:rPr>
          <w:i/>
          <w:color w:val="000000" w:themeColor="text1"/>
        </w:rPr>
        <w:t>and</w:t>
      </w:r>
      <w:r>
        <w:rPr>
          <w:color w:val="000000" w:themeColor="text1"/>
        </w:rPr>
        <w:t xml:space="preserve"> the 1999-2010 National Health and Nutrition Examination Survey). In the summaries, the term “analyses” is used in place of “studies” wherever an included study analyzed more than one data set.</w:t>
      </w:r>
    </w:p>
    <w:p w14:paraId="5219B0D4" w14:textId="77777777" w:rsidR="00A20AE4" w:rsidRDefault="00D04C52" w:rsidP="00B46744">
      <w:pPr>
        <w:spacing w:after="120" w:line="240" w:lineRule="auto"/>
        <w:jc w:val="both"/>
        <w:rPr>
          <w:color w:val="000000" w:themeColor="text1"/>
        </w:rPr>
      </w:pPr>
      <w:r>
        <w:rPr>
          <w:color w:val="000000" w:themeColor="text1"/>
        </w:rPr>
        <w:t xml:space="preserve">This review also adopts certain conventions for describing study designs. A “survey” is </w:t>
      </w:r>
      <w:r w:rsidRPr="00CA4932">
        <w:rPr>
          <w:color w:val="000000" w:themeColor="text1"/>
        </w:rPr>
        <w:t xml:space="preserve">designed to capture data at a single point in time; the data are purely cross-sectional. A </w:t>
      </w:r>
      <w:r>
        <w:rPr>
          <w:color w:val="000000" w:themeColor="text1"/>
        </w:rPr>
        <w:t>“cohort study”</w:t>
      </w:r>
      <w:r w:rsidRPr="00CA4932">
        <w:rPr>
          <w:color w:val="000000" w:themeColor="text1"/>
        </w:rPr>
        <w:t xml:space="preserve"> is designed to capture data at multiple points in time, either from baseline forward (prospective) or looking backward in time from baseline (retrospective). A </w:t>
      </w:r>
      <w:r>
        <w:rPr>
          <w:color w:val="000000" w:themeColor="text1"/>
        </w:rPr>
        <w:t>“case-control study”</w:t>
      </w:r>
      <w:r w:rsidRPr="00CA4932">
        <w:rPr>
          <w:color w:val="000000" w:themeColor="text1"/>
        </w:rPr>
        <w:t xml:space="preserve"> is a specific type of retrospective cohort study. A </w:t>
      </w:r>
      <w:r>
        <w:rPr>
          <w:color w:val="000000" w:themeColor="text1"/>
        </w:rPr>
        <w:t>“trial”</w:t>
      </w:r>
      <w:r w:rsidRPr="00CA4932">
        <w:rPr>
          <w:color w:val="000000" w:themeColor="text1"/>
        </w:rPr>
        <w:t xml:space="preserve"> is designed to assess the effect of an assigned intervention or exposure</w:t>
      </w:r>
      <w:r w:rsidR="00A20AE4">
        <w:rPr>
          <w:color w:val="000000" w:themeColor="text1"/>
        </w:rPr>
        <w:t>.</w:t>
      </w:r>
    </w:p>
    <w:p w14:paraId="3EA19EF7" w14:textId="77777777" w:rsidR="00D04C52" w:rsidRPr="00CA4932" w:rsidRDefault="00D04C52" w:rsidP="00B46744">
      <w:pPr>
        <w:spacing w:after="120" w:line="240" w:lineRule="auto"/>
        <w:jc w:val="both"/>
        <w:rPr>
          <w:color w:val="000000" w:themeColor="text1"/>
        </w:rPr>
      </w:pPr>
      <w:r w:rsidRPr="00CA4932">
        <w:rPr>
          <w:color w:val="000000" w:themeColor="text1"/>
        </w:rPr>
        <w:t xml:space="preserve">In this </w:t>
      </w:r>
      <w:r>
        <w:rPr>
          <w:color w:val="000000" w:themeColor="text1"/>
        </w:rPr>
        <w:t>review</w:t>
      </w:r>
      <w:r w:rsidRPr="00CA4932">
        <w:rPr>
          <w:color w:val="000000" w:themeColor="text1"/>
        </w:rPr>
        <w:t xml:space="preserve">, </w:t>
      </w:r>
      <w:r>
        <w:rPr>
          <w:color w:val="000000" w:themeColor="text1"/>
        </w:rPr>
        <w:t>the</w:t>
      </w:r>
      <w:r w:rsidRPr="00CA4932">
        <w:rPr>
          <w:color w:val="000000" w:themeColor="text1"/>
        </w:rPr>
        <w:t xml:space="preserve"> exposure</w:t>
      </w:r>
      <w:r>
        <w:rPr>
          <w:color w:val="000000" w:themeColor="text1"/>
        </w:rPr>
        <w:t xml:space="preserve"> (or “intervention”)</w:t>
      </w:r>
      <w:r w:rsidRPr="00CA4932">
        <w:rPr>
          <w:color w:val="000000" w:themeColor="text1"/>
        </w:rPr>
        <w:t xml:space="preserve"> was menthol use. None of the included </w:t>
      </w:r>
      <w:r>
        <w:rPr>
          <w:color w:val="000000" w:themeColor="text1"/>
        </w:rPr>
        <w:t>trials</w:t>
      </w:r>
      <w:r w:rsidRPr="00CA4932">
        <w:rPr>
          <w:color w:val="000000" w:themeColor="text1"/>
        </w:rPr>
        <w:t xml:space="preserve"> assigned participants to smoke either menthol cigarettes or non-menthol cigarettes; therefore, none of the included trials </w:t>
      </w:r>
      <w:r>
        <w:rPr>
          <w:color w:val="000000" w:themeColor="text1"/>
        </w:rPr>
        <w:t>were specifically</w:t>
      </w:r>
      <w:r w:rsidRPr="00CA4932">
        <w:rPr>
          <w:color w:val="000000" w:themeColor="text1"/>
        </w:rPr>
        <w:t xml:space="preserve"> designed to assess the </w:t>
      </w:r>
      <w:r>
        <w:rPr>
          <w:color w:val="000000" w:themeColor="text1"/>
        </w:rPr>
        <w:t xml:space="preserve">direct </w:t>
      </w:r>
      <w:r w:rsidRPr="00CA4932">
        <w:rPr>
          <w:color w:val="000000" w:themeColor="text1"/>
        </w:rPr>
        <w:t>effect of menthol use on an outcome. Rather, the included trials assessed the effect of an</w:t>
      </w:r>
      <w:r>
        <w:rPr>
          <w:color w:val="000000" w:themeColor="text1"/>
        </w:rPr>
        <w:t>other exposure or</w:t>
      </w:r>
      <w:r w:rsidRPr="00CA4932">
        <w:rPr>
          <w:color w:val="000000" w:themeColor="text1"/>
        </w:rPr>
        <w:t xml:space="preserve"> intervention (usually a smoking cessation </w:t>
      </w:r>
      <w:r>
        <w:rPr>
          <w:color w:val="000000" w:themeColor="text1"/>
        </w:rPr>
        <w:t>aid</w:t>
      </w:r>
      <w:r w:rsidRPr="00CA4932">
        <w:rPr>
          <w:color w:val="000000" w:themeColor="text1"/>
        </w:rPr>
        <w:t xml:space="preserve">) on outcomes, and menthol use was considered a potentially moderating factor. Therefore, in this </w:t>
      </w:r>
      <w:r>
        <w:rPr>
          <w:color w:val="000000" w:themeColor="text1"/>
        </w:rPr>
        <w:t>review</w:t>
      </w:r>
      <w:r w:rsidRPr="00CA4932">
        <w:rPr>
          <w:color w:val="000000" w:themeColor="text1"/>
        </w:rPr>
        <w:t>,</w:t>
      </w:r>
      <w:r>
        <w:rPr>
          <w:color w:val="000000" w:themeColor="text1"/>
        </w:rPr>
        <w:t xml:space="preserve"> the included</w:t>
      </w:r>
      <w:r w:rsidRPr="00CA4932">
        <w:rPr>
          <w:color w:val="000000" w:themeColor="text1"/>
        </w:rPr>
        <w:t xml:space="preserve"> trials were reclassified as (prospective) </w:t>
      </w:r>
      <w:r>
        <w:rPr>
          <w:color w:val="000000" w:themeColor="text1"/>
        </w:rPr>
        <w:t>cohort</w:t>
      </w:r>
      <w:r w:rsidRPr="00CA4932">
        <w:rPr>
          <w:color w:val="000000" w:themeColor="text1"/>
        </w:rPr>
        <w:t xml:space="preserve"> studies </w:t>
      </w:r>
      <w:r w:rsidR="00262DB4" w:rsidRPr="00CA4932">
        <w:rPr>
          <w:color w:val="000000" w:themeColor="text1"/>
        </w:rPr>
        <w:t>to</w:t>
      </w:r>
      <w:r w:rsidRPr="00CA4932">
        <w:rPr>
          <w:color w:val="000000" w:themeColor="text1"/>
        </w:rPr>
        <w:t xml:space="preserve"> avoid conflating a trial’s actual</w:t>
      </w:r>
      <w:r>
        <w:rPr>
          <w:color w:val="000000" w:themeColor="text1"/>
        </w:rPr>
        <w:t>, assigned</w:t>
      </w:r>
      <w:r w:rsidRPr="00CA4932">
        <w:rPr>
          <w:color w:val="000000" w:themeColor="text1"/>
        </w:rPr>
        <w:t xml:space="preserve"> intervention </w:t>
      </w:r>
      <w:r>
        <w:rPr>
          <w:color w:val="000000" w:themeColor="text1"/>
        </w:rPr>
        <w:t>with this review’s “intervention” of interest (i.e., menthol cigarette use).</w:t>
      </w:r>
    </w:p>
    <w:p w14:paraId="595C3D6D" w14:textId="77777777" w:rsidR="00D04C52" w:rsidRPr="00142931" w:rsidRDefault="00262DB4" w:rsidP="00262DB4">
      <w:pPr>
        <w:spacing w:after="240" w:line="240" w:lineRule="auto"/>
        <w:jc w:val="both"/>
        <w:rPr>
          <w:color w:val="000000" w:themeColor="text1"/>
        </w:rPr>
      </w:pPr>
      <w:r w:rsidRPr="00CA4932">
        <w:rPr>
          <w:color w:val="000000" w:themeColor="text1"/>
        </w:rPr>
        <w:t>To</w:t>
      </w:r>
      <w:r w:rsidR="00D04C52" w:rsidRPr="00CA4932">
        <w:rPr>
          <w:color w:val="000000" w:themeColor="text1"/>
        </w:rPr>
        <w:t xml:space="preserve"> simplify </w:t>
      </w:r>
      <w:r w:rsidR="00D04C52" w:rsidRPr="00CA4932">
        <w:rPr>
          <w:i/>
          <w:color w:val="000000" w:themeColor="text1"/>
        </w:rPr>
        <w:t>overall summaries of findings</w:t>
      </w:r>
      <w:r w:rsidR="00D04C52" w:rsidRPr="00CA4932">
        <w:rPr>
          <w:color w:val="000000" w:themeColor="text1"/>
        </w:rPr>
        <w:t xml:space="preserve"> in this </w:t>
      </w:r>
      <w:r w:rsidR="00D04C52">
        <w:rPr>
          <w:color w:val="000000" w:themeColor="text1"/>
        </w:rPr>
        <w:t>review</w:t>
      </w:r>
      <w:r w:rsidR="00D04C52" w:rsidRPr="00CA4932">
        <w:rPr>
          <w:color w:val="000000" w:themeColor="text1"/>
        </w:rPr>
        <w:t xml:space="preserve">, </w:t>
      </w:r>
      <w:r w:rsidR="00D04C52">
        <w:rPr>
          <w:color w:val="000000" w:themeColor="text1"/>
        </w:rPr>
        <w:t>studies</w:t>
      </w:r>
      <w:r w:rsidR="00D04C52" w:rsidRPr="00CA4932">
        <w:rPr>
          <w:color w:val="000000" w:themeColor="text1"/>
        </w:rPr>
        <w:t xml:space="preserve"> were categorized as </w:t>
      </w:r>
      <w:r w:rsidR="00D04C52">
        <w:rPr>
          <w:color w:val="000000" w:themeColor="text1"/>
        </w:rPr>
        <w:t>either surveys</w:t>
      </w:r>
      <w:r w:rsidR="00D04C52" w:rsidRPr="00CA4932">
        <w:rPr>
          <w:color w:val="000000" w:themeColor="text1"/>
        </w:rPr>
        <w:t xml:space="preserve"> (studies that assessed data at a single point in time) or </w:t>
      </w:r>
      <w:r w:rsidR="00D04C52">
        <w:rPr>
          <w:color w:val="000000" w:themeColor="text1"/>
        </w:rPr>
        <w:t>cohort studies</w:t>
      </w:r>
      <w:r w:rsidR="00D04C52" w:rsidRPr="00CA4932">
        <w:rPr>
          <w:color w:val="000000" w:themeColor="text1"/>
        </w:rPr>
        <w:t xml:space="preserve"> (any study with at least two data assessment points). The summaries of individual studies contain more detailed descriptions of their study designs.</w:t>
      </w:r>
    </w:p>
    <w:p w14:paraId="42AD5451" w14:textId="77777777" w:rsidR="00D04C52" w:rsidRPr="00142931" w:rsidRDefault="00D04C52" w:rsidP="00B46744">
      <w:pPr>
        <w:autoSpaceDE w:val="0"/>
        <w:autoSpaceDN w:val="0"/>
        <w:adjustRightInd w:val="0"/>
        <w:jc w:val="both"/>
        <w:rPr>
          <w:b/>
          <w:color w:val="000000" w:themeColor="text1"/>
        </w:rPr>
      </w:pPr>
      <w:r w:rsidRPr="00142931">
        <w:rPr>
          <w:b/>
          <w:color w:val="000000" w:themeColor="text1"/>
        </w:rPr>
        <w:t>T</w:t>
      </w:r>
      <w:r>
        <w:rPr>
          <w:b/>
          <w:color w:val="000000" w:themeColor="text1"/>
        </w:rPr>
        <w:t>able</w:t>
      </w:r>
      <w:r w:rsidRPr="00142931">
        <w:rPr>
          <w:b/>
          <w:color w:val="000000" w:themeColor="text1"/>
        </w:rPr>
        <w:t xml:space="preserve"> </w:t>
      </w:r>
      <w:r w:rsidR="009014AD">
        <w:rPr>
          <w:b/>
          <w:color w:val="000000" w:themeColor="text1"/>
        </w:rPr>
        <w:t>6</w:t>
      </w:r>
      <w:r>
        <w:rPr>
          <w:b/>
          <w:color w:val="000000" w:themeColor="text1"/>
        </w:rPr>
        <w:t>-</w:t>
      </w:r>
      <w:r w:rsidRPr="00142931">
        <w:rPr>
          <w:b/>
          <w:color w:val="000000" w:themeColor="text1"/>
        </w:rPr>
        <w:t>1</w:t>
      </w:r>
      <w:r>
        <w:rPr>
          <w:b/>
          <w:color w:val="000000" w:themeColor="text1"/>
        </w:rPr>
        <w:t>:</w:t>
      </w:r>
      <w:r w:rsidRPr="00142931">
        <w:rPr>
          <w:b/>
          <w:color w:val="000000" w:themeColor="text1"/>
        </w:rPr>
        <w:t xml:space="preserve"> Glossary of Terms Used in this Report, Unless Otherwise Specified</w:t>
      </w:r>
    </w:p>
    <w:tbl>
      <w:tblPr>
        <w:tblStyle w:val="TableGrid"/>
        <w:tblW w:w="0" w:type="auto"/>
        <w:tblLook w:val="04A0" w:firstRow="1" w:lastRow="0" w:firstColumn="1" w:lastColumn="0" w:noHBand="0" w:noVBand="1"/>
      </w:tblPr>
      <w:tblGrid>
        <w:gridCol w:w="1732"/>
        <w:gridCol w:w="7618"/>
      </w:tblGrid>
      <w:tr w:rsidR="00D04C52" w:rsidRPr="00A0676A" w14:paraId="24A8ECD4" w14:textId="77777777" w:rsidTr="00B46744">
        <w:trPr>
          <w:cantSplit/>
          <w:trHeight w:val="278"/>
        </w:trPr>
        <w:tc>
          <w:tcPr>
            <w:tcW w:w="9350" w:type="dxa"/>
            <w:gridSpan w:val="2"/>
            <w:shd w:val="clear" w:color="auto" w:fill="44546A" w:themeFill="text2"/>
            <w:vAlign w:val="center"/>
          </w:tcPr>
          <w:p w14:paraId="0E88797A" w14:textId="77777777" w:rsidR="00D04C52" w:rsidRPr="00A0676A" w:rsidRDefault="00D04C52" w:rsidP="00B46744">
            <w:pPr>
              <w:rPr>
                <w:b/>
                <w:color w:val="000000" w:themeColor="text1"/>
                <w:sz w:val="18"/>
                <w:szCs w:val="18"/>
              </w:rPr>
            </w:pPr>
            <w:r w:rsidRPr="00A0676A">
              <w:rPr>
                <w:b/>
                <w:color w:val="FFFFFF" w:themeColor="background1"/>
                <w:sz w:val="18"/>
                <w:szCs w:val="18"/>
              </w:rPr>
              <w:t>Smoking-Related Terms</w:t>
            </w:r>
          </w:p>
        </w:tc>
      </w:tr>
      <w:tr w:rsidR="00D04C52" w:rsidRPr="00A0676A" w14:paraId="62F0B4D6" w14:textId="77777777" w:rsidTr="00B46744">
        <w:trPr>
          <w:cantSplit/>
        </w:trPr>
        <w:tc>
          <w:tcPr>
            <w:tcW w:w="1732" w:type="dxa"/>
            <w:vAlign w:val="center"/>
          </w:tcPr>
          <w:p w14:paraId="7F923AA2" w14:textId="77777777" w:rsidR="00D04C52" w:rsidRPr="00A0676A" w:rsidRDefault="00D04C52" w:rsidP="00B46744">
            <w:pPr>
              <w:rPr>
                <w:color w:val="000000" w:themeColor="text1"/>
                <w:sz w:val="18"/>
                <w:szCs w:val="18"/>
              </w:rPr>
            </w:pPr>
            <w:r w:rsidRPr="00A0676A">
              <w:rPr>
                <w:color w:val="000000" w:themeColor="text1"/>
                <w:sz w:val="18"/>
                <w:szCs w:val="18"/>
              </w:rPr>
              <w:t>Current smoker</w:t>
            </w:r>
          </w:p>
        </w:tc>
        <w:tc>
          <w:tcPr>
            <w:tcW w:w="7618" w:type="dxa"/>
            <w:vAlign w:val="center"/>
          </w:tcPr>
          <w:p w14:paraId="27E04CD8" w14:textId="77777777" w:rsidR="00D04C52" w:rsidRPr="00A0676A" w:rsidRDefault="00D04C52" w:rsidP="00B46744">
            <w:pPr>
              <w:rPr>
                <w:color w:val="000000" w:themeColor="text1"/>
                <w:sz w:val="18"/>
                <w:szCs w:val="18"/>
              </w:rPr>
            </w:pPr>
            <w:r w:rsidRPr="00A0676A">
              <w:rPr>
                <w:color w:val="000000" w:themeColor="text1"/>
                <w:sz w:val="18"/>
                <w:szCs w:val="18"/>
              </w:rPr>
              <w:t>A person who smoked ≥100 cigarettes in their lifetime and was smoking at the time of the study as defined by the individual study. Oftentimes, smoking “every day” or “some days” or smoking a pre-specified number of cigarettes per day (usually ≥5 or ≥10).</w:t>
            </w:r>
          </w:p>
        </w:tc>
      </w:tr>
      <w:tr w:rsidR="00D04C52" w:rsidRPr="00A0676A" w14:paraId="32A883FB" w14:textId="77777777" w:rsidTr="00B46744">
        <w:trPr>
          <w:cantSplit/>
        </w:trPr>
        <w:tc>
          <w:tcPr>
            <w:tcW w:w="1732" w:type="dxa"/>
            <w:vAlign w:val="center"/>
          </w:tcPr>
          <w:p w14:paraId="475662B0" w14:textId="77777777" w:rsidR="00D04C52" w:rsidRPr="00A0676A" w:rsidRDefault="00D04C52" w:rsidP="00B46744">
            <w:pPr>
              <w:rPr>
                <w:color w:val="000000" w:themeColor="text1"/>
                <w:sz w:val="18"/>
                <w:szCs w:val="18"/>
              </w:rPr>
            </w:pPr>
            <w:r w:rsidRPr="00A0676A">
              <w:rPr>
                <w:color w:val="000000" w:themeColor="text1"/>
                <w:sz w:val="18"/>
                <w:szCs w:val="18"/>
              </w:rPr>
              <w:t>Daily smoker</w:t>
            </w:r>
          </w:p>
        </w:tc>
        <w:tc>
          <w:tcPr>
            <w:tcW w:w="7618" w:type="dxa"/>
            <w:vAlign w:val="center"/>
          </w:tcPr>
          <w:p w14:paraId="5814D7D2" w14:textId="77777777" w:rsidR="00D04C52" w:rsidRPr="00A0676A" w:rsidRDefault="00D04C52" w:rsidP="00B46744">
            <w:pPr>
              <w:rPr>
                <w:color w:val="000000" w:themeColor="text1"/>
                <w:sz w:val="18"/>
                <w:szCs w:val="18"/>
              </w:rPr>
            </w:pPr>
            <w:r w:rsidRPr="00A0676A">
              <w:rPr>
                <w:color w:val="000000" w:themeColor="text1"/>
                <w:sz w:val="18"/>
                <w:szCs w:val="18"/>
              </w:rPr>
              <w:t>A person who smoked cigarettes on each day of the month.</w:t>
            </w:r>
          </w:p>
        </w:tc>
      </w:tr>
      <w:tr w:rsidR="00D04C52" w:rsidRPr="00A0676A" w14:paraId="54D7B316" w14:textId="77777777" w:rsidTr="00B46744">
        <w:trPr>
          <w:cantSplit/>
          <w:trHeight w:val="260"/>
        </w:trPr>
        <w:tc>
          <w:tcPr>
            <w:tcW w:w="1732" w:type="dxa"/>
            <w:vAlign w:val="center"/>
          </w:tcPr>
          <w:p w14:paraId="05DC1538" w14:textId="77777777" w:rsidR="00D04C52" w:rsidRPr="00A0676A" w:rsidRDefault="00D04C52" w:rsidP="00B46744">
            <w:pPr>
              <w:rPr>
                <w:color w:val="000000" w:themeColor="text1"/>
                <w:sz w:val="18"/>
                <w:szCs w:val="18"/>
              </w:rPr>
            </w:pPr>
            <w:r w:rsidRPr="00A0676A">
              <w:rPr>
                <w:color w:val="000000" w:themeColor="text1"/>
                <w:sz w:val="18"/>
                <w:szCs w:val="18"/>
              </w:rPr>
              <w:t>Non-daily smoker</w:t>
            </w:r>
          </w:p>
        </w:tc>
        <w:tc>
          <w:tcPr>
            <w:tcW w:w="7618" w:type="dxa"/>
            <w:vAlign w:val="center"/>
          </w:tcPr>
          <w:p w14:paraId="6726C16F" w14:textId="77777777" w:rsidR="00D04C52" w:rsidRPr="00A0676A" w:rsidRDefault="00D04C52" w:rsidP="00B46744">
            <w:pPr>
              <w:rPr>
                <w:color w:val="000000" w:themeColor="text1"/>
                <w:sz w:val="18"/>
                <w:szCs w:val="18"/>
              </w:rPr>
            </w:pPr>
            <w:r w:rsidRPr="00A0676A">
              <w:rPr>
                <w:color w:val="000000" w:themeColor="text1"/>
                <w:sz w:val="18"/>
                <w:szCs w:val="18"/>
              </w:rPr>
              <w:t>A person who smoked</w:t>
            </w:r>
            <w:r w:rsidRPr="00A0676A">
              <w:rPr>
                <w:b/>
                <w:color w:val="000000" w:themeColor="text1"/>
                <w:sz w:val="18"/>
                <w:szCs w:val="18"/>
              </w:rPr>
              <w:t xml:space="preserve"> </w:t>
            </w:r>
            <w:r w:rsidRPr="00A0676A">
              <w:rPr>
                <w:color w:val="000000" w:themeColor="text1"/>
                <w:sz w:val="18"/>
                <w:szCs w:val="18"/>
              </w:rPr>
              <w:t>cigarettes on some, but not all days per month.</w:t>
            </w:r>
          </w:p>
        </w:tc>
      </w:tr>
      <w:tr w:rsidR="00D04C52" w:rsidRPr="00A0676A" w14:paraId="18CE6FA8" w14:textId="77777777" w:rsidTr="00B46744">
        <w:trPr>
          <w:cantSplit/>
        </w:trPr>
        <w:tc>
          <w:tcPr>
            <w:tcW w:w="1732" w:type="dxa"/>
            <w:vAlign w:val="center"/>
          </w:tcPr>
          <w:p w14:paraId="71FE452E" w14:textId="77777777" w:rsidR="00D04C52" w:rsidRPr="00A0676A" w:rsidRDefault="00D04C52" w:rsidP="00B46744">
            <w:pPr>
              <w:rPr>
                <w:color w:val="000000" w:themeColor="text1"/>
                <w:sz w:val="18"/>
                <w:szCs w:val="18"/>
              </w:rPr>
            </w:pPr>
            <w:r w:rsidRPr="00A0676A">
              <w:rPr>
                <w:color w:val="000000" w:themeColor="text1"/>
                <w:sz w:val="18"/>
                <w:szCs w:val="18"/>
              </w:rPr>
              <w:t>Regular or established smoker</w:t>
            </w:r>
          </w:p>
        </w:tc>
        <w:tc>
          <w:tcPr>
            <w:tcW w:w="7618" w:type="dxa"/>
            <w:vAlign w:val="center"/>
          </w:tcPr>
          <w:p w14:paraId="42B0EF05" w14:textId="77777777" w:rsidR="00D04C52" w:rsidRPr="00A0676A" w:rsidRDefault="00D04C52" w:rsidP="00B46744">
            <w:pPr>
              <w:rPr>
                <w:color w:val="000000" w:themeColor="text1"/>
                <w:sz w:val="18"/>
                <w:szCs w:val="18"/>
              </w:rPr>
            </w:pPr>
            <w:r w:rsidRPr="00A0676A">
              <w:rPr>
                <w:color w:val="000000" w:themeColor="text1"/>
                <w:sz w:val="18"/>
                <w:szCs w:val="18"/>
              </w:rPr>
              <w:t>A person who smoked ≥100 cigarettes in their lifetime and at the time of the study was smoking on ≥20 days per month.</w:t>
            </w:r>
          </w:p>
        </w:tc>
      </w:tr>
      <w:tr w:rsidR="00D04C52" w:rsidRPr="00A0676A" w14:paraId="097D22FF" w14:textId="77777777" w:rsidTr="00B46744">
        <w:trPr>
          <w:cantSplit/>
        </w:trPr>
        <w:tc>
          <w:tcPr>
            <w:tcW w:w="1732" w:type="dxa"/>
            <w:vAlign w:val="center"/>
          </w:tcPr>
          <w:p w14:paraId="429E3588" w14:textId="77777777" w:rsidR="00D04C52" w:rsidRPr="00A0676A" w:rsidRDefault="00D04C52" w:rsidP="00B46744">
            <w:pPr>
              <w:rPr>
                <w:color w:val="000000" w:themeColor="text1"/>
                <w:sz w:val="18"/>
                <w:szCs w:val="18"/>
              </w:rPr>
            </w:pPr>
            <w:r w:rsidRPr="00A0676A">
              <w:rPr>
                <w:color w:val="000000" w:themeColor="text1"/>
                <w:sz w:val="18"/>
                <w:szCs w:val="18"/>
              </w:rPr>
              <w:t>Former smoker</w:t>
            </w:r>
          </w:p>
        </w:tc>
        <w:tc>
          <w:tcPr>
            <w:tcW w:w="7618" w:type="dxa"/>
            <w:vAlign w:val="center"/>
          </w:tcPr>
          <w:p w14:paraId="4A787068" w14:textId="77777777" w:rsidR="00D04C52" w:rsidRPr="00A0676A" w:rsidRDefault="00D04C52" w:rsidP="00B46744">
            <w:pPr>
              <w:rPr>
                <w:color w:val="000000" w:themeColor="text1"/>
                <w:sz w:val="18"/>
                <w:szCs w:val="18"/>
              </w:rPr>
            </w:pPr>
            <w:r w:rsidRPr="00A0676A">
              <w:rPr>
                <w:color w:val="000000" w:themeColor="text1"/>
                <w:sz w:val="18"/>
                <w:szCs w:val="18"/>
              </w:rPr>
              <w:t>A person who smoked ≥100 cigarettes in their lifetime but did not smoke at the time of the study. Some studies applied additional thresholds for duration of time since last cigarette.</w:t>
            </w:r>
          </w:p>
        </w:tc>
      </w:tr>
      <w:tr w:rsidR="00D04C52" w:rsidRPr="00A0676A" w14:paraId="5ECA2AD4" w14:textId="77777777" w:rsidTr="00B46744">
        <w:trPr>
          <w:cantSplit/>
        </w:trPr>
        <w:tc>
          <w:tcPr>
            <w:tcW w:w="1732" w:type="dxa"/>
            <w:vAlign w:val="center"/>
          </w:tcPr>
          <w:p w14:paraId="20B4429E" w14:textId="77777777" w:rsidR="00D04C52" w:rsidRPr="00A0676A" w:rsidRDefault="00D04C52" w:rsidP="00B46744">
            <w:pPr>
              <w:rPr>
                <w:color w:val="000000" w:themeColor="text1"/>
                <w:sz w:val="18"/>
                <w:szCs w:val="18"/>
              </w:rPr>
            </w:pPr>
            <w:r w:rsidRPr="00A0676A">
              <w:rPr>
                <w:color w:val="000000" w:themeColor="text1"/>
                <w:sz w:val="18"/>
                <w:szCs w:val="18"/>
              </w:rPr>
              <w:t>Ever smoker</w:t>
            </w:r>
          </w:p>
        </w:tc>
        <w:tc>
          <w:tcPr>
            <w:tcW w:w="7618" w:type="dxa"/>
            <w:vAlign w:val="center"/>
          </w:tcPr>
          <w:p w14:paraId="3E6C60CB" w14:textId="77777777" w:rsidR="00D04C52" w:rsidRPr="00A0676A" w:rsidRDefault="00D04C52" w:rsidP="00B46744">
            <w:pPr>
              <w:contextualSpacing/>
              <w:rPr>
                <w:color w:val="000000" w:themeColor="text1"/>
                <w:sz w:val="18"/>
                <w:szCs w:val="18"/>
              </w:rPr>
            </w:pPr>
            <w:r w:rsidRPr="00A0676A">
              <w:rPr>
                <w:color w:val="000000" w:themeColor="text1"/>
                <w:sz w:val="18"/>
                <w:szCs w:val="18"/>
              </w:rPr>
              <w:t>A person who smoked ≥100 cigarettes in their lifetime and either did or did not smoke at the time of the study. Includes current smokers and former smokers.</w:t>
            </w:r>
          </w:p>
        </w:tc>
      </w:tr>
      <w:tr w:rsidR="00D04C52" w:rsidRPr="00A0676A" w14:paraId="06FD15BA" w14:textId="77777777" w:rsidTr="00B46744">
        <w:trPr>
          <w:cantSplit/>
        </w:trPr>
        <w:tc>
          <w:tcPr>
            <w:tcW w:w="1732" w:type="dxa"/>
            <w:vAlign w:val="center"/>
          </w:tcPr>
          <w:p w14:paraId="0CD9F41D" w14:textId="77777777" w:rsidR="00D04C52" w:rsidRPr="00A0676A" w:rsidRDefault="00D04C52" w:rsidP="00B46744">
            <w:pPr>
              <w:rPr>
                <w:color w:val="000000" w:themeColor="text1"/>
                <w:sz w:val="18"/>
                <w:szCs w:val="18"/>
              </w:rPr>
            </w:pPr>
            <w:r w:rsidRPr="00A0676A">
              <w:rPr>
                <w:color w:val="000000" w:themeColor="text1"/>
                <w:sz w:val="18"/>
                <w:szCs w:val="18"/>
              </w:rPr>
              <w:t>Light smoker</w:t>
            </w:r>
          </w:p>
        </w:tc>
        <w:tc>
          <w:tcPr>
            <w:tcW w:w="7618" w:type="dxa"/>
            <w:vAlign w:val="center"/>
          </w:tcPr>
          <w:p w14:paraId="2076C1FF" w14:textId="77777777" w:rsidR="00D04C52" w:rsidRPr="00A0676A" w:rsidRDefault="00D04C52" w:rsidP="00B46744">
            <w:pPr>
              <w:rPr>
                <w:color w:val="000000" w:themeColor="text1"/>
                <w:sz w:val="18"/>
                <w:szCs w:val="18"/>
              </w:rPr>
            </w:pPr>
            <w:r w:rsidRPr="00A0676A">
              <w:rPr>
                <w:color w:val="000000" w:themeColor="text1"/>
                <w:sz w:val="18"/>
                <w:szCs w:val="18"/>
              </w:rPr>
              <w:t>A person who smoked ≤10 cigarettes per day at the time of the study.</w:t>
            </w:r>
          </w:p>
        </w:tc>
      </w:tr>
      <w:tr w:rsidR="00D04C52" w:rsidRPr="00A0676A" w14:paraId="62B51EB4" w14:textId="77777777" w:rsidTr="00B46744">
        <w:trPr>
          <w:cantSplit/>
        </w:trPr>
        <w:tc>
          <w:tcPr>
            <w:tcW w:w="1732" w:type="dxa"/>
            <w:vAlign w:val="center"/>
          </w:tcPr>
          <w:p w14:paraId="36373BFD" w14:textId="77777777" w:rsidR="00D04C52" w:rsidRPr="00A0676A" w:rsidRDefault="00D04C52" w:rsidP="00B46744">
            <w:pPr>
              <w:rPr>
                <w:color w:val="000000" w:themeColor="text1"/>
                <w:sz w:val="18"/>
                <w:szCs w:val="18"/>
              </w:rPr>
            </w:pPr>
            <w:r w:rsidRPr="00A0676A">
              <w:rPr>
                <w:color w:val="000000" w:themeColor="text1"/>
                <w:sz w:val="18"/>
                <w:szCs w:val="18"/>
              </w:rPr>
              <w:lastRenderedPageBreak/>
              <w:t>Menthol smoker</w:t>
            </w:r>
          </w:p>
        </w:tc>
        <w:tc>
          <w:tcPr>
            <w:tcW w:w="7618" w:type="dxa"/>
            <w:vAlign w:val="center"/>
          </w:tcPr>
          <w:p w14:paraId="00053454" w14:textId="77777777" w:rsidR="00D04C52" w:rsidRPr="00A0676A" w:rsidRDefault="00D04C52" w:rsidP="00B46744">
            <w:pPr>
              <w:rPr>
                <w:color w:val="000000" w:themeColor="text1"/>
                <w:sz w:val="18"/>
                <w:szCs w:val="18"/>
              </w:rPr>
            </w:pPr>
            <w:r w:rsidRPr="00A0676A">
              <w:rPr>
                <w:color w:val="000000" w:themeColor="text1"/>
                <w:sz w:val="18"/>
                <w:szCs w:val="18"/>
              </w:rPr>
              <w:t>A person who used tobacco in traditional cigarette form (i.e., not any alternative method of delivery, including but not limited to vaporizers, e-cigarettes, and hookahs or water pipes) with an explicit use of (or stated preference for) menthol cigarettes or a menthol-only brand at the time of study.</w:t>
            </w:r>
          </w:p>
        </w:tc>
      </w:tr>
      <w:tr w:rsidR="00D04C52" w:rsidRPr="00A0676A" w14:paraId="01437047" w14:textId="77777777" w:rsidTr="00B46744">
        <w:trPr>
          <w:cantSplit/>
        </w:trPr>
        <w:tc>
          <w:tcPr>
            <w:tcW w:w="1732" w:type="dxa"/>
            <w:vAlign w:val="center"/>
          </w:tcPr>
          <w:p w14:paraId="5967D554" w14:textId="77777777" w:rsidR="00D04C52" w:rsidRPr="00A0676A" w:rsidRDefault="00D04C52" w:rsidP="00B46744">
            <w:pPr>
              <w:rPr>
                <w:color w:val="000000" w:themeColor="text1"/>
                <w:sz w:val="18"/>
                <w:szCs w:val="18"/>
              </w:rPr>
            </w:pPr>
            <w:r w:rsidRPr="00A0676A">
              <w:rPr>
                <w:color w:val="000000" w:themeColor="text1"/>
                <w:sz w:val="18"/>
                <w:szCs w:val="18"/>
              </w:rPr>
              <w:t>Non-menthol smoker</w:t>
            </w:r>
          </w:p>
        </w:tc>
        <w:tc>
          <w:tcPr>
            <w:tcW w:w="7618" w:type="dxa"/>
            <w:vAlign w:val="center"/>
          </w:tcPr>
          <w:p w14:paraId="7F6FDB77" w14:textId="77777777" w:rsidR="00D04C52" w:rsidRPr="00A0676A" w:rsidRDefault="00D04C52" w:rsidP="00B46744">
            <w:pPr>
              <w:rPr>
                <w:color w:val="000000" w:themeColor="text1"/>
                <w:sz w:val="18"/>
                <w:szCs w:val="18"/>
              </w:rPr>
            </w:pPr>
            <w:r w:rsidRPr="00A0676A">
              <w:rPr>
                <w:color w:val="000000" w:themeColor="text1"/>
                <w:sz w:val="18"/>
                <w:szCs w:val="18"/>
              </w:rPr>
              <w:t>A person who used tobacco in traditional cigarette form (i.e., not any alternative method of delivery, including but not limited to vaporizers, e-cigarettes, and hookahs or water pipes) with an explicit use of (or stated preference for) non-menthol cigarettes or a non-menthol exclusive brand at the time of study.</w:t>
            </w:r>
          </w:p>
        </w:tc>
      </w:tr>
      <w:tr w:rsidR="00D04C52" w:rsidRPr="00A0676A" w14:paraId="75D1DF32" w14:textId="77777777" w:rsidTr="00B46744">
        <w:trPr>
          <w:cantSplit/>
        </w:trPr>
        <w:tc>
          <w:tcPr>
            <w:tcW w:w="1732" w:type="dxa"/>
            <w:vAlign w:val="center"/>
          </w:tcPr>
          <w:p w14:paraId="1336F3A4" w14:textId="77777777" w:rsidR="00D04C52" w:rsidRPr="00A0676A" w:rsidRDefault="00D04C52" w:rsidP="00B46744">
            <w:pPr>
              <w:rPr>
                <w:color w:val="000000" w:themeColor="text1"/>
                <w:sz w:val="18"/>
                <w:szCs w:val="18"/>
              </w:rPr>
            </w:pPr>
            <w:r w:rsidRPr="00A0676A">
              <w:rPr>
                <w:color w:val="000000" w:themeColor="text1"/>
                <w:sz w:val="18"/>
                <w:szCs w:val="18"/>
              </w:rPr>
              <w:t>Smoking cessation</w:t>
            </w:r>
          </w:p>
        </w:tc>
        <w:tc>
          <w:tcPr>
            <w:tcW w:w="7618" w:type="dxa"/>
            <w:vAlign w:val="center"/>
          </w:tcPr>
          <w:p w14:paraId="3E2D95A0" w14:textId="77777777" w:rsidR="00D04C52" w:rsidRPr="00A0676A" w:rsidRDefault="00D04C52" w:rsidP="00B46744">
            <w:pPr>
              <w:rPr>
                <w:color w:val="000000" w:themeColor="text1"/>
                <w:sz w:val="18"/>
                <w:szCs w:val="18"/>
              </w:rPr>
            </w:pPr>
            <w:r w:rsidRPr="00A0676A">
              <w:rPr>
                <w:color w:val="000000" w:themeColor="text1"/>
                <w:sz w:val="18"/>
                <w:szCs w:val="18"/>
              </w:rPr>
              <w:t>Quitting cigarette smoking or abstinence from cigarette smoking for a period of time as defined by the individual study.</w:t>
            </w:r>
          </w:p>
        </w:tc>
      </w:tr>
      <w:tr w:rsidR="00D04C52" w:rsidRPr="00A0676A" w14:paraId="5F4CEE35" w14:textId="77777777" w:rsidTr="00B46744">
        <w:trPr>
          <w:cantSplit/>
        </w:trPr>
        <w:tc>
          <w:tcPr>
            <w:tcW w:w="1732" w:type="dxa"/>
            <w:vAlign w:val="center"/>
          </w:tcPr>
          <w:p w14:paraId="0F6C6F03" w14:textId="77777777" w:rsidR="00D04C52" w:rsidRPr="00A0676A" w:rsidRDefault="00D04C52" w:rsidP="00B46744">
            <w:pPr>
              <w:rPr>
                <w:color w:val="000000" w:themeColor="text1"/>
                <w:sz w:val="18"/>
                <w:szCs w:val="18"/>
              </w:rPr>
            </w:pPr>
            <w:r w:rsidRPr="00A0676A">
              <w:rPr>
                <w:color w:val="000000" w:themeColor="text1"/>
                <w:sz w:val="18"/>
                <w:szCs w:val="18"/>
              </w:rPr>
              <w:t>Smoking dependence</w:t>
            </w:r>
          </w:p>
        </w:tc>
        <w:tc>
          <w:tcPr>
            <w:tcW w:w="7618" w:type="dxa"/>
            <w:vAlign w:val="center"/>
          </w:tcPr>
          <w:p w14:paraId="4DEB84A8" w14:textId="5FFA7752" w:rsidR="00D04C52" w:rsidRPr="00A0676A" w:rsidRDefault="00D04C52" w:rsidP="00173F0A">
            <w:pPr>
              <w:rPr>
                <w:color w:val="000000" w:themeColor="text1"/>
                <w:sz w:val="18"/>
                <w:szCs w:val="18"/>
              </w:rPr>
            </w:pPr>
            <w:r w:rsidRPr="00A0676A">
              <w:rPr>
                <w:color w:val="000000" w:themeColor="text1"/>
                <w:sz w:val="18"/>
                <w:szCs w:val="18"/>
              </w:rPr>
              <w:t>The degree of loss of control over the amount or duration of tobacco use through smoking</w:t>
            </w:r>
            <w:r>
              <w:rPr>
                <w:color w:val="000000" w:themeColor="text1"/>
                <w:sz w:val="18"/>
                <w:szCs w:val="18"/>
              </w:rPr>
              <w:t xml:space="preserve"> </w:t>
            </w:r>
            <w:r w:rsidR="00D2134A">
              <w:rPr>
                <w:color w:val="000000" w:themeColor="text1"/>
                <w:sz w:val="18"/>
                <w:szCs w:val="18"/>
              </w:rPr>
              <w:fldChar w:fldCharType="begin"/>
            </w:r>
            <w:r w:rsidR="00D2134A">
              <w:rPr>
                <w:color w:val="000000" w:themeColor="text1"/>
                <w:sz w:val="18"/>
                <w:szCs w:val="18"/>
              </w:rPr>
              <w:instrText xml:space="preserve"> ADDIN EN.CITE &lt;EndNote&gt;&lt;Cite&gt;&lt;Author&gt;DiFranza&lt;/Author&gt;&lt;Year&gt;2002&lt;/Year&gt;&lt;RecNum&gt;162&lt;/RecNum&gt;&lt;DisplayText&gt;(1)&lt;/DisplayText&gt;&lt;record&gt;&lt;rec-number&gt;162&lt;/rec-number&gt;&lt;foreign-keys&gt;&lt;key app="EN" db-id="a2vz2dfp8xrad6exes75zwpiw5rxwa0vwapv" timestamp="0"&gt;162&lt;/key&gt;&lt;/foreign-keys&gt;&lt;ref-type name="Journal Article"&gt;17&lt;/ref-type&gt;&lt;contributors&gt;&lt;authors&gt;&lt;author&gt;DiFranza, J. R.&lt;/author&gt;&lt;author&gt;Savageau, J. A.&lt;/author&gt;&lt;author&gt;Fletcher, K.&lt;/author&gt;&lt;author&gt;Ockene, J. K.&lt;/author&gt;&lt;author&gt;Rigotti, N. A.&lt;/author&gt;&lt;author&gt;McNeill, A. D.&lt;/author&gt;&lt;author&gt;Coleman, M.&lt;/author&gt;&lt;author&gt;Wood, C.&lt;/author&gt;&lt;/authors&gt;&lt;/contributors&gt;&lt;auth-address&gt;Department of Family Medicine and Community Health, University of Massachusetts Medical School, 55 Lake Ave, Worcester, MA 01655, USA. difranzj@ummhc.org&lt;/auth-address&gt;&lt;titles&gt;&lt;title&gt;Measuring the loss of autonomy over nicotine use in adolescents: the DANDY (Development and Assessment of Nicotine Dependence in Youths) study&lt;/title&gt;&lt;secondary-title&gt;Arch Pediatr Adolesc Med&lt;/secondary-title&gt;&lt;alt-title&gt;Archives of pediatrics &amp;amp; adolescent medicine&lt;/alt-title&gt;&lt;/titles&gt;&lt;pages&gt;397-403&lt;/pages&gt;&lt;volume&gt;156&lt;/volume&gt;&lt;number&gt;4&lt;/number&gt;&lt;edition&gt;2002/04/04&lt;/edition&gt;&lt;keywords&gt;&lt;keyword&gt;Adolescent&lt;/keyword&gt;&lt;keyword&gt;*Adolescent Behavior/drug effects&lt;/keyword&gt;&lt;keyword&gt;Factor Analysis, Statistical&lt;/keyword&gt;&lt;keyword&gt;Female&lt;/keyword&gt;&lt;keyword&gt;Humans&lt;/keyword&gt;&lt;keyword&gt;Longitudinal Studies&lt;/keyword&gt;&lt;keyword&gt;Male&lt;/keyword&gt;&lt;keyword&gt;*Personal Autonomy&lt;/keyword&gt;&lt;keyword&gt;Prospective Studies&lt;/keyword&gt;&lt;keyword&gt;*Psychology, Adolescent&lt;/keyword&gt;&lt;keyword&gt;Psychometrics&lt;/keyword&gt;&lt;keyword&gt;Reproducibility of Results&lt;/keyword&gt;&lt;keyword&gt;Smoking/*adverse effects/psychology&lt;/keyword&gt;&lt;keyword&gt;Surveys and Questionnaires&lt;/keyword&gt;&lt;keyword&gt;Tobacco Use Disorder/*psychology&lt;/keyword&gt;&lt;/keywords&gt;&lt;dates&gt;&lt;year&gt;2002&lt;/year&gt;&lt;pub-dates&gt;&lt;date&gt;Apr&lt;/date&gt;&lt;/pub-dates&gt;&lt;/dates&gt;&lt;isbn&gt;1072-4710 (Print)&amp;#xD;1072-4710&lt;/isbn&gt;&lt;accession-num&gt;11929376&lt;/accession-num&gt;&lt;urls&gt;&lt;/urls&gt;&lt;remote-database-provider&gt;NLM&lt;/remote-database-provider&gt;&lt;language&gt;eng&lt;/language&gt;&lt;/record&gt;&lt;/Cite&gt;&lt;/EndNote&gt;</w:instrText>
            </w:r>
            <w:r w:rsidR="00D2134A">
              <w:rPr>
                <w:color w:val="000000" w:themeColor="text1"/>
                <w:sz w:val="18"/>
                <w:szCs w:val="18"/>
              </w:rPr>
              <w:fldChar w:fldCharType="separate"/>
            </w:r>
            <w:r w:rsidR="00D2134A">
              <w:rPr>
                <w:noProof/>
                <w:color w:val="000000" w:themeColor="text1"/>
                <w:sz w:val="18"/>
                <w:szCs w:val="18"/>
              </w:rPr>
              <w:t>(</w:t>
            </w:r>
            <w:hyperlink w:anchor="_ENREF_1" w:tooltip="DiFranza, 2002 #162" w:history="1">
              <w:r w:rsidR="00A234A9">
                <w:rPr>
                  <w:noProof/>
                  <w:color w:val="000000" w:themeColor="text1"/>
                  <w:sz w:val="18"/>
                  <w:szCs w:val="18"/>
                </w:rPr>
                <w:t>1</w:t>
              </w:r>
            </w:hyperlink>
            <w:r w:rsidR="00D2134A">
              <w:rPr>
                <w:noProof/>
                <w:color w:val="000000" w:themeColor="text1"/>
                <w:sz w:val="18"/>
                <w:szCs w:val="18"/>
              </w:rPr>
              <w:t>)</w:t>
            </w:r>
            <w:r w:rsidR="00D2134A">
              <w:rPr>
                <w:color w:val="000000" w:themeColor="text1"/>
                <w:sz w:val="18"/>
                <w:szCs w:val="18"/>
              </w:rPr>
              <w:fldChar w:fldCharType="end"/>
            </w:r>
            <w:r>
              <w:rPr>
                <w:color w:val="000000" w:themeColor="text1"/>
                <w:sz w:val="18"/>
                <w:szCs w:val="18"/>
              </w:rPr>
              <w:t>.</w:t>
            </w:r>
          </w:p>
        </w:tc>
      </w:tr>
      <w:tr w:rsidR="00D04C52" w:rsidRPr="00A0676A" w14:paraId="631867B0" w14:textId="77777777" w:rsidTr="00B46744">
        <w:trPr>
          <w:cantSplit/>
        </w:trPr>
        <w:tc>
          <w:tcPr>
            <w:tcW w:w="1732" w:type="dxa"/>
            <w:vAlign w:val="center"/>
          </w:tcPr>
          <w:p w14:paraId="255B448B" w14:textId="77777777" w:rsidR="00D04C52" w:rsidRPr="00A0676A" w:rsidRDefault="00D04C52" w:rsidP="00B46744">
            <w:pPr>
              <w:rPr>
                <w:color w:val="000000" w:themeColor="text1"/>
                <w:sz w:val="18"/>
                <w:szCs w:val="18"/>
              </w:rPr>
            </w:pPr>
            <w:r w:rsidRPr="00A0676A">
              <w:rPr>
                <w:color w:val="000000" w:themeColor="text1"/>
                <w:sz w:val="18"/>
                <w:szCs w:val="18"/>
              </w:rPr>
              <w:t>Smoking initiation and progression to regular smoking</w:t>
            </w:r>
          </w:p>
        </w:tc>
        <w:tc>
          <w:tcPr>
            <w:tcW w:w="7618" w:type="dxa"/>
            <w:vAlign w:val="center"/>
          </w:tcPr>
          <w:p w14:paraId="39614171" w14:textId="77777777" w:rsidR="00D04C52" w:rsidRPr="00A0676A" w:rsidRDefault="00D04C52" w:rsidP="00B46744">
            <w:pPr>
              <w:rPr>
                <w:color w:val="000000" w:themeColor="text1"/>
                <w:sz w:val="18"/>
                <w:szCs w:val="18"/>
              </w:rPr>
            </w:pPr>
            <w:r w:rsidRPr="00A0676A">
              <w:rPr>
                <w:color w:val="000000" w:themeColor="text1"/>
                <w:sz w:val="18"/>
                <w:szCs w:val="18"/>
              </w:rPr>
              <w:t>The occurrence of smoking the first partial or whole cigarette and the smoker's subsequent trajectory to regular (established) smoking. Not all persons who initiate smoking progress to regular smoking.</w:t>
            </w:r>
          </w:p>
        </w:tc>
      </w:tr>
      <w:tr w:rsidR="00D04C52" w:rsidRPr="00A0676A" w14:paraId="4F54DDEB" w14:textId="77777777" w:rsidTr="00262DB4">
        <w:trPr>
          <w:cantSplit/>
          <w:trHeight w:val="576"/>
        </w:trPr>
        <w:tc>
          <w:tcPr>
            <w:tcW w:w="1732" w:type="dxa"/>
            <w:vAlign w:val="center"/>
          </w:tcPr>
          <w:p w14:paraId="3A4EAA66" w14:textId="77777777" w:rsidR="00D04C52" w:rsidRPr="00A0676A" w:rsidRDefault="00D04C52" w:rsidP="00B46744">
            <w:pPr>
              <w:rPr>
                <w:color w:val="000000" w:themeColor="text1"/>
                <w:sz w:val="18"/>
                <w:szCs w:val="18"/>
              </w:rPr>
            </w:pPr>
            <w:r w:rsidRPr="00A0676A">
              <w:rPr>
                <w:color w:val="000000" w:themeColor="text1"/>
                <w:sz w:val="18"/>
                <w:szCs w:val="18"/>
              </w:rPr>
              <w:t>Smoking relapse or recidivism</w:t>
            </w:r>
          </w:p>
        </w:tc>
        <w:tc>
          <w:tcPr>
            <w:tcW w:w="7618" w:type="dxa"/>
            <w:vAlign w:val="center"/>
          </w:tcPr>
          <w:p w14:paraId="76EBCE43" w14:textId="77777777" w:rsidR="00D04C52" w:rsidRPr="00A0676A" w:rsidRDefault="00D04C52" w:rsidP="00262DB4">
            <w:pPr>
              <w:rPr>
                <w:color w:val="000000" w:themeColor="text1"/>
                <w:sz w:val="18"/>
                <w:szCs w:val="18"/>
              </w:rPr>
            </w:pPr>
            <w:r w:rsidRPr="00A0676A">
              <w:rPr>
                <w:color w:val="000000" w:themeColor="text1"/>
                <w:sz w:val="18"/>
                <w:szCs w:val="18"/>
              </w:rPr>
              <w:t>Return to cigarette smoking after abstinence for a period of time as defined by the individual study.</w:t>
            </w:r>
          </w:p>
        </w:tc>
      </w:tr>
      <w:tr w:rsidR="00D04C52" w:rsidRPr="00A0676A" w14:paraId="55643F38" w14:textId="77777777" w:rsidTr="00B46744">
        <w:trPr>
          <w:cantSplit/>
          <w:trHeight w:val="395"/>
        </w:trPr>
        <w:tc>
          <w:tcPr>
            <w:tcW w:w="1732" w:type="dxa"/>
            <w:vAlign w:val="center"/>
          </w:tcPr>
          <w:p w14:paraId="05D26AB3" w14:textId="77777777" w:rsidR="00D04C52" w:rsidRPr="00A0676A" w:rsidRDefault="00D04C52" w:rsidP="00B46744">
            <w:pPr>
              <w:rPr>
                <w:color w:val="000000" w:themeColor="text1"/>
                <w:sz w:val="18"/>
                <w:szCs w:val="18"/>
              </w:rPr>
            </w:pPr>
            <w:r w:rsidRPr="00A0676A">
              <w:rPr>
                <w:color w:val="000000" w:themeColor="text1"/>
                <w:sz w:val="18"/>
                <w:szCs w:val="18"/>
              </w:rPr>
              <w:t>Quit attempt</w:t>
            </w:r>
          </w:p>
        </w:tc>
        <w:tc>
          <w:tcPr>
            <w:tcW w:w="7618" w:type="dxa"/>
            <w:vAlign w:val="center"/>
          </w:tcPr>
          <w:p w14:paraId="7453FED6" w14:textId="77777777" w:rsidR="00D04C52" w:rsidRPr="00A0676A" w:rsidRDefault="00D04C52" w:rsidP="00B46744">
            <w:pPr>
              <w:rPr>
                <w:color w:val="000000" w:themeColor="text1"/>
                <w:sz w:val="18"/>
                <w:szCs w:val="18"/>
              </w:rPr>
            </w:pPr>
            <w:r w:rsidRPr="00CF2470">
              <w:rPr>
                <w:rStyle w:val="Emphasis"/>
                <w:rFonts w:cstheme="minorHAnsi"/>
                <w:b w:val="0"/>
                <w:bCs w:val="0"/>
                <w:iCs/>
                <w:sz w:val="18"/>
                <w:szCs w:val="18"/>
                <w:shd w:val="clear" w:color="auto" w:fill="FFFFFF"/>
              </w:rPr>
              <w:t>Attempt</w:t>
            </w:r>
            <w:r w:rsidRPr="00CF2470">
              <w:rPr>
                <w:rFonts w:cstheme="minorHAnsi"/>
                <w:sz w:val="18"/>
                <w:szCs w:val="18"/>
                <w:shd w:val="clear" w:color="auto" w:fill="FFFFFF"/>
              </w:rPr>
              <w:t xml:space="preserve"> to </w:t>
            </w:r>
            <w:r w:rsidRPr="00CF2470">
              <w:rPr>
                <w:rStyle w:val="Emphasis"/>
                <w:rFonts w:cstheme="minorHAnsi"/>
                <w:b w:val="0"/>
                <w:bCs w:val="0"/>
                <w:iCs/>
                <w:sz w:val="18"/>
                <w:szCs w:val="18"/>
                <w:shd w:val="clear" w:color="auto" w:fill="FFFFFF"/>
              </w:rPr>
              <w:t>stop smoking</w:t>
            </w:r>
            <w:r w:rsidRPr="00CF2470">
              <w:rPr>
                <w:rFonts w:cstheme="minorHAnsi"/>
                <w:sz w:val="18"/>
                <w:szCs w:val="18"/>
                <w:shd w:val="clear" w:color="auto" w:fill="FFFFFF"/>
              </w:rPr>
              <w:t xml:space="preserve"> that lasted at least 1 day or 24 hr.</w:t>
            </w:r>
            <w:r w:rsidRPr="00CF2470">
              <w:rPr>
                <w:rFonts w:cstheme="minorHAnsi"/>
                <w:sz w:val="18"/>
                <w:szCs w:val="18"/>
              </w:rPr>
              <w:t xml:space="preserve"> </w:t>
            </w:r>
          </w:p>
        </w:tc>
      </w:tr>
      <w:tr w:rsidR="00D04C52" w:rsidRPr="00A0676A" w14:paraId="2757A3D6" w14:textId="77777777" w:rsidTr="00B46744">
        <w:trPr>
          <w:cantSplit/>
          <w:trHeight w:val="314"/>
        </w:trPr>
        <w:tc>
          <w:tcPr>
            <w:tcW w:w="9350" w:type="dxa"/>
            <w:gridSpan w:val="2"/>
            <w:shd w:val="clear" w:color="auto" w:fill="E7E6E6" w:themeFill="background2"/>
            <w:vAlign w:val="center"/>
          </w:tcPr>
          <w:p w14:paraId="01DA1B58" w14:textId="77777777" w:rsidR="00D04C52" w:rsidRPr="00A0676A" w:rsidRDefault="00D04C52" w:rsidP="00B46744">
            <w:pPr>
              <w:rPr>
                <w:color w:val="000000" w:themeColor="text1"/>
                <w:sz w:val="18"/>
                <w:szCs w:val="18"/>
              </w:rPr>
            </w:pPr>
            <w:r w:rsidRPr="00A0676A">
              <w:rPr>
                <w:b/>
                <w:color w:val="000000" w:themeColor="text1"/>
                <w:sz w:val="18"/>
                <w:szCs w:val="18"/>
              </w:rPr>
              <w:t>Key Epidemiological Terms</w:t>
            </w:r>
          </w:p>
        </w:tc>
      </w:tr>
      <w:tr w:rsidR="00D04C52" w:rsidRPr="00A0676A" w14:paraId="0A942896" w14:textId="77777777" w:rsidTr="00B46744">
        <w:trPr>
          <w:cantSplit/>
          <w:trHeight w:val="576"/>
        </w:trPr>
        <w:tc>
          <w:tcPr>
            <w:tcW w:w="1732" w:type="dxa"/>
            <w:vAlign w:val="center"/>
          </w:tcPr>
          <w:p w14:paraId="68350A4E" w14:textId="77777777" w:rsidR="00D04C52" w:rsidRPr="00A0676A" w:rsidRDefault="00D04C52" w:rsidP="00B46744">
            <w:pPr>
              <w:rPr>
                <w:color w:val="000000" w:themeColor="text1"/>
                <w:sz w:val="18"/>
                <w:szCs w:val="18"/>
              </w:rPr>
            </w:pPr>
            <w:r w:rsidRPr="00A0676A">
              <w:rPr>
                <w:color w:val="000000" w:themeColor="text1"/>
                <w:sz w:val="18"/>
                <w:szCs w:val="18"/>
              </w:rPr>
              <w:t>Adjusted estimate</w:t>
            </w:r>
          </w:p>
        </w:tc>
        <w:tc>
          <w:tcPr>
            <w:tcW w:w="7618" w:type="dxa"/>
            <w:vAlign w:val="center"/>
          </w:tcPr>
          <w:p w14:paraId="55D940B4" w14:textId="77777777" w:rsidR="00D04C52" w:rsidRPr="00A0676A" w:rsidRDefault="00D04C52" w:rsidP="00B46744">
            <w:pPr>
              <w:rPr>
                <w:color w:val="000000" w:themeColor="text1"/>
                <w:sz w:val="18"/>
                <w:szCs w:val="18"/>
              </w:rPr>
            </w:pPr>
            <w:r w:rsidRPr="00A0676A">
              <w:rPr>
                <w:color w:val="000000" w:themeColor="text1"/>
                <w:sz w:val="18"/>
                <w:szCs w:val="18"/>
              </w:rPr>
              <w:t xml:space="preserve">A measure of effect that has been altered, by stratification or regression modeling, in order to account </w:t>
            </w:r>
            <w:r w:rsidR="009970B4">
              <w:rPr>
                <w:color w:val="000000" w:themeColor="text1"/>
                <w:sz w:val="18"/>
                <w:szCs w:val="18"/>
              </w:rPr>
              <w:t xml:space="preserve">for </w:t>
            </w:r>
            <w:r w:rsidRPr="00A0676A">
              <w:rPr>
                <w:color w:val="000000" w:themeColor="text1"/>
                <w:sz w:val="18"/>
                <w:szCs w:val="18"/>
              </w:rPr>
              <w:t>the effect of confounding factors (such as age, gender, and race/ethnicity).</w:t>
            </w:r>
          </w:p>
        </w:tc>
      </w:tr>
      <w:tr w:rsidR="00D04C52" w:rsidRPr="00A0676A" w14:paraId="03ADFDB2" w14:textId="77777777" w:rsidTr="00B46744">
        <w:trPr>
          <w:cantSplit/>
          <w:trHeight w:val="576"/>
        </w:trPr>
        <w:tc>
          <w:tcPr>
            <w:tcW w:w="1732" w:type="dxa"/>
            <w:vAlign w:val="center"/>
          </w:tcPr>
          <w:p w14:paraId="70E5CB3F" w14:textId="77777777" w:rsidR="00D04C52" w:rsidRPr="00A0676A" w:rsidRDefault="00D04C52" w:rsidP="00B46744">
            <w:pPr>
              <w:rPr>
                <w:color w:val="000000" w:themeColor="text1"/>
                <w:sz w:val="18"/>
                <w:szCs w:val="18"/>
              </w:rPr>
            </w:pPr>
            <w:r w:rsidRPr="00A0676A">
              <w:rPr>
                <w:color w:val="000000" w:themeColor="text1"/>
                <w:sz w:val="18"/>
                <w:szCs w:val="18"/>
              </w:rPr>
              <w:t>Association</w:t>
            </w:r>
          </w:p>
        </w:tc>
        <w:tc>
          <w:tcPr>
            <w:tcW w:w="7618" w:type="dxa"/>
            <w:vAlign w:val="center"/>
          </w:tcPr>
          <w:p w14:paraId="3AB3180A" w14:textId="77777777" w:rsidR="00D04C52" w:rsidRPr="00A0676A" w:rsidRDefault="00D04C52" w:rsidP="00B46744">
            <w:pPr>
              <w:rPr>
                <w:color w:val="000000" w:themeColor="text1"/>
                <w:sz w:val="18"/>
                <w:szCs w:val="18"/>
              </w:rPr>
            </w:pPr>
            <w:r w:rsidRPr="00A0676A">
              <w:rPr>
                <w:color w:val="000000" w:themeColor="text1"/>
                <w:sz w:val="18"/>
                <w:szCs w:val="18"/>
              </w:rPr>
              <w:t>Statistical relationship between two or more events, characteristics, or other variables; in epidemiology association implies a correlation between two variables.</w:t>
            </w:r>
          </w:p>
        </w:tc>
      </w:tr>
      <w:tr w:rsidR="00D04C52" w:rsidRPr="00A0676A" w14:paraId="12426570" w14:textId="77777777" w:rsidTr="00B46744">
        <w:trPr>
          <w:cantSplit/>
          <w:trHeight w:val="576"/>
        </w:trPr>
        <w:tc>
          <w:tcPr>
            <w:tcW w:w="1732" w:type="dxa"/>
            <w:vAlign w:val="center"/>
          </w:tcPr>
          <w:p w14:paraId="44EA42C5" w14:textId="77777777" w:rsidR="00D04C52" w:rsidRPr="00A0676A" w:rsidRDefault="00D04C52" w:rsidP="00B46744">
            <w:pPr>
              <w:rPr>
                <w:color w:val="000000" w:themeColor="text1"/>
                <w:sz w:val="18"/>
                <w:szCs w:val="18"/>
              </w:rPr>
            </w:pPr>
            <w:r w:rsidRPr="00A0676A">
              <w:rPr>
                <w:color w:val="000000" w:themeColor="text1"/>
                <w:sz w:val="18"/>
                <w:szCs w:val="18"/>
              </w:rPr>
              <w:t>Bias</w:t>
            </w:r>
          </w:p>
        </w:tc>
        <w:tc>
          <w:tcPr>
            <w:tcW w:w="7618" w:type="dxa"/>
            <w:vAlign w:val="center"/>
          </w:tcPr>
          <w:p w14:paraId="6A1066BE" w14:textId="77777777" w:rsidR="00D04C52" w:rsidRPr="00A0676A" w:rsidRDefault="00D04C52" w:rsidP="00B46744">
            <w:pPr>
              <w:rPr>
                <w:color w:val="000000" w:themeColor="text1"/>
                <w:sz w:val="18"/>
                <w:szCs w:val="18"/>
              </w:rPr>
            </w:pPr>
            <w:r w:rsidRPr="00A0676A">
              <w:rPr>
                <w:color w:val="000000" w:themeColor="text1"/>
                <w:sz w:val="18"/>
                <w:szCs w:val="18"/>
              </w:rPr>
              <w:t>Systematic error in the design or conduct of a study that results in conclusions that are different from the truth; as example, due to error in selecting the study population or in measuring the outcome or exposure (e.g., selection bias, information bias, interviewer bias).</w:t>
            </w:r>
          </w:p>
        </w:tc>
      </w:tr>
      <w:tr w:rsidR="00D04C52" w:rsidRPr="00A0676A" w14:paraId="087BE44A" w14:textId="77777777" w:rsidTr="00B46744">
        <w:trPr>
          <w:cantSplit/>
          <w:trHeight w:val="576"/>
        </w:trPr>
        <w:tc>
          <w:tcPr>
            <w:tcW w:w="1732" w:type="dxa"/>
            <w:vAlign w:val="center"/>
          </w:tcPr>
          <w:p w14:paraId="183A2812" w14:textId="77777777" w:rsidR="00D04C52" w:rsidRPr="00A0676A" w:rsidRDefault="00D04C52" w:rsidP="00B46744">
            <w:pPr>
              <w:rPr>
                <w:color w:val="000000" w:themeColor="text1"/>
                <w:sz w:val="18"/>
                <w:szCs w:val="18"/>
              </w:rPr>
            </w:pPr>
            <w:r w:rsidRPr="00A0676A">
              <w:rPr>
                <w:color w:val="000000" w:themeColor="text1"/>
                <w:sz w:val="18"/>
                <w:szCs w:val="18"/>
              </w:rPr>
              <w:t xml:space="preserve">Confidence </w:t>
            </w:r>
            <w:r>
              <w:rPr>
                <w:color w:val="000000" w:themeColor="text1"/>
                <w:sz w:val="18"/>
                <w:szCs w:val="18"/>
              </w:rPr>
              <w:t>I</w:t>
            </w:r>
            <w:r w:rsidRPr="00A0676A">
              <w:rPr>
                <w:color w:val="000000" w:themeColor="text1"/>
                <w:sz w:val="18"/>
                <w:szCs w:val="18"/>
              </w:rPr>
              <w:t>nterval (CI)</w:t>
            </w:r>
          </w:p>
        </w:tc>
        <w:tc>
          <w:tcPr>
            <w:tcW w:w="7618" w:type="dxa"/>
            <w:vAlign w:val="center"/>
          </w:tcPr>
          <w:p w14:paraId="0A1FFEBA" w14:textId="77777777" w:rsidR="00D04C52" w:rsidRPr="00A0676A" w:rsidRDefault="00D04C52" w:rsidP="00B46744">
            <w:pPr>
              <w:rPr>
                <w:color w:val="000000" w:themeColor="text1"/>
                <w:sz w:val="18"/>
                <w:szCs w:val="18"/>
              </w:rPr>
            </w:pPr>
            <w:r w:rsidRPr="00A0676A">
              <w:rPr>
                <w:color w:val="000000" w:themeColor="text1"/>
                <w:sz w:val="18"/>
                <w:szCs w:val="18"/>
              </w:rPr>
              <w:t>Range of likely values around the point estimate for the “true” population parameter; if one was to take 100 different samples and compute a 95% confidence interval for each sample, then approximately 95 times out of 100 the confidence intervals will contain the true value. Conveys 95% confidence that the true effect size lies within this range.</w:t>
            </w:r>
          </w:p>
        </w:tc>
      </w:tr>
      <w:tr w:rsidR="00D04C52" w:rsidRPr="00A0676A" w14:paraId="25C4D740" w14:textId="77777777" w:rsidTr="00B46744">
        <w:trPr>
          <w:cantSplit/>
          <w:trHeight w:val="576"/>
        </w:trPr>
        <w:tc>
          <w:tcPr>
            <w:tcW w:w="1732" w:type="dxa"/>
            <w:vAlign w:val="center"/>
          </w:tcPr>
          <w:p w14:paraId="13F19FA3" w14:textId="77777777" w:rsidR="00D04C52" w:rsidRPr="00A0676A" w:rsidRDefault="00D04C52" w:rsidP="00B46744">
            <w:pPr>
              <w:rPr>
                <w:color w:val="000000" w:themeColor="text1"/>
                <w:sz w:val="18"/>
                <w:szCs w:val="18"/>
              </w:rPr>
            </w:pPr>
            <w:r w:rsidRPr="00A0676A">
              <w:rPr>
                <w:color w:val="000000" w:themeColor="text1"/>
                <w:sz w:val="18"/>
                <w:szCs w:val="18"/>
              </w:rPr>
              <w:t>Confounder</w:t>
            </w:r>
          </w:p>
        </w:tc>
        <w:tc>
          <w:tcPr>
            <w:tcW w:w="7618" w:type="dxa"/>
            <w:vAlign w:val="center"/>
          </w:tcPr>
          <w:p w14:paraId="3785DEE5" w14:textId="77777777" w:rsidR="00D04C52" w:rsidRPr="00A0676A" w:rsidRDefault="00D04C52" w:rsidP="00B46744">
            <w:pPr>
              <w:rPr>
                <w:color w:val="000000" w:themeColor="text1"/>
                <w:sz w:val="18"/>
                <w:szCs w:val="18"/>
              </w:rPr>
            </w:pPr>
            <w:r w:rsidRPr="00A0676A">
              <w:rPr>
                <w:color w:val="000000" w:themeColor="text1"/>
                <w:sz w:val="18"/>
                <w:szCs w:val="18"/>
              </w:rPr>
              <w:t>A factor that can explain (entirely or partially) the observed association between ‘exposure’ and ‘outcome.’ Confounders distort the association between ‘exposure’ and ‘outcome.’ By definition, to be considered a confounder a variable must meet three criteria: (1) be associated with exposure; (2) be associated with the outcome, and (3) not be in the path between the exposure and the outcome, nor influenced directly by the exposure.</w:t>
            </w:r>
          </w:p>
        </w:tc>
      </w:tr>
      <w:tr w:rsidR="00D04C52" w:rsidRPr="00A0676A" w14:paraId="11A99197" w14:textId="77777777" w:rsidTr="00B46744">
        <w:trPr>
          <w:cantSplit/>
          <w:trHeight w:val="332"/>
        </w:trPr>
        <w:tc>
          <w:tcPr>
            <w:tcW w:w="1732" w:type="dxa"/>
            <w:vAlign w:val="center"/>
          </w:tcPr>
          <w:p w14:paraId="0B8286D9" w14:textId="77777777" w:rsidR="00D04C52" w:rsidRPr="00A0676A" w:rsidRDefault="00D04C52" w:rsidP="00B46744">
            <w:pPr>
              <w:rPr>
                <w:color w:val="000000" w:themeColor="text1"/>
                <w:sz w:val="18"/>
                <w:szCs w:val="18"/>
              </w:rPr>
            </w:pPr>
            <w:r w:rsidRPr="00A0676A">
              <w:rPr>
                <w:color w:val="000000" w:themeColor="text1"/>
                <w:sz w:val="18"/>
                <w:szCs w:val="18"/>
              </w:rPr>
              <w:t>Incidence</w:t>
            </w:r>
          </w:p>
        </w:tc>
        <w:tc>
          <w:tcPr>
            <w:tcW w:w="7618" w:type="dxa"/>
            <w:vAlign w:val="center"/>
          </w:tcPr>
          <w:p w14:paraId="297BE915" w14:textId="77777777" w:rsidR="00D04C52" w:rsidRPr="00A0676A" w:rsidRDefault="00D04C52" w:rsidP="00B46744">
            <w:pPr>
              <w:rPr>
                <w:color w:val="000000" w:themeColor="text1"/>
                <w:sz w:val="18"/>
                <w:szCs w:val="18"/>
              </w:rPr>
            </w:pPr>
            <w:r w:rsidRPr="00A0676A">
              <w:rPr>
                <w:color w:val="000000" w:themeColor="text1"/>
                <w:sz w:val="18"/>
                <w:szCs w:val="18"/>
              </w:rPr>
              <w:t>Proportion of new cases developed during a given time period.</w:t>
            </w:r>
          </w:p>
        </w:tc>
      </w:tr>
      <w:tr w:rsidR="00D04C52" w:rsidRPr="00A0676A" w14:paraId="26C43ED9" w14:textId="77777777" w:rsidTr="00B46744">
        <w:trPr>
          <w:cantSplit/>
          <w:trHeight w:val="576"/>
        </w:trPr>
        <w:tc>
          <w:tcPr>
            <w:tcW w:w="1732" w:type="dxa"/>
            <w:vAlign w:val="center"/>
          </w:tcPr>
          <w:p w14:paraId="314301DB" w14:textId="77777777" w:rsidR="00D04C52" w:rsidRPr="00A0676A" w:rsidRDefault="00D04C52" w:rsidP="00B46744">
            <w:pPr>
              <w:rPr>
                <w:color w:val="000000" w:themeColor="text1"/>
                <w:sz w:val="18"/>
                <w:szCs w:val="18"/>
              </w:rPr>
            </w:pPr>
            <w:r w:rsidRPr="00A0676A">
              <w:rPr>
                <w:color w:val="000000" w:themeColor="text1"/>
                <w:sz w:val="18"/>
                <w:szCs w:val="18"/>
              </w:rPr>
              <w:t>Macro-level environmental factors</w:t>
            </w:r>
          </w:p>
        </w:tc>
        <w:tc>
          <w:tcPr>
            <w:tcW w:w="7618" w:type="dxa"/>
            <w:vAlign w:val="center"/>
          </w:tcPr>
          <w:p w14:paraId="72AB0AA5" w14:textId="21855839" w:rsidR="00D04C52" w:rsidRPr="00A0676A" w:rsidRDefault="00D04C52" w:rsidP="00FE7F47">
            <w:pPr>
              <w:rPr>
                <w:color w:val="000000" w:themeColor="text1"/>
                <w:sz w:val="18"/>
                <w:szCs w:val="18"/>
              </w:rPr>
            </w:pPr>
            <w:r w:rsidRPr="00A0676A">
              <w:rPr>
                <w:color w:val="000000" w:themeColor="text1"/>
                <w:sz w:val="18"/>
                <w:szCs w:val="18"/>
              </w:rPr>
              <w:t>Based upon the Socio-ecological Model</w:t>
            </w:r>
            <w:r w:rsidR="00D2134A">
              <w:rPr>
                <w:color w:val="000000" w:themeColor="text1"/>
                <w:sz w:val="18"/>
                <w:szCs w:val="18"/>
              </w:rPr>
              <w:fldChar w:fldCharType="begin"/>
            </w:r>
            <w:r w:rsidR="00D2134A">
              <w:rPr>
                <w:color w:val="000000" w:themeColor="text1"/>
                <w:sz w:val="18"/>
                <w:szCs w:val="18"/>
              </w:rPr>
              <w:instrText xml:space="preserve"> ADDIN EN.CITE &lt;EndNote&gt;&lt;Cite ExcludeAuth="1" ExcludeYear="1"&gt;&lt;Author&gt;McLeroy&lt;/Author&gt;&lt;Year&gt;1988&lt;/Year&gt;&lt;RecNum&gt;198&lt;/RecNum&gt;&lt;DisplayText&gt;(2)&lt;/DisplayText&gt;&lt;record&gt;&lt;rec-number&gt;198&lt;/rec-number&gt;&lt;foreign-keys&gt;&lt;key app="EN" db-id="a2vz2dfp8xrad6exes75zwpiw5rxwa0vwapv" timestamp="1477430808"&gt;198&lt;/key&gt;&lt;/foreign-keys&gt;&lt;ref-type name="Journal Article"&gt;17&lt;/ref-type&gt;&lt;contributors&gt;&lt;authors&gt;&lt;author&gt;McLeroy, K. R.&lt;/author&gt;&lt;author&gt;Bibeau, D.&lt;/author&gt;&lt;author&gt;Steckler, A.&lt;/author&gt;&lt;author&gt;Glanz, K.&lt;/author&gt;&lt;/authors&gt;&lt;/contributors&gt;&lt;auth-address&gt;Department of Public Health Education, University of North Carolina, Greensboro 27412.&lt;/auth-address&gt;&lt;titles&gt;&lt;title&gt;An ecological perspective on health promotion programs&lt;/title&gt;&lt;secondary-title&gt;Health Educ Q&lt;/secondary-title&gt;&lt;/titles&gt;&lt;periodical&gt;&lt;full-title&gt;Health Educ Q&lt;/full-title&gt;&lt;/periodical&gt;&lt;pages&gt;351-77&lt;/pages&gt;&lt;volume&gt;15&lt;/volume&gt;&lt;number&gt;4&lt;/number&gt;&lt;keywords&gt;&lt;keyword&gt;Community Health Services&lt;/keyword&gt;&lt;keyword&gt;*Health Behavior&lt;/keyword&gt;&lt;keyword&gt;Health Promotion/*methods&lt;/keyword&gt;&lt;keyword&gt;Humans&lt;/keyword&gt;&lt;keyword&gt;*Social Environment&lt;/keyword&gt;&lt;/keywords&gt;&lt;dates&gt;&lt;year&gt;1988&lt;/year&gt;&lt;pub-dates&gt;&lt;date&gt;Winter&lt;/date&gt;&lt;/pub-dates&gt;&lt;/dates&gt;&lt;isbn&gt;0195-8402 (Print)&amp;#xD;0195-8402 (Linking)&lt;/isbn&gt;&lt;accession-num&gt;3068205&lt;/accession-num&gt;&lt;urls&gt;&lt;related-urls&gt;&lt;url&gt;https://www.ncbi.nlm.nih.gov/pubmed/3068205&lt;/url&gt;&lt;/related-urls&gt;&lt;/urls&gt;&lt;/record&gt;&lt;/Cite&gt;&lt;/EndNote&gt;</w:instrText>
            </w:r>
            <w:r w:rsidR="00D2134A">
              <w:rPr>
                <w:color w:val="000000" w:themeColor="text1"/>
                <w:sz w:val="18"/>
                <w:szCs w:val="18"/>
              </w:rPr>
              <w:fldChar w:fldCharType="separate"/>
            </w:r>
            <w:r w:rsidR="00D2134A">
              <w:rPr>
                <w:noProof/>
                <w:color w:val="000000" w:themeColor="text1"/>
                <w:sz w:val="18"/>
                <w:szCs w:val="18"/>
              </w:rPr>
              <w:t>(</w:t>
            </w:r>
            <w:hyperlink w:anchor="_ENREF_2" w:tooltip="McLeroy, 1988 #198" w:history="1">
              <w:r w:rsidR="00A234A9">
                <w:rPr>
                  <w:noProof/>
                  <w:color w:val="000000" w:themeColor="text1"/>
                  <w:sz w:val="18"/>
                  <w:szCs w:val="18"/>
                </w:rPr>
                <w:t>2</w:t>
              </w:r>
            </w:hyperlink>
            <w:r w:rsidR="00D2134A">
              <w:rPr>
                <w:noProof/>
                <w:color w:val="000000" w:themeColor="text1"/>
                <w:sz w:val="18"/>
                <w:szCs w:val="18"/>
              </w:rPr>
              <w:t>)</w:t>
            </w:r>
            <w:r w:rsidR="00D2134A">
              <w:rPr>
                <w:color w:val="000000" w:themeColor="text1"/>
                <w:sz w:val="18"/>
                <w:szCs w:val="18"/>
              </w:rPr>
              <w:fldChar w:fldCharType="end"/>
            </w:r>
            <w:r w:rsidR="00CB6568">
              <w:rPr>
                <w:color w:val="000000" w:themeColor="text1"/>
                <w:sz w:val="18"/>
                <w:szCs w:val="18"/>
              </w:rPr>
              <w:t>(</w:t>
            </w:r>
            <w:hyperlink w:anchor="_ENREF_2" w:tooltip="McLeroy, 1988 #198" w:history="1">
              <w:r w:rsidR="00CB6568">
                <w:rPr>
                  <w:color w:val="000000" w:themeColor="text1"/>
                  <w:sz w:val="18"/>
                  <w:szCs w:val="18"/>
                </w:rPr>
                <w:t>2</w:t>
              </w:r>
            </w:hyperlink>
            <w:r w:rsidR="00CB6568">
              <w:rPr>
                <w:color w:val="000000" w:themeColor="text1"/>
                <w:sz w:val="18"/>
                <w:szCs w:val="18"/>
              </w:rPr>
              <w:t>)</w:t>
            </w:r>
            <w:r w:rsidR="00557FCD">
              <w:rPr>
                <w:color w:val="000000" w:themeColor="text1"/>
                <w:sz w:val="18"/>
                <w:szCs w:val="18"/>
              </w:rPr>
              <w:t>(</w:t>
            </w:r>
            <w:hyperlink w:anchor="_ENREF_2" w:tooltip="McLeroy, 1988 #198" w:history="1">
              <w:r w:rsidR="00557FCD">
                <w:rPr>
                  <w:color w:val="000000" w:themeColor="text1"/>
                  <w:sz w:val="18"/>
                  <w:szCs w:val="18"/>
                </w:rPr>
                <w:t>2</w:t>
              </w:r>
            </w:hyperlink>
            <w:r w:rsidR="00557FCD">
              <w:rPr>
                <w:color w:val="000000" w:themeColor="text1"/>
                <w:sz w:val="18"/>
                <w:szCs w:val="18"/>
              </w:rPr>
              <w:t>)(</w:t>
            </w:r>
            <w:hyperlink w:anchor="_ENREF_2" w:tooltip="McLeroy, 1988 #198" w:history="1">
              <w:r w:rsidR="00557FCD">
                <w:rPr>
                  <w:color w:val="000000" w:themeColor="text1"/>
                  <w:sz w:val="18"/>
                  <w:szCs w:val="18"/>
                </w:rPr>
                <w:t>2</w:t>
              </w:r>
            </w:hyperlink>
            <w:r w:rsidR="00557FCD">
              <w:rPr>
                <w:color w:val="000000" w:themeColor="text1"/>
                <w:sz w:val="18"/>
                <w:szCs w:val="18"/>
              </w:rPr>
              <w:t>)(</w:t>
            </w:r>
            <w:hyperlink w:anchor="_ENREF_2" w:tooltip="McLeroy, 1988 #198" w:history="1">
              <w:r w:rsidR="00557FCD">
                <w:rPr>
                  <w:color w:val="000000" w:themeColor="text1"/>
                  <w:sz w:val="18"/>
                  <w:szCs w:val="18"/>
                </w:rPr>
                <w:t>2</w:t>
              </w:r>
            </w:hyperlink>
            <w:r w:rsidR="00557FCD">
              <w:rPr>
                <w:color w:val="000000" w:themeColor="text1"/>
                <w:sz w:val="18"/>
                <w:szCs w:val="18"/>
              </w:rPr>
              <w:t>)(</w:t>
            </w:r>
            <w:hyperlink w:anchor="_ENREF_2" w:tooltip="McLeroy, 1988 #198" w:history="1">
              <w:r w:rsidR="00557FCD">
                <w:rPr>
                  <w:color w:val="000000" w:themeColor="text1"/>
                  <w:sz w:val="18"/>
                  <w:szCs w:val="18"/>
                </w:rPr>
                <w:t>2</w:t>
              </w:r>
            </w:hyperlink>
            <w:r w:rsidR="00557FCD">
              <w:rPr>
                <w:color w:val="000000" w:themeColor="text1"/>
                <w:sz w:val="18"/>
                <w:szCs w:val="18"/>
              </w:rPr>
              <w:t>)</w:t>
            </w:r>
            <w:r>
              <w:rPr>
                <w:color w:val="000000" w:themeColor="text1"/>
                <w:sz w:val="18"/>
                <w:szCs w:val="18"/>
              </w:rPr>
              <w:t>,</w:t>
            </w:r>
            <w:r w:rsidRPr="00A0676A">
              <w:rPr>
                <w:color w:val="000000" w:themeColor="text1"/>
                <w:sz w:val="18"/>
                <w:szCs w:val="18"/>
              </w:rPr>
              <w:t xml:space="preserve"> large scale environmental factors that may confound the relationship between menthol use and smoking behaviors; examples include state or local tobacco control policies, cigarette prices/taxes, work/employer policies, and tobacco industry menthol marketing.</w:t>
            </w:r>
          </w:p>
        </w:tc>
      </w:tr>
      <w:tr w:rsidR="00D04C52" w:rsidRPr="00A0676A" w14:paraId="24F0710B" w14:textId="77777777" w:rsidTr="00B46744">
        <w:trPr>
          <w:cantSplit/>
          <w:trHeight w:val="576"/>
        </w:trPr>
        <w:tc>
          <w:tcPr>
            <w:tcW w:w="1732" w:type="dxa"/>
            <w:vAlign w:val="center"/>
          </w:tcPr>
          <w:p w14:paraId="51ABDBAE" w14:textId="77777777" w:rsidR="00D04C52" w:rsidRPr="00A0676A" w:rsidRDefault="00D04C52" w:rsidP="00B46744">
            <w:pPr>
              <w:rPr>
                <w:color w:val="000000" w:themeColor="text1"/>
                <w:sz w:val="18"/>
                <w:szCs w:val="18"/>
              </w:rPr>
            </w:pPr>
            <w:r w:rsidRPr="00A0676A">
              <w:rPr>
                <w:color w:val="000000" w:themeColor="text1"/>
                <w:sz w:val="18"/>
                <w:szCs w:val="18"/>
              </w:rPr>
              <w:t>Meso-level environmental factors</w:t>
            </w:r>
          </w:p>
        </w:tc>
        <w:tc>
          <w:tcPr>
            <w:tcW w:w="7618" w:type="dxa"/>
            <w:vAlign w:val="center"/>
          </w:tcPr>
          <w:p w14:paraId="49177BAD" w14:textId="24CBFBD2" w:rsidR="00D04C52" w:rsidRPr="00A0676A" w:rsidRDefault="00D04C52" w:rsidP="00FE7F47">
            <w:pPr>
              <w:rPr>
                <w:color w:val="000000" w:themeColor="text1"/>
                <w:sz w:val="18"/>
                <w:szCs w:val="18"/>
              </w:rPr>
            </w:pPr>
            <w:r w:rsidRPr="00A0676A">
              <w:rPr>
                <w:color w:val="000000" w:themeColor="text1"/>
                <w:sz w:val="18"/>
                <w:szCs w:val="18"/>
              </w:rPr>
              <w:t>Based upon the Socio-ecological Model</w:t>
            </w:r>
            <w:r w:rsidR="00D2134A">
              <w:rPr>
                <w:color w:val="000000" w:themeColor="text1"/>
                <w:sz w:val="18"/>
                <w:szCs w:val="18"/>
              </w:rPr>
              <w:fldChar w:fldCharType="begin"/>
            </w:r>
            <w:r w:rsidR="00D2134A">
              <w:rPr>
                <w:color w:val="000000" w:themeColor="text1"/>
                <w:sz w:val="18"/>
                <w:szCs w:val="18"/>
              </w:rPr>
              <w:instrText xml:space="preserve"> ADDIN EN.CITE &lt;EndNote&gt;&lt;Cite ExcludeAuth="1" ExcludeYear="1"&gt;&lt;Author&gt;McLeroy&lt;/Author&gt;&lt;Year&gt;1988&lt;/Year&gt;&lt;RecNum&gt;198&lt;/RecNum&gt;&lt;DisplayText&gt;(2)&lt;/DisplayText&gt;&lt;record&gt;&lt;rec-number&gt;198&lt;/rec-number&gt;&lt;foreign-keys&gt;&lt;key app="EN" db-id="a2vz2dfp8xrad6exes75zwpiw5rxwa0vwapv" timestamp="1477430808"&gt;198&lt;/key&gt;&lt;/foreign-keys&gt;&lt;ref-type name="Journal Article"&gt;17&lt;/ref-type&gt;&lt;contributors&gt;&lt;authors&gt;&lt;author&gt;McLeroy, K. R.&lt;/author&gt;&lt;author&gt;Bibeau, D.&lt;/author&gt;&lt;author&gt;Steckler, A.&lt;/author&gt;&lt;author&gt;Glanz, K.&lt;/author&gt;&lt;/authors&gt;&lt;/contributors&gt;&lt;auth-address&gt;Department of Public Health Education, University of North Carolina, Greensboro 27412.&lt;/auth-address&gt;&lt;titles&gt;&lt;title&gt;An ecological perspective on health promotion programs&lt;/title&gt;&lt;secondary-title&gt;Health Educ Q&lt;/secondary-title&gt;&lt;/titles&gt;&lt;periodical&gt;&lt;full-title&gt;Health Educ Q&lt;/full-title&gt;&lt;/periodical&gt;&lt;pages&gt;351-77&lt;/pages&gt;&lt;volume&gt;15&lt;/volume&gt;&lt;number&gt;4&lt;/number&gt;&lt;keywords&gt;&lt;keyword&gt;Community Health Services&lt;/keyword&gt;&lt;keyword&gt;*Health Behavior&lt;/keyword&gt;&lt;keyword&gt;Health Promotion/*methods&lt;/keyword&gt;&lt;keyword&gt;Humans&lt;/keyword&gt;&lt;keyword&gt;*Social Environment&lt;/keyword&gt;&lt;/keywords&gt;&lt;dates&gt;&lt;year&gt;1988&lt;/year&gt;&lt;pub-dates&gt;&lt;date&gt;Winter&lt;/date&gt;&lt;/pub-dates&gt;&lt;/dates&gt;&lt;isbn&gt;0195-8402 (Print)&amp;#xD;0195-8402 (Linking)&lt;/isbn&gt;&lt;accession-num&gt;3068205&lt;/accession-num&gt;&lt;urls&gt;&lt;related-urls&gt;&lt;url&gt;https://www.ncbi.nlm.nih.gov/pubmed/3068205&lt;/url&gt;&lt;/related-urls&gt;&lt;/urls&gt;&lt;/record&gt;&lt;/Cite&gt;&lt;/EndNote&gt;</w:instrText>
            </w:r>
            <w:r w:rsidR="00D2134A">
              <w:rPr>
                <w:color w:val="000000" w:themeColor="text1"/>
                <w:sz w:val="18"/>
                <w:szCs w:val="18"/>
              </w:rPr>
              <w:fldChar w:fldCharType="separate"/>
            </w:r>
            <w:r w:rsidR="00D2134A">
              <w:rPr>
                <w:noProof/>
                <w:color w:val="000000" w:themeColor="text1"/>
                <w:sz w:val="18"/>
                <w:szCs w:val="18"/>
              </w:rPr>
              <w:t>(</w:t>
            </w:r>
            <w:hyperlink w:anchor="_ENREF_2" w:tooltip="McLeroy, 1988 #198" w:history="1">
              <w:r w:rsidR="00A234A9">
                <w:rPr>
                  <w:noProof/>
                  <w:color w:val="000000" w:themeColor="text1"/>
                  <w:sz w:val="18"/>
                  <w:szCs w:val="18"/>
                </w:rPr>
                <w:t>2</w:t>
              </w:r>
            </w:hyperlink>
            <w:r w:rsidR="00D2134A">
              <w:rPr>
                <w:noProof/>
                <w:color w:val="000000" w:themeColor="text1"/>
                <w:sz w:val="18"/>
                <w:szCs w:val="18"/>
              </w:rPr>
              <w:t>)</w:t>
            </w:r>
            <w:r w:rsidR="00D2134A">
              <w:rPr>
                <w:color w:val="000000" w:themeColor="text1"/>
                <w:sz w:val="18"/>
                <w:szCs w:val="18"/>
              </w:rPr>
              <w:fldChar w:fldCharType="end"/>
            </w:r>
            <w:r w:rsidR="00CB6568">
              <w:rPr>
                <w:color w:val="000000" w:themeColor="text1"/>
                <w:sz w:val="18"/>
                <w:szCs w:val="18"/>
              </w:rPr>
              <w:t>(</w:t>
            </w:r>
            <w:hyperlink w:anchor="_ENREF_2" w:tooltip="McLeroy, 1988 #198" w:history="1">
              <w:r w:rsidR="00CB6568">
                <w:rPr>
                  <w:color w:val="000000" w:themeColor="text1"/>
                  <w:sz w:val="18"/>
                  <w:szCs w:val="18"/>
                </w:rPr>
                <w:t>2</w:t>
              </w:r>
            </w:hyperlink>
            <w:r w:rsidR="00CB6568">
              <w:rPr>
                <w:color w:val="000000" w:themeColor="text1"/>
                <w:sz w:val="18"/>
                <w:szCs w:val="18"/>
              </w:rPr>
              <w:t>)</w:t>
            </w:r>
            <w:r w:rsidR="00557FCD">
              <w:rPr>
                <w:color w:val="000000" w:themeColor="text1"/>
                <w:sz w:val="18"/>
                <w:szCs w:val="18"/>
              </w:rPr>
              <w:t>(</w:t>
            </w:r>
            <w:hyperlink w:anchor="_ENREF_2" w:tooltip="McLeroy, 1988 #198" w:history="1">
              <w:r w:rsidR="00557FCD">
                <w:rPr>
                  <w:color w:val="000000" w:themeColor="text1"/>
                  <w:sz w:val="18"/>
                  <w:szCs w:val="18"/>
                </w:rPr>
                <w:t>2</w:t>
              </w:r>
            </w:hyperlink>
            <w:r w:rsidR="00557FCD">
              <w:rPr>
                <w:color w:val="000000" w:themeColor="text1"/>
                <w:sz w:val="18"/>
                <w:szCs w:val="18"/>
              </w:rPr>
              <w:t>)(</w:t>
            </w:r>
            <w:hyperlink w:anchor="_ENREF_2" w:tooltip="McLeroy, 1988 #198" w:history="1">
              <w:r w:rsidR="00557FCD">
                <w:rPr>
                  <w:color w:val="000000" w:themeColor="text1"/>
                  <w:sz w:val="18"/>
                  <w:szCs w:val="18"/>
                </w:rPr>
                <w:t>2</w:t>
              </w:r>
            </w:hyperlink>
            <w:r w:rsidR="00557FCD">
              <w:rPr>
                <w:color w:val="000000" w:themeColor="text1"/>
                <w:sz w:val="18"/>
                <w:szCs w:val="18"/>
              </w:rPr>
              <w:t>)(</w:t>
            </w:r>
            <w:hyperlink w:anchor="_ENREF_2" w:tooltip="McLeroy, 1988 #198" w:history="1">
              <w:r w:rsidR="00557FCD">
                <w:rPr>
                  <w:color w:val="000000" w:themeColor="text1"/>
                  <w:sz w:val="18"/>
                  <w:szCs w:val="18"/>
                </w:rPr>
                <w:t>2</w:t>
              </w:r>
            </w:hyperlink>
            <w:r w:rsidR="00557FCD">
              <w:rPr>
                <w:color w:val="000000" w:themeColor="text1"/>
                <w:sz w:val="18"/>
                <w:szCs w:val="18"/>
              </w:rPr>
              <w:t>)(</w:t>
            </w:r>
            <w:hyperlink w:anchor="_ENREF_2" w:tooltip="McLeroy, 1988 #198" w:history="1">
              <w:r w:rsidR="00557FCD">
                <w:rPr>
                  <w:color w:val="000000" w:themeColor="text1"/>
                  <w:sz w:val="18"/>
                  <w:szCs w:val="18"/>
                </w:rPr>
                <w:t>2</w:t>
              </w:r>
            </w:hyperlink>
            <w:r w:rsidR="00557FCD">
              <w:rPr>
                <w:color w:val="000000" w:themeColor="text1"/>
                <w:sz w:val="18"/>
                <w:szCs w:val="18"/>
              </w:rPr>
              <w:t>)</w:t>
            </w:r>
            <w:r>
              <w:rPr>
                <w:color w:val="000000" w:themeColor="text1"/>
                <w:sz w:val="18"/>
                <w:szCs w:val="18"/>
              </w:rPr>
              <w:t>,</w:t>
            </w:r>
            <w:r w:rsidRPr="00A0676A">
              <w:rPr>
                <w:color w:val="000000" w:themeColor="text1"/>
                <w:sz w:val="18"/>
                <w:szCs w:val="18"/>
              </w:rPr>
              <w:t xml:space="preserve"> socio-cultural and physical environmental factors that may confound the relationship between menthol use and smoking behaviors; examples include geographic location, living with smoking relatives, brand preferences for menthol cigarettes.</w:t>
            </w:r>
          </w:p>
        </w:tc>
      </w:tr>
      <w:tr w:rsidR="00D04C52" w:rsidRPr="00A0676A" w14:paraId="5E659B77" w14:textId="77777777" w:rsidTr="00B46744">
        <w:trPr>
          <w:cantSplit/>
          <w:trHeight w:val="576"/>
        </w:trPr>
        <w:tc>
          <w:tcPr>
            <w:tcW w:w="1732" w:type="dxa"/>
            <w:vAlign w:val="center"/>
          </w:tcPr>
          <w:p w14:paraId="372D7AA1" w14:textId="77777777" w:rsidR="00D04C52" w:rsidRPr="00A0676A" w:rsidRDefault="00D04C52" w:rsidP="00B46744">
            <w:pPr>
              <w:rPr>
                <w:color w:val="000000" w:themeColor="text1"/>
                <w:sz w:val="18"/>
                <w:szCs w:val="18"/>
              </w:rPr>
            </w:pPr>
            <w:r w:rsidRPr="00A0676A">
              <w:rPr>
                <w:color w:val="000000" w:themeColor="text1"/>
                <w:sz w:val="18"/>
                <w:szCs w:val="18"/>
              </w:rPr>
              <w:t>Micro-level environmental factors</w:t>
            </w:r>
          </w:p>
        </w:tc>
        <w:tc>
          <w:tcPr>
            <w:tcW w:w="7618" w:type="dxa"/>
            <w:vAlign w:val="center"/>
          </w:tcPr>
          <w:p w14:paraId="66C63ED7" w14:textId="0711985D" w:rsidR="00D04C52" w:rsidRPr="00A0676A" w:rsidRDefault="00D04C52" w:rsidP="00FE7F47">
            <w:pPr>
              <w:rPr>
                <w:color w:val="000000" w:themeColor="text1"/>
                <w:sz w:val="18"/>
                <w:szCs w:val="18"/>
              </w:rPr>
            </w:pPr>
            <w:r w:rsidRPr="00A0676A">
              <w:rPr>
                <w:color w:val="000000" w:themeColor="text1"/>
                <w:sz w:val="18"/>
                <w:szCs w:val="18"/>
              </w:rPr>
              <w:t>Based upon the Socio-ecological Model</w:t>
            </w:r>
            <w:r w:rsidR="00D2134A">
              <w:rPr>
                <w:color w:val="000000" w:themeColor="text1"/>
                <w:sz w:val="18"/>
                <w:szCs w:val="18"/>
              </w:rPr>
              <w:fldChar w:fldCharType="begin"/>
            </w:r>
            <w:r w:rsidR="00D2134A">
              <w:rPr>
                <w:color w:val="000000" w:themeColor="text1"/>
                <w:sz w:val="18"/>
                <w:szCs w:val="18"/>
              </w:rPr>
              <w:instrText xml:space="preserve"> ADDIN EN.CITE &lt;EndNote&gt;&lt;Cite ExcludeAuth="1" ExcludeYear="1"&gt;&lt;Author&gt;McLeroy&lt;/Author&gt;&lt;Year&gt;1988&lt;/Year&gt;&lt;RecNum&gt;198&lt;/RecNum&gt;&lt;DisplayText&gt;(2)&lt;/DisplayText&gt;&lt;record&gt;&lt;rec-number&gt;198&lt;/rec-number&gt;&lt;foreign-keys&gt;&lt;key app="EN" db-id="a2vz2dfp8xrad6exes75zwpiw5rxwa0vwapv" timestamp="1477430808"&gt;198&lt;/key&gt;&lt;/foreign-keys&gt;&lt;ref-type name="Journal Article"&gt;17&lt;/ref-type&gt;&lt;contributors&gt;&lt;authors&gt;&lt;author&gt;McLeroy, K. R.&lt;/author&gt;&lt;author&gt;Bibeau, D.&lt;/author&gt;&lt;author&gt;Steckler, A.&lt;/author&gt;&lt;author&gt;Glanz, K.&lt;/author&gt;&lt;/authors&gt;&lt;/contributors&gt;&lt;auth-address&gt;Department of Public Health Education, University of North Carolina, Greensboro 27412.&lt;/auth-address&gt;&lt;titles&gt;&lt;title&gt;An ecological perspective on health promotion programs&lt;/title&gt;&lt;secondary-title&gt;Health Educ Q&lt;/secondary-title&gt;&lt;/titles&gt;&lt;periodical&gt;&lt;full-title&gt;Health Educ Q&lt;/full-title&gt;&lt;/periodical&gt;&lt;pages&gt;351-77&lt;/pages&gt;&lt;volume&gt;15&lt;/volume&gt;&lt;number&gt;4&lt;/number&gt;&lt;keywords&gt;&lt;keyword&gt;Community Health Services&lt;/keyword&gt;&lt;keyword&gt;*Health Behavior&lt;/keyword&gt;&lt;keyword&gt;Health Promotion/*methods&lt;/keyword&gt;&lt;keyword&gt;Humans&lt;/keyword&gt;&lt;keyword&gt;*Social Environment&lt;/keyword&gt;&lt;/keywords&gt;&lt;dates&gt;&lt;year&gt;1988&lt;/year&gt;&lt;pub-dates&gt;&lt;date&gt;Winter&lt;/date&gt;&lt;/pub-dates&gt;&lt;/dates&gt;&lt;isbn&gt;0195-8402 (Print)&amp;#xD;0195-8402 (Linking)&lt;/isbn&gt;&lt;accession-num&gt;3068205&lt;/accession-num&gt;&lt;urls&gt;&lt;related-urls&gt;&lt;url&gt;https://www.ncbi.nlm.nih.gov/pubmed/3068205&lt;/url&gt;&lt;/related-urls&gt;&lt;/urls&gt;&lt;/record&gt;&lt;/Cite&gt;&lt;/EndNote&gt;</w:instrText>
            </w:r>
            <w:r w:rsidR="00D2134A">
              <w:rPr>
                <w:color w:val="000000" w:themeColor="text1"/>
                <w:sz w:val="18"/>
                <w:szCs w:val="18"/>
              </w:rPr>
              <w:fldChar w:fldCharType="separate"/>
            </w:r>
            <w:r w:rsidR="00D2134A">
              <w:rPr>
                <w:noProof/>
                <w:color w:val="000000" w:themeColor="text1"/>
                <w:sz w:val="18"/>
                <w:szCs w:val="18"/>
              </w:rPr>
              <w:t>(</w:t>
            </w:r>
            <w:hyperlink w:anchor="_ENREF_2" w:tooltip="McLeroy, 1988 #198" w:history="1">
              <w:r w:rsidR="00A234A9">
                <w:rPr>
                  <w:noProof/>
                  <w:color w:val="000000" w:themeColor="text1"/>
                  <w:sz w:val="18"/>
                  <w:szCs w:val="18"/>
                </w:rPr>
                <w:t>2</w:t>
              </w:r>
            </w:hyperlink>
            <w:r w:rsidR="00D2134A">
              <w:rPr>
                <w:noProof/>
                <w:color w:val="000000" w:themeColor="text1"/>
                <w:sz w:val="18"/>
                <w:szCs w:val="18"/>
              </w:rPr>
              <w:t>)</w:t>
            </w:r>
            <w:r w:rsidR="00D2134A">
              <w:rPr>
                <w:color w:val="000000" w:themeColor="text1"/>
                <w:sz w:val="18"/>
                <w:szCs w:val="18"/>
              </w:rPr>
              <w:fldChar w:fldCharType="end"/>
            </w:r>
            <w:r w:rsidR="00CB6568">
              <w:rPr>
                <w:color w:val="000000" w:themeColor="text1"/>
                <w:sz w:val="18"/>
                <w:szCs w:val="18"/>
              </w:rPr>
              <w:t>(</w:t>
            </w:r>
            <w:hyperlink w:anchor="_ENREF_2" w:tooltip="McLeroy, 1988 #198" w:history="1">
              <w:r w:rsidR="00CB6568">
                <w:rPr>
                  <w:color w:val="000000" w:themeColor="text1"/>
                  <w:sz w:val="18"/>
                  <w:szCs w:val="18"/>
                </w:rPr>
                <w:t>2</w:t>
              </w:r>
            </w:hyperlink>
            <w:r w:rsidR="00CB6568">
              <w:rPr>
                <w:color w:val="000000" w:themeColor="text1"/>
                <w:sz w:val="18"/>
                <w:szCs w:val="18"/>
              </w:rPr>
              <w:t>)</w:t>
            </w:r>
            <w:r w:rsidR="00557FCD">
              <w:rPr>
                <w:color w:val="000000" w:themeColor="text1"/>
                <w:sz w:val="18"/>
                <w:szCs w:val="18"/>
              </w:rPr>
              <w:t>(</w:t>
            </w:r>
            <w:hyperlink w:anchor="_ENREF_2" w:tooltip="McLeroy, 1988 #198" w:history="1">
              <w:r w:rsidR="00557FCD">
                <w:rPr>
                  <w:color w:val="000000" w:themeColor="text1"/>
                  <w:sz w:val="18"/>
                  <w:szCs w:val="18"/>
                </w:rPr>
                <w:t>2</w:t>
              </w:r>
            </w:hyperlink>
            <w:r w:rsidR="00557FCD">
              <w:rPr>
                <w:color w:val="000000" w:themeColor="text1"/>
                <w:sz w:val="18"/>
                <w:szCs w:val="18"/>
              </w:rPr>
              <w:t>)(</w:t>
            </w:r>
            <w:hyperlink w:anchor="_ENREF_2" w:tooltip="McLeroy, 1988 #198" w:history="1">
              <w:r w:rsidR="00557FCD">
                <w:rPr>
                  <w:color w:val="000000" w:themeColor="text1"/>
                  <w:sz w:val="18"/>
                  <w:szCs w:val="18"/>
                </w:rPr>
                <w:t>2</w:t>
              </w:r>
            </w:hyperlink>
            <w:r w:rsidR="00557FCD">
              <w:rPr>
                <w:color w:val="000000" w:themeColor="text1"/>
                <w:sz w:val="18"/>
                <w:szCs w:val="18"/>
              </w:rPr>
              <w:t>)(</w:t>
            </w:r>
            <w:hyperlink w:anchor="_ENREF_2" w:tooltip="McLeroy, 1988 #198" w:history="1">
              <w:r w:rsidR="00557FCD">
                <w:rPr>
                  <w:color w:val="000000" w:themeColor="text1"/>
                  <w:sz w:val="18"/>
                  <w:szCs w:val="18"/>
                </w:rPr>
                <w:t>2</w:t>
              </w:r>
            </w:hyperlink>
            <w:r w:rsidR="00557FCD">
              <w:rPr>
                <w:color w:val="000000" w:themeColor="text1"/>
                <w:sz w:val="18"/>
                <w:szCs w:val="18"/>
              </w:rPr>
              <w:t>)(</w:t>
            </w:r>
            <w:hyperlink w:anchor="_ENREF_2" w:tooltip="McLeroy, 1988 #198" w:history="1">
              <w:r w:rsidR="00557FCD">
                <w:rPr>
                  <w:color w:val="000000" w:themeColor="text1"/>
                  <w:sz w:val="18"/>
                  <w:szCs w:val="18"/>
                </w:rPr>
                <w:t>2</w:t>
              </w:r>
            </w:hyperlink>
            <w:r w:rsidR="00557FCD">
              <w:rPr>
                <w:color w:val="000000" w:themeColor="text1"/>
                <w:sz w:val="18"/>
                <w:szCs w:val="18"/>
              </w:rPr>
              <w:t>)</w:t>
            </w:r>
            <w:r>
              <w:rPr>
                <w:color w:val="000000" w:themeColor="text1"/>
                <w:sz w:val="18"/>
                <w:szCs w:val="18"/>
              </w:rPr>
              <w:t>,</w:t>
            </w:r>
            <w:r w:rsidRPr="00A0676A">
              <w:rPr>
                <w:color w:val="000000" w:themeColor="text1"/>
                <w:sz w:val="18"/>
                <w:szCs w:val="18"/>
              </w:rPr>
              <w:t xml:space="preserve"> individual factors that may confound the relationship between menthol use and smoking behaviors; examples include age, gender, race/ethnicity, education and income.</w:t>
            </w:r>
          </w:p>
        </w:tc>
      </w:tr>
      <w:tr w:rsidR="00D04C52" w:rsidRPr="00A0676A" w14:paraId="3C56FCDB" w14:textId="77777777" w:rsidTr="00B46744">
        <w:trPr>
          <w:cantSplit/>
          <w:trHeight w:val="576"/>
        </w:trPr>
        <w:tc>
          <w:tcPr>
            <w:tcW w:w="1732" w:type="dxa"/>
            <w:vAlign w:val="center"/>
          </w:tcPr>
          <w:p w14:paraId="7B0A0A81" w14:textId="77777777" w:rsidR="00D04C52" w:rsidRPr="00A0676A" w:rsidRDefault="00D04C52" w:rsidP="00B46744">
            <w:pPr>
              <w:rPr>
                <w:color w:val="000000" w:themeColor="text1"/>
                <w:sz w:val="18"/>
                <w:szCs w:val="18"/>
              </w:rPr>
            </w:pPr>
            <w:r w:rsidRPr="00A0676A">
              <w:rPr>
                <w:color w:val="000000" w:themeColor="text1"/>
                <w:sz w:val="18"/>
                <w:szCs w:val="18"/>
              </w:rPr>
              <w:t>Multivariate analysis</w:t>
            </w:r>
          </w:p>
        </w:tc>
        <w:tc>
          <w:tcPr>
            <w:tcW w:w="7618" w:type="dxa"/>
            <w:vAlign w:val="center"/>
          </w:tcPr>
          <w:p w14:paraId="4B41F4BE" w14:textId="77777777" w:rsidR="00D04C52" w:rsidRPr="00A0676A" w:rsidRDefault="00D04C52" w:rsidP="00B46744">
            <w:pPr>
              <w:rPr>
                <w:color w:val="000000" w:themeColor="text1"/>
                <w:sz w:val="18"/>
                <w:szCs w:val="18"/>
              </w:rPr>
            </w:pPr>
            <w:r w:rsidRPr="00A0676A">
              <w:rPr>
                <w:color w:val="000000" w:themeColor="text1"/>
                <w:sz w:val="18"/>
                <w:szCs w:val="18"/>
              </w:rPr>
              <w:t>Used to investigate the relationship between independent variables and outcome by simultaneously allowing adjustment for confounding. Multivariate (also known as multivariable) models assess the effects of several variables simultaneously. The choice of an appropriate multivariable model (e.g., logistic regression, multiple linear regression, Cox proportional hazard analysis) is foremost dependent on the study design and the nature of the outcome variable.</w:t>
            </w:r>
          </w:p>
        </w:tc>
      </w:tr>
      <w:tr w:rsidR="00D04C52" w:rsidRPr="00A0676A" w14:paraId="50BCC636" w14:textId="77777777" w:rsidTr="00B46744">
        <w:trPr>
          <w:cantSplit/>
          <w:trHeight w:val="576"/>
        </w:trPr>
        <w:tc>
          <w:tcPr>
            <w:tcW w:w="1732" w:type="dxa"/>
            <w:vAlign w:val="center"/>
          </w:tcPr>
          <w:p w14:paraId="702F439C" w14:textId="77777777" w:rsidR="00D04C52" w:rsidRPr="00A0676A" w:rsidRDefault="00D04C52" w:rsidP="00B46744">
            <w:pPr>
              <w:rPr>
                <w:color w:val="000000" w:themeColor="text1"/>
                <w:sz w:val="18"/>
                <w:szCs w:val="18"/>
              </w:rPr>
            </w:pPr>
            <w:r w:rsidRPr="00A0676A">
              <w:rPr>
                <w:color w:val="000000" w:themeColor="text1"/>
                <w:sz w:val="18"/>
                <w:szCs w:val="18"/>
              </w:rPr>
              <w:t>Odds Ratio (OR)</w:t>
            </w:r>
          </w:p>
        </w:tc>
        <w:tc>
          <w:tcPr>
            <w:tcW w:w="7618" w:type="dxa"/>
            <w:vAlign w:val="center"/>
          </w:tcPr>
          <w:p w14:paraId="6041A0A5" w14:textId="77777777" w:rsidR="00D04C52" w:rsidRPr="00A0676A" w:rsidRDefault="00D04C52" w:rsidP="00B46744">
            <w:pPr>
              <w:rPr>
                <w:color w:val="000000" w:themeColor="text1"/>
                <w:sz w:val="18"/>
                <w:szCs w:val="18"/>
              </w:rPr>
            </w:pPr>
            <w:r w:rsidRPr="00A0676A">
              <w:rPr>
                <w:color w:val="000000" w:themeColor="text1"/>
                <w:sz w:val="18"/>
                <w:szCs w:val="18"/>
              </w:rPr>
              <w:t>Measure of association between an exposure and an outcome; compares the odds (i.e., probability or likelihood) that an outcome will occur in the exposed group compared with the odds that the outcome will occur in the non-exposed group.</w:t>
            </w:r>
          </w:p>
        </w:tc>
      </w:tr>
      <w:tr w:rsidR="00D04C52" w:rsidRPr="00A0676A" w14:paraId="0F7E1077" w14:textId="77777777" w:rsidTr="00B46744">
        <w:trPr>
          <w:cantSplit/>
          <w:trHeight w:val="576"/>
        </w:trPr>
        <w:tc>
          <w:tcPr>
            <w:tcW w:w="1732" w:type="dxa"/>
            <w:vAlign w:val="center"/>
          </w:tcPr>
          <w:p w14:paraId="750CF183" w14:textId="77777777" w:rsidR="00D04C52" w:rsidRPr="00A0676A" w:rsidRDefault="00D04C52" w:rsidP="00B46744">
            <w:pPr>
              <w:rPr>
                <w:color w:val="000000" w:themeColor="text1"/>
                <w:sz w:val="18"/>
                <w:szCs w:val="18"/>
              </w:rPr>
            </w:pPr>
            <w:r w:rsidRPr="00A0676A">
              <w:rPr>
                <w:color w:val="000000" w:themeColor="text1"/>
                <w:sz w:val="18"/>
                <w:szCs w:val="18"/>
              </w:rPr>
              <w:lastRenderedPageBreak/>
              <w:t xml:space="preserve">Point </w:t>
            </w:r>
            <w:r>
              <w:rPr>
                <w:color w:val="000000" w:themeColor="text1"/>
                <w:sz w:val="18"/>
                <w:szCs w:val="18"/>
              </w:rPr>
              <w:t>e</w:t>
            </w:r>
            <w:r w:rsidRPr="00A0676A">
              <w:rPr>
                <w:color w:val="000000" w:themeColor="text1"/>
                <w:sz w:val="18"/>
                <w:szCs w:val="18"/>
              </w:rPr>
              <w:t>stimate</w:t>
            </w:r>
          </w:p>
        </w:tc>
        <w:tc>
          <w:tcPr>
            <w:tcW w:w="7618" w:type="dxa"/>
            <w:vAlign w:val="center"/>
          </w:tcPr>
          <w:p w14:paraId="0C9A1E03" w14:textId="77777777" w:rsidR="00D04C52" w:rsidRPr="00A0676A" w:rsidRDefault="00D04C52" w:rsidP="00B46744">
            <w:pPr>
              <w:rPr>
                <w:color w:val="000000" w:themeColor="text1"/>
                <w:sz w:val="18"/>
                <w:szCs w:val="18"/>
              </w:rPr>
            </w:pPr>
            <w:r w:rsidRPr="00A0676A">
              <w:rPr>
                <w:color w:val="000000" w:themeColor="text1"/>
                <w:sz w:val="18"/>
                <w:szCs w:val="18"/>
              </w:rPr>
              <w:t xml:space="preserve">Statistical measure of the association between an independent and a dependent variable. Often expressed as a </w:t>
            </w:r>
            <w:r w:rsidR="00AF2B8F">
              <w:rPr>
                <w:color w:val="000000" w:themeColor="text1"/>
                <w:sz w:val="18"/>
                <w:szCs w:val="18"/>
              </w:rPr>
              <w:t>relative effect (see Odds Ratio</w:t>
            </w:r>
            <w:r w:rsidRPr="00A0676A">
              <w:rPr>
                <w:color w:val="000000" w:themeColor="text1"/>
                <w:sz w:val="18"/>
                <w:szCs w:val="18"/>
              </w:rPr>
              <w:t>).</w:t>
            </w:r>
          </w:p>
        </w:tc>
      </w:tr>
      <w:tr w:rsidR="00D04C52" w:rsidRPr="00A0676A" w14:paraId="70780D0C" w14:textId="77777777" w:rsidTr="00B46744">
        <w:trPr>
          <w:cantSplit/>
          <w:trHeight w:val="576"/>
        </w:trPr>
        <w:tc>
          <w:tcPr>
            <w:tcW w:w="1732" w:type="dxa"/>
            <w:vAlign w:val="center"/>
          </w:tcPr>
          <w:p w14:paraId="724A619F" w14:textId="77777777" w:rsidR="00D04C52" w:rsidRPr="00A0676A" w:rsidRDefault="00D04C52" w:rsidP="00B46744">
            <w:pPr>
              <w:rPr>
                <w:color w:val="000000" w:themeColor="text1"/>
                <w:sz w:val="18"/>
                <w:szCs w:val="18"/>
              </w:rPr>
            </w:pPr>
            <w:r w:rsidRPr="00A0676A">
              <w:rPr>
                <w:color w:val="000000" w:themeColor="text1"/>
                <w:sz w:val="18"/>
                <w:szCs w:val="18"/>
              </w:rPr>
              <w:t>Precision</w:t>
            </w:r>
          </w:p>
        </w:tc>
        <w:tc>
          <w:tcPr>
            <w:tcW w:w="7618" w:type="dxa"/>
            <w:vAlign w:val="center"/>
          </w:tcPr>
          <w:p w14:paraId="2A8FFA0A" w14:textId="77777777" w:rsidR="00D04C52" w:rsidRPr="00A0676A" w:rsidRDefault="00D04C52" w:rsidP="00B46744">
            <w:pPr>
              <w:rPr>
                <w:color w:val="000000" w:themeColor="text1"/>
                <w:sz w:val="18"/>
                <w:szCs w:val="18"/>
              </w:rPr>
            </w:pPr>
            <w:r w:rsidRPr="00A0676A">
              <w:rPr>
                <w:color w:val="000000" w:themeColor="text1"/>
                <w:sz w:val="18"/>
                <w:szCs w:val="18"/>
              </w:rPr>
              <w:t>Refers to the width of the confidence interval around a point estimate or sample mean; conveys the level of certainty around the point estimate; precision is largely influenced by sample size.</w:t>
            </w:r>
          </w:p>
        </w:tc>
      </w:tr>
      <w:tr w:rsidR="00D04C52" w:rsidRPr="00A0676A" w14:paraId="30306AA4" w14:textId="77777777" w:rsidTr="00B46744">
        <w:trPr>
          <w:cantSplit/>
          <w:trHeight w:val="576"/>
        </w:trPr>
        <w:tc>
          <w:tcPr>
            <w:tcW w:w="1732" w:type="dxa"/>
            <w:vAlign w:val="center"/>
          </w:tcPr>
          <w:p w14:paraId="48998723" w14:textId="77777777" w:rsidR="00D04C52" w:rsidRPr="00A0676A" w:rsidRDefault="00D04C52" w:rsidP="00B46744">
            <w:pPr>
              <w:rPr>
                <w:color w:val="000000" w:themeColor="text1"/>
                <w:sz w:val="18"/>
                <w:szCs w:val="18"/>
              </w:rPr>
            </w:pPr>
            <w:r w:rsidRPr="00A0676A">
              <w:rPr>
                <w:color w:val="000000" w:themeColor="text1"/>
                <w:sz w:val="18"/>
                <w:szCs w:val="18"/>
              </w:rPr>
              <w:t>Prevalence</w:t>
            </w:r>
          </w:p>
        </w:tc>
        <w:tc>
          <w:tcPr>
            <w:tcW w:w="7618" w:type="dxa"/>
            <w:vAlign w:val="center"/>
          </w:tcPr>
          <w:p w14:paraId="44E21445" w14:textId="77777777" w:rsidR="00D04C52" w:rsidRPr="00A0676A" w:rsidRDefault="00D04C52" w:rsidP="00B46744">
            <w:pPr>
              <w:rPr>
                <w:color w:val="000000" w:themeColor="text1"/>
                <w:sz w:val="18"/>
                <w:szCs w:val="18"/>
              </w:rPr>
            </w:pPr>
            <w:r w:rsidRPr="00A0676A">
              <w:rPr>
                <w:color w:val="000000" w:themeColor="text1"/>
                <w:sz w:val="18"/>
                <w:szCs w:val="18"/>
              </w:rPr>
              <w:t>Number of affected individuals (i.e., cases) alive at a point in time (point prevalence) or during a period of time (period prevalence).</w:t>
            </w:r>
          </w:p>
        </w:tc>
      </w:tr>
      <w:tr w:rsidR="00D04C52" w:rsidRPr="00A0676A" w14:paraId="19D5D85B" w14:textId="77777777" w:rsidTr="00B46744">
        <w:trPr>
          <w:cantSplit/>
          <w:trHeight w:val="576"/>
        </w:trPr>
        <w:tc>
          <w:tcPr>
            <w:tcW w:w="1732" w:type="dxa"/>
            <w:vAlign w:val="center"/>
          </w:tcPr>
          <w:p w14:paraId="4C77EBAC" w14:textId="77777777" w:rsidR="00D04C52" w:rsidRPr="00A0676A" w:rsidRDefault="00D04C52" w:rsidP="00B46744">
            <w:pPr>
              <w:rPr>
                <w:color w:val="000000" w:themeColor="text1"/>
                <w:sz w:val="18"/>
                <w:szCs w:val="18"/>
              </w:rPr>
            </w:pPr>
            <w:r w:rsidRPr="00A0676A">
              <w:rPr>
                <w:color w:val="000000" w:themeColor="text1"/>
                <w:sz w:val="18"/>
                <w:szCs w:val="18"/>
              </w:rPr>
              <w:t>p-value</w:t>
            </w:r>
          </w:p>
        </w:tc>
        <w:tc>
          <w:tcPr>
            <w:tcW w:w="7618" w:type="dxa"/>
            <w:vAlign w:val="center"/>
          </w:tcPr>
          <w:p w14:paraId="2F98F403" w14:textId="77777777" w:rsidR="00D04C52" w:rsidRPr="00A0676A" w:rsidRDefault="00D04C52" w:rsidP="00B46744">
            <w:pPr>
              <w:rPr>
                <w:color w:val="000000" w:themeColor="text1"/>
                <w:sz w:val="18"/>
                <w:szCs w:val="18"/>
              </w:rPr>
            </w:pPr>
            <w:r w:rsidRPr="00A0676A">
              <w:rPr>
                <w:color w:val="000000" w:themeColor="text1"/>
                <w:sz w:val="18"/>
                <w:szCs w:val="18"/>
              </w:rPr>
              <w:t>The probability of seeing an effect equal to or more extreme than the one observed (e.g., point estimate) when in fact no true effect exists. A small p-value conveys that the observed effect is very unlikely to have arisen purely by chance. P-values less than 0.05 are generally reported as “statistically significant.”</w:t>
            </w:r>
          </w:p>
        </w:tc>
      </w:tr>
      <w:tr w:rsidR="00D04C52" w:rsidRPr="00A0676A" w14:paraId="7DF81DBD" w14:textId="77777777" w:rsidTr="00B46744">
        <w:trPr>
          <w:cantSplit/>
          <w:trHeight w:val="576"/>
        </w:trPr>
        <w:tc>
          <w:tcPr>
            <w:tcW w:w="1732" w:type="dxa"/>
            <w:vAlign w:val="center"/>
          </w:tcPr>
          <w:p w14:paraId="3BD9D68D" w14:textId="77777777" w:rsidR="00D04C52" w:rsidRPr="00A0676A" w:rsidRDefault="00D04C52" w:rsidP="00B46744">
            <w:pPr>
              <w:rPr>
                <w:color w:val="000000" w:themeColor="text1"/>
                <w:sz w:val="18"/>
                <w:szCs w:val="18"/>
              </w:rPr>
            </w:pPr>
            <w:r w:rsidRPr="00A0676A">
              <w:rPr>
                <w:color w:val="000000" w:themeColor="text1"/>
                <w:sz w:val="18"/>
                <w:szCs w:val="18"/>
              </w:rPr>
              <w:t>Reliability</w:t>
            </w:r>
          </w:p>
        </w:tc>
        <w:tc>
          <w:tcPr>
            <w:tcW w:w="7618" w:type="dxa"/>
            <w:vAlign w:val="center"/>
          </w:tcPr>
          <w:p w14:paraId="2F08C19B" w14:textId="77777777" w:rsidR="00D04C52" w:rsidRPr="00A0676A" w:rsidRDefault="00D04C52" w:rsidP="00B46744">
            <w:pPr>
              <w:rPr>
                <w:color w:val="000000" w:themeColor="text1"/>
                <w:sz w:val="18"/>
                <w:szCs w:val="18"/>
              </w:rPr>
            </w:pPr>
            <w:r w:rsidRPr="00A0676A">
              <w:rPr>
                <w:color w:val="000000" w:themeColor="text1"/>
                <w:sz w:val="18"/>
                <w:szCs w:val="18"/>
              </w:rPr>
              <w:t>Extent to which a test will produce the same result if it is repeated at different periods or by different observers; consistency of the test.</w:t>
            </w:r>
          </w:p>
        </w:tc>
      </w:tr>
      <w:tr w:rsidR="00D04C52" w:rsidRPr="00A0676A" w14:paraId="268B9CB3" w14:textId="77777777" w:rsidTr="00B46744">
        <w:trPr>
          <w:cantSplit/>
          <w:trHeight w:val="576"/>
        </w:trPr>
        <w:tc>
          <w:tcPr>
            <w:tcW w:w="1732" w:type="dxa"/>
            <w:vAlign w:val="center"/>
          </w:tcPr>
          <w:p w14:paraId="3299D1F9" w14:textId="77777777" w:rsidR="00D04C52" w:rsidRPr="00A0676A" w:rsidRDefault="00D04C52" w:rsidP="00B46744">
            <w:pPr>
              <w:rPr>
                <w:color w:val="000000" w:themeColor="text1"/>
                <w:sz w:val="18"/>
                <w:szCs w:val="18"/>
              </w:rPr>
            </w:pPr>
            <w:r w:rsidRPr="00A0676A">
              <w:rPr>
                <w:color w:val="000000" w:themeColor="text1"/>
                <w:sz w:val="18"/>
                <w:szCs w:val="18"/>
              </w:rPr>
              <w:t xml:space="preserve">Regression </w:t>
            </w:r>
            <w:r>
              <w:rPr>
                <w:color w:val="000000" w:themeColor="text1"/>
                <w:sz w:val="18"/>
                <w:szCs w:val="18"/>
              </w:rPr>
              <w:t>a</w:t>
            </w:r>
            <w:r w:rsidRPr="00A0676A">
              <w:rPr>
                <w:color w:val="000000" w:themeColor="text1"/>
                <w:sz w:val="18"/>
                <w:szCs w:val="18"/>
              </w:rPr>
              <w:t>nalysis</w:t>
            </w:r>
          </w:p>
        </w:tc>
        <w:tc>
          <w:tcPr>
            <w:tcW w:w="7618" w:type="dxa"/>
            <w:vAlign w:val="center"/>
          </w:tcPr>
          <w:p w14:paraId="5219101A" w14:textId="77777777" w:rsidR="00D04C52" w:rsidRPr="00A0676A" w:rsidRDefault="00D04C52" w:rsidP="00B46744">
            <w:pPr>
              <w:rPr>
                <w:color w:val="000000" w:themeColor="text1"/>
                <w:sz w:val="18"/>
                <w:szCs w:val="18"/>
              </w:rPr>
            </w:pPr>
            <w:r w:rsidRPr="00A0676A">
              <w:rPr>
                <w:color w:val="000000" w:themeColor="text1"/>
                <w:sz w:val="18"/>
                <w:szCs w:val="18"/>
              </w:rPr>
              <w:t>Statistical methodology that allows the estimation of the effect of one or more variables on an outcome; different types of regression analyses exist for data analysis in epidemiology depending upon the study design and the outcome measurement. Linear regression is used for continuous outcomes, and logistic regression is used for binary outcomes.</w:t>
            </w:r>
          </w:p>
        </w:tc>
      </w:tr>
      <w:tr w:rsidR="00D04C52" w:rsidRPr="00A0676A" w14:paraId="725F2452" w14:textId="77777777" w:rsidTr="00B46744">
        <w:trPr>
          <w:cantSplit/>
          <w:trHeight w:val="576"/>
        </w:trPr>
        <w:tc>
          <w:tcPr>
            <w:tcW w:w="1732" w:type="dxa"/>
            <w:vAlign w:val="center"/>
          </w:tcPr>
          <w:p w14:paraId="55073E0B" w14:textId="77777777" w:rsidR="00D04C52" w:rsidRPr="00A0676A" w:rsidRDefault="00D04C52" w:rsidP="00B46744">
            <w:pPr>
              <w:rPr>
                <w:color w:val="000000" w:themeColor="text1"/>
                <w:sz w:val="18"/>
                <w:szCs w:val="18"/>
              </w:rPr>
            </w:pPr>
            <w:r w:rsidRPr="00A0676A">
              <w:rPr>
                <w:color w:val="000000" w:themeColor="text1"/>
                <w:sz w:val="18"/>
                <w:szCs w:val="18"/>
              </w:rPr>
              <w:t>Risk</w:t>
            </w:r>
          </w:p>
        </w:tc>
        <w:tc>
          <w:tcPr>
            <w:tcW w:w="7618" w:type="dxa"/>
            <w:vAlign w:val="center"/>
          </w:tcPr>
          <w:p w14:paraId="11E3FC9F" w14:textId="77777777" w:rsidR="00D04C52" w:rsidRPr="00A0676A" w:rsidRDefault="00D04C52" w:rsidP="00B46744">
            <w:pPr>
              <w:rPr>
                <w:color w:val="000000" w:themeColor="text1"/>
                <w:sz w:val="18"/>
                <w:szCs w:val="18"/>
              </w:rPr>
            </w:pPr>
            <w:r w:rsidRPr="00A0676A">
              <w:rPr>
                <w:color w:val="000000" w:themeColor="text1"/>
                <w:sz w:val="18"/>
                <w:szCs w:val="18"/>
              </w:rPr>
              <w:t>Probability that an event will occur; risk, probability and likelihood are used interchangeably; there are various measures of risk in epidemiology.</w:t>
            </w:r>
          </w:p>
        </w:tc>
      </w:tr>
      <w:tr w:rsidR="00D04C52" w:rsidRPr="00A0676A" w14:paraId="005471C5" w14:textId="77777777" w:rsidTr="00B46744">
        <w:trPr>
          <w:cantSplit/>
          <w:trHeight w:val="576"/>
        </w:trPr>
        <w:tc>
          <w:tcPr>
            <w:tcW w:w="1732" w:type="dxa"/>
            <w:vAlign w:val="center"/>
          </w:tcPr>
          <w:p w14:paraId="47013F58" w14:textId="77777777" w:rsidR="00D04C52" w:rsidRPr="00A0676A" w:rsidRDefault="00D04C52" w:rsidP="00B46744">
            <w:pPr>
              <w:rPr>
                <w:color w:val="000000" w:themeColor="text1"/>
                <w:sz w:val="18"/>
                <w:szCs w:val="18"/>
              </w:rPr>
            </w:pPr>
            <w:r w:rsidRPr="00A0676A">
              <w:rPr>
                <w:color w:val="000000" w:themeColor="text1"/>
                <w:sz w:val="18"/>
                <w:szCs w:val="18"/>
              </w:rPr>
              <w:t>Relative Risk (RR)</w:t>
            </w:r>
          </w:p>
        </w:tc>
        <w:tc>
          <w:tcPr>
            <w:tcW w:w="7618" w:type="dxa"/>
            <w:vAlign w:val="center"/>
          </w:tcPr>
          <w:p w14:paraId="15E7FFFE" w14:textId="77777777" w:rsidR="00D04C52" w:rsidRPr="00A0676A" w:rsidRDefault="00D04C52" w:rsidP="00B46744">
            <w:pPr>
              <w:rPr>
                <w:color w:val="000000" w:themeColor="text1"/>
                <w:sz w:val="18"/>
                <w:szCs w:val="18"/>
              </w:rPr>
            </w:pPr>
            <w:r w:rsidRPr="00A0676A">
              <w:rPr>
                <w:color w:val="000000" w:themeColor="text1"/>
                <w:sz w:val="18"/>
                <w:szCs w:val="18"/>
              </w:rPr>
              <w:t>Relative measure of association between an exposure and an outcome; compares the incidence of an outcome in the exposed group to the incidence of the outcome in the non-exposed group.</w:t>
            </w:r>
          </w:p>
        </w:tc>
      </w:tr>
      <w:tr w:rsidR="00D04C52" w:rsidRPr="00A0676A" w14:paraId="5D2B598B" w14:textId="77777777" w:rsidTr="00B46744">
        <w:trPr>
          <w:cantSplit/>
          <w:trHeight w:val="576"/>
        </w:trPr>
        <w:tc>
          <w:tcPr>
            <w:tcW w:w="1732" w:type="dxa"/>
            <w:vAlign w:val="center"/>
          </w:tcPr>
          <w:p w14:paraId="429D3269" w14:textId="77777777" w:rsidR="00D04C52" w:rsidRPr="00A0676A" w:rsidRDefault="00D04C52" w:rsidP="00B46744">
            <w:pPr>
              <w:rPr>
                <w:color w:val="000000" w:themeColor="text1"/>
                <w:sz w:val="18"/>
                <w:szCs w:val="18"/>
              </w:rPr>
            </w:pPr>
            <w:r w:rsidRPr="00A0676A">
              <w:rPr>
                <w:color w:val="000000" w:themeColor="text1"/>
                <w:sz w:val="18"/>
                <w:szCs w:val="18"/>
              </w:rPr>
              <w:t xml:space="preserve">Statistically </w:t>
            </w:r>
            <w:r>
              <w:rPr>
                <w:color w:val="000000" w:themeColor="text1"/>
                <w:sz w:val="18"/>
                <w:szCs w:val="18"/>
              </w:rPr>
              <w:t>s</w:t>
            </w:r>
            <w:r w:rsidRPr="00A0676A">
              <w:rPr>
                <w:color w:val="000000" w:themeColor="text1"/>
                <w:sz w:val="18"/>
                <w:szCs w:val="18"/>
              </w:rPr>
              <w:t>ignificant</w:t>
            </w:r>
          </w:p>
        </w:tc>
        <w:tc>
          <w:tcPr>
            <w:tcW w:w="7618" w:type="dxa"/>
            <w:vAlign w:val="center"/>
          </w:tcPr>
          <w:p w14:paraId="23A3C78E" w14:textId="77777777" w:rsidR="00D04C52" w:rsidRPr="00A0676A" w:rsidRDefault="00D04C52" w:rsidP="00B46744">
            <w:pPr>
              <w:rPr>
                <w:color w:val="000000" w:themeColor="text1"/>
                <w:sz w:val="18"/>
                <w:szCs w:val="18"/>
              </w:rPr>
            </w:pPr>
            <w:r w:rsidRPr="00A0676A">
              <w:rPr>
                <w:color w:val="000000" w:themeColor="text1"/>
                <w:sz w:val="18"/>
                <w:szCs w:val="18"/>
              </w:rPr>
              <w:t xml:space="preserve">A phrase that implies that a statistical hypothesis test was </w:t>
            </w:r>
            <w:r w:rsidR="00F2530D" w:rsidRPr="00A0676A">
              <w:rPr>
                <w:color w:val="000000" w:themeColor="text1"/>
                <w:sz w:val="18"/>
                <w:szCs w:val="18"/>
              </w:rPr>
              <w:t>calculated,</w:t>
            </w:r>
            <w:r w:rsidRPr="00A0676A">
              <w:rPr>
                <w:color w:val="000000" w:themeColor="text1"/>
                <w:sz w:val="18"/>
                <w:szCs w:val="18"/>
              </w:rPr>
              <w:t xml:space="preserve"> and the resulting p-value was below the set threshold level (typically alpha=0.05) or the confidence interval around the point estimate does not include the null value of 1.00.</w:t>
            </w:r>
          </w:p>
        </w:tc>
      </w:tr>
      <w:tr w:rsidR="00D04C52" w:rsidRPr="00A0676A" w14:paraId="4F738EA2" w14:textId="77777777" w:rsidTr="00B46744">
        <w:trPr>
          <w:cantSplit/>
          <w:trHeight w:val="576"/>
        </w:trPr>
        <w:tc>
          <w:tcPr>
            <w:tcW w:w="1732" w:type="dxa"/>
            <w:vAlign w:val="center"/>
          </w:tcPr>
          <w:p w14:paraId="631703DC" w14:textId="77777777" w:rsidR="00D04C52" w:rsidRPr="00A0676A" w:rsidRDefault="00D04C52" w:rsidP="00B46744">
            <w:pPr>
              <w:rPr>
                <w:color w:val="000000" w:themeColor="text1"/>
                <w:sz w:val="18"/>
                <w:szCs w:val="18"/>
              </w:rPr>
            </w:pPr>
            <w:r w:rsidRPr="00A0676A">
              <w:rPr>
                <w:color w:val="000000" w:themeColor="text1"/>
                <w:sz w:val="18"/>
                <w:szCs w:val="18"/>
              </w:rPr>
              <w:t>Trend</w:t>
            </w:r>
          </w:p>
        </w:tc>
        <w:tc>
          <w:tcPr>
            <w:tcW w:w="7618" w:type="dxa"/>
            <w:vAlign w:val="center"/>
          </w:tcPr>
          <w:p w14:paraId="04FBEB03" w14:textId="77777777" w:rsidR="00D04C52" w:rsidRPr="00A0676A" w:rsidRDefault="00D04C52" w:rsidP="00B46744">
            <w:pPr>
              <w:rPr>
                <w:color w:val="000000" w:themeColor="text1"/>
                <w:sz w:val="18"/>
                <w:szCs w:val="18"/>
              </w:rPr>
            </w:pPr>
            <w:r w:rsidRPr="00A0676A">
              <w:rPr>
                <w:color w:val="000000" w:themeColor="text1"/>
                <w:sz w:val="18"/>
                <w:szCs w:val="18"/>
              </w:rPr>
              <w:t>A finding observed across multiple studies; often refers to the direction or magnitude of an effect regardless of statistical hypothesis testing.</w:t>
            </w:r>
          </w:p>
        </w:tc>
      </w:tr>
      <w:tr w:rsidR="00D04C52" w:rsidRPr="00A0676A" w14:paraId="155D07F8" w14:textId="77777777" w:rsidTr="00B46744">
        <w:trPr>
          <w:cantSplit/>
          <w:trHeight w:val="576"/>
        </w:trPr>
        <w:tc>
          <w:tcPr>
            <w:tcW w:w="1732" w:type="dxa"/>
            <w:vAlign w:val="center"/>
          </w:tcPr>
          <w:p w14:paraId="1F33ADB4" w14:textId="77777777" w:rsidR="00D04C52" w:rsidRPr="00A0676A" w:rsidRDefault="00D04C52" w:rsidP="00B46744">
            <w:pPr>
              <w:rPr>
                <w:color w:val="000000" w:themeColor="text1"/>
                <w:sz w:val="18"/>
                <w:szCs w:val="18"/>
              </w:rPr>
            </w:pPr>
            <w:r w:rsidRPr="00A0676A">
              <w:rPr>
                <w:color w:val="000000" w:themeColor="text1"/>
                <w:sz w:val="18"/>
                <w:szCs w:val="18"/>
              </w:rPr>
              <w:t xml:space="preserve">Unadjusted </w:t>
            </w:r>
            <w:r>
              <w:rPr>
                <w:color w:val="000000" w:themeColor="text1"/>
                <w:sz w:val="18"/>
                <w:szCs w:val="18"/>
              </w:rPr>
              <w:t>e</w:t>
            </w:r>
            <w:r w:rsidRPr="00A0676A">
              <w:rPr>
                <w:color w:val="000000" w:themeColor="text1"/>
                <w:sz w:val="18"/>
                <w:szCs w:val="18"/>
              </w:rPr>
              <w:t>stimate</w:t>
            </w:r>
          </w:p>
        </w:tc>
        <w:tc>
          <w:tcPr>
            <w:tcW w:w="7618" w:type="dxa"/>
            <w:vAlign w:val="center"/>
          </w:tcPr>
          <w:p w14:paraId="1C9B857F" w14:textId="77777777" w:rsidR="00D04C52" w:rsidRPr="00A0676A" w:rsidRDefault="00D04C52" w:rsidP="00B46744">
            <w:pPr>
              <w:rPr>
                <w:color w:val="000000" w:themeColor="text1"/>
                <w:sz w:val="18"/>
                <w:szCs w:val="18"/>
              </w:rPr>
            </w:pPr>
            <w:r w:rsidRPr="00A0676A">
              <w:rPr>
                <w:color w:val="000000" w:themeColor="text1"/>
                <w:sz w:val="18"/>
                <w:szCs w:val="18"/>
              </w:rPr>
              <w:t>A measure of effect that has not account</w:t>
            </w:r>
            <w:r w:rsidR="00F2530D">
              <w:rPr>
                <w:color w:val="000000" w:themeColor="text1"/>
                <w:sz w:val="18"/>
                <w:szCs w:val="18"/>
              </w:rPr>
              <w:t>ed for</w:t>
            </w:r>
            <w:r w:rsidRPr="00A0676A">
              <w:rPr>
                <w:color w:val="000000" w:themeColor="text1"/>
                <w:sz w:val="18"/>
                <w:szCs w:val="18"/>
              </w:rPr>
              <w:t xml:space="preserve"> the effect of confounding factors.</w:t>
            </w:r>
          </w:p>
        </w:tc>
      </w:tr>
      <w:tr w:rsidR="00D04C52" w:rsidRPr="00A0676A" w14:paraId="67C4B618" w14:textId="77777777" w:rsidTr="00B46744">
        <w:trPr>
          <w:cantSplit/>
          <w:trHeight w:val="377"/>
        </w:trPr>
        <w:tc>
          <w:tcPr>
            <w:tcW w:w="1732" w:type="dxa"/>
            <w:vAlign w:val="center"/>
          </w:tcPr>
          <w:p w14:paraId="2D077CBA" w14:textId="77777777" w:rsidR="00D04C52" w:rsidRPr="00A0676A" w:rsidRDefault="00D04C52" w:rsidP="00B46744">
            <w:pPr>
              <w:rPr>
                <w:color w:val="000000" w:themeColor="text1"/>
                <w:sz w:val="18"/>
                <w:szCs w:val="18"/>
              </w:rPr>
            </w:pPr>
            <w:r w:rsidRPr="00A0676A">
              <w:rPr>
                <w:color w:val="000000" w:themeColor="text1"/>
                <w:sz w:val="18"/>
                <w:szCs w:val="18"/>
              </w:rPr>
              <w:t>Validity</w:t>
            </w:r>
          </w:p>
        </w:tc>
        <w:tc>
          <w:tcPr>
            <w:tcW w:w="7618" w:type="dxa"/>
            <w:vAlign w:val="center"/>
          </w:tcPr>
          <w:p w14:paraId="1348B7ED" w14:textId="77777777" w:rsidR="00D04C52" w:rsidRPr="00A0676A" w:rsidRDefault="00D04C52" w:rsidP="00B46744">
            <w:pPr>
              <w:rPr>
                <w:color w:val="000000" w:themeColor="text1"/>
                <w:sz w:val="18"/>
                <w:szCs w:val="18"/>
              </w:rPr>
            </w:pPr>
            <w:r w:rsidRPr="00A0676A">
              <w:rPr>
                <w:color w:val="000000" w:themeColor="text1"/>
                <w:sz w:val="18"/>
                <w:szCs w:val="18"/>
              </w:rPr>
              <w:t>The extent to which a measure or instrument assesses what it is intended to assess.</w:t>
            </w:r>
          </w:p>
        </w:tc>
      </w:tr>
    </w:tbl>
    <w:p w14:paraId="008A9D00" w14:textId="77777777" w:rsidR="00D04C52" w:rsidRPr="00A0676A" w:rsidRDefault="00D04C52" w:rsidP="00B46744">
      <w:pPr>
        <w:contextualSpacing/>
        <w:jc w:val="both"/>
        <w:rPr>
          <w:color w:val="000000" w:themeColor="text1"/>
          <w:sz w:val="18"/>
          <w:szCs w:val="18"/>
        </w:rPr>
      </w:pPr>
    </w:p>
    <w:p w14:paraId="60B5BA27" w14:textId="77777777" w:rsidR="00D04C52" w:rsidRPr="00142931" w:rsidRDefault="00D04C52" w:rsidP="00B46744">
      <w:pPr>
        <w:contextualSpacing/>
        <w:jc w:val="both"/>
        <w:rPr>
          <w:color w:val="000000" w:themeColor="text1"/>
        </w:rPr>
      </w:pPr>
    </w:p>
    <w:p w14:paraId="36B34A01" w14:textId="77777777" w:rsidR="00D04C52" w:rsidRDefault="00D04C52"/>
    <w:p w14:paraId="172AD385" w14:textId="77777777" w:rsidR="00D04C52" w:rsidRDefault="00D04C52"/>
    <w:p w14:paraId="61014FE9" w14:textId="77777777" w:rsidR="00D04C52" w:rsidRDefault="00D04C52">
      <w:pPr>
        <w:rPr>
          <w:rFonts w:ascii="Calibri" w:hAnsi="Calibri"/>
          <w:noProof/>
        </w:rPr>
      </w:pPr>
      <w:r>
        <w:br w:type="page"/>
      </w:r>
    </w:p>
    <w:p w14:paraId="545FCAAF" w14:textId="77777777" w:rsidR="00D04C52" w:rsidRPr="00194716" w:rsidRDefault="00D04C52" w:rsidP="00B44564">
      <w:pPr>
        <w:pStyle w:val="ChapterHeading"/>
        <w:spacing w:after="120"/>
        <w:rPr>
          <w:rFonts w:asciiTheme="minorHAnsi" w:hAnsiTheme="minorHAnsi"/>
          <w:sz w:val="22"/>
          <w:szCs w:val="22"/>
        </w:rPr>
      </w:pPr>
      <w:bookmarkStart w:id="0" w:name="_Toc458358691"/>
      <w:bookmarkStart w:id="1" w:name="_Toc458781780"/>
      <w:bookmarkStart w:id="2" w:name="_Toc472735591"/>
      <w:bookmarkStart w:id="3" w:name="_Toc458358689"/>
      <w:bookmarkStart w:id="4" w:name="_Toc458781778"/>
      <w:r>
        <w:rPr>
          <w:rFonts w:asciiTheme="minorHAnsi" w:hAnsiTheme="minorHAnsi"/>
          <w:sz w:val="22"/>
          <w:szCs w:val="22"/>
        </w:rPr>
        <w:lastRenderedPageBreak/>
        <w:t xml:space="preserve">SUPPLEMENTAL SECTION </w:t>
      </w:r>
      <w:r w:rsidR="009014AD">
        <w:rPr>
          <w:rFonts w:asciiTheme="minorHAnsi" w:hAnsiTheme="minorHAnsi"/>
          <w:sz w:val="22"/>
          <w:szCs w:val="22"/>
        </w:rPr>
        <w:t>7</w:t>
      </w:r>
      <w:r>
        <w:rPr>
          <w:rFonts w:asciiTheme="minorHAnsi" w:hAnsiTheme="minorHAnsi"/>
          <w:sz w:val="22"/>
          <w:szCs w:val="22"/>
        </w:rPr>
        <w:t>: Inclusion/</w:t>
      </w:r>
      <w:r w:rsidRPr="00194716">
        <w:rPr>
          <w:rFonts w:asciiTheme="minorHAnsi" w:hAnsiTheme="minorHAnsi"/>
          <w:sz w:val="22"/>
          <w:szCs w:val="22"/>
        </w:rPr>
        <w:t>Exclusion Criteria</w:t>
      </w:r>
      <w:bookmarkEnd w:id="0"/>
      <w:bookmarkEnd w:id="1"/>
      <w:bookmarkEnd w:id="2"/>
      <w:r w:rsidRPr="00194716">
        <w:rPr>
          <w:rFonts w:asciiTheme="minorHAnsi" w:hAnsiTheme="minorHAnsi"/>
          <w:sz w:val="22"/>
          <w:szCs w:val="22"/>
        </w:rPr>
        <w:t xml:space="preserve"> </w:t>
      </w:r>
      <w:r>
        <w:rPr>
          <w:rFonts w:asciiTheme="minorHAnsi" w:hAnsiTheme="minorHAnsi"/>
          <w:sz w:val="22"/>
          <w:szCs w:val="22"/>
        </w:rPr>
        <w:t>and Review Codes</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4770"/>
        <w:gridCol w:w="3510"/>
      </w:tblGrid>
      <w:tr w:rsidR="00D04C52" w:rsidRPr="00194716" w14:paraId="7352AB59" w14:textId="77777777" w:rsidTr="00B46744">
        <w:trPr>
          <w:cantSplit/>
          <w:tblHeader/>
        </w:trPr>
        <w:tc>
          <w:tcPr>
            <w:tcW w:w="9625" w:type="dxa"/>
            <w:gridSpan w:val="3"/>
            <w:shd w:val="clear" w:color="auto" w:fill="44546A"/>
          </w:tcPr>
          <w:p w14:paraId="79EF7B1B" w14:textId="77777777" w:rsidR="00D04C52" w:rsidRPr="00617762" w:rsidRDefault="00D04C52" w:rsidP="00B46744">
            <w:pPr>
              <w:autoSpaceDE w:val="0"/>
              <w:autoSpaceDN w:val="0"/>
              <w:adjustRightInd w:val="0"/>
              <w:jc w:val="center"/>
              <w:rPr>
                <w:b/>
                <w:sz w:val="20"/>
                <w:szCs w:val="20"/>
              </w:rPr>
            </w:pPr>
            <w:r w:rsidRPr="00617762">
              <w:rPr>
                <w:b/>
                <w:color w:val="FFFFFF" w:themeColor="background1"/>
                <w:sz w:val="20"/>
                <w:szCs w:val="20"/>
              </w:rPr>
              <w:t>Inclusion and Exclusion Criteria for Key Questions (KQs)</w:t>
            </w:r>
          </w:p>
        </w:tc>
      </w:tr>
      <w:tr w:rsidR="00D04C52" w:rsidRPr="00194716" w14:paraId="458C6753" w14:textId="77777777" w:rsidTr="00B46744">
        <w:trPr>
          <w:cantSplit/>
        </w:trPr>
        <w:tc>
          <w:tcPr>
            <w:tcW w:w="1345" w:type="dxa"/>
            <w:shd w:val="clear" w:color="auto" w:fill="9CC2E5"/>
          </w:tcPr>
          <w:p w14:paraId="45846EF1" w14:textId="77777777" w:rsidR="00D04C52" w:rsidRPr="00194716" w:rsidRDefault="00D04C52" w:rsidP="00B46744">
            <w:pPr>
              <w:autoSpaceDE w:val="0"/>
              <w:autoSpaceDN w:val="0"/>
              <w:adjustRightInd w:val="0"/>
              <w:rPr>
                <w:b/>
              </w:rPr>
            </w:pPr>
          </w:p>
        </w:tc>
        <w:tc>
          <w:tcPr>
            <w:tcW w:w="4770" w:type="dxa"/>
            <w:shd w:val="clear" w:color="auto" w:fill="9CC2E5"/>
          </w:tcPr>
          <w:p w14:paraId="04A0E5E7" w14:textId="77777777" w:rsidR="00D04C52" w:rsidRPr="00617762" w:rsidRDefault="00D04C52" w:rsidP="00B46744">
            <w:pPr>
              <w:autoSpaceDE w:val="0"/>
              <w:autoSpaceDN w:val="0"/>
              <w:adjustRightInd w:val="0"/>
              <w:rPr>
                <w:b/>
                <w:sz w:val="20"/>
                <w:szCs w:val="20"/>
              </w:rPr>
            </w:pPr>
            <w:r w:rsidRPr="00617762">
              <w:rPr>
                <w:b/>
                <w:sz w:val="20"/>
                <w:szCs w:val="20"/>
              </w:rPr>
              <w:t>Inclusion Criteria</w:t>
            </w:r>
          </w:p>
        </w:tc>
        <w:tc>
          <w:tcPr>
            <w:tcW w:w="3510" w:type="dxa"/>
            <w:shd w:val="clear" w:color="auto" w:fill="9CC2E5"/>
          </w:tcPr>
          <w:p w14:paraId="2BA073EF" w14:textId="77777777" w:rsidR="00D04C52" w:rsidRPr="00617762" w:rsidRDefault="00D04C52" w:rsidP="00B46744">
            <w:pPr>
              <w:autoSpaceDE w:val="0"/>
              <w:autoSpaceDN w:val="0"/>
              <w:adjustRightInd w:val="0"/>
              <w:rPr>
                <w:b/>
                <w:sz w:val="20"/>
                <w:szCs w:val="20"/>
              </w:rPr>
            </w:pPr>
            <w:r w:rsidRPr="00617762">
              <w:rPr>
                <w:b/>
                <w:sz w:val="20"/>
                <w:szCs w:val="20"/>
              </w:rPr>
              <w:t>Exclusion Criteria</w:t>
            </w:r>
          </w:p>
        </w:tc>
      </w:tr>
      <w:tr w:rsidR="00D04C52" w:rsidRPr="00194716" w14:paraId="7E15BEF6" w14:textId="77777777" w:rsidTr="00B46744">
        <w:trPr>
          <w:cantSplit/>
        </w:trPr>
        <w:tc>
          <w:tcPr>
            <w:tcW w:w="1345" w:type="dxa"/>
            <w:shd w:val="clear" w:color="auto" w:fill="E7E6E6"/>
          </w:tcPr>
          <w:p w14:paraId="3664AA47" w14:textId="77777777" w:rsidR="00D04C52" w:rsidRPr="00617762" w:rsidRDefault="00D04C52" w:rsidP="00B46744">
            <w:pPr>
              <w:autoSpaceDE w:val="0"/>
              <w:autoSpaceDN w:val="0"/>
              <w:adjustRightInd w:val="0"/>
              <w:rPr>
                <w:b/>
                <w:sz w:val="20"/>
                <w:szCs w:val="20"/>
              </w:rPr>
            </w:pPr>
            <w:r w:rsidRPr="00617762">
              <w:rPr>
                <w:b/>
                <w:sz w:val="20"/>
                <w:szCs w:val="20"/>
              </w:rPr>
              <w:t>Population</w:t>
            </w:r>
          </w:p>
        </w:tc>
        <w:tc>
          <w:tcPr>
            <w:tcW w:w="4770" w:type="dxa"/>
            <w:shd w:val="clear" w:color="auto" w:fill="FFFFFF" w:themeFill="background1"/>
          </w:tcPr>
          <w:p w14:paraId="4EE53870" w14:textId="77777777" w:rsidR="00D04C52" w:rsidRPr="00617762" w:rsidRDefault="00D04C52" w:rsidP="00B46744">
            <w:pPr>
              <w:pStyle w:val="ListParagraph"/>
              <w:numPr>
                <w:ilvl w:val="0"/>
                <w:numId w:val="15"/>
              </w:numPr>
              <w:autoSpaceDE w:val="0"/>
              <w:autoSpaceDN w:val="0"/>
              <w:adjustRightInd w:val="0"/>
              <w:spacing w:after="0" w:line="240" w:lineRule="auto"/>
              <w:ind w:left="347" w:hanging="347"/>
              <w:rPr>
                <w:sz w:val="20"/>
                <w:szCs w:val="20"/>
              </w:rPr>
            </w:pPr>
            <w:r w:rsidRPr="00617762">
              <w:rPr>
                <w:sz w:val="20"/>
                <w:szCs w:val="20"/>
              </w:rPr>
              <w:t xml:space="preserve">Youth and adults </w:t>
            </w:r>
          </w:p>
          <w:p w14:paraId="4AB307F0" w14:textId="77777777" w:rsidR="00D04C52" w:rsidRPr="00617762" w:rsidRDefault="00D04C52" w:rsidP="00B46744">
            <w:pPr>
              <w:pStyle w:val="ListParagraph"/>
              <w:numPr>
                <w:ilvl w:val="0"/>
                <w:numId w:val="15"/>
              </w:numPr>
              <w:autoSpaceDE w:val="0"/>
              <w:autoSpaceDN w:val="0"/>
              <w:adjustRightInd w:val="0"/>
              <w:spacing w:after="0" w:line="240" w:lineRule="auto"/>
              <w:ind w:left="347" w:hanging="347"/>
              <w:rPr>
                <w:sz w:val="20"/>
                <w:szCs w:val="20"/>
              </w:rPr>
            </w:pPr>
            <w:r w:rsidRPr="00617762">
              <w:rPr>
                <w:sz w:val="20"/>
                <w:szCs w:val="20"/>
              </w:rPr>
              <w:t xml:space="preserve">Current or former smokers with explicit use of (or stated preference for) menthol or non-menthol cigarettes; studies of non-smokers were eligible if they reported a measure of initiation </w:t>
            </w:r>
          </w:p>
          <w:p w14:paraId="51446791" w14:textId="77777777" w:rsidR="00D04C52" w:rsidRPr="00617762" w:rsidRDefault="00D04C52" w:rsidP="00B46744">
            <w:pPr>
              <w:pStyle w:val="ListParagraph"/>
              <w:numPr>
                <w:ilvl w:val="0"/>
                <w:numId w:val="15"/>
              </w:numPr>
              <w:autoSpaceDE w:val="0"/>
              <w:autoSpaceDN w:val="0"/>
              <w:adjustRightInd w:val="0"/>
              <w:spacing w:after="0" w:line="240" w:lineRule="auto"/>
              <w:ind w:left="347" w:hanging="347"/>
              <w:rPr>
                <w:sz w:val="20"/>
                <w:szCs w:val="20"/>
              </w:rPr>
            </w:pPr>
            <w:r w:rsidRPr="00617762">
              <w:rPr>
                <w:sz w:val="20"/>
                <w:szCs w:val="20"/>
              </w:rPr>
              <w:t>United States residents</w:t>
            </w:r>
          </w:p>
        </w:tc>
        <w:tc>
          <w:tcPr>
            <w:tcW w:w="3510" w:type="dxa"/>
            <w:shd w:val="clear" w:color="auto" w:fill="FFFFFF" w:themeFill="background1"/>
          </w:tcPr>
          <w:p w14:paraId="4845F64C" w14:textId="77777777" w:rsidR="00D04C52" w:rsidRPr="00617762" w:rsidRDefault="00D04C52" w:rsidP="00B46744">
            <w:pPr>
              <w:pStyle w:val="ListParagraph"/>
              <w:numPr>
                <w:ilvl w:val="0"/>
                <w:numId w:val="1"/>
              </w:numPr>
              <w:autoSpaceDE w:val="0"/>
              <w:autoSpaceDN w:val="0"/>
              <w:adjustRightInd w:val="0"/>
              <w:spacing w:after="0" w:line="240" w:lineRule="auto"/>
              <w:rPr>
                <w:sz w:val="20"/>
                <w:szCs w:val="20"/>
              </w:rPr>
            </w:pPr>
            <w:r w:rsidRPr="00617762">
              <w:rPr>
                <w:sz w:val="20"/>
                <w:szCs w:val="20"/>
              </w:rPr>
              <w:t xml:space="preserve">Studies of never-smokers at any </w:t>
            </w:r>
            <w:r w:rsidR="00A849BC" w:rsidRPr="00617762">
              <w:rPr>
                <w:sz w:val="20"/>
                <w:szCs w:val="20"/>
              </w:rPr>
              <w:t>time point</w:t>
            </w:r>
          </w:p>
          <w:p w14:paraId="3F06AC88" w14:textId="77777777" w:rsidR="00D04C52" w:rsidRPr="00617762" w:rsidRDefault="00D04C52" w:rsidP="00366AB9">
            <w:pPr>
              <w:pStyle w:val="ListParagraph"/>
              <w:numPr>
                <w:ilvl w:val="0"/>
                <w:numId w:val="1"/>
              </w:numPr>
              <w:autoSpaceDE w:val="0"/>
              <w:autoSpaceDN w:val="0"/>
              <w:adjustRightInd w:val="0"/>
              <w:spacing w:after="0" w:line="240" w:lineRule="auto"/>
              <w:rPr>
                <w:sz w:val="20"/>
                <w:szCs w:val="20"/>
              </w:rPr>
            </w:pPr>
            <w:r w:rsidRPr="00617762">
              <w:rPr>
                <w:sz w:val="20"/>
                <w:szCs w:val="20"/>
              </w:rPr>
              <w:t xml:space="preserve">Studies of only </w:t>
            </w:r>
            <w:r w:rsidR="0072753E" w:rsidRPr="00617762">
              <w:rPr>
                <w:sz w:val="20"/>
                <w:szCs w:val="20"/>
              </w:rPr>
              <w:t>non</w:t>
            </w:r>
            <w:r w:rsidR="0072753E">
              <w:rPr>
                <w:sz w:val="20"/>
                <w:szCs w:val="20"/>
              </w:rPr>
              <w:t>-</w:t>
            </w:r>
            <w:r w:rsidR="0072753E" w:rsidRPr="00617762">
              <w:rPr>
                <w:sz w:val="20"/>
                <w:szCs w:val="20"/>
              </w:rPr>
              <w:t>United</w:t>
            </w:r>
            <w:r w:rsidRPr="00617762">
              <w:rPr>
                <w:sz w:val="20"/>
                <w:szCs w:val="20"/>
              </w:rPr>
              <w:t xml:space="preserve"> States residents</w:t>
            </w:r>
          </w:p>
        </w:tc>
      </w:tr>
      <w:tr w:rsidR="00D04C52" w:rsidRPr="00194716" w14:paraId="17797C90" w14:textId="77777777" w:rsidTr="00B46744">
        <w:trPr>
          <w:cantSplit/>
        </w:trPr>
        <w:tc>
          <w:tcPr>
            <w:tcW w:w="1345" w:type="dxa"/>
            <w:shd w:val="clear" w:color="auto" w:fill="E7E6E6"/>
          </w:tcPr>
          <w:p w14:paraId="234BD03D" w14:textId="77777777" w:rsidR="00D04C52" w:rsidRPr="00617762" w:rsidRDefault="00D04C52" w:rsidP="00B46744">
            <w:pPr>
              <w:autoSpaceDE w:val="0"/>
              <w:autoSpaceDN w:val="0"/>
              <w:adjustRightInd w:val="0"/>
              <w:rPr>
                <w:b/>
                <w:sz w:val="20"/>
                <w:szCs w:val="20"/>
              </w:rPr>
            </w:pPr>
            <w:r w:rsidRPr="00617762">
              <w:rPr>
                <w:b/>
                <w:sz w:val="20"/>
                <w:szCs w:val="20"/>
              </w:rPr>
              <w:t>Comparisons</w:t>
            </w:r>
          </w:p>
        </w:tc>
        <w:tc>
          <w:tcPr>
            <w:tcW w:w="4770" w:type="dxa"/>
            <w:shd w:val="clear" w:color="auto" w:fill="FFFFFF" w:themeFill="background1"/>
          </w:tcPr>
          <w:p w14:paraId="2E808B27" w14:textId="77777777" w:rsidR="00D04C52" w:rsidRPr="00617762" w:rsidRDefault="00D04C52" w:rsidP="00B46744">
            <w:pPr>
              <w:pStyle w:val="ListParagraph"/>
              <w:numPr>
                <w:ilvl w:val="0"/>
                <w:numId w:val="15"/>
              </w:numPr>
              <w:autoSpaceDE w:val="0"/>
              <w:autoSpaceDN w:val="0"/>
              <w:adjustRightInd w:val="0"/>
              <w:spacing w:after="0" w:line="240" w:lineRule="auto"/>
              <w:ind w:left="347" w:hanging="347"/>
              <w:rPr>
                <w:sz w:val="20"/>
                <w:szCs w:val="20"/>
              </w:rPr>
            </w:pPr>
            <w:r w:rsidRPr="00617762">
              <w:rPr>
                <w:sz w:val="20"/>
                <w:szCs w:val="20"/>
              </w:rPr>
              <w:t>Menthol versus non-menthol</w:t>
            </w:r>
          </w:p>
          <w:p w14:paraId="14672C97" w14:textId="77777777" w:rsidR="00D04C52" w:rsidRPr="00617762" w:rsidRDefault="00D04C52" w:rsidP="00B46744">
            <w:pPr>
              <w:pStyle w:val="ListParagraph"/>
              <w:numPr>
                <w:ilvl w:val="0"/>
                <w:numId w:val="15"/>
              </w:numPr>
              <w:autoSpaceDE w:val="0"/>
              <w:autoSpaceDN w:val="0"/>
              <w:adjustRightInd w:val="0"/>
              <w:spacing w:after="0" w:line="240" w:lineRule="auto"/>
              <w:ind w:left="347" w:hanging="347"/>
              <w:rPr>
                <w:sz w:val="20"/>
                <w:szCs w:val="20"/>
              </w:rPr>
            </w:pPr>
            <w:r w:rsidRPr="00617762">
              <w:rPr>
                <w:sz w:val="20"/>
                <w:szCs w:val="20"/>
              </w:rPr>
              <w:t>Delivery of nicotine via traditional cigarettes</w:t>
            </w:r>
          </w:p>
          <w:p w14:paraId="55265307" w14:textId="77777777" w:rsidR="00D04C52" w:rsidRPr="00617762" w:rsidRDefault="00D04C52" w:rsidP="00B46744">
            <w:pPr>
              <w:autoSpaceDE w:val="0"/>
              <w:autoSpaceDN w:val="0"/>
              <w:adjustRightInd w:val="0"/>
              <w:ind w:left="347" w:hanging="347"/>
              <w:rPr>
                <w:sz w:val="20"/>
                <w:szCs w:val="20"/>
              </w:rPr>
            </w:pPr>
          </w:p>
        </w:tc>
        <w:tc>
          <w:tcPr>
            <w:tcW w:w="3510" w:type="dxa"/>
            <w:shd w:val="clear" w:color="auto" w:fill="FFFFFF" w:themeFill="background1"/>
          </w:tcPr>
          <w:p w14:paraId="3A4C19E5" w14:textId="77777777" w:rsidR="00D04C52" w:rsidRPr="00617762" w:rsidRDefault="00D04C52" w:rsidP="00B46744">
            <w:pPr>
              <w:pStyle w:val="ListParagraph"/>
              <w:numPr>
                <w:ilvl w:val="0"/>
                <w:numId w:val="2"/>
              </w:numPr>
              <w:autoSpaceDE w:val="0"/>
              <w:autoSpaceDN w:val="0"/>
              <w:adjustRightInd w:val="0"/>
              <w:spacing w:after="0" w:line="240" w:lineRule="auto"/>
              <w:rPr>
                <w:sz w:val="20"/>
                <w:szCs w:val="20"/>
              </w:rPr>
            </w:pPr>
            <w:r w:rsidRPr="00617762">
              <w:rPr>
                <w:sz w:val="20"/>
                <w:szCs w:val="20"/>
              </w:rPr>
              <w:t>Studies reporting only menthol or non-menthol or not directly comparing menthol with non-menthol</w:t>
            </w:r>
          </w:p>
          <w:p w14:paraId="148A44AE" w14:textId="77777777" w:rsidR="00D04C52" w:rsidRPr="00617762" w:rsidRDefault="00D04C52" w:rsidP="00B46744">
            <w:pPr>
              <w:pStyle w:val="ListParagraph"/>
              <w:numPr>
                <w:ilvl w:val="0"/>
                <w:numId w:val="2"/>
              </w:numPr>
              <w:autoSpaceDE w:val="0"/>
              <w:autoSpaceDN w:val="0"/>
              <w:adjustRightInd w:val="0"/>
              <w:spacing w:after="0" w:line="240" w:lineRule="auto"/>
              <w:rPr>
                <w:sz w:val="20"/>
                <w:szCs w:val="20"/>
              </w:rPr>
            </w:pPr>
            <w:r w:rsidRPr="00617762">
              <w:rPr>
                <w:sz w:val="20"/>
                <w:szCs w:val="20"/>
              </w:rPr>
              <w:t>Studies of non-traditional tobacco delivery</w:t>
            </w:r>
            <w:r w:rsidRPr="00617762">
              <w:rPr>
                <w:sz w:val="20"/>
                <w:szCs w:val="20"/>
                <w:vertAlign w:val="superscript"/>
              </w:rPr>
              <w:t>a</w:t>
            </w:r>
          </w:p>
        </w:tc>
      </w:tr>
      <w:tr w:rsidR="00D04C52" w:rsidRPr="00194716" w14:paraId="7E93509B" w14:textId="77777777" w:rsidTr="00B46744">
        <w:trPr>
          <w:cantSplit/>
        </w:trPr>
        <w:tc>
          <w:tcPr>
            <w:tcW w:w="1345" w:type="dxa"/>
            <w:shd w:val="clear" w:color="auto" w:fill="E7E6E6"/>
          </w:tcPr>
          <w:p w14:paraId="2AAC6061" w14:textId="77777777" w:rsidR="00D04C52" w:rsidRPr="00617762" w:rsidRDefault="00D04C52" w:rsidP="00B46744">
            <w:pPr>
              <w:autoSpaceDE w:val="0"/>
              <w:autoSpaceDN w:val="0"/>
              <w:adjustRightInd w:val="0"/>
              <w:rPr>
                <w:b/>
                <w:sz w:val="20"/>
                <w:szCs w:val="20"/>
              </w:rPr>
            </w:pPr>
            <w:r w:rsidRPr="00617762">
              <w:rPr>
                <w:b/>
                <w:sz w:val="20"/>
                <w:szCs w:val="20"/>
              </w:rPr>
              <w:t>Outcomes</w:t>
            </w:r>
          </w:p>
        </w:tc>
        <w:tc>
          <w:tcPr>
            <w:tcW w:w="4770" w:type="dxa"/>
            <w:shd w:val="clear" w:color="auto" w:fill="FFFFFF" w:themeFill="background1"/>
          </w:tcPr>
          <w:p w14:paraId="31FA2854" w14:textId="77777777" w:rsidR="00D04C52" w:rsidRPr="00617762" w:rsidRDefault="00D04C52" w:rsidP="00B46744">
            <w:pPr>
              <w:pStyle w:val="ListParagraph"/>
              <w:numPr>
                <w:ilvl w:val="0"/>
                <w:numId w:val="15"/>
              </w:numPr>
              <w:autoSpaceDE w:val="0"/>
              <w:autoSpaceDN w:val="0"/>
              <w:adjustRightInd w:val="0"/>
              <w:spacing w:after="0" w:line="240" w:lineRule="auto"/>
              <w:ind w:left="347" w:hanging="347"/>
              <w:rPr>
                <w:sz w:val="20"/>
                <w:szCs w:val="20"/>
              </w:rPr>
            </w:pPr>
            <w:r w:rsidRPr="00617762">
              <w:rPr>
                <w:sz w:val="20"/>
                <w:szCs w:val="20"/>
              </w:rPr>
              <w:t>Age at initiation, progression to regular smoking/increase in smoking over time, percent of smokers who switched menthol/non-menthol type, time from initiation to regular/established smoking, quantity and frequency of cigarettes smoked within 30 days of initiation.</w:t>
            </w:r>
          </w:p>
        </w:tc>
        <w:tc>
          <w:tcPr>
            <w:tcW w:w="3510" w:type="dxa"/>
            <w:shd w:val="clear" w:color="auto" w:fill="FFFFFF" w:themeFill="background1"/>
          </w:tcPr>
          <w:p w14:paraId="64E9F61B" w14:textId="77777777" w:rsidR="00D04C52" w:rsidRPr="00617762" w:rsidRDefault="00D04C52" w:rsidP="00B46744">
            <w:pPr>
              <w:pStyle w:val="ListParagraph"/>
              <w:numPr>
                <w:ilvl w:val="0"/>
                <w:numId w:val="3"/>
              </w:numPr>
              <w:autoSpaceDE w:val="0"/>
              <w:autoSpaceDN w:val="0"/>
              <w:adjustRightInd w:val="0"/>
              <w:spacing w:after="0" w:line="240" w:lineRule="auto"/>
              <w:rPr>
                <w:sz w:val="20"/>
                <w:szCs w:val="20"/>
              </w:rPr>
            </w:pPr>
            <w:r w:rsidRPr="00617762">
              <w:rPr>
                <w:sz w:val="20"/>
                <w:szCs w:val="20"/>
              </w:rPr>
              <w:t>Any other outcomes</w:t>
            </w:r>
          </w:p>
        </w:tc>
      </w:tr>
      <w:tr w:rsidR="00D04C52" w:rsidRPr="00194716" w14:paraId="535C85D3" w14:textId="77777777" w:rsidTr="00B46744">
        <w:trPr>
          <w:cantSplit/>
        </w:trPr>
        <w:tc>
          <w:tcPr>
            <w:tcW w:w="1345" w:type="dxa"/>
            <w:shd w:val="clear" w:color="auto" w:fill="E7E6E6"/>
          </w:tcPr>
          <w:p w14:paraId="7488529A" w14:textId="77777777" w:rsidR="00D04C52" w:rsidRPr="00617762" w:rsidRDefault="00D04C52" w:rsidP="00B46744">
            <w:pPr>
              <w:autoSpaceDE w:val="0"/>
              <w:autoSpaceDN w:val="0"/>
              <w:adjustRightInd w:val="0"/>
              <w:rPr>
                <w:b/>
                <w:sz w:val="20"/>
                <w:szCs w:val="20"/>
              </w:rPr>
            </w:pPr>
            <w:r w:rsidRPr="00617762">
              <w:rPr>
                <w:b/>
                <w:sz w:val="20"/>
                <w:szCs w:val="20"/>
              </w:rPr>
              <w:t>Study Designs</w:t>
            </w:r>
            <w:r w:rsidRPr="00850A93">
              <w:rPr>
                <w:b/>
                <w:sz w:val="20"/>
                <w:szCs w:val="20"/>
                <w:vertAlign w:val="superscript"/>
              </w:rPr>
              <w:t>b</w:t>
            </w:r>
          </w:p>
        </w:tc>
        <w:tc>
          <w:tcPr>
            <w:tcW w:w="4770" w:type="dxa"/>
          </w:tcPr>
          <w:p w14:paraId="2CD5C75F" w14:textId="77777777" w:rsidR="00D04C52" w:rsidRPr="00617762" w:rsidRDefault="00D04C52" w:rsidP="00B46744">
            <w:pPr>
              <w:pStyle w:val="ListParagraph"/>
              <w:numPr>
                <w:ilvl w:val="0"/>
                <w:numId w:val="3"/>
              </w:numPr>
              <w:autoSpaceDE w:val="0"/>
              <w:autoSpaceDN w:val="0"/>
              <w:adjustRightInd w:val="0"/>
              <w:spacing w:after="200" w:line="276" w:lineRule="auto"/>
              <w:rPr>
                <w:sz w:val="20"/>
                <w:szCs w:val="20"/>
              </w:rPr>
            </w:pPr>
            <w:r w:rsidRPr="00617762">
              <w:rPr>
                <w:sz w:val="20"/>
                <w:szCs w:val="20"/>
              </w:rPr>
              <w:t>Randomized and non-randomized controlled trials</w:t>
            </w:r>
          </w:p>
          <w:p w14:paraId="204E50DE" w14:textId="77777777" w:rsidR="00D04C52" w:rsidRPr="00617762" w:rsidRDefault="00D04C52" w:rsidP="00B46744">
            <w:pPr>
              <w:pStyle w:val="ListParagraph"/>
              <w:numPr>
                <w:ilvl w:val="0"/>
                <w:numId w:val="3"/>
              </w:numPr>
              <w:autoSpaceDE w:val="0"/>
              <w:autoSpaceDN w:val="0"/>
              <w:adjustRightInd w:val="0"/>
              <w:spacing w:after="200" w:line="276" w:lineRule="auto"/>
              <w:rPr>
                <w:sz w:val="20"/>
                <w:szCs w:val="20"/>
              </w:rPr>
            </w:pPr>
            <w:r w:rsidRPr="00617762">
              <w:rPr>
                <w:sz w:val="20"/>
                <w:szCs w:val="20"/>
              </w:rPr>
              <w:t xml:space="preserve">Cross-sectional, case-control, and cohort studies </w:t>
            </w:r>
          </w:p>
          <w:p w14:paraId="778127D1" w14:textId="77777777" w:rsidR="00D04C52" w:rsidRPr="00617762" w:rsidRDefault="00DC4602" w:rsidP="00B46744">
            <w:pPr>
              <w:pStyle w:val="ListParagraph"/>
              <w:numPr>
                <w:ilvl w:val="0"/>
                <w:numId w:val="3"/>
              </w:numPr>
              <w:autoSpaceDE w:val="0"/>
              <w:autoSpaceDN w:val="0"/>
              <w:adjustRightInd w:val="0"/>
              <w:spacing w:after="200" w:line="276" w:lineRule="auto"/>
              <w:rPr>
                <w:sz w:val="20"/>
                <w:szCs w:val="20"/>
              </w:rPr>
            </w:pPr>
            <w:r>
              <w:rPr>
                <w:sz w:val="20"/>
                <w:szCs w:val="20"/>
              </w:rPr>
              <w:t>L</w:t>
            </w:r>
            <w:r w:rsidR="00D04C52" w:rsidRPr="00617762">
              <w:rPr>
                <w:sz w:val="20"/>
                <w:szCs w:val="20"/>
              </w:rPr>
              <w:t>etters and editorials containing original data not available elsewhere were eligible</w:t>
            </w:r>
          </w:p>
        </w:tc>
        <w:tc>
          <w:tcPr>
            <w:tcW w:w="3510" w:type="dxa"/>
            <w:shd w:val="clear" w:color="auto" w:fill="FFFFFF" w:themeFill="background1"/>
          </w:tcPr>
          <w:p w14:paraId="30E16E98" w14:textId="77777777" w:rsidR="00D04C52" w:rsidRPr="00617762" w:rsidRDefault="00D04C52" w:rsidP="00B46744">
            <w:pPr>
              <w:pStyle w:val="ListParagraph"/>
              <w:numPr>
                <w:ilvl w:val="0"/>
                <w:numId w:val="4"/>
              </w:numPr>
              <w:autoSpaceDE w:val="0"/>
              <w:autoSpaceDN w:val="0"/>
              <w:adjustRightInd w:val="0"/>
              <w:spacing w:after="0" w:line="240" w:lineRule="auto"/>
              <w:rPr>
                <w:sz w:val="20"/>
                <w:szCs w:val="20"/>
              </w:rPr>
            </w:pPr>
            <w:r w:rsidRPr="00617762">
              <w:rPr>
                <w:sz w:val="20"/>
                <w:szCs w:val="20"/>
              </w:rPr>
              <w:t>Reviews, case reports, editorials, and letters not containing original data</w:t>
            </w:r>
          </w:p>
        </w:tc>
      </w:tr>
    </w:tbl>
    <w:p w14:paraId="1F86C9DE" w14:textId="77777777" w:rsidR="00D04C52" w:rsidRPr="00194716" w:rsidRDefault="00D04C52" w:rsidP="00B46744">
      <w:pPr>
        <w:pStyle w:val="BodyText"/>
        <w:spacing w:after="0"/>
        <w:contextualSpacing/>
        <w:jc w:val="both"/>
        <w:rPr>
          <w:rFonts w:asciiTheme="minorHAnsi" w:hAnsiTheme="minorHAnsi"/>
          <w:sz w:val="22"/>
          <w:szCs w:val="22"/>
        </w:rPr>
      </w:pPr>
      <w:proofErr w:type="spellStart"/>
      <w:r w:rsidRPr="00194716">
        <w:rPr>
          <w:rFonts w:asciiTheme="minorHAnsi" w:hAnsiTheme="minorHAnsi"/>
          <w:sz w:val="22"/>
          <w:szCs w:val="22"/>
          <w:vertAlign w:val="superscript"/>
        </w:rPr>
        <w:t>a</w:t>
      </w:r>
      <w:proofErr w:type="spellEnd"/>
      <w:r w:rsidRPr="00194716">
        <w:rPr>
          <w:rFonts w:asciiTheme="minorHAnsi" w:hAnsiTheme="minorHAnsi"/>
          <w:sz w:val="22"/>
          <w:szCs w:val="22"/>
        </w:rPr>
        <w:t xml:space="preserve"> </w:t>
      </w:r>
      <w:r w:rsidRPr="00617762">
        <w:rPr>
          <w:rFonts w:asciiTheme="minorHAnsi" w:hAnsiTheme="minorHAnsi"/>
          <w:sz w:val="18"/>
          <w:szCs w:val="18"/>
        </w:rPr>
        <w:t>E.g., vaporizers, e-cigarettes, hookahs/water pipes.</w:t>
      </w:r>
    </w:p>
    <w:p w14:paraId="10FB17CD" w14:textId="77777777" w:rsidR="00D04C52" w:rsidRPr="00617762" w:rsidRDefault="00D04C52" w:rsidP="00B46744">
      <w:pPr>
        <w:pStyle w:val="BodyText"/>
        <w:spacing w:after="0"/>
        <w:contextualSpacing/>
        <w:jc w:val="both"/>
        <w:rPr>
          <w:rFonts w:asciiTheme="minorHAnsi" w:hAnsiTheme="minorHAnsi"/>
          <w:sz w:val="18"/>
          <w:szCs w:val="18"/>
        </w:rPr>
      </w:pPr>
      <w:r w:rsidRPr="00194716">
        <w:rPr>
          <w:rFonts w:asciiTheme="minorHAnsi" w:hAnsiTheme="minorHAnsi"/>
          <w:sz w:val="22"/>
          <w:szCs w:val="22"/>
          <w:vertAlign w:val="superscript"/>
        </w:rPr>
        <w:t>b</w:t>
      </w:r>
      <w:r w:rsidRPr="00194716">
        <w:rPr>
          <w:rFonts w:asciiTheme="minorHAnsi" w:hAnsiTheme="minorHAnsi"/>
          <w:sz w:val="22"/>
          <w:szCs w:val="22"/>
        </w:rPr>
        <w:t xml:space="preserve"> </w:t>
      </w:r>
      <w:r w:rsidRPr="00617762">
        <w:rPr>
          <w:rFonts w:asciiTheme="minorHAnsi" w:hAnsiTheme="minorHAnsi"/>
          <w:sz w:val="18"/>
          <w:szCs w:val="18"/>
        </w:rPr>
        <w:t>Reclassification of included trials as cross-sectional or cohort depending on the eligible data as follows: if only baseline data used from a trial, it was considered a cross-sectional study; if any post-baseline measurement data was used, it was considered it a cohort.</w:t>
      </w:r>
    </w:p>
    <w:p w14:paraId="0BCCD843" w14:textId="77777777" w:rsidR="00D04C52" w:rsidRPr="00194716" w:rsidRDefault="00D04C52" w:rsidP="00B46744">
      <w:pPr>
        <w:pStyle w:val="BodyText"/>
        <w:spacing w:after="0"/>
        <w:contextualSpacing/>
        <w:jc w:val="both"/>
        <w:rPr>
          <w:rFonts w:asciiTheme="minorHAnsi" w:hAnsiTheme="minorHAnsi"/>
          <w:b/>
          <w:sz w:val="22"/>
          <w:szCs w:val="22"/>
        </w:rPr>
      </w:pPr>
    </w:p>
    <w:p w14:paraId="4C912C13" w14:textId="77777777" w:rsidR="00D04C52" w:rsidRPr="00617762" w:rsidRDefault="00D04C52" w:rsidP="00B46744">
      <w:pPr>
        <w:pStyle w:val="BodyText"/>
        <w:spacing w:after="0"/>
        <w:contextualSpacing/>
        <w:jc w:val="both"/>
        <w:rPr>
          <w:rFonts w:asciiTheme="minorHAnsi" w:hAnsiTheme="minorHAnsi"/>
          <w:sz w:val="18"/>
          <w:szCs w:val="18"/>
        </w:rPr>
      </w:pPr>
      <w:r w:rsidRPr="00617762">
        <w:rPr>
          <w:rFonts w:asciiTheme="minorHAnsi" w:hAnsiTheme="minorHAnsi"/>
          <w:b/>
          <w:sz w:val="18"/>
          <w:szCs w:val="18"/>
        </w:rPr>
        <w:t xml:space="preserve">Abbreviations: </w:t>
      </w:r>
      <w:r w:rsidRPr="00617762">
        <w:rPr>
          <w:rFonts w:asciiTheme="minorHAnsi" w:hAnsiTheme="minorHAnsi"/>
          <w:sz w:val="18"/>
          <w:szCs w:val="18"/>
        </w:rPr>
        <w:t>AUTOS=Autonomy Over Smoking Scale; CDS-12=12-item Cigarette Dependence Scale; CDS-5=5-item Cigarette Dependence Scale; FTND=Fagerström Test of Nicotine Dependence; FTQ=Fagerström Tolerance Questionnaire; HSI=Heaviness of Smoking Index; HONC=Hooked on Nicotine Checklist; mFTQ=modified Fagerström Tolerance Questionnaire; NDSA=Nicotine Dependence Scale for Adolescents; NDSS=Nicotine Dependence Syndrome Scale; SDI=Stanford Dependence Inventory; TDS=Tobacco Dependence Screener; (TDS); WISDM=Wisconsin Inventory of Smoking Dependence (37- and 68-item versions).</w:t>
      </w:r>
    </w:p>
    <w:p w14:paraId="7854B568" w14:textId="77777777" w:rsidR="00D04C52" w:rsidRDefault="00D04C52" w:rsidP="00EA69AA">
      <w:pPr>
        <w:pStyle w:val="ChapterHeading"/>
        <w:spacing w:after="0"/>
        <w:outlineLvl w:val="9"/>
        <w:rPr>
          <w:rFonts w:asciiTheme="minorHAnsi" w:hAnsiTheme="minorHAnsi"/>
          <w:sz w:val="22"/>
          <w:szCs w:val="22"/>
        </w:rPr>
      </w:pPr>
      <w:bookmarkStart w:id="5" w:name="_Toc472735592"/>
    </w:p>
    <w:p w14:paraId="39453ECA" w14:textId="77777777" w:rsidR="00D04C52" w:rsidRDefault="00D04C52" w:rsidP="00B46744">
      <w:pPr>
        <w:pStyle w:val="ChapterHeading"/>
        <w:spacing w:after="0"/>
        <w:rPr>
          <w:rFonts w:asciiTheme="minorHAnsi" w:hAnsiTheme="minorHAnsi"/>
          <w:sz w:val="22"/>
          <w:szCs w:val="22"/>
        </w:rPr>
      </w:pPr>
    </w:p>
    <w:p w14:paraId="6C7DD73A" w14:textId="77777777" w:rsidR="00D04C52" w:rsidRPr="00194716" w:rsidRDefault="00D04C52" w:rsidP="00EA69AA">
      <w:pPr>
        <w:pStyle w:val="ChapterHeading"/>
        <w:spacing w:after="0"/>
        <w:outlineLvl w:val="1"/>
        <w:rPr>
          <w:rFonts w:asciiTheme="minorHAnsi" w:hAnsiTheme="minorHAnsi"/>
          <w:b w:val="0"/>
          <w:sz w:val="22"/>
          <w:szCs w:val="22"/>
        </w:rPr>
      </w:pPr>
      <w:r w:rsidRPr="00194716">
        <w:rPr>
          <w:rFonts w:asciiTheme="minorHAnsi" w:hAnsiTheme="minorHAnsi"/>
          <w:sz w:val="22"/>
          <w:szCs w:val="22"/>
        </w:rPr>
        <w:t>Title and Abstract Review Decision Codes</w:t>
      </w:r>
      <w:bookmarkEnd w:id="3"/>
      <w:bookmarkEnd w:id="4"/>
      <w:bookmarkEnd w:id="5"/>
      <w:r w:rsidRPr="00194716">
        <w:rPr>
          <w:rFonts w:asciiTheme="minorHAnsi" w:hAnsiTheme="minorHAnsi"/>
          <w:sz w:val="22"/>
          <w:szCs w:val="22"/>
        </w:rPr>
        <w:t xml:space="preserve"> </w:t>
      </w:r>
      <w:r w:rsidRPr="00194716">
        <w:rPr>
          <w:rFonts w:asciiTheme="minorHAnsi" w:hAnsiTheme="minorHAnsi"/>
          <w:sz w:val="22"/>
          <w:szCs w:val="22"/>
        </w:rPr>
        <w:br/>
      </w:r>
    </w:p>
    <w:tbl>
      <w:tblPr>
        <w:tblStyle w:val="GridTable4-Accent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4"/>
      </w:tblGrid>
      <w:tr w:rsidR="00D04C52" w:rsidRPr="00194716" w14:paraId="2612D5DB" w14:textId="77777777" w:rsidTr="00B467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44546A"/>
          </w:tcPr>
          <w:p w14:paraId="32B6B38C" w14:textId="77777777" w:rsidR="00D04C52" w:rsidRPr="00194716" w:rsidRDefault="00D04C52" w:rsidP="00B46744">
            <w:r w:rsidRPr="00194716">
              <w:t>Possible Codes for Title/Abstract Review</w:t>
            </w:r>
          </w:p>
        </w:tc>
      </w:tr>
      <w:tr w:rsidR="00D04C52" w:rsidRPr="00194716" w14:paraId="76EEEFF1" w14:textId="77777777" w:rsidTr="00B467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tcPr>
          <w:p w14:paraId="3BA2FDCA" w14:textId="77777777" w:rsidR="00D04C52" w:rsidRPr="00E14080" w:rsidRDefault="00D04C52" w:rsidP="00B46744">
            <w:pPr>
              <w:rPr>
                <w:color w:val="000000"/>
              </w:rPr>
            </w:pPr>
            <w:r w:rsidRPr="00E14080">
              <w:rPr>
                <w:color w:val="000000"/>
              </w:rPr>
              <w:t xml:space="preserve">EXCLUDE </w:t>
            </w:r>
          </w:p>
        </w:tc>
      </w:tr>
      <w:tr w:rsidR="00D04C52" w:rsidRPr="00194716" w14:paraId="5EFD1233" w14:textId="77777777" w:rsidTr="00B46744">
        <w:tc>
          <w:tcPr>
            <w:cnfStyle w:val="001000000000" w:firstRow="0" w:lastRow="0" w:firstColumn="1" w:lastColumn="0" w:oddVBand="0" w:evenVBand="0" w:oddHBand="0" w:evenHBand="0" w:firstRowFirstColumn="0" w:firstRowLastColumn="0" w:lastRowFirstColumn="0" w:lastRowLastColumn="0"/>
            <w:tcW w:w="0" w:type="auto"/>
          </w:tcPr>
          <w:p w14:paraId="4777EE48" w14:textId="77777777" w:rsidR="00D04C52" w:rsidRPr="00194716" w:rsidRDefault="00D04C52" w:rsidP="00B46744">
            <w:pPr>
              <w:rPr>
                <w:b w:val="0"/>
                <w:color w:val="000000"/>
              </w:rPr>
            </w:pPr>
            <w:r w:rsidRPr="00194716">
              <w:rPr>
                <w:b w:val="0"/>
                <w:color w:val="000000"/>
              </w:rPr>
              <w:t xml:space="preserve">1. Not English </w:t>
            </w:r>
          </w:p>
        </w:tc>
      </w:tr>
      <w:tr w:rsidR="00D04C52" w:rsidRPr="00194716" w14:paraId="5A653475" w14:textId="77777777" w:rsidTr="00B467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7E6E6"/>
          </w:tcPr>
          <w:p w14:paraId="2DB02AC3" w14:textId="77777777" w:rsidR="00D04C52" w:rsidRPr="00194716" w:rsidRDefault="00D04C52" w:rsidP="00B46744">
            <w:pPr>
              <w:rPr>
                <w:b w:val="0"/>
                <w:color w:val="000000"/>
              </w:rPr>
            </w:pPr>
            <w:r w:rsidRPr="00194716">
              <w:rPr>
                <w:b w:val="0"/>
                <w:color w:val="000000"/>
              </w:rPr>
              <w:t>2. Ineligible population (not U.S., not humans)</w:t>
            </w:r>
          </w:p>
        </w:tc>
      </w:tr>
      <w:tr w:rsidR="00D04C52" w:rsidRPr="00194716" w14:paraId="7874A281" w14:textId="77777777" w:rsidTr="00B46744">
        <w:tc>
          <w:tcPr>
            <w:cnfStyle w:val="001000000000" w:firstRow="0" w:lastRow="0" w:firstColumn="1" w:lastColumn="0" w:oddVBand="0" w:evenVBand="0" w:oddHBand="0" w:evenHBand="0" w:firstRowFirstColumn="0" w:firstRowLastColumn="0" w:lastRowFirstColumn="0" w:lastRowLastColumn="0"/>
            <w:tcW w:w="0" w:type="auto"/>
          </w:tcPr>
          <w:p w14:paraId="779A607D" w14:textId="77777777" w:rsidR="00D04C52" w:rsidRPr="00194716" w:rsidRDefault="00D04C52" w:rsidP="00B46744">
            <w:pPr>
              <w:rPr>
                <w:b w:val="0"/>
                <w:color w:val="000000"/>
              </w:rPr>
            </w:pPr>
            <w:r w:rsidRPr="00194716">
              <w:rPr>
                <w:b w:val="0"/>
                <w:color w:val="000000"/>
              </w:rPr>
              <w:t>3. Not original research / data</w:t>
            </w:r>
          </w:p>
        </w:tc>
      </w:tr>
      <w:tr w:rsidR="00D04C52" w:rsidRPr="00ED5FCD" w14:paraId="4CB99208" w14:textId="77777777" w:rsidTr="00B467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7E6E6"/>
          </w:tcPr>
          <w:p w14:paraId="2D8B1BE3" w14:textId="77777777" w:rsidR="00D04C52" w:rsidRPr="004E3ADD" w:rsidRDefault="00D04C52" w:rsidP="00B46744">
            <w:pPr>
              <w:rPr>
                <w:b w:val="0"/>
                <w:color w:val="000000"/>
                <w:lang w:val="fr-FR"/>
              </w:rPr>
            </w:pPr>
            <w:r w:rsidRPr="004E3ADD">
              <w:rPr>
                <w:b w:val="0"/>
                <w:color w:val="000000"/>
                <w:lang w:val="fr-FR"/>
              </w:rPr>
              <w:t>4. Ineligible comparison (menthol vs. non)</w:t>
            </w:r>
          </w:p>
        </w:tc>
      </w:tr>
      <w:tr w:rsidR="00D04C52" w:rsidRPr="00194716" w14:paraId="2FA3A4EA" w14:textId="77777777" w:rsidTr="00B46744">
        <w:tc>
          <w:tcPr>
            <w:cnfStyle w:val="001000000000" w:firstRow="0" w:lastRow="0" w:firstColumn="1" w:lastColumn="0" w:oddVBand="0" w:evenVBand="0" w:oddHBand="0" w:evenHBand="0" w:firstRowFirstColumn="0" w:firstRowLastColumn="0" w:lastRowFirstColumn="0" w:lastRowLastColumn="0"/>
            <w:tcW w:w="0" w:type="auto"/>
          </w:tcPr>
          <w:p w14:paraId="06240A16" w14:textId="77777777" w:rsidR="00D04C52" w:rsidRPr="00194716" w:rsidRDefault="00D04C52" w:rsidP="00B46744">
            <w:pPr>
              <w:rPr>
                <w:b w:val="0"/>
                <w:color w:val="000000"/>
              </w:rPr>
            </w:pPr>
            <w:r w:rsidRPr="00194716">
              <w:rPr>
                <w:b w:val="0"/>
                <w:color w:val="000000"/>
              </w:rPr>
              <w:t>5. Ineligible exposure (e-cigarettes)</w:t>
            </w:r>
          </w:p>
        </w:tc>
      </w:tr>
      <w:tr w:rsidR="00D04C52" w:rsidRPr="00194716" w14:paraId="2CB2F311" w14:textId="77777777" w:rsidTr="00B467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7E6E6"/>
          </w:tcPr>
          <w:p w14:paraId="33FA8451" w14:textId="77777777" w:rsidR="00D04C52" w:rsidRPr="00194716" w:rsidRDefault="00D04C52" w:rsidP="00B46744">
            <w:pPr>
              <w:rPr>
                <w:b w:val="0"/>
                <w:color w:val="000000"/>
              </w:rPr>
            </w:pPr>
            <w:r w:rsidRPr="00194716">
              <w:rPr>
                <w:b w:val="0"/>
                <w:color w:val="000000"/>
              </w:rPr>
              <w:t>6. Doesn't address a K</w:t>
            </w:r>
            <w:r w:rsidR="00D6476D">
              <w:rPr>
                <w:b w:val="0"/>
                <w:color w:val="000000"/>
              </w:rPr>
              <w:t xml:space="preserve">ey </w:t>
            </w:r>
            <w:r w:rsidRPr="00194716">
              <w:rPr>
                <w:b w:val="0"/>
                <w:color w:val="000000"/>
              </w:rPr>
              <w:t>Q</w:t>
            </w:r>
            <w:r w:rsidR="00D6476D">
              <w:rPr>
                <w:b w:val="0"/>
                <w:color w:val="000000"/>
              </w:rPr>
              <w:t>uestion</w:t>
            </w:r>
          </w:p>
        </w:tc>
      </w:tr>
    </w:tbl>
    <w:p w14:paraId="68238C45" w14:textId="77777777" w:rsidR="00D6476D" w:rsidRPr="00D6476D" w:rsidRDefault="00D6476D" w:rsidP="00D6476D">
      <w:bookmarkStart w:id="6" w:name="_Toc458358690"/>
      <w:bookmarkStart w:id="7" w:name="_Toc458781779"/>
      <w:bookmarkStart w:id="8" w:name="_Toc472735593"/>
    </w:p>
    <w:p w14:paraId="36C91CA4" w14:textId="77777777" w:rsidR="00D04C52" w:rsidRPr="00194716" w:rsidRDefault="00D04C52" w:rsidP="00EA69AA">
      <w:pPr>
        <w:pStyle w:val="ChapterHeading"/>
        <w:outlineLvl w:val="1"/>
        <w:rPr>
          <w:rFonts w:asciiTheme="minorHAnsi" w:hAnsiTheme="minorHAnsi"/>
          <w:sz w:val="22"/>
          <w:szCs w:val="22"/>
        </w:rPr>
      </w:pPr>
      <w:r w:rsidRPr="00194716">
        <w:rPr>
          <w:rFonts w:asciiTheme="minorHAnsi" w:hAnsiTheme="minorHAnsi"/>
          <w:sz w:val="22"/>
          <w:szCs w:val="22"/>
        </w:rPr>
        <w:lastRenderedPageBreak/>
        <w:t>Full-text Review Decision Codes</w:t>
      </w:r>
      <w:bookmarkEnd w:id="6"/>
      <w:bookmarkEnd w:id="7"/>
      <w:bookmarkEnd w:id="8"/>
    </w:p>
    <w:tbl>
      <w:tblPr>
        <w:tblStyle w:val="GridTable4-Accent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4"/>
      </w:tblGrid>
      <w:tr w:rsidR="00D04C52" w:rsidRPr="00194716" w14:paraId="6711D411" w14:textId="77777777" w:rsidTr="00B467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44546A"/>
          </w:tcPr>
          <w:p w14:paraId="5C5C96CB" w14:textId="77777777" w:rsidR="00D04C52" w:rsidRPr="00194716" w:rsidRDefault="00D04C52" w:rsidP="00B46744">
            <w:r w:rsidRPr="00194716">
              <w:t>Possible Codes for a Full-text Review</w:t>
            </w:r>
          </w:p>
        </w:tc>
      </w:tr>
      <w:tr w:rsidR="00D04C52" w:rsidRPr="00194716" w14:paraId="7F99DB97" w14:textId="77777777" w:rsidTr="00B467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2F2F2" w:themeFill="background1" w:themeFillShade="F2"/>
          </w:tcPr>
          <w:p w14:paraId="320186B7" w14:textId="77777777" w:rsidR="00D04C52" w:rsidRPr="00E14080" w:rsidRDefault="00D04C52" w:rsidP="00B46744">
            <w:pPr>
              <w:rPr>
                <w:color w:val="000000"/>
              </w:rPr>
            </w:pPr>
            <w:r w:rsidRPr="00E14080">
              <w:rPr>
                <w:color w:val="000000"/>
              </w:rPr>
              <w:t xml:space="preserve">EXCLUDE </w:t>
            </w:r>
          </w:p>
        </w:tc>
      </w:tr>
      <w:tr w:rsidR="00D04C52" w:rsidRPr="00194716" w14:paraId="6B7F6B56" w14:textId="77777777" w:rsidTr="00B46744">
        <w:tc>
          <w:tcPr>
            <w:cnfStyle w:val="001000000000" w:firstRow="0" w:lastRow="0" w:firstColumn="1" w:lastColumn="0" w:oddVBand="0" w:evenVBand="0" w:oddHBand="0" w:evenHBand="0" w:firstRowFirstColumn="0" w:firstRowLastColumn="0" w:lastRowFirstColumn="0" w:lastRowLastColumn="0"/>
            <w:tcW w:w="0" w:type="auto"/>
          </w:tcPr>
          <w:p w14:paraId="4C8A2A23" w14:textId="77777777" w:rsidR="00D04C52" w:rsidRPr="00194716" w:rsidRDefault="00D04C52" w:rsidP="00B46744">
            <w:pPr>
              <w:rPr>
                <w:b w:val="0"/>
                <w:color w:val="000000"/>
              </w:rPr>
            </w:pPr>
            <w:r w:rsidRPr="00194716">
              <w:rPr>
                <w:b w:val="0"/>
                <w:color w:val="000000"/>
              </w:rPr>
              <w:t xml:space="preserve">1. Not English </w:t>
            </w:r>
          </w:p>
        </w:tc>
      </w:tr>
      <w:tr w:rsidR="00D04C52" w:rsidRPr="00194716" w14:paraId="163C2407" w14:textId="77777777" w:rsidTr="00B467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7E6E6"/>
          </w:tcPr>
          <w:p w14:paraId="1245AE4B" w14:textId="77777777" w:rsidR="00D04C52" w:rsidRPr="00194716" w:rsidRDefault="00D04C52" w:rsidP="00B46744">
            <w:pPr>
              <w:rPr>
                <w:b w:val="0"/>
                <w:color w:val="000000"/>
              </w:rPr>
            </w:pPr>
            <w:r w:rsidRPr="00194716">
              <w:rPr>
                <w:b w:val="0"/>
                <w:color w:val="000000"/>
              </w:rPr>
              <w:t>2. Ineligible population (not U.S., not humans)</w:t>
            </w:r>
          </w:p>
        </w:tc>
      </w:tr>
      <w:tr w:rsidR="00D04C52" w:rsidRPr="00194716" w14:paraId="32C5A511" w14:textId="77777777" w:rsidTr="00B46744">
        <w:tc>
          <w:tcPr>
            <w:cnfStyle w:val="001000000000" w:firstRow="0" w:lastRow="0" w:firstColumn="1" w:lastColumn="0" w:oddVBand="0" w:evenVBand="0" w:oddHBand="0" w:evenHBand="0" w:firstRowFirstColumn="0" w:firstRowLastColumn="0" w:lastRowFirstColumn="0" w:lastRowLastColumn="0"/>
            <w:tcW w:w="0" w:type="auto"/>
          </w:tcPr>
          <w:p w14:paraId="1C3EDD8A" w14:textId="77777777" w:rsidR="00D04C52" w:rsidRPr="00194716" w:rsidRDefault="00D04C52" w:rsidP="00B46744">
            <w:pPr>
              <w:rPr>
                <w:b w:val="0"/>
                <w:color w:val="000000"/>
              </w:rPr>
            </w:pPr>
            <w:r w:rsidRPr="00194716">
              <w:rPr>
                <w:b w:val="0"/>
                <w:color w:val="000000"/>
              </w:rPr>
              <w:t>3. Not original research / data</w:t>
            </w:r>
          </w:p>
        </w:tc>
      </w:tr>
      <w:tr w:rsidR="00D04C52" w:rsidRPr="00194716" w14:paraId="18061174" w14:textId="77777777" w:rsidTr="00B467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7E6E6"/>
          </w:tcPr>
          <w:p w14:paraId="635A3DE9" w14:textId="77777777" w:rsidR="00D04C52" w:rsidRPr="00194716" w:rsidRDefault="00D04C52" w:rsidP="00B46744">
            <w:pPr>
              <w:rPr>
                <w:b w:val="0"/>
                <w:color w:val="000000"/>
              </w:rPr>
            </w:pPr>
            <w:r w:rsidRPr="00194716">
              <w:rPr>
                <w:b w:val="0"/>
                <w:color w:val="000000"/>
              </w:rPr>
              <w:t>4. Doesn't address a K</w:t>
            </w:r>
            <w:r w:rsidR="00D6476D">
              <w:rPr>
                <w:b w:val="0"/>
                <w:color w:val="000000"/>
              </w:rPr>
              <w:t xml:space="preserve">ey </w:t>
            </w:r>
            <w:r w:rsidRPr="00194716">
              <w:rPr>
                <w:b w:val="0"/>
                <w:color w:val="000000"/>
              </w:rPr>
              <w:t>Q</w:t>
            </w:r>
            <w:r w:rsidR="00D6476D">
              <w:rPr>
                <w:b w:val="0"/>
                <w:color w:val="000000"/>
              </w:rPr>
              <w:t>uestion</w:t>
            </w:r>
          </w:p>
        </w:tc>
      </w:tr>
      <w:tr w:rsidR="00D04C52" w:rsidRPr="00194716" w14:paraId="725B1AC0" w14:textId="77777777" w:rsidTr="00B46744">
        <w:tc>
          <w:tcPr>
            <w:cnfStyle w:val="001000000000" w:firstRow="0" w:lastRow="0" w:firstColumn="1" w:lastColumn="0" w:oddVBand="0" w:evenVBand="0" w:oddHBand="0" w:evenHBand="0" w:firstRowFirstColumn="0" w:firstRowLastColumn="0" w:lastRowFirstColumn="0" w:lastRowLastColumn="0"/>
            <w:tcW w:w="0" w:type="auto"/>
          </w:tcPr>
          <w:p w14:paraId="3BD841A5" w14:textId="77777777" w:rsidR="00D04C52" w:rsidRPr="00194716" w:rsidRDefault="00D04C52" w:rsidP="00B46744">
            <w:pPr>
              <w:rPr>
                <w:b w:val="0"/>
                <w:color w:val="000000"/>
              </w:rPr>
            </w:pPr>
            <w:r w:rsidRPr="00194716">
              <w:rPr>
                <w:b w:val="0"/>
                <w:color w:val="000000"/>
              </w:rPr>
              <w:t>5. Superseded by another included article</w:t>
            </w:r>
          </w:p>
        </w:tc>
      </w:tr>
    </w:tbl>
    <w:p w14:paraId="2C1E205A" w14:textId="77777777" w:rsidR="00D04C52" w:rsidRDefault="00D04C52" w:rsidP="00EA69AA">
      <w:pPr>
        <w:pStyle w:val="ChapterHeading"/>
        <w:outlineLvl w:val="9"/>
      </w:pPr>
    </w:p>
    <w:p w14:paraId="1ACBE60D" w14:textId="77777777" w:rsidR="00D04C52" w:rsidRDefault="00D04C52">
      <w:r>
        <w:br w:type="page"/>
      </w:r>
    </w:p>
    <w:p w14:paraId="1B4553E5" w14:textId="77777777" w:rsidR="00D04C52" w:rsidRDefault="00D04C52" w:rsidP="00B46744">
      <w:pPr>
        <w:spacing w:after="120" w:line="240" w:lineRule="auto"/>
        <w:rPr>
          <w:b/>
        </w:rPr>
        <w:sectPr w:rsidR="00D04C52" w:rsidSect="00B46744">
          <w:footerReference w:type="default" r:id="rId13"/>
          <w:footerReference w:type="first" r:id="rId14"/>
          <w:pgSz w:w="12240" w:h="15840"/>
          <w:pgMar w:top="1440" w:right="1440" w:bottom="1440" w:left="1440" w:header="720" w:footer="720" w:gutter="0"/>
          <w:cols w:space="720"/>
          <w:docGrid w:linePitch="360"/>
        </w:sectPr>
      </w:pPr>
    </w:p>
    <w:p w14:paraId="4DB0437E" w14:textId="6AD24A3B" w:rsidR="00EA69AA" w:rsidRPr="009014AD" w:rsidRDefault="001C075C" w:rsidP="009014AD">
      <w:pPr>
        <w:pStyle w:val="ChapterHeading"/>
        <w:spacing w:after="120"/>
        <w:rPr>
          <w:rFonts w:asciiTheme="minorHAnsi" w:hAnsiTheme="minorHAnsi"/>
          <w:sz w:val="22"/>
          <w:szCs w:val="22"/>
        </w:rPr>
      </w:pPr>
      <w:r>
        <w:rPr>
          <w:rFonts w:asciiTheme="minorHAnsi" w:hAnsiTheme="minorHAnsi"/>
          <w:sz w:val="22"/>
          <w:szCs w:val="22"/>
        </w:rPr>
        <w:lastRenderedPageBreak/>
        <w:t>SUPPLEMENTAL SECTION 8: Contextual Question 1</w:t>
      </w:r>
    </w:p>
    <w:p w14:paraId="7E1A27AA" w14:textId="0B08B856" w:rsidR="00EA69AA" w:rsidRDefault="00EA69AA" w:rsidP="00EA69AA">
      <w:pPr>
        <w:spacing w:after="120" w:line="240" w:lineRule="auto"/>
        <w:jc w:val="both"/>
      </w:pPr>
      <w:r w:rsidRPr="007A60C3">
        <w:rPr>
          <w:b/>
        </w:rPr>
        <w:t>Reliability.</w:t>
      </w:r>
      <w:r w:rsidRPr="007A60C3">
        <w:t xml:space="preserve"> Reliability is the overall </w:t>
      </w:r>
      <w:r w:rsidRPr="007A60C3">
        <w:rPr>
          <w:i/>
        </w:rPr>
        <w:t>consistency</w:t>
      </w:r>
      <w:r w:rsidRPr="007A60C3">
        <w:t xml:space="preserve"> of a measure (scale), over time and between individuals, and can be measured in a number of ways depending upon the type of measurement scale. Not all indicators of reliability are relevant to this review. One of the most relevant dimensions of reliability is the extent to which a measure yields the same score each time it is administered, under the assumption that true change has not occurred between measurement time points</w:t>
      </w:r>
      <w:r>
        <w:t xml:space="preserve"> </w:t>
      </w:r>
      <w:r w:rsidR="00D2134A">
        <w:fldChar w:fldCharType="begin"/>
      </w:r>
      <w:r w:rsidR="00D2134A">
        <w:instrText xml:space="preserve"> ADDIN EN.CITE &lt;EndNote&gt;&lt;Cite&gt;&lt;Author&gt;Kirk&lt;/Author&gt;&lt;Year&gt;1986&lt;/Year&gt;&lt;RecNum&gt;212&lt;/RecNum&gt;&lt;DisplayText&gt;(3)&lt;/DisplayText&gt;&lt;record&gt;&lt;rec-number&gt;212&lt;/rec-number&gt;&lt;foreign-keys&gt;&lt;key app="EN" db-id="a2vz2dfp8xrad6exes75zwpiw5rxwa0vwapv" timestamp="1477504300"&gt;212&lt;/key&gt;&lt;/foreign-keys&gt;&lt;ref-type name="Book"&gt;6&lt;/ref-type&gt;&lt;contributors&gt;&lt;authors&gt;&lt;author&gt;Kirk, J.&lt;/author&gt;&lt;author&gt;Miller, M.L.&lt;/author&gt;&lt;/authors&gt;&lt;/contributors&gt;&lt;titles&gt;&lt;title&gt;Reliability and validity in qualitative research&lt;/title&gt;&lt;/titles&gt;&lt;dates&gt;&lt;year&gt;1986&lt;/year&gt;&lt;/dates&gt;&lt;pub-location&gt;Beverly Hills, CA&lt;/pub-location&gt;&lt;publisher&gt;Sage Publications&lt;/publisher&gt;&lt;urls&gt;&lt;/urls&gt;&lt;/record&gt;&lt;/Cite&gt;&lt;/EndNote&gt;</w:instrText>
      </w:r>
      <w:r w:rsidR="00D2134A">
        <w:fldChar w:fldCharType="separate"/>
      </w:r>
      <w:r w:rsidR="00D2134A">
        <w:rPr>
          <w:noProof/>
        </w:rPr>
        <w:t>(</w:t>
      </w:r>
      <w:hyperlink w:anchor="_ENREF_3" w:tooltip="Kirk, 1986 #212" w:history="1">
        <w:r w:rsidR="00A234A9">
          <w:rPr>
            <w:noProof/>
          </w:rPr>
          <w:t>3</w:t>
        </w:r>
      </w:hyperlink>
      <w:r w:rsidR="00D2134A">
        <w:rPr>
          <w:noProof/>
        </w:rPr>
        <w:t>)</w:t>
      </w:r>
      <w:r w:rsidR="00D2134A">
        <w:fldChar w:fldCharType="end"/>
      </w:r>
      <w:r>
        <w:t>.</w:t>
      </w:r>
    </w:p>
    <w:p w14:paraId="4C709E5E" w14:textId="434077C0" w:rsidR="00EA69AA" w:rsidRDefault="00EA69AA" w:rsidP="00EA69AA">
      <w:pPr>
        <w:spacing w:after="120" w:line="240" w:lineRule="auto"/>
        <w:jc w:val="both"/>
      </w:pPr>
      <w:r w:rsidRPr="007A60C3">
        <w:t>For both single-item measur</w:t>
      </w:r>
      <w:r>
        <w:t>es (such as cigarettes per day</w:t>
      </w:r>
      <w:r w:rsidRPr="007A60C3">
        <w:t>) and multi-item</w:t>
      </w:r>
      <w:r>
        <w:t xml:space="preserve"> measures (such as the Fagerströ</w:t>
      </w:r>
      <w:r w:rsidRPr="007A60C3">
        <w:t xml:space="preserve">m Test for Nicotine Dependence or the Nicotine Dependence Syndrome Scale), </w:t>
      </w:r>
      <w:r w:rsidRPr="007A60C3">
        <w:rPr>
          <w:b/>
        </w:rPr>
        <w:t>temporal consistency</w:t>
      </w:r>
      <w:r w:rsidRPr="007A60C3">
        <w:t xml:space="preserve"> is often assessed by estimating </w:t>
      </w:r>
      <w:r w:rsidRPr="007A60C3">
        <w:rPr>
          <w:u w:val="single"/>
        </w:rPr>
        <w:t>test-retest reliability</w:t>
      </w:r>
      <w:r w:rsidRPr="007A60C3">
        <w:t xml:space="preserve"> (i.e., completing the test twice using the same instrument at two different points in time and comparing results, often through an appropriate correlation statistic or ‘percent agreement’).</w:t>
      </w:r>
      <w:r>
        <w:t xml:space="preserve"> </w:t>
      </w:r>
      <w:r w:rsidRPr="007A60C3">
        <w:t xml:space="preserve">A kappa statistic, for example, may be calculated. When used for this purpose, </w:t>
      </w:r>
      <w:r w:rsidRPr="007A60C3">
        <w:rPr>
          <w:i/>
        </w:rPr>
        <w:t>Kappa</w:t>
      </w:r>
      <w:r w:rsidRPr="007A60C3">
        <w:t xml:space="preserve"> quantifies the extent of agreement between the two measurements across the relevant time interval that is greater than the extent expected by chance alone</w:t>
      </w:r>
      <w:r>
        <w:t xml:space="preserve"> </w:t>
      </w:r>
      <w:r w:rsidR="00D2134A">
        <w:fldChar w:fldCharType="begin">
          <w:fldData xml:space="preserve">PEVuZE5vdGU+PENpdGU+PEF1dGhvcj5TaW08L0F1dGhvcj48WWVhcj4yMDA1PC9ZZWFyPjxSZWNO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=
</w:fldData>
        </w:fldChar>
      </w:r>
      <w:r w:rsidR="00D2134A">
        <w:instrText xml:space="preserve"> ADDIN EN.CITE </w:instrText>
      </w:r>
      <w:r w:rsidR="00D2134A">
        <w:fldChar w:fldCharType="begin">
          <w:fldData xml:space="preserve">PEVuZE5vdGU+PENpdGU+PEF1dGhvcj5TaW08L0F1dGhvcj48WWVhcj4yMDA1PC9ZZWFyPjxSZWNO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=
</w:fldData>
        </w:fldChar>
      </w:r>
      <w:r w:rsidR="00D2134A">
        <w:instrText xml:space="preserve"> ADDIN EN.CITE.DATA </w:instrText>
      </w:r>
      <w:r w:rsidR="00D2134A">
        <w:fldChar w:fldCharType="end"/>
      </w:r>
      <w:r w:rsidR="00D2134A">
        <w:fldChar w:fldCharType="separate"/>
      </w:r>
      <w:r w:rsidR="00D2134A">
        <w:rPr>
          <w:noProof/>
        </w:rPr>
        <w:t>(</w:t>
      </w:r>
      <w:hyperlink w:anchor="_ENREF_4" w:tooltip="Sim, 2005 #227" w:history="1">
        <w:r w:rsidR="00A234A9">
          <w:rPr>
            <w:noProof/>
          </w:rPr>
          <w:t>4</w:t>
        </w:r>
      </w:hyperlink>
      <w:r w:rsidR="00D2134A">
        <w:rPr>
          <w:noProof/>
        </w:rPr>
        <w:t xml:space="preserve">, </w:t>
      </w:r>
      <w:hyperlink w:anchor="_ENREF_5" w:tooltip="Banerjee, 1999 #297" w:history="1">
        <w:r w:rsidR="00A234A9">
          <w:rPr>
            <w:noProof/>
          </w:rPr>
          <w:t>5</w:t>
        </w:r>
      </w:hyperlink>
      <w:r w:rsidR="00D2134A">
        <w:rPr>
          <w:noProof/>
        </w:rPr>
        <w:t>)</w:t>
      </w:r>
      <w:r w:rsidR="00D2134A">
        <w:fldChar w:fldCharType="end"/>
      </w:r>
      <w:r>
        <w:t xml:space="preserve">. </w:t>
      </w:r>
      <w:r w:rsidRPr="007A60C3">
        <w:t>This assessment yields an assessment of the ‘repeatability’ of the scale and is affected by, inter alia, the scale’s length, the amount of time between measurements, and factors related to the study population</w:t>
      </w:r>
      <w:r>
        <w:t xml:space="preserve"> </w:t>
      </w:r>
      <w:r w:rsidR="00D2134A">
        <w:fldChar w:fldCharType="begin"/>
      </w:r>
      <w:r w:rsidR="00D2134A">
        <w:instrText xml:space="preserve"> ADDIN EN.CITE &lt;EndNote&gt;&lt;Cite&gt;&lt;Author&gt;Crocker&lt;/Author&gt;&lt;Year&gt;2006&lt;/Year&gt;&lt;RecNum&gt;298&lt;/RecNum&gt;&lt;DisplayText&gt;(6)&lt;/DisplayText&gt;&lt;record&gt;&lt;rec-number&gt;298&lt;/rec-number&gt;&lt;foreign-keys&gt;&lt;key app="EN" db-id="a2vz2dfp8xrad6exes75zwpiw5rxwa0vwapv" timestamp="1484941102"&gt;298&lt;/key&gt;&lt;/foreign-keys&gt;&lt;ref-type name="Book"&gt;6&lt;/ref-type&gt;&lt;contributors&gt;&lt;authors&gt;&lt;author&gt;Crocker, L.&lt;/author&gt;&lt;author&gt;Algina, L.&lt;/author&gt;&lt;/authors&gt;&lt;/contributors&gt;&lt;titles&gt;&lt;title&gt;Introduction to Classical and Modern Test Theory&lt;/title&gt;&lt;/titles&gt;&lt;dates&gt;&lt;year&gt;2006&lt;/year&gt;&lt;/dates&gt;&lt;pub-location&gt;Mason, Ohio&lt;/pub-location&gt;&lt;publisher&gt;Wadsworth Publishing Company&lt;/publisher&gt;&lt;isbn&gt;0495395919&lt;/isbn&gt;&lt;urls&gt;&lt;/urls&gt;&lt;/record&gt;&lt;/Cite&gt;&lt;/EndNote&gt;</w:instrText>
      </w:r>
      <w:r w:rsidR="00D2134A">
        <w:fldChar w:fldCharType="separate"/>
      </w:r>
      <w:r w:rsidR="00D2134A">
        <w:rPr>
          <w:noProof/>
        </w:rPr>
        <w:t>(</w:t>
      </w:r>
      <w:hyperlink w:anchor="_ENREF_6" w:tooltip="Crocker, 2006 #298" w:history="1">
        <w:r w:rsidR="00A234A9">
          <w:rPr>
            <w:noProof/>
          </w:rPr>
          <w:t>6</w:t>
        </w:r>
      </w:hyperlink>
      <w:r w:rsidR="00D2134A">
        <w:rPr>
          <w:noProof/>
        </w:rPr>
        <w:t>)</w:t>
      </w:r>
      <w:r w:rsidR="00D2134A">
        <w:fldChar w:fldCharType="end"/>
      </w:r>
      <w:r>
        <w:t>.</w:t>
      </w:r>
    </w:p>
    <w:p w14:paraId="17784E7F" w14:textId="11910BF0" w:rsidR="00EA69AA" w:rsidRDefault="00EA69AA" w:rsidP="00EA69AA">
      <w:pPr>
        <w:spacing w:after="120" w:line="240" w:lineRule="auto"/>
        <w:jc w:val="both"/>
      </w:pPr>
      <w:r w:rsidRPr="007A60C3">
        <w:t xml:space="preserve">Additionally, multi-item scales that are used to measure a complex construct are expected to be ‘unidimensional’, such that each of the underlying items, or groups of items (subscales), assesses a single underlying (or ‘latent’) construct (e.g., smoking dependence). For multi-item scales, reliability is most often defined as the extent to which the items or subscales of the instrument are a consistent measure of a single, unidimensional, conceptual ‘construct’. </w:t>
      </w:r>
      <w:r w:rsidRPr="007A60C3">
        <w:rPr>
          <w:i/>
        </w:rPr>
        <w:t>Unidimensionality</w:t>
      </w:r>
      <w:r w:rsidRPr="007A60C3">
        <w:t xml:space="preserve"> of multi-item scales is sometimes assessed using principal components (factor) </w:t>
      </w:r>
      <w:r w:rsidRPr="00AD248C">
        <w:t>analysis or PCA. Cronbach’s</w:t>
      </w:r>
      <w:r w:rsidRPr="007A60C3">
        <w:t xml:space="preserve"> </w:t>
      </w:r>
      <w:r w:rsidRPr="007A60C3">
        <w:rPr>
          <w:i/>
        </w:rPr>
        <w:t>alpha</w:t>
      </w:r>
      <w:r w:rsidRPr="007A60C3">
        <w:t xml:space="preserve"> is a common statistic used to measure the strength of such consistency of the </w:t>
      </w:r>
      <w:r w:rsidRPr="007A60C3">
        <w:rPr>
          <w:u w:val="single"/>
        </w:rPr>
        <w:t>internal interrelationships</w:t>
      </w:r>
      <w:r w:rsidRPr="007A60C3">
        <w:t>, or average correlation, or the strength of the inter-item relationships, of its component items</w:t>
      </w:r>
      <w:r>
        <w:t xml:space="preserve"> </w:t>
      </w:r>
      <w:r w:rsidR="00D2134A">
        <w:fldChar w:fldCharType="begin"/>
      </w:r>
      <w:r w:rsidR="00D2134A">
        <w:instrText xml:space="preserve"> ADDIN EN.CITE &lt;EndNote&gt;&lt;Cite&gt;&lt;Author&gt;Cronbach&lt;/Author&gt;&lt;Year&gt;1951&lt;/Year&gt;&lt;RecNum&gt;200&lt;/RecNum&gt;&lt;DisplayText&gt;(7)&lt;/DisplayText&gt;&lt;record&gt;&lt;rec-number&gt;200&lt;/rec-number&gt;&lt;foreign-keys&gt;&lt;key app="EN" db-id="a2vz2dfp8xrad6exes75zwpiw5rxwa0vwapv" timestamp="1477432929"&gt;200&lt;/key&gt;&lt;/foreign-keys&gt;&lt;ref-type name="Journal Article"&gt;17&lt;/ref-type&gt;&lt;contributors&gt;&lt;authors&gt;&lt;author&gt;Cronbach, L.&lt;/author&gt;&lt;/authors&gt;&lt;/contributors&gt;&lt;titles&gt;&lt;title&gt;Coefficient alpha and the internal structure of tests&lt;/title&gt;&lt;secondary-title&gt;Psychometrika&lt;/secondary-title&gt;&lt;/titles&gt;&lt;periodical&gt;&lt;full-title&gt;Psychometrika&lt;/full-title&gt;&lt;/periodical&gt;&lt;pages&gt;297-334&lt;/pages&gt;&lt;volume&gt;16&lt;/volume&gt;&lt;number&gt;3&lt;/number&gt;&lt;dates&gt;&lt;year&gt;1951&lt;/year&gt;&lt;/dates&gt;&lt;urls&gt;&lt;/urls&gt;&lt;/record&gt;&lt;/Cite&gt;&lt;/EndNote&gt;</w:instrText>
      </w:r>
      <w:r w:rsidR="00D2134A">
        <w:fldChar w:fldCharType="separate"/>
      </w:r>
      <w:r w:rsidR="00D2134A">
        <w:rPr>
          <w:noProof/>
        </w:rPr>
        <w:t>(</w:t>
      </w:r>
      <w:hyperlink w:anchor="_ENREF_7" w:tooltip="Cronbach, 1951 #200" w:history="1">
        <w:r w:rsidR="00A234A9">
          <w:rPr>
            <w:noProof/>
          </w:rPr>
          <w:t>7</w:t>
        </w:r>
      </w:hyperlink>
      <w:r w:rsidR="00D2134A">
        <w:rPr>
          <w:noProof/>
        </w:rPr>
        <w:t>)</w:t>
      </w:r>
      <w:r w:rsidR="00D2134A">
        <w:fldChar w:fldCharType="end"/>
      </w:r>
      <w:r>
        <w:t>.</w:t>
      </w:r>
      <w:r w:rsidRPr="007A60C3">
        <w:t xml:space="preserve"> Numerous factors influence the value of alpha, including the number of items included in the scale (smaller numbers of items limit the maximum value of alpha that is achievable, even in the best of circumstances) and the level of interrelatedness of the items or subscales. Importantly, the degree of an instrument’s reliability can also be affected by how closely the use of that instrument mirrored the way it was intended to be used. Because of these factors, there is no single set of agreed-upon threshold values that allow for categorization of reliability</w:t>
      </w:r>
      <w:r>
        <w:t>.</w:t>
      </w:r>
    </w:p>
    <w:p w14:paraId="7D682983" w14:textId="736D93CC" w:rsidR="00EA69AA" w:rsidRDefault="00EA69AA" w:rsidP="00EA69AA">
      <w:pPr>
        <w:spacing w:after="120" w:line="240" w:lineRule="auto"/>
        <w:jc w:val="both"/>
      </w:pPr>
      <w:r w:rsidRPr="007A60C3">
        <w:t xml:space="preserve">In keeping with published tradition, </w:t>
      </w:r>
      <w:r w:rsidR="00D2134A">
        <w:fldChar w:fldCharType="begin">
          <w:fldData xml:space="preserve">PEVuZE5vdGU+PENpdGU+PEF1dGhvcj5OdW5uYWxseTwvQXV0aG9yPjxZZWFyPjE5OTQ8L1llYXI+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</w:fldData>
        </w:fldChar>
      </w:r>
      <w:r w:rsidR="00D2134A">
        <w:instrText xml:space="preserve"> ADDIN EN.CITE </w:instrText>
      </w:r>
      <w:r w:rsidR="00D2134A">
        <w:fldChar w:fldCharType="begin">
          <w:fldData xml:space="preserve">PEVuZE5vdGU+PENpdGU+PEF1dGhvcj5OdW5uYWxseTwvQXV0aG9yPjxZZWFyPjE5OTQ8L1llYXI+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</w:fldData>
        </w:fldChar>
      </w:r>
      <w:r w:rsidR="00D2134A">
        <w:instrText xml:space="preserve"> ADDIN EN.CITE.DATA </w:instrText>
      </w:r>
      <w:r w:rsidR="00D2134A">
        <w:fldChar w:fldCharType="end"/>
      </w:r>
      <w:r w:rsidR="00D2134A">
        <w:fldChar w:fldCharType="separate"/>
      </w:r>
      <w:r w:rsidR="00D2134A">
        <w:rPr>
          <w:noProof/>
        </w:rPr>
        <w:t>(</w:t>
      </w:r>
      <w:hyperlink w:anchor="_ENREF_6" w:tooltip="Crocker, 2006 #298" w:history="1">
        <w:r w:rsidR="00A234A9">
          <w:rPr>
            <w:noProof/>
          </w:rPr>
          <w:t>6</w:t>
        </w:r>
      </w:hyperlink>
      <w:r w:rsidR="00D2134A">
        <w:rPr>
          <w:noProof/>
        </w:rPr>
        <w:t xml:space="preserve">, </w:t>
      </w:r>
      <w:hyperlink w:anchor="_ENREF_8" w:tooltip="Nunnally, 1994 #299" w:history="1">
        <w:r w:rsidR="00A234A9">
          <w:rPr>
            <w:noProof/>
          </w:rPr>
          <w:t>8-12</w:t>
        </w:r>
      </w:hyperlink>
      <w:r w:rsidR="00D2134A">
        <w:rPr>
          <w:noProof/>
        </w:rPr>
        <w:t>)</w:t>
      </w:r>
      <w:r w:rsidR="00D2134A">
        <w:fldChar w:fldCharType="end"/>
      </w:r>
      <w:r w:rsidRPr="007A60C3">
        <w:t xml:space="preserve"> and using liberal thresholds, reliability estimates (i.e., values of Cronbach’s alpha and kappa or other appropriate estimators of test-retest correlation) equal to or greater than 0.70 were considered to be “acceptable” indicators of reliability, and values below</w:t>
      </w:r>
      <w:r>
        <w:t xml:space="preserve"> </w:t>
      </w:r>
      <w:r w:rsidRPr="007A60C3">
        <w:t xml:space="preserve">0.70 were considered of “insufficient strength” for the purpose of this </w:t>
      </w:r>
      <w:r>
        <w:t>review</w:t>
      </w:r>
      <w:r w:rsidRPr="007A60C3">
        <w:t>. Note that an alpha threshold of 0.80 (and sometimes 0.90)</w:t>
      </w:r>
      <w:r>
        <w:t xml:space="preserve"> </w:t>
      </w:r>
      <w:r w:rsidR="00D2134A">
        <w:fldChar w:fldCharType="begin"/>
      </w:r>
      <w:r w:rsidR="00D2134A">
        <w:instrText xml:space="preserve"> ADDIN EN.CITE &lt;EndNote&gt;&lt;Cite&gt;&lt;Author&gt;Streiner&lt;/Author&gt;&lt;Year&gt;2003&lt;/Year&gt;&lt;RecNum&gt;305&lt;/RecNum&gt;&lt;DisplayText&gt;(13)&lt;/DisplayText&gt;&lt;record&gt;&lt;rec-number&gt;305&lt;/rec-number&gt;&lt;foreign-keys&gt;&lt;key app="EN" db-id="a2vz2dfp8xrad6exes75zwpiw5rxwa0vwapv" timestamp="1484943086"&gt;305&lt;/key&gt;&lt;/foreign-keys&gt;&lt;ref-type name="Journal Article"&gt;17&lt;/ref-type&gt;&lt;contributors&gt;&lt;authors&gt;&lt;author&gt;Streiner, D. L.&lt;/author&gt;&lt;/authors&gt;&lt;/contributors&gt;&lt;auth-address&gt;Baycrest Centre for Geriatric Care, Toronto, Ontario, Canada. dstreiner@klaru-baycrest.on.ca&lt;/auth-address&gt;&lt;titles&gt;&lt;title&gt;Starting at the beginning: an introduction to coefficient alpha and internal consistency&lt;/title&gt;&lt;secondary-title&gt;J Pers Assess&lt;/secondary-title&gt;&lt;/titles&gt;&lt;periodical&gt;&lt;full-title&gt;J Pers Assess&lt;/full-title&gt;&lt;/periodical&gt;&lt;pages&gt;99-103&lt;/pages&gt;&lt;volume&gt;80&lt;/volume&gt;&lt;number&gt;1&lt;/number&gt;&lt;keywords&gt;&lt;keyword&gt;Canada&lt;/keyword&gt;&lt;keyword&gt;Humans&lt;/keyword&gt;&lt;keyword&gt;Psychological Tests/standards/*statistics &amp;amp; numerical data&lt;/keyword&gt;&lt;keyword&gt;*Reproducibility of Results&lt;/keyword&gt;&lt;/keywords&gt;&lt;dates&gt;&lt;year&gt;2003&lt;/year&gt;&lt;pub-dates&gt;&lt;date&gt;Feb&lt;/date&gt;&lt;/pub-dates&gt;&lt;/dates&gt;&lt;isbn&gt;0022-3891 (Print)&amp;#xD;0022-3891 (Linking)&lt;/isbn&gt;&lt;accession-num&gt;12584072&lt;/accession-num&gt;&lt;urls&gt;&lt;related-urls&gt;&lt;url&gt;https://www.ncbi.nlm.nih.gov/pubmed/12584072&lt;/url&gt;&lt;/related-urls&gt;&lt;/urls&gt;&lt;electronic-resource-num&gt;10.1207/S15327752JPA8001_18&lt;/electronic-resource-num&gt;&lt;/record&gt;&lt;/Cite&gt;&lt;/EndNote&gt;</w:instrText>
      </w:r>
      <w:r w:rsidR="00D2134A">
        <w:fldChar w:fldCharType="separate"/>
      </w:r>
      <w:r w:rsidR="00D2134A">
        <w:rPr>
          <w:noProof/>
        </w:rPr>
        <w:t>(</w:t>
      </w:r>
      <w:hyperlink w:anchor="_ENREF_13" w:tooltip="Streiner, 2003 #305" w:history="1">
        <w:r w:rsidR="00A234A9">
          <w:rPr>
            <w:noProof/>
          </w:rPr>
          <w:t>13</w:t>
        </w:r>
      </w:hyperlink>
      <w:r w:rsidR="00D2134A">
        <w:rPr>
          <w:noProof/>
        </w:rPr>
        <w:t>)</w:t>
      </w:r>
      <w:r w:rsidR="00D2134A">
        <w:fldChar w:fldCharType="end"/>
      </w:r>
      <w:r w:rsidRPr="007A60C3">
        <w:rPr>
          <w:rStyle w:val="CommentReference"/>
          <w:rFonts w:eastAsia="Calibri"/>
          <w:sz w:val="22"/>
          <w:szCs w:val="22"/>
        </w:rPr>
        <w:t xml:space="preserve"> </w:t>
      </w:r>
      <w:r w:rsidRPr="007A60C3">
        <w:t xml:space="preserve">is commonly cited as the </w:t>
      </w:r>
      <w:r w:rsidRPr="007A60C3">
        <w:rPr>
          <w:u w:val="single"/>
        </w:rPr>
        <w:t>minimum</w:t>
      </w:r>
      <w:r w:rsidRPr="007A60C3">
        <w:t xml:space="preserve"> level of consistency for use of a scale in a </w:t>
      </w:r>
      <w:r w:rsidRPr="007A60C3">
        <w:rPr>
          <w:b/>
        </w:rPr>
        <w:t>clinical</w:t>
      </w:r>
      <w:r w:rsidRPr="007A60C3">
        <w:t xml:space="preserve"> setting. Thus, given the </w:t>
      </w:r>
      <w:r w:rsidRPr="007A60C3">
        <w:rPr>
          <w:b/>
        </w:rPr>
        <w:t>research</w:t>
      </w:r>
      <w:r w:rsidRPr="007A60C3">
        <w:t xml:space="preserve"> (as opposed to clinical) context of this systematic review, the threshold for “acceptable” internal consistency and temporal reliability was set at the lower, less conservative, level of 0.70</w:t>
      </w:r>
      <w:r>
        <w:t>.</w:t>
      </w:r>
    </w:p>
    <w:p w14:paraId="200D7C74" w14:textId="68823161" w:rsidR="00EA69AA" w:rsidRDefault="00EA69AA" w:rsidP="00EA69AA">
      <w:pPr>
        <w:spacing w:after="120" w:line="240" w:lineRule="auto"/>
        <w:jc w:val="both"/>
      </w:pPr>
      <w:r w:rsidRPr="007A60C3">
        <w:rPr>
          <w:b/>
        </w:rPr>
        <w:t xml:space="preserve">Validity. </w:t>
      </w:r>
      <w:r w:rsidRPr="007A60C3">
        <w:t>Validity is at the core of understanding whether the results of a research study, which are based upon the measurement of one or more relevant underlying behavioral constructs or ‘outcomes’, are truly representative of what the research was designed to investigate. The International Agency for Research on Cancer (IARC) has provided an excellent overview, through 2008, of prior scientific evaluation of the validity of multi-item scales for numerous smoking behaviors and outcomes</w:t>
      </w:r>
      <w:r>
        <w:t xml:space="preserve"> </w:t>
      </w:r>
      <w:r w:rsidR="00D2134A">
        <w:fldChar w:fldCharType="begin"/>
      </w:r>
      <w:r w:rsidR="00D2134A">
        <w:instrText xml:space="preserve"> ADDIN EN.CITE &lt;EndNote&gt;&lt;Cite&gt;&lt;Author&gt;International Agency for Research on Cancer&lt;/Author&gt;&lt;Year&gt;2008&lt;/Year&gt;&lt;RecNum&gt;215&lt;/RecNum&gt;&lt;DisplayText&gt;(14)&lt;/DisplayText&gt;&lt;record&gt;&lt;rec-number&gt;215&lt;/rec-number&gt;&lt;foreign-keys&gt;&lt;key app="EN" db-id="a2vz2dfp8xrad6exes75zwpiw5rxwa0vwapv" timestamp="1477504783"&gt;215&lt;/key&gt;&lt;/foreign-keys&gt;&lt;ref-type name="Book Section"&gt;5&lt;/ref-type&gt;&lt;contributors&gt;&lt;authors&gt;&lt;author&gt;International Agency for Research on Cancer,&lt;/author&gt;&lt;/authors&gt;&lt;/contributors&gt;&lt;titles&gt;&lt;title&gt;Section 3.3 Measurement of nicotine dependence&lt;/title&gt;&lt;secondary-title&gt;Methods for Evaluating Tobacco Control Policies. IARC Handbook of Cancer Prevention Volume 12. &lt;/secondary-title&gt;&lt;/titles&gt;&lt;dates&gt;&lt;year&gt;2008&lt;/year&gt;&lt;/dates&gt;&lt;pub-location&gt;Lyon, France&lt;/pub-location&gt;&lt;publisher&gt;World Health Organization&lt;/publisher&gt;&lt;urls&gt;&lt;/urls&gt;&lt;/record&gt;&lt;/Cite&gt;&lt;/EndNote&gt;</w:instrText>
      </w:r>
      <w:r w:rsidR="00D2134A">
        <w:fldChar w:fldCharType="separate"/>
      </w:r>
      <w:r w:rsidR="00D2134A">
        <w:rPr>
          <w:noProof/>
        </w:rPr>
        <w:t>(</w:t>
      </w:r>
      <w:hyperlink w:anchor="_ENREF_14" w:tooltip="International Agency for Research on Cancer, 2008 #215" w:history="1">
        <w:r w:rsidR="00A234A9">
          <w:rPr>
            <w:noProof/>
          </w:rPr>
          <w:t>14</w:t>
        </w:r>
      </w:hyperlink>
      <w:r w:rsidR="00D2134A">
        <w:rPr>
          <w:noProof/>
        </w:rPr>
        <w:t>)</w:t>
      </w:r>
      <w:r w:rsidR="00D2134A">
        <w:fldChar w:fldCharType="end"/>
      </w:r>
      <w:r>
        <w:t xml:space="preserve">. </w:t>
      </w:r>
      <w:r w:rsidRPr="007A60C3">
        <w:t xml:space="preserve">The methods of the current Contextual Question review are aligned with the general approach of that publication, although this </w:t>
      </w:r>
      <w:r>
        <w:t>review</w:t>
      </w:r>
      <w:r w:rsidRPr="007A60C3">
        <w:t xml:space="preserve"> also includes an evaluation of several more recently published scales focused on youth populations</w:t>
      </w:r>
      <w:r>
        <w:t>.</w:t>
      </w:r>
    </w:p>
    <w:p w14:paraId="406C3D57" w14:textId="476C1F3F" w:rsidR="00EA69AA" w:rsidRDefault="00EA69AA" w:rsidP="00EA69AA">
      <w:pPr>
        <w:spacing w:after="120" w:line="240" w:lineRule="auto"/>
        <w:jc w:val="both"/>
      </w:pPr>
      <w:r w:rsidRPr="007A60C3">
        <w:lastRenderedPageBreak/>
        <w:t xml:space="preserve">There are two overarching types of validity: internal and external. </w:t>
      </w:r>
      <w:r w:rsidRPr="007A60C3">
        <w:rPr>
          <w:b/>
        </w:rPr>
        <w:t>Internal validity</w:t>
      </w:r>
      <w:r w:rsidRPr="007A60C3">
        <w:t xml:space="preserve"> is defined as the extent to which the measure reflects what it is supposed to be measuring</w:t>
      </w:r>
      <w:r>
        <w:t xml:space="preserve"> </w:t>
      </w:r>
      <w:r w:rsidR="00D2134A">
        <w:fldChar w:fldCharType="begin"/>
      </w:r>
      <w:r w:rsidR="00D2134A">
        <w:instrText xml:space="preserve"> ADDIN EN.CITE &lt;EndNote&gt;&lt;Cite&gt;&lt;Author&gt;Streiner&lt;/Author&gt;&lt;Year&gt;2003&lt;/Year&gt;&lt;RecNum&gt;305&lt;/RecNum&gt;&lt;DisplayText&gt;(13)&lt;/DisplayText&gt;&lt;record&gt;&lt;rec-number&gt;305&lt;/rec-number&gt;&lt;foreign-keys&gt;&lt;key app="EN" db-id="a2vz2dfp8xrad6exes75zwpiw5rxwa0vwapv" timestamp="1484943086"&gt;305&lt;/key&gt;&lt;/foreign-keys&gt;&lt;ref-type name="Journal Article"&gt;17&lt;/ref-type&gt;&lt;contributors&gt;&lt;authors&gt;&lt;author&gt;Streiner, D. L.&lt;/author&gt;&lt;/authors&gt;&lt;/contributors&gt;&lt;auth-address&gt;Baycrest Centre for Geriatric Care, Toronto, Ontario, Canada. dstreiner@klaru-baycrest.on.ca&lt;/auth-address&gt;&lt;titles&gt;&lt;title&gt;Starting at the beginning: an introduction to coefficient alpha and internal consistency&lt;/title&gt;&lt;secondary-title&gt;J Pers Assess&lt;/secondary-title&gt;&lt;/titles&gt;&lt;periodical&gt;&lt;full-title&gt;J Pers Assess&lt;/full-title&gt;&lt;/periodical&gt;&lt;pages&gt;99-103&lt;/pages&gt;&lt;volume&gt;80&lt;/volume&gt;&lt;number&gt;1&lt;/number&gt;&lt;keywords&gt;&lt;keyword&gt;Canada&lt;/keyword&gt;&lt;keyword&gt;Humans&lt;/keyword&gt;&lt;keyword&gt;Psychological Tests/standards/*statistics &amp;amp; numerical data&lt;/keyword&gt;&lt;keyword&gt;*Reproducibility of Results&lt;/keyword&gt;&lt;/keywords&gt;&lt;dates&gt;&lt;year&gt;2003&lt;/year&gt;&lt;pub-dates&gt;&lt;date&gt;Feb&lt;/date&gt;&lt;/pub-dates&gt;&lt;/dates&gt;&lt;isbn&gt;0022-3891 (Print)&amp;#xD;0022-3891 (Linking)&lt;/isbn&gt;&lt;accession-num&gt;12584072&lt;/accession-num&gt;&lt;urls&gt;&lt;related-urls&gt;&lt;url&gt;https://www.ncbi.nlm.nih.gov/pubmed/12584072&lt;/url&gt;&lt;/related-urls&gt;&lt;/urls&gt;&lt;electronic-resource-num&gt;10.1207/S15327752JPA8001_18&lt;/electronic-resource-num&gt;&lt;/record&gt;&lt;/Cite&gt;&lt;/EndNote&gt;</w:instrText>
      </w:r>
      <w:r w:rsidR="00D2134A">
        <w:fldChar w:fldCharType="separate"/>
      </w:r>
      <w:r w:rsidR="00D2134A">
        <w:rPr>
          <w:noProof/>
        </w:rPr>
        <w:t>(</w:t>
      </w:r>
      <w:hyperlink w:anchor="_ENREF_13" w:tooltip="Streiner, 2003 #305" w:history="1">
        <w:r w:rsidR="00A234A9">
          <w:rPr>
            <w:noProof/>
          </w:rPr>
          <w:t>13</w:t>
        </w:r>
      </w:hyperlink>
      <w:r w:rsidR="00D2134A">
        <w:rPr>
          <w:noProof/>
        </w:rPr>
        <w:t>)</w:t>
      </w:r>
      <w:r w:rsidR="00D2134A">
        <w:fldChar w:fldCharType="end"/>
      </w:r>
      <w:r>
        <w:t>.</w:t>
      </w:r>
      <w:r w:rsidRPr="007A60C3">
        <w:t xml:space="preserve"> Internal validity has been assessed as the degree of correlation with other established multi-item scales or single-item measures</w:t>
      </w:r>
      <w:r>
        <w:t xml:space="preserve"> </w:t>
      </w:r>
      <w:r w:rsidR="00D2134A">
        <w:fldChar w:fldCharType="begin">
          <w:fldData xml:space="preserve">PEVuZE5vdGU+PENpdGU+PEF1dGhvcj5Ib2VwcG5lcjwvQXV0aG9yPjxZZWFyPjIwMTE8L1llYXI+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</w:fldData>
        </w:fldChar>
      </w:r>
      <w:r w:rsidR="00D2134A">
        <w:instrText xml:space="preserve"> ADDIN EN.CITE </w:instrText>
      </w:r>
      <w:r w:rsidR="00D2134A">
        <w:fldChar w:fldCharType="begin">
          <w:fldData xml:space="preserve">PEVuZE5vdGU+PENpdGU+PEF1dGhvcj5Ib2VwcG5lcjwvQXV0aG9yPjxZZWFyPjIwMTE8L1llYXI+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</w:fldData>
        </w:fldChar>
      </w:r>
      <w:r w:rsidR="00D2134A">
        <w:instrText xml:space="preserve"> ADDIN EN.CITE.DATA </w:instrText>
      </w:r>
      <w:r w:rsidR="00D2134A">
        <w:fldChar w:fldCharType="end"/>
      </w:r>
      <w:r w:rsidR="00D2134A">
        <w:fldChar w:fldCharType="separate"/>
      </w:r>
      <w:r w:rsidR="00D2134A">
        <w:rPr>
          <w:noProof/>
        </w:rPr>
        <w:t>(</w:t>
      </w:r>
      <w:hyperlink w:anchor="_ENREF_14" w:tooltip="International Agency for Research on Cancer, 2008 #215" w:history="1">
        <w:r w:rsidR="00A234A9">
          <w:rPr>
            <w:noProof/>
          </w:rPr>
          <w:t>14</w:t>
        </w:r>
      </w:hyperlink>
      <w:r w:rsidR="00D2134A">
        <w:rPr>
          <w:noProof/>
        </w:rPr>
        <w:t xml:space="preserve">, </w:t>
      </w:r>
      <w:hyperlink w:anchor="_ENREF_15" w:tooltip="Hoeppner, 2011 #234" w:history="1">
        <w:r w:rsidR="00A234A9">
          <w:rPr>
            <w:noProof/>
          </w:rPr>
          <w:t>15</w:t>
        </w:r>
      </w:hyperlink>
      <w:r w:rsidR="00D2134A">
        <w:rPr>
          <w:noProof/>
        </w:rPr>
        <w:t>)</w:t>
      </w:r>
      <w:r w:rsidR="00D2134A">
        <w:fldChar w:fldCharType="end"/>
      </w:r>
      <w:r>
        <w:t>.</w:t>
      </w:r>
      <w:r w:rsidRPr="007A60C3">
        <w:t xml:space="preserve"> There are also different types of indicators of internal validity. Specifically, criterion and construct validity are often considered in the evaluation of the psychometric properties of a measure. </w:t>
      </w:r>
      <w:r w:rsidRPr="007A60C3">
        <w:rPr>
          <w:b/>
          <w:i/>
        </w:rPr>
        <w:t>Criterion validity</w:t>
      </w:r>
      <w:r w:rsidRPr="007A60C3">
        <w:t xml:space="preserve"> assesses the extent to which a measure agrees with another accepted measure or predicts outcomes of interest. </w:t>
      </w:r>
      <w:r w:rsidRPr="007A60C3">
        <w:rPr>
          <w:b/>
          <w:i/>
        </w:rPr>
        <w:t>Construct (or convergent) validity</w:t>
      </w:r>
      <w:r w:rsidRPr="007A60C3">
        <w:t xml:space="preserve"> assesses the extent to which a measure captures the theoretical concept being measured. Construct validity is often assessed through convergent evidence, or demonstration that the measure correlates highly (e.g., correlation coefficients ≥0.50 or ≥0.70) with other measures of the same, or clearly related, constructs. In contrast, </w:t>
      </w:r>
      <w:r w:rsidRPr="007A60C3">
        <w:rPr>
          <w:b/>
        </w:rPr>
        <w:t>external validity</w:t>
      </w:r>
      <w:r w:rsidRPr="007A60C3">
        <w:t xml:space="preserve"> is demonstrated by obtaining similar results when the same instrument is used in different, relevant population samples; that is, the results can be generalized beyond the immediate study. An important facet of this latter form of validity is referred to as </w:t>
      </w:r>
      <w:r w:rsidRPr="007A60C3">
        <w:rPr>
          <w:b/>
          <w:i/>
        </w:rPr>
        <w:t>population validity</w:t>
      </w:r>
      <w:r w:rsidRPr="007A60C3">
        <w:t xml:space="preserve">. There are numerous examples, beyond the scope of this </w:t>
      </w:r>
      <w:r>
        <w:t>review</w:t>
      </w:r>
      <w:r w:rsidRPr="007A60C3">
        <w:t>, of cultural variability in smoking-related behaviors and outcomes that are thought to be influenced by sociocultural, legal/regulatory and, even biological factors</w:t>
      </w:r>
      <w:r>
        <w:t xml:space="preserve"> </w:t>
      </w:r>
      <w:r w:rsidR="00D2134A">
        <w:fldChar w:fldCharType="begin">
          <w:fldData xml:space="preserve">PEVuZE5vdGU+PENpdGU+PEF1dGhvcj5kZSBMZW9uPC9BdXRob3I+PFllYXI+MjAwMjwvWWVhcj48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</w:fldData>
        </w:fldChar>
      </w:r>
      <w:r w:rsidR="00D2134A">
        <w:instrText xml:space="preserve"> ADDIN EN.CITE </w:instrText>
      </w:r>
      <w:r w:rsidR="00D2134A">
        <w:fldChar w:fldCharType="begin">
          <w:fldData xml:space="preserve">PEVuZE5vdGU+PENpdGU+PEF1dGhvcj5kZSBMZW9uPC9BdXRob3I+PFllYXI+MjAwMjwvWWVhcj48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</w:fldData>
        </w:fldChar>
      </w:r>
      <w:r w:rsidR="00D2134A">
        <w:instrText xml:space="preserve"> ADDIN EN.CITE.DATA </w:instrText>
      </w:r>
      <w:r w:rsidR="00D2134A">
        <w:fldChar w:fldCharType="end"/>
      </w:r>
      <w:r w:rsidR="00D2134A">
        <w:fldChar w:fldCharType="separate"/>
      </w:r>
      <w:r w:rsidR="00D2134A">
        <w:rPr>
          <w:noProof/>
        </w:rPr>
        <w:t>(</w:t>
      </w:r>
      <w:hyperlink w:anchor="_ENREF_16" w:tooltip="de Leon, 2002 #274" w:history="1">
        <w:r w:rsidR="00A234A9">
          <w:rPr>
            <w:noProof/>
          </w:rPr>
          <w:t>16</w:t>
        </w:r>
      </w:hyperlink>
      <w:r w:rsidR="00D2134A">
        <w:rPr>
          <w:noProof/>
        </w:rPr>
        <w:t xml:space="preserve">, </w:t>
      </w:r>
      <w:hyperlink w:anchor="_ENREF_17" w:tooltip="Li, 2011 #306" w:history="1">
        <w:r w:rsidR="00A234A9">
          <w:rPr>
            <w:noProof/>
          </w:rPr>
          <w:t>17</w:t>
        </w:r>
      </w:hyperlink>
      <w:r w:rsidR="00D2134A">
        <w:rPr>
          <w:noProof/>
        </w:rPr>
        <w:t>)</w:t>
      </w:r>
      <w:r w:rsidR="00D2134A">
        <w:fldChar w:fldCharType="end"/>
      </w:r>
      <w:r>
        <w:t xml:space="preserve">. </w:t>
      </w:r>
      <w:r w:rsidRPr="007A60C3">
        <w:t>Thus, more robust measures will have been shown to be valid (including demonstration of reliability) in the specific population subgroups in which they are administered in specific research studies (e.g., specific languages or cultures, males and/or females, younger and older study populations)</w:t>
      </w:r>
      <w:r>
        <w:t>.</w:t>
      </w:r>
    </w:p>
    <w:p w14:paraId="137A0C39" w14:textId="2B498C7B" w:rsidR="00EA69AA" w:rsidRDefault="00EA69AA" w:rsidP="00EA69AA">
      <w:pPr>
        <w:spacing w:after="120" w:line="240" w:lineRule="auto"/>
        <w:jc w:val="both"/>
      </w:pPr>
      <w:r w:rsidRPr="007A60C3">
        <w:t>It is important to note that although the constructs of smoking behaviors are measured differently, the behaviors are interconnected</w:t>
      </w:r>
      <w:r>
        <w:t xml:space="preserve"> </w:t>
      </w:r>
      <w:r w:rsidR="00D2134A">
        <w:fldChar w:fldCharType="begin">
          <w:fldData xml:space="preserve">PEVuZE5vdGU+PENpdGU+PEF1dGhvcj5JbnRlcm5hdGlvbmFsIEFnZW5jeSBmb3IgUmVzZWFyY2gg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=
</w:fldData>
        </w:fldChar>
      </w:r>
      <w:r w:rsidR="00D2134A">
        <w:instrText xml:space="preserve"> ADDIN EN.CITE </w:instrText>
      </w:r>
      <w:r w:rsidR="00D2134A">
        <w:fldChar w:fldCharType="begin">
          <w:fldData xml:space="preserve">PEVuZE5vdGU+PENpdGU+PEF1dGhvcj5JbnRlcm5hdGlvbmFsIEFnZW5jeSBmb3IgUmVzZWFyY2gg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=
</w:fldData>
        </w:fldChar>
      </w:r>
      <w:r w:rsidR="00D2134A">
        <w:instrText xml:space="preserve"> ADDIN EN.CITE.DATA </w:instrText>
      </w:r>
      <w:r w:rsidR="00D2134A">
        <w:fldChar w:fldCharType="end"/>
      </w:r>
      <w:r w:rsidR="00D2134A">
        <w:fldChar w:fldCharType="separate"/>
      </w:r>
      <w:r w:rsidR="00D2134A">
        <w:rPr>
          <w:noProof/>
        </w:rPr>
        <w:t>(</w:t>
      </w:r>
      <w:hyperlink w:anchor="_ENREF_14" w:tooltip="International Agency for Research on Cancer, 2008 #215" w:history="1">
        <w:r w:rsidR="00A234A9">
          <w:rPr>
            <w:noProof/>
          </w:rPr>
          <w:t>14</w:t>
        </w:r>
      </w:hyperlink>
      <w:r w:rsidR="00D2134A">
        <w:rPr>
          <w:noProof/>
        </w:rPr>
        <w:t xml:space="preserve">, </w:t>
      </w:r>
      <w:hyperlink w:anchor="_ENREF_18" w:tooltip="Piper, 2008 #237" w:history="1">
        <w:r w:rsidR="00A234A9">
          <w:rPr>
            <w:noProof/>
          </w:rPr>
          <w:t>18</w:t>
        </w:r>
      </w:hyperlink>
      <w:r w:rsidR="00D2134A">
        <w:rPr>
          <w:noProof/>
        </w:rPr>
        <w:t xml:space="preserve">, </w:t>
      </w:r>
      <w:hyperlink w:anchor="_ENREF_19" w:tooltip="Rostron, 2016 #236" w:history="1">
        <w:r w:rsidR="00A234A9">
          <w:rPr>
            <w:noProof/>
          </w:rPr>
          <w:t>19</w:t>
        </w:r>
      </w:hyperlink>
      <w:r w:rsidR="00D2134A">
        <w:rPr>
          <w:noProof/>
        </w:rPr>
        <w:t>)</w:t>
      </w:r>
      <w:r w:rsidR="00D2134A">
        <w:fldChar w:fldCharType="end"/>
      </w:r>
      <w:r>
        <w:t>.</w:t>
      </w:r>
      <w:r w:rsidRPr="007A60C3">
        <w:t xml:space="preserve"> A growing number of studies have found that dependence is predictive of motivation to quit, quit attempts and successful cessation</w:t>
      </w:r>
      <w:r>
        <w:t xml:space="preserve"> </w:t>
      </w:r>
      <w:r w:rsidR="00D2134A">
        <w:fldChar w:fldCharType="begin">
          <w:fldData xml:space="preserve">PEVuZE5vdGU+PENpdGU+PEF1dGhvcj5IeW1vd2l0ejwvQXV0aG9yPjxZZWFyPjE5OTc8L1llYXI+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=
</w:fldData>
        </w:fldChar>
      </w:r>
      <w:r w:rsidR="00D2134A">
        <w:instrText xml:space="preserve"> ADDIN EN.CITE </w:instrText>
      </w:r>
      <w:r w:rsidR="00D2134A">
        <w:fldChar w:fldCharType="begin">
          <w:fldData xml:space="preserve">PEVuZE5vdGU+PENpdGU+PEF1dGhvcj5IeW1vd2l0ejwvQXV0aG9yPjxZZWFyPjE5OTc8L1llYXI+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=
</w:fldData>
        </w:fldChar>
      </w:r>
      <w:r w:rsidR="00D2134A">
        <w:instrText xml:space="preserve"> ADDIN EN.CITE.DATA </w:instrText>
      </w:r>
      <w:r w:rsidR="00D2134A">
        <w:fldChar w:fldCharType="end"/>
      </w:r>
      <w:r w:rsidR="00D2134A">
        <w:fldChar w:fldCharType="separate"/>
      </w:r>
      <w:r w:rsidR="00D2134A">
        <w:rPr>
          <w:noProof/>
        </w:rPr>
        <w:t>(</w:t>
      </w:r>
      <w:hyperlink w:anchor="_ENREF_1" w:tooltip="DiFranza, 2002 #162" w:history="1">
        <w:r w:rsidR="00A234A9">
          <w:rPr>
            <w:noProof/>
          </w:rPr>
          <w:t>1</w:t>
        </w:r>
      </w:hyperlink>
      <w:r w:rsidR="00D2134A">
        <w:rPr>
          <w:noProof/>
        </w:rPr>
        <w:t xml:space="preserve">, </w:t>
      </w:r>
      <w:hyperlink w:anchor="_ENREF_18" w:tooltip="Piper, 2008 #237" w:history="1">
        <w:r w:rsidR="00A234A9">
          <w:rPr>
            <w:noProof/>
          </w:rPr>
          <w:t>18</w:t>
        </w:r>
      </w:hyperlink>
      <w:r w:rsidR="00D2134A">
        <w:rPr>
          <w:noProof/>
        </w:rPr>
        <w:t xml:space="preserve">, </w:t>
      </w:r>
      <w:hyperlink w:anchor="_ENREF_20" w:tooltip="Hymowitz, 1997 #271" w:history="1">
        <w:r w:rsidR="00A234A9">
          <w:rPr>
            <w:noProof/>
          </w:rPr>
          <w:t>20</w:t>
        </w:r>
      </w:hyperlink>
      <w:r w:rsidR="00D2134A">
        <w:rPr>
          <w:noProof/>
        </w:rPr>
        <w:t>)</w:t>
      </w:r>
      <w:r w:rsidR="00D2134A">
        <w:fldChar w:fldCharType="end"/>
      </w:r>
      <w:r>
        <w:t>.</w:t>
      </w:r>
      <w:r w:rsidRPr="007A60C3">
        <w:t xml:space="preserve"> Thus, as an indicator of criterion validity, smoking dependence measures can be further evaluated meaningfully by testing whether they predict (or are associated with) cessation</w:t>
      </w:r>
      <w:r>
        <w:t xml:space="preserve"> </w:t>
      </w:r>
      <w:r w:rsidR="00D2134A">
        <w:fldChar w:fldCharType="begin">
          <w:fldData xml:space="preserve">PEVuZE5vdGU+PENpdGU+PEF1dGhvcj5Lb3psb3dza2k8L0F1dGhvcj48WWVhcj4xOTk0PC9ZZWFy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</w:fldData>
        </w:fldChar>
      </w:r>
      <w:r w:rsidR="00D2134A">
        <w:instrText xml:space="preserve"> ADDIN EN.CITE </w:instrText>
      </w:r>
      <w:r w:rsidR="00D2134A">
        <w:fldChar w:fldCharType="begin">
          <w:fldData xml:space="preserve">PEVuZE5vdGU+PENpdGU+PEF1dGhvcj5Lb3psb3dza2k8L0F1dGhvcj48WWVhcj4xOTk0PC9ZZWFy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</w:fldData>
        </w:fldChar>
      </w:r>
      <w:r w:rsidR="00D2134A">
        <w:instrText xml:space="preserve"> ADDIN EN.CITE.DATA </w:instrText>
      </w:r>
      <w:r w:rsidR="00D2134A">
        <w:fldChar w:fldCharType="end"/>
      </w:r>
      <w:r w:rsidR="00D2134A">
        <w:fldChar w:fldCharType="separate"/>
      </w:r>
      <w:r w:rsidR="00D2134A">
        <w:rPr>
          <w:noProof/>
        </w:rPr>
        <w:t>(</w:t>
      </w:r>
      <w:hyperlink w:anchor="_ENREF_21" w:tooltip="Kozlowski, 1994 #173" w:history="1">
        <w:r w:rsidR="00A234A9">
          <w:rPr>
            <w:noProof/>
          </w:rPr>
          <w:t>21</w:t>
        </w:r>
      </w:hyperlink>
      <w:r w:rsidR="00D2134A">
        <w:rPr>
          <w:noProof/>
        </w:rPr>
        <w:t xml:space="preserve">, </w:t>
      </w:r>
      <w:hyperlink w:anchor="_ENREF_22" w:tooltip="Strong, 2015 #235" w:history="1">
        <w:r w:rsidR="00A234A9">
          <w:rPr>
            <w:noProof/>
          </w:rPr>
          <w:t>22</w:t>
        </w:r>
      </w:hyperlink>
      <w:r w:rsidR="00D2134A">
        <w:rPr>
          <w:noProof/>
        </w:rPr>
        <w:t>)</w:t>
      </w:r>
      <w:r w:rsidR="00D2134A">
        <w:fldChar w:fldCharType="end"/>
      </w:r>
      <w:r>
        <w:t>.</w:t>
      </w:r>
    </w:p>
    <w:p w14:paraId="4C33A379" w14:textId="77777777" w:rsidR="00EA69AA" w:rsidRDefault="00EA69AA" w:rsidP="00EA69AA">
      <w:pPr>
        <w:spacing w:after="120" w:line="240" w:lineRule="auto"/>
        <w:jc w:val="both"/>
      </w:pPr>
      <w:r w:rsidRPr="007A60C3">
        <w:rPr>
          <w:b/>
        </w:rPr>
        <w:t>Relationship between reliability and validity.</w:t>
      </w:r>
      <w:r w:rsidRPr="007A60C3">
        <w:t xml:space="preserve"> In order for research results to be optimally informative for decision-making, all of the study’s methods must be rigorous, including the measurements used to produce those results must be </w:t>
      </w:r>
      <w:r w:rsidRPr="007A60C3">
        <w:rPr>
          <w:u w:val="single"/>
        </w:rPr>
        <w:t>both</w:t>
      </w:r>
      <w:r w:rsidRPr="007A60C3">
        <w:t xml:space="preserve"> reliable and valid. A scale may be reliable (measured consistently) but not necessarily be valid (i.e., measuring what it is designed to measure). </w:t>
      </w:r>
      <w:r w:rsidRPr="007A60C3">
        <w:rPr>
          <w:u w:val="single"/>
        </w:rPr>
        <w:t>However, a measure cannot be valid unless it is reliable</w:t>
      </w:r>
      <w:r w:rsidRPr="007A60C3">
        <w:rPr>
          <w:i/>
        </w:rPr>
        <w:t>.</w:t>
      </w:r>
      <w:r w:rsidRPr="007A60C3">
        <w:t xml:space="preserve"> That is, for a measure to be valid, it must be a consistently (and therefore reliably) accurate (thus valid) reflection of what it is intended to measure. Therefore, in this </w:t>
      </w:r>
      <w:r>
        <w:t>review</w:t>
      </w:r>
      <w:r w:rsidRPr="007A60C3">
        <w:t>, reference to a scale or measure as being acceptably ‘valid’, or as having acceptable ‘validity’, implies that it has also been shown to be a reliable indicator of the construct in question</w:t>
      </w:r>
      <w:r>
        <w:t>.</w:t>
      </w:r>
    </w:p>
    <w:p w14:paraId="74133EB5" w14:textId="77777777" w:rsidR="00EA69AA" w:rsidRPr="007A60C3" w:rsidRDefault="00EA69AA" w:rsidP="00EA69AA">
      <w:pPr>
        <w:spacing w:after="120" w:line="240" w:lineRule="auto"/>
        <w:jc w:val="both"/>
      </w:pPr>
      <w:r>
        <w:t>The following contextual question was</w:t>
      </w:r>
      <w:r w:rsidRPr="007A60C3">
        <w:t xml:space="preserve"> examined to help the reader of this Report best interpret </w:t>
      </w:r>
      <w:r>
        <w:t xml:space="preserve">the </w:t>
      </w:r>
      <w:r w:rsidRPr="007A60C3">
        <w:t>findings:</w:t>
      </w:r>
    </w:p>
    <w:p w14:paraId="21599938" w14:textId="77777777" w:rsidR="00EA69AA" w:rsidRPr="005512E0" w:rsidRDefault="00EA69AA" w:rsidP="00EA69AA">
      <w:pPr>
        <w:spacing w:after="120" w:line="240" w:lineRule="auto"/>
        <w:jc w:val="both"/>
        <w:rPr>
          <w:i/>
        </w:rPr>
      </w:pPr>
      <w:r w:rsidRPr="005512E0">
        <w:rPr>
          <w:b/>
          <w:i/>
        </w:rPr>
        <w:t>C</w:t>
      </w:r>
      <w:r>
        <w:rPr>
          <w:b/>
          <w:i/>
        </w:rPr>
        <w:t xml:space="preserve">ontextual </w:t>
      </w:r>
      <w:r w:rsidRPr="005512E0">
        <w:rPr>
          <w:b/>
          <w:i/>
        </w:rPr>
        <w:t>Q</w:t>
      </w:r>
      <w:r>
        <w:rPr>
          <w:b/>
          <w:i/>
        </w:rPr>
        <w:t>uestion (CQ)</w:t>
      </w:r>
      <w:r w:rsidRPr="005512E0">
        <w:rPr>
          <w:b/>
          <w:i/>
        </w:rPr>
        <w:t xml:space="preserve"> 1: </w:t>
      </w:r>
      <w:r w:rsidRPr="005512E0">
        <w:rPr>
          <w:i/>
        </w:rPr>
        <w:t xml:space="preserve">Have measures used to examine </w:t>
      </w:r>
      <w:r w:rsidRPr="005512E0">
        <w:rPr>
          <w:i/>
          <w:u w:val="single"/>
        </w:rPr>
        <w:t>initiation and progression</w:t>
      </w:r>
      <w:r w:rsidRPr="005512E0">
        <w:rPr>
          <w:i/>
        </w:rPr>
        <w:t xml:space="preserve"> to regular smoking been psychometrically assessed as valid and reliable?</w:t>
      </w:r>
    </w:p>
    <w:p w14:paraId="0557CFBD" w14:textId="77777777" w:rsidR="00EA69AA" w:rsidRPr="007A60C3" w:rsidRDefault="00EA69AA" w:rsidP="00EA69AA">
      <w:pPr>
        <w:spacing w:after="120" w:line="240" w:lineRule="auto"/>
        <w:jc w:val="both"/>
      </w:pPr>
      <w:r w:rsidRPr="007A60C3">
        <w:t xml:space="preserve">Unlike the </w:t>
      </w:r>
      <w:r>
        <w:t>Key Question (</w:t>
      </w:r>
      <w:r w:rsidRPr="007A60C3">
        <w:t>KQ</w:t>
      </w:r>
      <w:r>
        <w:t>)</w:t>
      </w:r>
      <w:r w:rsidRPr="007A60C3">
        <w:t xml:space="preserve"> review, these CQs were </w:t>
      </w:r>
      <w:r w:rsidRPr="007A60C3">
        <w:rPr>
          <w:u w:val="single"/>
        </w:rPr>
        <w:t>not</w:t>
      </w:r>
      <w:r w:rsidRPr="007A60C3">
        <w:t xml:space="preserve"> assessed using systematic review methodology. Instead, their evaluation focused on the strongest, most relevant published evidence, such as large, high-quality epidemiological and clinical studies, review papers, and summary reference publications. Nonetheless, robust studies of reliability and validity were not available for all indicators and scales, and smaller, less robust studies were considered for completeness. A search was conducted in PubMed and Google Scholar for studies that informed the contextual questions. One team member extracted relevant information, and a senior author verified its accuracy and completeness during the preparation of this Report.</w:t>
      </w:r>
    </w:p>
    <w:p w14:paraId="14C949B3" w14:textId="76BFC889" w:rsidR="00EA69AA" w:rsidRDefault="00EA69AA" w:rsidP="00EA69AA">
      <w:pPr>
        <w:spacing w:after="120" w:line="240" w:lineRule="auto"/>
        <w:jc w:val="both"/>
      </w:pPr>
      <w:r w:rsidRPr="007A60C3">
        <w:t xml:space="preserve">Because smoking </w:t>
      </w:r>
      <w:r w:rsidRPr="00AD248C">
        <w:t xml:space="preserve">behaviors have been shown to vary significantly across countries, cultures and </w:t>
      </w:r>
      <w:r>
        <w:t xml:space="preserve">languages </w:t>
      </w:r>
      <w:r w:rsidR="00D2134A">
        <w:fldChar w:fldCharType="begin">
          <w:fldData xml:space="preserve">PEVuZE5vdGU+PENpdGU+PEF1dGhvcj5LaW08L0F1dGhvcj48WWVhcj4yMDEyPC9ZZWFyPjxSZWNO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=
</w:fldData>
        </w:fldChar>
      </w:r>
      <w:r w:rsidR="00D2134A">
        <w:instrText xml:space="preserve"> ADDIN EN.CITE </w:instrText>
      </w:r>
      <w:r w:rsidR="00D2134A">
        <w:fldChar w:fldCharType="begin">
          <w:fldData xml:space="preserve">PEVuZE5vdGU+PENpdGU+PEF1dGhvcj5LaW08L0F1dGhvcj48WWVhcj4yMDEyPC9ZZWFyPjxSZWNO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=
</w:fldData>
        </w:fldChar>
      </w:r>
      <w:r w:rsidR="00D2134A">
        <w:instrText xml:space="preserve"> ADDIN EN.CITE.DATA </w:instrText>
      </w:r>
      <w:r w:rsidR="00D2134A">
        <w:fldChar w:fldCharType="end"/>
      </w:r>
      <w:r w:rsidR="00D2134A">
        <w:fldChar w:fldCharType="separate"/>
      </w:r>
      <w:r w:rsidR="00D2134A">
        <w:rPr>
          <w:noProof/>
        </w:rPr>
        <w:t>(</w:t>
      </w:r>
      <w:hyperlink w:anchor="_ENREF_23" w:tooltip="Kim, 2012 #172" w:history="1">
        <w:r w:rsidR="00A234A9">
          <w:rPr>
            <w:noProof/>
          </w:rPr>
          <w:t>23-25</w:t>
        </w:r>
      </w:hyperlink>
      <w:r w:rsidR="00D2134A">
        <w:rPr>
          <w:noProof/>
        </w:rPr>
        <w:t>)</w:t>
      </w:r>
      <w:r w:rsidR="00D2134A">
        <w:fldChar w:fldCharType="end"/>
      </w:r>
      <w:r>
        <w:t>,</w:t>
      </w:r>
      <w:r w:rsidRPr="00AD248C">
        <w:t xml:space="preserve"> and because the focus of the systematic review of the </w:t>
      </w:r>
      <w:r>
        <w:t xml:space="preserve">KQ </w:t>
      </w:r>
      <w:r w:rsidRPr="00AD248C">
        <w:t xml:space="preserve">was restricted to the U.S., the literature </w:t>
      </w:r>
      <w:r w:rsidRPr="00AD248C">
        <w:lastRenderedPageBreak/>
        <w:t xml:space="preserve">reviewed for the </w:t>
      </w:r>
      <w:r>
        <w:t xml:space="preserve">CQ </w:t>
      </w:r>
      <w:r w:rsidRPr="00AD248C">
        <w:t>assessment was similarly focused on data collected in U.S. populations. Nonetheless, some of the scales that were developed</w:t>
      </w:r>
      <w:r w:rsidRPr="007A60C3">
        <w:t xml:space="preserve"> in non-U.S. populations had published validity data that were collected in U.S. samples. This information was considered here. Given the ultimate implications of the findings of any systematic review for policy in the U.S., it was critical that sociocultural, linguistic, economic, and other ‘macro-level’ variations not introduce bias into the conclusions. It is recognized, however, that a significant amount of high-quality scientific information has been therefore necessarily excluded from consideration and that a future review of all global validity information for these scales would represent an important contribution to public health</w:t>
      </w:r>
      <w:r>
        <w:t>.</w:t>
      </w:r>
    </w:p>
    <w:p w14:paraId="091D08CF" w14:textId="77777777" w:rsidR="00EA69AA" w:rsidRPr="007A60C3" w:rsidRDefault="00EA69AA" w:rsidP="00EA69AA">
      <w:pPr>
        <w:spacing w:after="120"/>
        <w:jc w:val="both"/>
        <w:rPr>
          <w:b/>
        </w:rPr>
      </w:pPr>
      <w:r w:rsidRPr="007A60C3">
        <w:t xml:space="preserve">The following criteria were used to assess the reliability and validity of the specific smoking-related measures identified in this </w:t>
      </w:r>
      <w:r>
        <w:t>review</w:t>
      </w:r>
      <w:r w:rsidRPr="007A60C3">
        <w:t>:</w:t>
      </w:r>
    </w:p>
    <w:p w14:paraId="39E7AA31" w14:textId="77777777" w:rsidR="00EA69AA" w:rsidRPr="007A60C3" w:rsidRDefault="00EA69AA" w:rsidP="00EA69AA">
      <w:pPr>
        <w:spacing w:after="120"/>
        <w:jc w:val="both"/>
        <w:rPr>
          <w:b/>
        </w:rPr>
      </w:pPr>
      <w:r w:rsidRPr="007A60C3">
        <w:rPr>
          <w:b/>
        </w:rPr>
        <w:t>Criteria to Assess Reliability:</w:t>
      </w:r>
    </w:p>
    <w:p w14:paraId="0778EE19" w14:textId="77777777" w:rsidR="00EA69AA" w:rsidRPr="007A60C3" w:rsidRDefault="00EA69AA" w:rsidP="00EA69AA">
      <w:pPr>
        <w:pStyle w:val="ListParagraph"/>
        <w:numPr>
          <w:ilvl w:val="0"/>
          <w:numId w:val="7"/>
        </w:numPr>
        <w:spacing w:after="120" w:line="240" w:lineRule="auto"/>
        <w:contextualSpacing w:val="0"/>
        <w:jc w:val="both"/>
        <w:rPr>
          <w:u w:val="single"/>
        </w:rPr>
      </w:pPr>
      <w:r w:rsidRPr="007A60C3">
        <w:rPr>
          <w:u w:val="single"/>
        </w:rPr>
        <w:t>Criterion One:</w:t>
      </w:r>
      <w:r>
        <w:t xml:space="preserve"> </w:t>
      </w:r>
      <w:r w:rsidRPr="007A60C3">
        <w:t xml:space="preserve">A statistical indication of consistency, with estimates ≥ 0.70, evidenced by one or more of the following: </w:t>
      </w:r>
    </w:p>
    <w:p w14:paraId="4552F5D2" w14:textId="77777777" w:rsidR="00EA69AA" w:rsidRPr="007A60C3" w:rsidRDefault="00EA69AA" w:rsidP="00EA69AA">
      <w:pPr>
        <w:pStyle w:val="ListParagraph"/>
        <w:numPr>
          <w:ilvl w:val="1"/>
          <w:numId w:val="7"/>
        </w:numPr>
        <w:spacing w:after="120" w:line="240" w:lineRule="auto"/>
        <w:contextualSpacing w:val="0"/>
        <w:jc w:val="both"/>
      </w:pPr>
      <w:r w:rsidRPr="007A60C3">
        <w:t>Internal consistency reliability: Cronbach’s alpha (α)</w:t>
      </w:r>
    </w:p>
    <w:p w14:paraId="1AAD50BC" w14:textId="77777777" w:rsidR="00EA69AA" w:rsidRPr="007A60C3" w:rsidRDefault="00EA69AA" w:rsidP="00EA69AA">
      <w:pPr>
        <w:pStyle w:val="ListParagraph"/>
        <w:numPr>
          <w:ilvl w:val="1"/>
          <w:numId w:val="7"/>
        </w:numPr>
        <w:spacing w:after="120" w:line="240" w:lineRule="auto"/>
        <w:contextualSpacing w:val="0"/>
        <w:jc w:val="both"/>
      </w:pPr>
      <w:r w:rsidRPr="007A60C3">
        <w:t xml:space="preserve">Temporal (test-retest) reliability or ‘repeatability’: Cohen’s kappa (κ), intraclass correlation coefficient (ICC) or other statistically appropriate correlation (e.g., Pearson’s </w:t>
      </w:r>
      <w:r w:rsidRPr="00EA4065">
        <w:rPr>
          <w:i/>
        </w:rPr>
        <w:t>r</w:t>
      </w:r>
      <w:r w:rsidRPr="007A60C3">
        <w:t xml:space="preserve"> or Spearman’s </w:t>
      </w:r>
      <w:r w:rsidRPr="00EA4065">
        <w:rPr>
          <w:i/>
        </w:rPr>
        <w:t>rho</w:t>
      </w:r>
      <w:r w:rsidRPr="007A60C3">
        <w:t>)</w:t>
      </w:r>
    </w:p>
    <w:p w14:paraId="05FEEECD" w14:textId="77777777" w:rsidR="00EA69AA" w:rsidRPr="007A60C3" w:rsidRDefault="00EA69AA" w:rsidP="00EA69AA">
      <w:pPr>
        <w:pStyle w:val="ListParagraph"/>
        <w:numPr>
          <w:ilvl w:val="0"/>
          <w:numId w:val="7"/>
        </w:numPr>
        <w:spacing w:after="120" w:line="240" w:lineRule="auto"/>
        <w:contextualSpacing w:val="0"/>
        <w:jc w:val="both"/>
      </w:pPr>
      <w:r w:rsidRPr="007A60C3">
        <w:rPr>
          <w:u w:val="single"/>
        </w:rPr>
        <w:t>Criterion Two:</w:t>
      </w:r>
      <w:r w:rsidRPr="007A60C3">
        <w:t xml:space="preserve"> Demonstration of reliability (internal consistency and/or temporal) in critical U.S. population subgroups (i.e., males and females/youth and adults) as appropriate for the specific instrument (e.g., if the scale or measure was intentionally designed for use among youth, the standard for that instrument will be demonstration of reliability and validity among youth).</w:t>
      </w:r>
    </w:p>
    <w:p w14:paraId="201BF249" w14:textId="77777777" w:rsidR="00EA69AA" w:rsidRPr="007A60C3" w:rsidRDefault="00EA69AA" w:rsidP="00EA69AA">
      <w:pPr>
        <w:spacing w:after="120"/>
        <w:ind w:left="360" w:hanging="360"/>
        <w:jc w:val="both"/>
        <w:rPr>
          <w:b/>
        </w:rPr>
      </w:pPr>
      <w:r w:rsidRPr="007A60C3">
        <w:rPr>
          <w:b/>
        </w:rPr>
        <w:t xml:space="preserve">Criteria to Assess Validity: </w:t>
      </w:r>
    </w:p>
    <w:p w14:paraId="6B2A9CC1" w14:textId="77777777" w:rsidR="00EA69AA" w:rsidRPr="007A60C3" w:rsidRDefault="00EA69AA" w:rsidP="00EA69AA">
      <w:pPr>
        <w:pStyle w:val="ListParagraph"/>
        <w:numPr>
          <w:ilvl w:val="0"/>
          <w:numId w:val="8"/>
        </w:numPr>
        <w:spacing w:after="120" w:line="240" w:lineRule="auto"/>
        <w:contextualSpacing w:val="0"/>
        <w:jc w:val="both"/>
        <w:rPr>
          <w:u w:val="single"/>
        </w:rPr>
      </w:pPr>
      <w:r w:rsidRPr="007A60C3">
        <w:rPr>
          <w:u w:val="single"/>
        </w:rPr>
        <w:t xml:space="preserve">Criterion One: </w:t>
      </w:r>
    </w:p>
    <w:p w14:paraId="5CCC87D4" w14:textId="77777777" w:rsidR="00EA69AA" w:rsidRPr="007A60C3" w:rsidRDefault="00EA69AA" w:rsidP="00EA69AA">
      <w:pPr>
        <w:pStyle w:val="ListParagraph"/>
        <w:numPr>
          <w:ilvl w:val="1"/>
          <w:numId w:val="8"/>
        </w:numPr>
        <w:spacing w:after="120" w:line="240" w:lineRule="auto"/>
        <w:contextualSpacing w:val="0"/>
        <w:jc w:val="both"/>
      </w:pPr>
      <w:r w:rsidRPr="007A60C3">
        <w:t xml:space="preserve">Demonstration of construct or criterion validity through statistically significant (p&lt;0.05) relationship (or association) between the scale (or measure) and </w:t>
      </w:r>
      <w:r w:rsidRPr="007A60C3">
        <w:rPr>
          <w:u w:val="single"/>
        </w:rPr>
        <w:t>at least one of following</w:t>
      </w:r>
      <w:r w:rsidRPr="007A60C3">
        <w:t xml:space="preserve">: </w:t>
      </w:r>
    </w:p>
    <w:p w14:paraId="2D83C9A0" w14:textId="77777777" w:rsidR="00EA69AA" w:rsidRPr="007A60C3" w:rsidRDefault="00EA69AA" w:rsidP="00EA69AA">
      <w:pPr>
        <w:pStyle w:val="ListParagraph"/>
        <w:numPr>
          <w:ilvl w:val="2"/>
          <w:numId w:val="8"/>
        </w:numPr>
        <w:spacing w:after="120" w:line="240" w:lineRule="auto"/>
        <w:contextualSpacing w:val="0"/>
        <w:jc w:val="both"/>
      </w:pPr>
      <w:r w:rsidRPr="007A60C3">
        <w:t xml:space="preserve">Behavioral measures related to cigarette smoking (e.g., time to first cigarette [TTFC], cigarettes per day [CPD]) </w:t>
      </w:r>
    </w:p>
    <w:p w14:paraId="33DAD166" w14:textId="77777777" w:rsidR="00EA69AA" w:rsidRPr="007A60C3" w:rsidRDefault="00EA69AA" w:rsidP="00EA69AA">
      <w:pPr>
        <w:pStyle w:val="ListParagraph"/>
        <w:numPr>
          <w:ilvl w:val="2"/>
          <w:numId w:val="8"/>
        </w:numPr>
        <w:spacing w:after="120" w:line="240" w:lineRule="auto"/>
        <w:contextualSpacing w:val="0"/>
        <w:jc w:val="both"/>
      </w:pPr>
      <w:r w:rsidRPr="007A60C3">
        <w:t xml:space="preserve">Biochemical measures related to cigarette smoking (e.g., expired carbon monoxide (CO), salivary cotinine) </w:t>
      </w:r>
    </w:p>
    <w:p w14:paraId="6C9FFA76" w14:textId="77777777" w:rsidR="00EA69AA" w:rsidRPr="007A60C3" w:rsidRDefault="00EA69AA" w:rsidP="00EA69AA">
      <w:pPr>
        <w:pStyle w:val="ListParagraph"/>
        <w:numPr>
          <w:ilvl w:val="2"/>
          <w:numId w:val="8"/>
        </w:numPr>
        <w:spacing w:after="120" w:line="240" w:lineRule="auto"/>
        <w:contextualSpacing w:val="0"/>
        <w:jc w:val="both"/>
      </w:pPr>
      <w:r w:rsidRPr="007A60C3">
        <w:t xml:space="preserve">In </w:t>
      </w:r>
      <w:r w:rsidRPr="007A60C3">
        <w:rPr>
          <w:u w:val="single"/>
        </w:rPr>
        <w:t>the case of dependence measures only</w:t>
      </w:r>
      <w:r w:rsidRPr="007A60C3">
        <w:t xml:space="preserve">, a measure of smoking quit attempts/cessation </w:t>
      </w:r>
    </w:p>
    <w:p w14:paraId="50587ADA" w14:textId="77777777" w:rsidR="00EA69AA" w:rsidRPr="007A60C3" w:rsidRDefault="00EA69AA" w:rsidP="00EA69AA">
      <w:pPr>
        <w:pStyle w:val="ListParagraph"/>
        <w:numPr>
          <w:ilvl w:val="1"/>
          <w:numId w:val="8"/>
        </w:numPr>
        <w:spacing w:after="120" w:line="240" w:lineRule="auto"/>
        <w:contextualSpacing w:val="0"/>
        <w:jc w:val="both"/>
      </w:pPr>
      <w:r w:rsidRPr="007A60C3">
        <w:t>Statistically significant (p&lt;0.05) evidence of any of these types of validity through one of the following indicators:</w:t>
      </w:r>
    </w:p>
    <w:p w14:paraId="6D6DCBF1" w14:textId="77777777" w:rsidR="00EA69AA" w:rsidRPr="007A60C3" w:rsidRDefault="00EA69AA" w:rsidP="00EA69AA">
      <w:pPr>
        <w:pStyle w:val="ListParagraph"/>
        <w:numPr>
          <w:ilvl w:val="2"/>
          <w:numId w:val="8"/>
        </w:numPr>
        <w:spacing w:after="120" w:line="240" w:lineRule="auto"/>
        <w:contextualSpacing w:val="0"/>
        <w:jc w:val="both"/>
      </w:pPr>
      <w:r w:rsidRPr="007A60C3">
        <w:t xml:space="preserve">Correlation (such as Pearson’s product-moment coefficient </w:t>
      </w:r>
      <w:r w:rsidRPr="007A60C3">
        <w:rPr>
          <w:i/>
        </w:rPr>
        <w:t>r</w:t>
      </w:r>
      <w:r w:rsidRPr="007A60C3">
        <w:t xml:space="preserve"> or Spearman’s </w:t>
      </w:r>
      <w:r w:rsidRPr="007A60C3">
        <w:rPr>
          <w:i/>
        </w:rPr>
        <w:t>rho</w:t>
      </w:r>
      <w:r w:rsidRPr="007A60C3">
        <w:t>) ≥ ±0.50</w:t>
      </w:r>
    </w:p>
    <w:p w14:paraId="2835D915" w14:textId="77777777" w:rsidR="00EA69AA" w:rsidRPr="007A60C3" w:rsidRDefault="00EA69AA" w:rsidP="00EA69AA">
      <w:pPr>
        <w:pStyle w:val="ListParagraph"/>
        <w:numPr>
          <w:ilvl w:val="2"/>
          <w:numId w:val="8"/>
        </w:numPr>
        <w:spacing w:after="120" w:line="240" w:lineRule="auto"/>
        <w:contextualSpacing w:val="0"/>
        <w:jc w:val="both"/>
      </w:pPr>
      <w:r w:rsidRPr="007A60C3">
        <w:t>An odds ratio (OR), or other indicator of relative risk (whose 95% confidence bounds do not include the null value, or 1.0)</w:t>
      </w:r>
    </w:p>
    <w:p w14:paraId="34D5D046" w14:textId="77777777" w:rsidR="00EA69AA" w:rsidRPr="007A60C3" w:rsidRDefault="00EA69AA" w:rsidP="00EA69AA">
      <w:pPr>
        <w:pStyle w:val="ListParagraph"/>
        <w:numPr>
          <w:ilvl w:val="2"/>
          <w:numId w:val="8"/>
        </w:numPr>
        <w:spacing w:after="120" w:line="240" w:lineRule="auto"/>
        <w:ind w:hanging="187"/>
        <w:contextualSpacing w:val="0"/>
        <w:jc w:val="both"/>
      </w:pPr>
      <w:r w:rsidRPr="007A60C3">
        <w:t xml:space="preserve">An effect size (e.g., Cohen’s </w:t>
      </w:r>
      <w:r w:rsidRPr="00EA4065">
        <w:rPr>
          <w:i/>
        </w:rPr>
        <w:t>d</w:t>
      </w:r>
      <w:r w:rsidRPr="007A60C3">
        <w:t>) ≥ 0.2</w:t>
      </w:r>
    </w:p>
    <w:p w14:paraId="09A3D883" w14:textId="77777777" w:rsidR="00EA69AA" w:rsidRDefault="00EA69AA" w:rsidP="00EA69AA">
      <w:pPr>
        <w:pStyle w:val="ListParagraph"/>
        <w:numPr>
          <w:ilvl w:val="0"/>
          <w:numId w:val="8"/>
        </w:numPr>
        <w:spacing w:after="120" w:line="240" w:lineRule="auto"/>
        <w:contextualSpacing w:val="0"/>
        <w:jc w:val="both"/>
      </w:pPr>
      <w:r w:rsidRPr="007A60C3">
        <w:rPr>
          <w:u w:val="single"/>
        </w:rPr>
        <w:t>Criterion Two:</w:t>
      </w:r>
      <w:r w:rsidRPr="007A60C3">
        <w:t xml:space="preserve"> Demonstration of external (namely, population) validity in critical U.S. population subgroups (i.e., males and females/youth and adults) as appropriate for the specific instrument </w:t>
      </w:r>
      <w:r w:rsidRPr="007A60C3">
        <w:lastRenderedPageBreak/>
        <w:t>(e.g., if the scale or measure was intentionally designed for use among youth, the standard for that instrument will be demonstration of reliability and validity among youth)</w:t>
      </w:r>
      <w:r>
        <w:t>.</w:t>
      </w:r>
    </w:p>
    <w:p w14:paraId="6DB5CD37" w14:textId="18041A5E" w:rsidR="00EA69AA" w:rsidRPr="007A60C3" w:rsidRDefault="00EA69AA" w:rsidP="00EA69AA">
      <w:pPr>
        <w:spacing w:after="120" w:line="240" w:lineRule="auto"/>
        <w:jc w:val="both"/>
      </w:pPr>
      <w:r w:rsidRPr="007A60C3">
        <w:t xml:space="preserve">The scoring approach was informed by the IARC Handbook on Cancer Prevention, which included as indicators of validity, correlation with behavioral and biochemical indices, prediction of smoking cessation, </w:t>
      </w:r>
      <w:r w:rsidRPr="00AD248C">
        <w:t>and genetic variant linkages to smoking</w:t>
      </w:r>
      <w:r>
        <w:t xml:space="preserve"> </w:t>
      </w:r>
      <w:r w:rsidR="00D2134A">
        <w:fldChar w:fldCharType="begin"/>
      </w:r>
      <w:r w:rsidR="00D2134A">
        <w:instrText xml:space="preserve"> ADDIN EN.CITE &lt;EndNote&gt;&lt;Cite&gt;&lt;Author&gt;International Agency for Research on Cancer&lt;/Author&gt;&lt;Year&gt;2008&lt;/Year&gt;&lt;RecNum&gt;215&lt;/RecNum&gt;&lt;DisplayText&gt;(14)&lt;/DisplayText&gt;&lt;record&gt;&lt;rec-number&gt;215&lt;/rec-number&gt;&lt;foreign-keys&gt;&lt;key app="EN" db-id="a2vz2dfp8xrad6exes75zwpiw5rxwa0vwapv" timestamp="1477504783"&gt;215&lt;/key&gt;&lt;/foreign-keys&gt;&lt;ref-type name="Book Section"&gt;5&lt;/ref-type&gt;&lt;contributors&gt;&lt;authors&gt;&lt;author&gt;International Agency for Research on Cancer,&lt;/author&gt;&lt;/authors&gt;&lt;/contributors&gt;&lt;titles&gt;&lt;title&gt;Section 3.3 Measurement of nicotine dependence&lt;/title&gt;&lt;secondary-title&gt;Methods for Evaluating Tobacco Control Policies. IARC Handbook of Cancer Prevention Volume 12. &lt;/secondary-title&gt;&lt;/titles&gt;&lt;dates&gt;&lt;year&gt;2008&lt;/year&gt;&lt;/dates&gt;&lt;pub-location&gt;Lyon, France&lt;/pub-location&gt;&lt;publisher&gt;World Health Organization&lt;/publisher&gt;&lt;urls&gt;&lt;/urls&gt;&lt;/record&gt;&lt;/Cite&gt;&lt;/EndNote&gt;</w:instrText>
      </w:r>
      <w:r w:rsidR="00D2134A">
        <w:fldChar w:fldCharType="separate"/>
      </w:r>
      <w:r w:rsidR="00D2134A">
        <w:rPr>
          <w:noProof/>
        </w:rPr>
        <w:t>(</w:t>
      </w:r>
      <w:hyperlink w:anchor="_ENREF_14" w:tooltip="International Agency for Research on Cancer, 2008 #215" w:history="1">
        <w:r w:rsidR="00A234A9">
          <w:rPr>
            <w:noProof/>
          </w:rPr>
          <w:t>14</w:t>
        </w:r>
      </w:hyperlink>
      <w:r w:rsidR="00D2134A">
        <w:rPr>
          <w:noProof/>
        </w:rPr>
        <w:t>)</w:t>
      </w:r>
      <w:r w:rsidR="00D2134A">
        <w:fldChar w:fldCharType="end"/>
      </w:r>
      <w:r>
        <w:t xml:space="preserve">. </w:t>
      </w:r>
      <w:r w:rsidRPr="00AD248C">
        <w:t>Associations with genetic variants were not considered in this CQ review</w:t>
      </w:r>
      <w:r w:rsidRPr="007A60C3">
        <w:t>.</w:t>
      </w:r>
    </w:p>
    <w:p w14:paraId="728E9696" w14:textId="77777777" w:rsidR="00EA69AA" w:rsidRPr="007A60C3" w:rsidRDefault="00EA69AA" w:rsidP="00EA69AA">
      <w:pPr>
        <w:spacing w:after="120"/>
        <w:jc w:val="both"/>
      </w:pPr>
      <w:r w:rsidRPr="007A60C3">
        <w:t>Based on the results of this review, the published psychometric performance of each measure qualified, in each of the two broad age bands of “youth” and “adults”, for only one of the following levels:</w:t>
      </w:r>
    </w:p>
    <w:p w14:paraId="6333F000" w14:textId="77777777" w:rsidR="00EA69AA" w:rsidRPr="007A60C3" w:rsidRDefault="00EA69AA" w:rsidP="00EA69AA">
      <w:pPr>
        <w:spacing w:after="120"/>
        <w:ind w:left="720"/>
        <w:jc w:val="both"/>
      </w:pPr>
      <w:r w:rsidRPr="007A60C3">
        <w:rPr>
          <w:b/>
        </w:rPr>
        <w:t>“Acceptable”</w:t>
      </w:r>
      <w:r w:rsidRPr="007A60C3">
        <w:t xml:space="preserve"> – measures for which available empirical findings were identified in the reviewed studies demonstrating </w:t>
      </w:r>
      <w:r w:rsidRPr="007A60C3">
        <w:rPr>
          <w:u w:val="single"/>
        </w:rPr>
        <w:t>at least one criterion for reliability</w:t>
      </w:r>
      <w:r w:rsidRPr="007A60C3">
        <w:t xml:space="preserve"> and </w:t>
      </w:r>
      <w:r w:rsidRPr="007A60C3">
        <w:rPr>
          <w:u w:val="single"/>
        </w:rPr>
        <w:t>at least one criterion for validity</w:t>
      </w:r>
      <w:r w:rsidRPr="007A60C3">
        <w:t xml:space="preserve">, </w:t>
      </w:r>
      <w:r w:rsidRPr="007A60C3">
        <w:rPr>
          <w:u w:val="single"/>
        </w:rPr>
        <w:t xml:space="preserve">in both </w:t>
      </w:r>
      <w:r>
        <w:rPr>
          <w:u w:val="single"/>
        </w:rPr>
        <w:t>gender</w:t>
      </w:r>
      <w:r w:rsidRPr="007A60C3">
        <w:t xml:space="preserve"> and </w:t>
      </w:r>
      <w:r w:rsidRPr="007A60C3">
        <w:rPr>
          <w:u w:val="single"/>
        </w:rPr>
        <w:t>in the specific age group</w:t>
      </w:r>
      <w:r w:rsidRPr="007A60C3">
        <w:t xml:space="preserve">; or </w:t>
      </w:r>
    </w:p>
    <w:p w14:paraId="5A8B2569" w14:textId="77777777" w:rsidR="00EA69AA" w:rsidRDefault="00EA69AA" w:rsidP="00EA69AA">
      <w:pPr>
        <w:spacing w:after="120"/>
        <w:ind w:left="720"/>
        <w:jc w:val="both"/>
      </w:pPr>
      <w:r w:rsidRPr="007A60C3">
        <w:rPr>
          <w:b/>
        </w:rPr>
        <w:t>“Inconclusive”</w:t>
      </w:r>
      <w:r w:rsidRPr="007A60C3">
        <w:t xml:space="preserve"> – measures either for which available empirical findings in the reviewed studies </w:t>
      </w:r>
      <w:r w:rsidRPr="007A60C3">
        <w:rPr>
          <w:u w:val="single"/>
        </w:rPr>
        <w:t>did not meet the required criteria above</w:t>
      </w:r>
      <w:r w:rsidRPr="007A60C3">
        <w:t xml:space="preserve"> or for which </w:t>
      </w:r>
      <w:r w:rsidRPr="007A60C3">
        <w:rPr>
          <w:u w:val="single"/>
        </w:rPr>
        <w:t>insufficient empirical findings were identified by the methods employed herein</w:t>
      </w:r>
      <w:r>
        <w:t>.</w:t>
      </w:r>
    </w:p>
    <w:p w14:paraId="27271F30" w14:textId="77777777" w:rsidR="00EA69AA" w:rsidRDefault="00EA69AA" w:rsidP="00EA69AA">
      <w:pPr>
        <w:pStyle w:val="text"/>
        <w:spacing w:after="120"/>
        <w:jc w:val="both"/>
        <w:rPr>
          <w:rFonts w:asciiTheme="minorHAnsi" w:hAnsiTheme="minorHAnsi" w:cs="Times New Roman"/>
          <w:sz w:val="22"/>
        </w:rPr>
      </w:pPr>
      <w:r w:rsidRPr="007A60C3">
        <w:rPr>
          <w:rFonts w:asciiTheme="minorHAnsi" w:hAnsiTheme="minorHAnsi" w:cs="Times New Roman"/>
          <w:sz w:val="22"/>
        </w:rPr>
        <w:t xml:space="preserve">Consideration was given to parsing the above levels of overall psychometric performance of each measure with greater granularity, such as, “Inconclusive”, “Moderate”, “Good”, and “Superior”. Such gradations could, theoretically, be predicated on further division of each individual criterion for reliability and validity, such as, for reliability coefficients: from 0.00 to 0.49 = Unacceptable; 0.50 to 0.69 = Borderline Acceptability; 0.70 to 0.79 = Good; and ≥0.80 = Excellent. Similarly, each statistical indication of convergent or criterion validity above a given threshold, or each independent study population in which a scale was shown to be valid, could contribute a “point” </w:t>
      </w:r>
      <w:r w:rsidRPr="00AD248C">
        <w:rPr>
          <w:rFonts w:asciiTheme="minorHAnsi" w:hAnsiTheme="minorHAnsi" w:cs="Times New Roman"/>
          <w:sz w:val="22"/>
        </w:rPr>
        <w:t>toward a summed ‘gradient of overall scale validity’. While this approach holds considerable appeal, it could introduce unwanted bias and was deemed to be beyond the scope of this CQ review. The authors instead elected to disclose all published information that was considered in this process so that the reader could make their own conclusions about the relative strength of an “Acceptable” measure. The binary system of “Inconclusive” or “Acceptable” provides an indication of whether the available, published evidence related to each scale supports its overall psychometric suitability for use in the population-based research setting on which the KQ is based</w:t>
      </w:r>
      <w:r>
        <w:rPr>
          <w:rFonts w:asciiTheme="minorHAnsi" w:hAnsiTheme="minorHAnsi" w:cs="Times New Roman"/>
          <w:sz w:val="22"/>
        </w:rPr>
        <w:t>.</w:t>
      </w:r>
    </w:p>
    <w:p w14:paraId="22E43973" w14:textId="77777777" w:rsidR="00EA69AA" w:rsidRDefault="00EA69AA" w:rsidP="00EA69AA">
      <w:pPr>
        <w:spacing w:after="120" w:line="240" w:lineRule="auto"/>
        <w:jc w:val="both"/>
        <w:rPr>
          <w:rFonts w:eastAsia="Calibri" w:cs="Times New Roman"/>
        </w:rPr>
      </w:pPr>
      <w:r w:rsidRPr="009B6B0A">
        <w:rPr>
          <w:rFonts w:eastAsia="Calibri" w:cs="Times New Roman"/>
          <w:b/>
        </w:rPr>
        <w:t xml:space="preserve">Table </w:t>
      </w:r>
      <w:r w:rsidR="009014AD">
        <w:rPr>
          <w:rFonts w:eastAsia="Calibri" w:cs="Times New Roman"/>
          <w:b/>
        </w:rPr>
        <w:t>8</w:t>
      </w:r>
      <w:r>
        <w:rPr>
          <w:rFonts w:eastAsia="Calibri" w:cs="Times New Roman"/>
          <w:b/>
        </w:rPr>
        <w:t>-1</w:t>
      </w:r>
      <w:r w:rsidRPr="009B6B0A">
        <w:rPr>
          <w:rFonts w:eastAsia="Calibri" w:cs="Times New Roman"/>
          <w:b/>
        </w:rPr>
        <w:t xml:space="preserve"> </w:t>
      </w:r>
      <w:r w:rsidRPr="009B6B0A">
        <w:rPr>
          <w:rFonts w:eastAsia="Calibri" w:cs="Times New Roman"/>
        </w:rPr>
        <w:t>below contains a summary of the identified published assessments of the psychometric foundations of smoking initiation and progression measures. These findings are summarized below. Only studies for which the study population was at least partially U.S.-based and the statistical measure for reliability or validity met acceptable value</w:t>
      </w:r>
      <w:r>
        <w:rPr>
          <w:rFonts w:eastAsia="Calibri" w:cs="Times New Roman"/>
        </w:rPr>
        <w:t>s, as outlined here</w:t>
      </w:r>
      <w:r w:rsidRPr="009B6B0A">
        <w:rPr>
          <w:rFonts w:eastAsia="Calibri" w:cs="Times New Roman"/>
        </w:rPr>
        <w:t>.</w:t>
      </w:r>
    </w:p>
    <w:p w14:paraId="287CAF6B" w14:textId="14292FCB" w:rsidR="00EA69AA" w:rsidRDefault="00EA69AA" w:rsidP="00EA69AA">
      <w:pPr>
        <w:spacing w:after="240" w:line="240" w:lineRule="auto"/>
        <w:jc w:val="both"/>
        <w:rPr>
          <w:rFonts w:eastAsia="Calibri" w:cs="Times New Roman"/>
        </w:rPr>
      </w:pPr>
      <w:r w:rsidRPr="009B6B0A">
        <w:rPr>
          <w:rFonts w:eastAsia="Calibri" w:cs="Times New Roman"/>
        </w:rPr>
        <w:t>All measures examined in this section were single-item measures of initiation and progression that were identified during the comprehensive search. Overall, empirical psychometric evidence to substantiate the reliability</w:t>
      </w:r>
      <w:r>
        <w:rPr>
          <w:rFonts w:eastAsia="Calibri" w:cs="Times New Roman"/>
        </w:rPr>
        <w:t xml:space="preserve"> and validity of all indicators </w:t>
      </w:r>
      <w:r w:rsidRPr="009B6B0A">
        <w:rPr>
          <w:rFonts w:eastAsia="Calibri" w:cs="Times New Roman"/>
        </w:rPr>
        <w:t xml:space="preserve">of initiation and progression was lacking, except for </w:t>
      </w:r>
      <w:r>
        <w:rPr>
          <w:rFonts w:eastAsia="Calibri" w:cs="Times New Roman"/>
        </w:rPr>
        <w:t xml:space="preserve">two measures: </w:t>
      </w:r>
      <w:r w:rsidRPr="009B6B0A">
        <w:rPr>
          <w:rFonts w:eastAsia="Calibri" w:cs="Times New Roman"/>
        </w:rPr>
        <w:t xml:space="preserve">age </w:t>
      </w:r>
      <w:r>
        <w:rPr>
          <w:rFonts w:eastAsia="Calibri" w:cs="Times New Roman"/>
        </w:rPr>
        <w:t>at</w:t>
      </w:r>
      <w:r w:rsidRPr="009B6B0A">
        <w:rPr>
          <w:rFonts w:eastAsia="Calibri" w:cs="Times New Roman"/>
        </w:rPr>
        <w:t xml:space="preserve"> initiation</w:t>
      </w:r>
      <w:r w:rsidR="00BB6CBC">
        <w:rPr>
          <w:rFonts w:eastAsia="Calibri" w:cs="Times New Roman"/>
        </w:rPr>
        <w:t>, and initiation and progression to regular use/increase in smoking over time, both</w:t>
      </w:r>
      <w:r>
        <w:rPr>
          <w:rFonts w:eastAsia="Calibri" w:cs="Times New Roman"/>
        </w:rPr>
        <w:t xml:space="preserve"> </w:t>
      </w:r>
      <w:r w:rsidRPr="009B6B0A">
        <w:rPr>
          <w:rFonts w:eastAsia="Calibri" w:cs="Times New Roman"/>
        </w:rPr>
        <w:t xml:space="preserve">qualified as “Acceptable,” among both adult and youth populations. The remaining measures, including regular smoking versus experimentation, time from initiation to regular/established smoking, cigarette type at initiation, switching menthol/non-menthol type, </w:t>
      </w:r>
      <w:r>
        <w:rPr>
          <w:rFonts w:eastAsia="Calibri" w:cs="Times New Roman"/>
        </w:rPr>
        <w:t xml:space="preserve">and </w:t>
      </w:r>
      <w:r w:rsidRPr="009B6B0A">
        <w:rPr>
          <w:rFonts w:eastAsia="Calibri" w:cs="Times New Roman"/>
        </w:rPr>
        <w:t>quantity/frequency of cigarettes smoked within 30 days of initiation qualified as “Inconclusive”.</w:t>
      </w:r>
    </w:p>
    <w:p w14:paraId="6A1148AD" w14:textId="77777777" w:rsidR="004E4FDE" w:rsidRDefault="004E4FDE">
      <w:pPr>
        <w:rPr>
          <w:rFonts w:eastAsia="Calibri" w:cs="Times New Roman"/>
          <w:b/>
        </w:rPr>
      </w:pPr>
      <w:r>
        <w:rPr>
          <w:rFonts w:eastAsia="Calibri" w:cs="Times New Roman"/>
          <w:b/>
        </w:rPr>
        <w:br w:type="page"/>
      </w:r>
    </w:p>
    <w:p w14:paraId="52627004" w14:textId="305C901C" w:rsidR="00EA69AA" w:rsidRDefault="00EA69AA" w:rsidP="00EA69AA">
      <w:pPr>
        <w:spacing w:after="120" w:line="240" w:lineRule="auto"/>
        <w:jc w:val="both"/>
        <w:rPr>
          <w:rFonts w:ascii="Times New Roman" w:eastAsia="Calibri" w:hAnsi="Times New Roman" w:cs="Times New Roman"/>
          <w:sz w:val="24"/>
          <w:u w:val="single"/>
        </w:rPr>
      </w:pPr>
      <w:r>
        <w:rPr>
          <w:rFonts w:eastAsia="Calibri" w:cs="Times New Roman"/>
          <w:b/>
        </w:rPr>
        <w:lastRenderedPageBreak/>
        <w:t xml:space="preserve">Table </w:t>
      </w:r>
      <w:r w:rsidR="009014AD">
        <w:rPr>
          <w:rFonts w:eastAsia="Calibri" w:cs="Times New Roman"/>
          <w:b/>
        </w:rPr>
        <w:t>8</w:t>
      </w:r>
      <w:r>
        <w:rPr>
          <w:rFonts w:eastAsia="Calibri" w:cs="Times New Roman"/>
          <w:b/>
        </w:rPr>
        <w:t>-1: CQ Results Overview for Outcomes of Initiation and Progression to Regular Smoking</w:t>
      </w:r>
    </w:p>
    <w:tbl>
      <w:tblPr>
        <w:tblStyle w:val="TableGrid9"/>
        <w:tblW w:w="9450" w:type="dxa"/>
        <w:tblInd w:w="-5" w:type="dxa"/>
        <w:tblLayout w:type="fixed"/>
        <w:tblLook w:val="04A0" w:firstRow="1" w:lastRow="0" w:firstColumn="1" w:lastColumn="0" w:noHBand="0" w:noVBand="1"/>
      </w:tblPr>
      <w:tblGrid>
        <w:gridCol w:w="1710"/>
        <w:gridCol w:w="1350"/>
        <w:gridCol w:w="2880"/>
        <w:gridCol w:w="3510"/>
      </w:tblGrid>
      <w:tr w:rsidR="00DB2213" w:rsidRPr="007A0C60" w14:paraId="1CC801C9" w14:textId="77777777" w:rsidTr="00F523A8">
        <w:trPr>
          <w:trHeight w:val="323"/>
          <w:tblHeader/>
        </w:trPr>
        <w:tc>
          <w:tcPr>
            <w:tcW w:w="1710" w:type="dxa"/>
            <w:shd w:val="clear" w:color="auto" w:fill="44546A"/>
            <w:vAlign w:val="center"/>
          </w:tcPr>
          <w:p w14:paraId="2570229F" w14:textId="77777777" w:rsidR="00DB2213" w:rsidRPr="007A0C60" w:rsidRDefault="00DB2213" w:rsidP="00F523A8">
            <w:pPr>
              <w:jc w:val="center"/>
              <w:rPr>
                <w:color w:val="FFFFFF"/>
                <w:sz w:val="18"/>
                <w:szCs w:val="18"/>
              </w:rPr>
            </w:pPr>
            <w:r w:rsidRPr="007A0C60">
              <w:rPr>
                <w:color w:val="FFFFFF"/>
                <w:sz w:val="18"/>
                <w:szCs w:val="18"/>
              </w:rPr>
              <w:t>Measure</w:t>
            </w:r>
          </w:p>
        </w:tc>
        <w:tc>
          <w:tcPr>
            <w:tcW w:w="1350" w:type="dxa"/>
            <w:shd w:val="clear" w:color="auto" w:fill="44546A"/>
            <w:vAlign w:val="center"/>
          </w:tcPr>
          <w:p w14:paraId="59ECE715" w14:textId="77777777" w:rsidR="00DB2213" w:rsidRPr="007A0C60" w:rsidRDefault="00DB2213" w:rsidP="00F523A8">
            <w:pPr>
              <w:jc w:val="center"/>
              <w:rPr>
                <w:color w:val="FFFFFF"/>
                <w:sz w:val="18"/>
                <w:szCs w:val="18"/>
              </w:rPr>
            </w:pPr>
            <w:r w:rsidRPr="007A0C60">
              <w:rPr>
                <w:color w:val="FFFFFF"/>
                <w:sz w:val="18"/>
                <w:szCs w:val="18"/>
              </w:rPr>
              <w:t>Final Grade</w:t>
            </w:r>
          </w:p>
        </w:tc>
        <w:tc>
          <w:tcPr>
            <w:tcW w:w="2880" w:type="dxa"/>
            <w:shd w:val="clear" w:color="auto" w:fill="44546A"/>
            <w:vAlign w:val="center"/>
          </w:tcPr>
          <w:p w14:paraId="2A12B23E" w14:textId="60580ABE" w:rsidR="00DB2213" w:rsidRDefault="00DB2213" w:rsidP="00F523A8">
            <w:pPr>
              <w:jc w:val="center"/>
              <w:rPr>
                <w:color w:val="FFFFFF"/>
                <w:sz w:val="18"/>
                <w:szCs w:val="18"/>
              </w:rPr>
            </w:pPr>
            <w:r w:rsidRPr="007A0C60">
              <w:rPr>
                <w:color w:val="FFFFFF"/>
                <w:sz w:val="18"/>
                <w:szCs w:val="18"/>
              </w:rPr>
              <w:t>Reliability</w:t>
            </w:r>
          </w:p>
          <w:p w14:paraId="2A4CB9AF" w14:textId="77777777" w:rsidR="00DB2213" w:rsidRPr="007A0C60" w:rsidRDefault="00DB2213" w:rsidP="00F523A8">
            <w:pPr>
              <w:jc w:val="center"/>
              <w:rPr>
                <w:color w:val="FFFFFF"/>
                <w:sz w:val="18"/>
                <w:szCs w:val="18"/>
              </w:rPr>
            </w:pPr>
            <w:r w:rsidRPr="007A0C60">
              <w:rPr>
                <w:color w:val="FFFFFF"/>
                <w:sz w:val="18"/>
                <w:szCs w:val="18"/>
              </w:rPr>
              <w:t>(Study, statistical method, result, test-retest interval, study population)</w:t>
            </w:r>
          </w:p>
        </w:tc>
        <w:tc>
          <w:tcPr>
            <w:tcW w:w="3510" w:type="dxa"/>
            <w:shd w:val="clear" w:color="auto" w:fill="44546A"/>
            <w:vAlign w:val="center"/>
          </w:tcPr>
          <w:p w14:paraId="24F61313" w14:textId="38FAD022" w:rsidR="00DB2213" w:rsidRDefault="00DB2213" w:rsidP="00F523A8">
            <w:pPr>
              <w:jc w:val="center"/>
              <w:rPr>
                <w:color w:val="FFFFFF"/>
                <w:sz w:val="18"/>
                <w:szCs w:val="18"/>
              </w:rPr>
            </w:pPr>
            <w:r w:rsidRPr="007A0C60">
              <w:rPr>
                <w:color w:val="FFFFFF"/>
                <w:sz w:val="18"/>
                <w:szCs w:val="18"/>
              </w:rPr>
              <w:t>Validity</w:t>
            </w:r>
          </w:p>
          <w:p w14:paraId="0F467375" w14:textId="77777777" w:rsidR="00DB2213" w:rsidRPr="007A0C60" w:rsidRDefault="00DB2213" w:rsidP="00F523A8">
            <w:pPr>
              <w:jc w:val="center"/>
              <w:rPr>
                <w:color w:val="FFFFFF"/>
                <w:sz w:val="18"/>
                <w:szCs w:val="18"/>
              </w:rPr>
            </w:pPr>
            <w:r w:rsidRPr="007A0C60">
              <w:rPr>
                <w:color w:val="FFFFFF"/>
                <w:sz w:val="18"/>
                <w:szCs w:val="18"/>
              </w:rPr>
              <w:t xml:space="preserve"> (Study, behavioral/biochemical measure, statistical method, result, study population)</w:t>
            </w:r>
          </w:p>
        </w:tc>
      </w:tr>
      <w:tr w:rsidR="00DB2213" w:rsidRPr="007A0C60" w14:paraId="2D786DC3" w14:textId="77777777" w:rsidTr="00F523A8">
        <w:tc>
          <w:tcPr>
            <w:tcW w:w="1710" w:type="dxa"/>
            <w:shd w:val="clear" w:color="auto" w:fill="auto"/>
          </w:tcPr>
          <w:p w14:paraId="3FF92AED" w14:textId="77777777" w:rsidR="00DB2213" w:rsidRPr="007A0C60" w:rsidRDefault="00DB2213" w:rsidP="00F523A8">
            <w:pPr>
              <w:rPr>
                <w:sz w:val="18"/>
                <w:szCs w:val="18"/>
              </w:rPr>
            </w:pPr>
            <w:r w:rsidRPr="007A0C60">
              <w:rPr>
                <w:sz w:val="18"/>
                <w:szCs w:val="18"/>
              </w:rPr>
              <w:t>Age at initiation</w:t>
            </w:r>
          </w:p>
        </w:tc>
        <w:tc>
          <w:tcPr>
            <w:tcW w:w="1350" w:type="dxa"/>
            <w:shd w:val="clear" w:color="auto" w:fill="auto"/>
          </w:tcPr>
          <w:p w14:paraId="54F094B2" w14:textId="77777777" w:rsidR="00DB2213" w:rsidRPr="007A0C60" w:rsidRDefault="00DB2213" w:rsidP="00F523A8">
            <w:pPr>
              <w:jc w:val="center"/>
              <w:rPr>
                <w:sz w:val="18"/>
                <w:szCs w:val="18"/>
              </w:rPr>
            </w:pPr>
            <w:r w:rsidRPr="007A0C60">
              <w:rPr>
                <w:sz w:val="18"/>
                <w:szCs w:val="18"/>
              </w:rPr>
              <w:t>Adults: ACCEPTABLE</w:t>
            </w:r>
          </w:p>
          <w:p w14:paraId="2C855F42" w14:textId="77777777" w:rsidR="00DB2213" w:rsidRPr="007A0C60" w:rsidRDefault="00DB2213" w:rsidP="00F523A8">
            <w:pPr>
              <w:jc w:val="center"/>
              <w:rPr>
                <w:sz w:val="18"/>
                <w:szCs w:val="18"/>
              </w:rPr>
            </w:pPr>
          </w:p>
          <w:p w14:paraId="13A444B7" w14:textId="77777777" w:rsidR="00DB2213" w:rsidRPr="007A0C60" w:rsidRDefault="00DB2213" w:rsidP="00F523A8">
            <w:pPr>
              <w:jc w:val="center"/>
              <w:rPr>
                <w:sz w:val="18"/>
                <w:szCs w:val="18"/>
              </w:rPr>
            </w:pPr>
            <w:r w:rsidRPr="007A0C60">
              <w:rPr>
                <w:sz w:val="18"/>
                <w:szCs w:val="18"/>
              </w:rPr>
              <w:t>Youth:</w:t>
            </w:r>
          </w:p>
          <w:p w14:paraId="1FECDCE0" w14:textId="77777777" w:rsidR="00DB2213" w:rsidRPr="007A0C60" w:rsidRDefault="00DB2213" w:rsidP="00F523A8">
            <w:pPr>
              <w:jc w:val="center"/>
              <w:rPr>
                <w:sz w:val="18"/>
                <w:szCs w:val="18"/>
              </w:rPr>
            </w:pPr>
            <w:r w:rsidRPr="007A0C60">
              <w:rPr>
                <w:sz w:val="18"/>
                <w:szCs w:val="18"/>
              </w:rPr>
              <w:t>ACCEPTABLE</w:t>
            </w:r>
          </w:p>
        </w:tc>
        <w:tc>
          <w:tcPr>
            <w:tcW w:w="2880" w:type="dxa"/>
          </w:tcPr>
          <w:p w14:paraId="5CE24049" w14:textId="01DBD64D" w:rsidR="00DB2213" w:rsidRPr="003E3F07" w:rsidRDefault="00D2134A" w:rsidP="00F523A8">
            <w:pPr>
              <w:spacing w:before="60" w:after="120"/>
              <w:contextualSpacing/>
              <w:rPr>
                <w:rFonts w:asciiTheme="minorHAnsi" w:hAnsiTheme="minorHAnsi" w:cstheme="minorHAnsi"/>
                <w:b/>
                <w:sz w:val="18"/>
                <w:szCs w:val="18"/>
                <w:u w:val="single"/>
              </w:rPr>
            </w:pPr>
            <w:r>
              <w:rPr>
                <w:rFonts w:cstheme="minorHAnsi"/>
                <w:b/>
                <w:sz w:val="18"/>
                <w:szCs w:val="18"/>
                <w:u w:val="single"/>
              </w:rPr>
              <w:fldChar w:fldCharType="begin">
                <w:fldData xml:space="preserve">PEVuZE5vdGU+PENpdGU+PEF1dGhvcj5CcmlnaGFtPC9BdXRob3I+PFllYXI+MjAwODwvWWVhcj48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</w:fldData>
              </w:fldChar>
            </w:r>
            <w:r>
              <w:rPr>
                <w:rFonts w:cstheme="minorHAnsi"/>
                <w:b/>
                <w:sz w:val="18"/>
                <w:szCs w:val="18"/>
                <w:u w:val="single"/>
              </w:rPr>
              <w:instrText xml:space="preserve"> ADDIN EN.CITE </w:instrText>
            </w:r>
            <w:r>
              <w:rPr>
                <w:rFonts w:cstheme="minorHAnsi"/>
                <w:b/>
                <w:sz w:val="18"/>
                <w:szCs w:val="18"/>
                <w:u w:val="single"/>
              </w:rPr>
              <w:fldChar w:fldCharType="begin">
                <w:fldData xml:space="preserve">PEVuZE5vdGU+PENpdGU+PEF1dGhvcj5CcmlnaGFtPC9BdXRob3I+PFllYXI+MjAwODwvWWVhcj48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</w:fldData>
              </w:fldChar>
            </w:r>
            <w:r>
              <w:rPr>
                <w:rFonts w:cstheme="minorHAnsi"/>
                <w:b/>
                <w:sz w:val="18"/>
                <w:szCs w:val="18"/>
                <w:u w:val="single"/>
              </w:rPr>
              <w:instrText xml:space="preserve"> ADDIN EN.CITE.DATA </w:instrText>
            </w:r>
            <w:r>
              <w:rPr>
                <w:rFonts w:cstheme="minorHAnsi"/>
                <w:b/>
                <w:sz w:val="18"/>
                <w:szCs w:val="18"/>
                <w:u w:val="single"/>
              </w:rPr>
            </w:r>
            <w:r>
              <w:rPr>
                <w:rFonts w:cstheme="minorHAnsi"/>
                <w:b/>
                <w:sz w:val="18"/>
                <w:szCs w:val="18"/>
                <w:u w:val="single"/>
              </w:rPr>
              <w:fldChar w:fldCharType="end"/>
            </w:r>
            <w:r>
              <w:rPr>
                <w:rFonts w:cstheme="minorHAnsi"/>
                <w:b/>
                <w:sz w:val="18"/>
                <w:szCs w:val="18"/>
                <w:u w:val="single"/>
              </w:rPr>
              <w:fldChar w:fldCharType="separate"/>
            </w:r>
            <w:r>
              <w:rPr>
                <w:rFonts w:cstheme="minorHAnsi"/>
                <w:b/>
                <w:noProof/>
                <w:sz w:val="18"/>
                <w:szCs w:val="18"/>
                <w:u w:val="single"/>
              </w:rPr>
              <w:t>(</w:t>
            </w:r>
            <w:hyperlink w:anchor="_ENREF_26" w:tooltip="Brigham, 2008 #309" w:history="1">
              <w:r w:rsidR="00A234A9">
                <w:rPr>
                  <w:rFonts w:cstheme="minorHAnsi"/>
                  <w:b/>
                  <w:noProof/>
                  <w:sz w:val="18"/>
                  <w:szCs w:val="18"/>
                  <w:u w:val="single"/>
                </w:rPr>
                <w:t>26</w:t>
              </w:r>
            </w:hyperlink>
            <w:r>
              <w:rPr>
                <w:rFonts w:cstheme="minorHAnsi"/>
                <w:b/>
                <w:noProof/>
                <w:sz w:val="18"/>
                <w:szCs w:val="18"/>
                <w:u w:val="single"/>
              </w:rPr>
              <w:t>)</w:t>
            </w:r>
            <w:r>
              <w:rPr>
                <w:rFonts w:cstheme="minorHAnsi"/>
                <w:b/>
                <w:sz w:val="18"/>
                <w:szCs w:val="18"/>
                <w:u w:val="single"/>
              </w:rPr>
              <w:fldChar w:fldCharType="end"/>
            </w:r>
          </w:p>
          <w:p w14:paraId="6EC91239" w14:textId="363CAC1F" w:rsidR="00DB2213" w:rsidRPr="002070E0" w:rsidRDefault="00DB2213" w:rsidP="00F523A8">
            <w:pPr>
              <w:spacing w:before="60" w:after="120"/>
              <w:contextualSpacing/>
              <w:rPr>
                <w:rFonts w:asciiTheme="minorHAnsi" w:hAnsiTheme="minorHAnsi" w:cstheme="minorHAnsi"/>
                <w:sz w:val="18"/>
                <w:szCs w:val="18"/>
              </w:rPr>
            </w:pPr>
            <w:r w:rsidRPr="00ED5FCD">
              <w:rPr>
                <w:rFonts w:asciiTheme="minorHAnsi" w:hAnsiTheme="minorHAnsi" w:cstheme="minorHAnsi"/>
                <w:sz w:val="18"/>
                <w:szCs w:val="18"/>
              </w:rPr>
              <w:t>Self-administered questionnaire</w:t>
            </w:r>
            <w:r w:rsidRPr="002070E0">
              <w:rPr>
                <w:rFonts w:asciiTheme="minorHAnsi" w:hAnsiTheme="minorHAnsi" w:cstheme="minorHAnsi"/>
                <w:sz w:val="18"/>
                <w:szCs w:val="18"/>
              </w:rPr>
              <w:t xml:space="preserve"> </w:t>
            </w:r>
            <w:r w:rsidRPr="002070E0">
              <w:rPr>
                <w:rFonts w:asciiTheme="minorHAnsi" w:hAnsiTheme="minorHAnsi" w:cstheme="minorHAnsi"/>
                <w:sz w:val="18"/>
                <w:szCs w:val="18"/>
              </w:rPr>
              <w:br/>
              <w:t>κ = 0.82 (self-reported age first smoked at least once a month)</w:t>
            </w:r>
            <w:r w:rsidRPr="002070E0">
              <w:rPr>
                <w:rFonts w:asciiTheme="minorHAnsi" w:hAnsiTheme="minorHAnsi" w:cstheme="minorHAnsi"/>
                <w:sz w:val="18"/>
                <w:szCs w:val="18"/>
              </w:rPr>
              <w:br/>
            </w:r>
            <w:r w:rsidR="00327475" w:rsidRPr="00327475">
              <w:rPr>
                <w:rFonts w:cstheme="minorHAnsi"/>
                <w:iCs/>
                <w:sz w:val="18"/>
                <w:szCs w:val="18"/>
              </w:rPr>
              <w:t>Test-retest interval:</w:t>
            </w:r>
            <w:r w:rsidR="00327475" w:rsidRPr="00494051">
              <w:rPr>
                <w:rFonts w:cstheme="minorHAnsi"/>
                <w:iCs/>
              </w:rPr>
              <w:t xml:space="preserve"> </w:t>
            </w:r>
            <w:r w:rsidRPr="002070E0">
              <w:rPr>
                <w:rFonts w:asciiTheme="minorHAnsi" w:hAnsiTheme="minorHAnsi" w:cstheme="minorHAnsi"/>
                <w:sz w:val="18"/>
                <w:szCs w:val="18"/>
              </w:rPr>
              <w:t>2 years</w:t>
            </w:r>
          </w:p>
          <w:p w14:paraId="32CD0F84" w14:textId="77777777" w:rsidR="00DB2213" w:rsidRPr="002070E0" w:rsidRDefault="00DB2213" w:rsidP="00F523A8">
            <w:pPr>
              <w:spacing w:before="60" w:after="120"/>
              <w:contextualSpacing/>
              <w:rPr>
                <w:rFonts w:asciiTheme="minorHAnsi" w:hAnsiTheme="minorHAnsi" w:cstheme="minorHAnsi"/>
                <w:i/>
                <w:iCs/>
                <w:sz w:val="18"/>
                <w:szCs w:val="18"/>
              </w:rPr>
            </w:pPr>
            <w:r w:rsidRPr="002070E0">
              <w:rPr>
                <w:rFonts w:asciiTheme="minorHAnsi" w:hAnsiTheme="minorHAnsi" w:cstheme="minorHAnsi"/>
                <w:i/>
                <w:iCs/>
                <w:sz w:val="18"/>
                <w:szCs w:val="18"/>
              </w:rPr>
              <w:t>236 adults age 17 to 82, mainly white women U.S</w:t>
            </w:r>
            <w:r>
              <w:rPr>
                <w:rFonts w:asciiTheme="minorHAnsi" w:hAnsiTheme="minorHAnsi" w:cstheme="minorHAnsi"/>
                <w:i/>
                <w:iCs/>
                <w:sz w:val="18"/>
                <w:szCs w:val="18"/>
              </w:rPr>
              <w:t>.</w:t>
            </w:r>
            <w:r w:rsidRPr="002070E0">
              <w:rPr>
                <w:rFonts w:asciiTheme="minorHAnsi" w:hAnsiTheme="minorHAnsi" w:cstheme="minorHAnsi"/>
                <w:i/>
                <w:iCs/>
                <w:sz w:val="18"/>
                <w:szCs w:val="18"/>
              </w:rPr>
              <w:t xml:space="preserve"> population</w:t>
            </w:r>
            <w:r>
              <w:rPr>
                <w:rFonts w:asciiTheme="minorHAnsi" w:hAnsiTheme="minorHAnsi" w:cstheme="minorHAnsi"/>
                <w:i/>
                <w:iCs/>
                <w:sz w:val="18"/>
                <w:szCs w:val="18"/>
              </w:rPr>
              <w:t>.</w:t>
            </w:r>
          </w:p>
          <w:p w14:paraId="7FD909B3" w14:textId="77777777" w:rsidR="00DB2213" w:rsidRPr="002070E0" w:rsidRDefault="00DB2213" w:rsidP="00F523A8">
            <w:pPr>
              <w:spacing w:before="60" w:after="120"/>
              <w:contextualSpacing/>
              <w:rPr>
                <w:rFonts w:asciiTheme="minorHAnsi" w:hAnsiTheme="minorHAnsi" w:cstheme="minorHAnsi"/>
                <w:i/>
                <w:iCs/>
                <w:sz w:val="18"/>
                <w:szCs w:val="18"/>
              </w:rPr>
            </w:pPr>
          </w:p>
          <w:p w14:paraId="4456148F" w14:textId="48140292" w:rsidR="00DB2213" w:rsidRPr="003E3F07" w:rsidRDefault="00D2134A" w:rsidP="00F523A8">
            <w:pPr>
              <w:spacing w:before="60" w:after="120"/>
              <w:contextualSpacing/>
              <w:rPr>
                <w:rFonts w:asciiTheme="minorHAnsi" w:hAnsiTheme="minorHAnsi" w:cstheme="minorHAnsi"/>
                <w:b/>
                <w:sz w:val="18"/>
                <w:szCs w:val="18"/>
                <w:u w:val="single"/>
              </w:rPr>
            </w:pPr>
            <w:r>
              <w:rPr>
                <w:rFonts w:cstheme="minorHAnsi"/>
                <w:b/>
                <w:sz w:val="18"/>
                <w:szCs w:val="18"/>
                <w:u w:val="single"/>
              </w:rPr>
              <w:fldChar w:fldCharType="begin"/>
            </w:r>
            <w:r>
              <w:rPr>
                <w:rFonts w:cstheme="minorHAnsi"/>
                <w:b/>
                <w:sz w:val="18"/>
                <w:szCs w:val="18"/>
                <w:u w:val="single"/>
              </w:rPr>
              <w:instrText xml:space="preserve"> ADDIN EN.CITE &lt;EndNote&gt;&lt;Cite&gt;&lt;Author&gt;Brigham&lt;/Author&gt;&lt;Year&gt;2009&lt;/Year&gt;&lt;RecNum&gt;143&lt;/RecNum&gt;&lt;DisplayText&gt;(27)&lt;/DisplayText&gt;&lt;record&gt;&lt;rec-number&gt;143&lt;/rec-number&gt;&lt;foreign-keys&gt;&lt;key app="EN" db-id="a2vz2dfp8xrad6exes75zwpiw5rxwa0vwapv" timestamp="0"&gt;143&lt;/key&gt;&lt;/foreign-keys&gt;&lt;ref-type name="Journal Article"&gt;17&lt;/ref-type&gt;&lt;contributors&gt;&lt;authors&gt;&lt;author&gt;Brigham, J.&lt;/author&gt;&lt;author&gt;Lessov-Schlaggar, C. N.&lt;/author&gt;&lt;author&gt;Javitz, H. S.&lt;/author&gt;&lt;author&gt;Krasnow, R. E.&lt;/author&gt;&lt;author&gt;McElroy, M.&lt;/author&gt;&lt;author&gt;Swan, G. E.&lt;/author&gt;&lt;/authors&gt;&lt;/contributors&gt;&lt;auth-address&gt;Center for Health Sciences, SRI International, Menlo Park, CA, USA.&lt;/auth-address&gt;&lt;titles&gt;&lt;title&gt;Test-retest reliability of web-based retrospective self-report of tobacco exposure and risk&lt;/title&gt;&lt;secondary-title&gt;J Med Internet Res&lt;/secondary-title&gt;&lt;alt-title&gt;Journal of medical Internet research&lt;/alt-title&gt;&lt;/titles&gt;&lt;alt-periodical&gt;&lt;full-title&gt;Journal of Medical Internet Research&lt;/full-title&gt;&lt;/alt-periodical&gt;&lt;pages&gt;e35&lt;/pages&gt;&lt;volume&gt;11&lt;/volume&gt;&lt;number&gt;3&lt;/number&gt;&lt;edition&gt;2009/08/14&lt;/edition&gt;&lt;keywords&gt;&lt;keyword&gt;Adolescent&lt;/keyword&gt;&lt;keyword&gt;Adult&lt;/keyword&gt;&lt;keyword&gt;Aged&lt;/keyword&gt;&lt;keyword&gt;Alcohol Drinking&lt;/keyword&gt;&lt;keyword&gt;Humans&lt;/keyword&gt;&lt;keyword&gt;*Internet&lt;/keyword&gt;&lt;keyword&gt;Middle Aged&lt;/keyword&gt;&lt;keyword&gt;Religion&lt;/keyword&gt;&lt;keyword&gt;*Reproducibility of Results&lt;/keyword&gt;&lt;keyword&gt;Retrospective Studies&lt;/keyword&gt;&lt;keyword&gt;Risk Assessment&lt;/keyword&gt;&lt;keyword&gt;*Surveys and Questionnaires&lt;/keyword&gt;&lt;keyword&gt;Tobacco Smoke Pollution/statistics &amp;amp; numerical data&lt;/keyword&gt;&lt;keyword&gt;Tobacco Use Cessation/*statistics &amp;amp; numerical data&lt;/keyword&gt;&lt;keyword&gt;Tobacco Use Disorder/*rehabilitation&lt;/keyword&gt;&lt;keyword&gt;Young Adult&lt;/keyword&gt;&lt;/keywords&gt;&lt;dates&gt;&lt;year&gt;2009&lt;/year&gt;&lt;/dates&gt;&lt;isbn&gt;1438-8871&lt;/isbn&gt;&lt;accession-num&gt;19674962&lt;/accession-num&gt;&lt;urls&gt;&lt;/urls&gt;&lt;custom2&gt;PMC2762856&lt;/custom2&gt;&lt;electronic-resource-num&gt;10.2196/jmir.1248&lt;/electronic-resource-num&gt;&lt;remote-database-provider&gt;NLM&lt;/remote-database-provider&gt;&lt;language&gt;eng&lt;/language&gt;&lt;/record&gt;&lt;/Cite&gt;&lt;/EndNote&gt;</w:instrText>
            </w:r>
            <w:r>
              <w:rPr>
                <w:rFonts w:cstheme="minorHAnsi"/>
                <w:b/>
                <w:sz w:val="18"/>
                <w:szCs w:val="18"/>
                <w:u w:val="single"/>
              </w:rPr>
              <w:fldChar w:fldCharType="separate"/>
            </w:r>
            <w:r>
              <w:rPr>
                <w:rFonts w:cstheme="minorHAnsi"/>
                <w:b/>
                <w:noProof/>
                <w:sz w:val="18"/>
                <w:szCs w:val="18"/>
                <w:u w:val="single"/>
              </w:rPr>
              <w:t>(</w:t>
            </w:r>
            <w:hyperlink w:anchor="_ENREF_27" w:tooltip="Brigham, 2009 #143" w:history="1">
              <w:r w:rsidR="00A234A9">
                <w:rPr>
                  <w:rFonts w:cstheme="minorHAnsi"/>
                  <w:b/>
                  <w:noProof/>
                  <w:sz w:val="18"/>
                  <w:szCs w:val="18"/>
                  <w:u w:val="single"/>
                </w:rPr>
                <w:t>27</w:t>
              </w:r>
            </w:hyperlink>
            <w:r>
              <w:rPr>
                <w:rFonts w:cstheme="minorHAnsi"/>
                <w:b/>
                <w:noProof/>
                <w:sz w:val="18"/>
                <w:szCs w:val="18"/>
                <w:u w:val="single"/>
              </w:rPr>
              <w:t>)</w:t>
            </w:r>
            <w:r>
              <w:rPr>
                <w:rFonts w:cstheme="minorHAnsi"/>
                <w:b/>
                <w:sz w:val="18"/>
                <w:szCs w:val="18"/>
                <w:u w:val="single"/>
              </w:rPr>
              <w:fldChar w:fldCharType="end"/>
            </w:r>
          </w:p>
          <w:p w14:paraId="355F8798" w14:textId="77777777" w:rsidR="00DB2213" w:rsidRPr="00ED5FCD" w:rsidRDefault="00DB2213" w:rsidP="00F523A8">
            <w:pPr>
              <w:spacing w:before="60" w:after="120"/>
              <w:contextualSpacing/>
              <w:rPr>
                <w:rFonts w:asciiTheme="minorHAnsi" w:hAnsiTheme="minorHAnsi" w:cstheme="minorHAnsi"/>
                <w:sz w:val="18"/>
                <w:szCs w:val="18"/>
              </w:rPr>
            </w:pPr>
            <w:r w:rsidRPr="00ED5FCD">
              <w:rPr>
                <w:rFonts w:asciiTheme="minorHAnsi" w:hAnsiTheme="minorHAnsi" w:cstheme="minorHAnsi"/>
                <w:sz w:val="18"/>
                <w:szCs w:val="18"/>
              </w:rPr>
              <w:t>Self-administered questionnaire</w:t>
            </w:r>
          </w:p>
          <w:p w14:paraId="2CE19D4C" w14:textId="77777777" w:rsidR="00DB2213" w:rsidRPr="002070E0" w:rsidRDefault="00DB2213" w:rsidP="00F523A8">
            <w:pPr>
              <w:spacing w:before="60" w:after="120"/>
              <w:contextualSpacing/>
              <w:rPr>
                <w:rFonts w:asciiTheme="minorHAnsi" w:hAnsiTheme="minorHAnsi" w:cstheme="minorHAnsi"/>
                <w:sz w:val="18"/>
                <w:szCs w:val="18"/>
              </w:rPr>
            </w:pPr>
            <w:r w:rsidRPr="002070E0">
              <w:rPr>
                <w:rFonts w:asciiTheme="minorHAnsi" w:hAnsiTheme="minorHAnsi" w:cstheme="minorHAnsi"/>
                <w:sz w:val="18"/>
                <w:szCs w:val="18"/>
              </w:rPr>
              <w:t xml:space="preserve">ICC = 0.82 (self-reported age of onset of daily cigarette use) </w:t>
            </w:r>
            <w:r w:rsidRPr="002070E0">
              <w:rPr>
                <w:rFonts w:asciiTheme="minorHAnsi" w:hAnsiTheme="minorHAnsi" w:cstheme="minorHAnsi"/>
                <w:sz w:val="18"/>
                <w:szCs w:val="18"/>
              </w:rPr>
              <w:br/>
              <w:t>ICC = 0.85 (self-reported age of onset of weekly cigarette use)</w:t>
            </w:r>
          </w:p>
          <w:p w14:paraId="665C4699" w14:textId="4AF960BE" w:rsidR="00DB2213" w:rsidRPr="002070E0" w:rsidRDefault="00327475" w:rsidP="00F523A8">
            <w:pPr>
              <w:spacing w:before="60" w:after="120"/>
              <w:contextualSpacing/>
              <w:rPr>
                <w:rFonts w:asciiTheme="minorHAnsi" w:hAnsiTheme="minorHAnsi" w:cstheme="minorHAnsi"/>
                <w:sz w:val="18"/>
                <w:szCs w:val="18"/>
              </w:rPr>
            </w:pPr>
            <w:r w:rsidRPr="00327475">
              <w:rPr>
                <w:rFonts w:cstheme="minorHAnsi"/>
                <w:iCs/>
                <w:sz w:val="18"/>
                <w:szCs w:val="18"/>
              </w:rPr>
              <w:t>Test-retest interval:</w:t>
            </w:r>
            <w:r w:rsidRPr="00494051">
              <w:rPr>
                <w:rFonts w:cstheme="minorHAnsi"/>
                <w:iCs/>
              </w:rPr>
              <w:t xml:space="preserve"> </w:t>
            </w:r>
            <w:r w:rsidR="00DB2213" w:rsidRPr="002070E0">
              <w:rPr>
                <w:rFonts w:asciiTheme="minorHAnsi" w:hAnsiTheme="minorHAnsi" w:cstheme="minorHAnsi"/>
                <w:sz w:val="18"/>
                <w:szCs w:val="18"/>
              </w:rPr>
              <w:t>2 months</w:t>
            </w:r>
          </w:p>
          <w:p w14:paraId="7D0D3B30" w14:textId="34587415" w:rsidR="00DB2213" w:rsidRPr="002070E0" w:rsidRDefault="00DB2213" w:rsidP="00F523A8">
            <w:pPr>
              <w:spacing w:before="60" w:after="120"/>
              <w:contextualSpacing/>
              <w:rPr>
                <w:rFonts w:asciiTheme="minorHAnsi" w:hAnsiTheme="minorHAnsi" w:cstheme="minorHAnsi"/>
                <w:i/>
                <w:iCs/>
                <w:sz w:val="18"/>
                <w:szCs w:val="18"/>
              </w:rPr>
            </w:pPr>
            <w:r w:rsidRPr="007845A8">
              <w:rPr>
                <w:rFonts w:asciiTheme="minorHAnsi" w:hAnsiTheme="minorHAnsi" w:cstheme="minorHAnsi"/>
                <w:i/>
                <w:iCs/>
                <w:sz w:val="18"/>
                <w:szCs w:val="18"/>
              </w:rPr>
              <w:t>Anonymous adults, mostly White (baseline sample: 1,229 adults, 18-78 years), drawn from a U.S. consumer panel (comprising databases such as: public utility customers, airline, din</w:t>
            </w:r>
            <w:r>
              <w:rPr>
                <w:rFonts w:asciiTheme="minorHAnsi" w:hAnsiTheme="minorHAnsi" w:cstheme="minorHAnsi"/>
                <w:i/>
                <w:iCs/>
                <w:sz w:val="18"/>
                <w:szCs w:val="18"/>
              </w:rPr>
              <w:t>ing, and hotel program members).</w:t>
            </w:r>
          </w:p>
          <w:p w14:paraId="7FA497F2" w14:textId="77777777" w:rsidR="00DB2213" w:rsidRPr="002070E0" w:rsidRDefault="00DB2213" w:rsidP="00F523A8">
            <w:pPr>
              <w:spacing w:before="60" w:after="120"/>
              <w:contextualSpacing/>
              <w:rPr>
                <w:rFonts w:asciiTheme="minorHAnsi" w:hAnsiTheme="minorHAnsi" w:cstheme="minorHAnsi"/>
                <w:i/>
                <w:iCs/>
                <w:sz w:val="18"/>
                <w:szCs w:val="18"/>
              </w:rPr>
            </w:pPr>
          </w:p>
          <w:p w14:paraId="68661453" w14:textId="67A6D712" w:rsidR="00DB2213" w:rsidRPr="002070E0" w:rsidRDefault="00D2134A" w:rsidP="00F523A8">
            <w:pPr>
              <w:spacing w:before="60" w:after="120"/>
              <w:contextualSpacing/>
              <w:rPr>
                <w:rFonts w:asciiTheme="minorHAnsi" w:hAnsiTheme="minorHAnsi" w:cstheme="minorHAnsi"/>
                <w:sz w:val="18"/>
                <w:szCs w:val="18"/>
              </w:rPr>
            </w:pPr>
            <w:r>
              <w:rPr>
                <w:rFonts w:cstheme="minorHAnsi"/>
                <w:b/>
                <w:iCs/>
                <w:noProof/>
                <w:sz w:val="18"/>
                <w:szCs w:val="18"/>
                <w:u w:val="single"/>
              </w:rPr>
              <w:fldChar w:fldCharType="begin"/>
            </w:r>
            <w:r>
              <w:rPr>
                <w:rFonts w:cstheme="minorHAnsi"/>
                <w:b/>
                <w:iCs/>
                <w:noProof/>
                <w:sz w:val="18"/>
                <w:szCs w:val="18"/>
                <w:u w:val="single"/>
              </w:rPr>
              <w:instrText xml:space="preserve"> ADDIN EN.CITE &lt;EndNote&gt;&lt;Cite&gt;&lt;Author&gt;Brigham&lt;/Author&gt;&lt;Year&gt;2010&lt;/Year&gt;&lt;RecNum&gt;310&lt;/RecNum&gt;&lt;DisplayText&gt;(28)&lt;/DisplayText&gt;&lt;record&gt;&lt;rec-number&gt;310&lt;/rec-number&gt;&lt;foreign-keys&gt;&lt;key app="EN" db-id="a2vz2dfp8xrad6exes75zwpiw5rxwa0vwapv" timestamp="1541524148"&gt;310&lt;/key&gt;&lt;/foreign-keys&gt;&lt;ref-type name="Journal Article"&gt;17&lt;/ref-type&gt;&lt;contributors&gt;&lt;authors&gt;&lt;author&gt;Brigham, Janet&lt;/author&gt;&lt;author&gt;Lessov-Schlaggar, Christina N.&lt;/author&gt;&lt;author&gt;Javitz, Harold S.&lt;/author&gt;&lt;author&gt;Krasnow, Ruth E.&lt;/author&gt;&lt;author&gt;Tildesley, Elizabeth&lt;/author&gt;&lt;author&gt;Andrews, Judy&lt;/author&gt;&lt;author&gt;Hops, Hyman&lt;/author&gt;&lt;author&gt;Cornelius, Marie D.&lt;/author&gt;&lt;author&gt;Day, Nancy L.&lt;/author&gt;&lt;author&gt;McElroy, Mary&lt;/author&gt;&lt;author&gt;Swan, Gary E.&lt;/author&gt;&lt;/authors&gt;&lt;/contributors&gt;&lt;titles&gt;&lt;title&gt;Validity of recall of tobacco use in two prospective cohorts&lt;/title&gt;&lt;secondary-title&gt;American journal of epidemiology&lt;/secondary-title&gt;&lt;/titles&gt;&lt;periodical&gt;&lt;full-title&gt;American journal of epidemiology&lt;/full-title&gt;&lt;/periodical&gt;&lt;pages&gt;828-835&lt;/pages&gt;&lt;volume&gt;172&lt;/volume&gt;&lt;number&gt;7&lt;/number&gt;&lt;edition&gt;08/18&lt;/edition&gt;&lt;dates&gt;&lt;year&gt;2010&lt;/year&gt;&lt;/dates&gt;&lt;publisher&gt;Oxford University Press&lt;/publisher&gt;&lt;isbn&gt;1476-6256&amp;#xD;0002-9262&lt;/isbn&gt;&lt;accession-num&gt;20720099&lt;/accession-num&gt;&lt;urls&gt;&lt;related-urls&gt;&lt;url&gt;https://www.ncbi.nlm.nih.gov/pubmed/20720099&lt;/url&gt;&lt;url&gt;https://www.ncbi.nlm.nih.gov/pmc/PMC2945825/&lt;/url&gt;&lt;/related-urls&gt;&lt;/urls&gt;&lt;electronic-resource-num&gt;10.1093/aje/kwq179&lt;/electronic-resource-num&gt;&lt;remote-database-name&gt;PubMed&lt;/remote-database-name&gt;&lt;/record&gt;&lt;/Cite&gt;&lt;/EndNote&gt;</w:instrText>
            </w:r>
            <w:r>
              <w:rPr>
                <w:rFonts w:cstheme="minorHAnsi"/>
                <w:b/>
                <w:iCs/>
                <w:noProof/>
                <w:sz w:val="18"/>
                <w:szCs w:val="18"/>
                <w:u w:val="single"/>
              </w:rPr>
              <w:fldChar w:fldCharType="separate"/>
            </w:r>
            <w:r>
              <w:rPr>
                <w:rFonts w:cstheme="minorHAnsi"/>
                <w:b/>
                <w:iCs/>
                <w:noProof/>
                <w:sz w:val="18"/>
                <w:szCs w:val="18"/>
                <w:u w:val="single"/>
              </w:rPr>
              <w:t>(</w:t>
            </w:r>
            <w:hyperlink w:anchor="_ENREF_28" w:tooltip="Brigham, 2010 #310" w:history="1">
              <w:r w:rsidR="00A234A9">
                <w:rPr>
                  <w:rFonts w:cstheme="minorHAnsi"/>
                  <w:b/>
                  <w:iCs/>
                  <w:noProof/>
                  <w:sz w:val="18"/>
                  <w:szCs w:val="18"/>
                  <w:u w:val="single"/>
                </w:rPr>
                <w:t>28</w:t>
              </w:r>
            </w:hyperlink>
            <w:r>
              <w:rPr>
                <w:rFonts w:cstheme="minorHAnsi"/>
                <w:b/>
                <w:iCs/>
                <w:noProof/>
                <w:sz w:val="18"/>
                <w:szCs w:val="18"/>
                <w:u w:val="single"/>
              </w:rPr>
              <w:t>)</w:t>
            </w:r>
            <w:r>
              <w:rPr>
                <w:rFonts w:cstheme="minorHAnsi"/>
                <w:b/>
                <w:iCs/>
                <w:noProof/>
                <w:sz w:val="18"/>
                <w:szCs w:val="18"/>
                <w:u w:val="single"/>
              </w:rPr>
              <w:fldChar w:fldCharType="end"/>
            </w:r>
            <w:r w:rsidR="00DB2213" w:rsidRPr="002070E0">
              <w:rPr>
                <w:rFonts w:asciiTheme="minorHAnsi" w:hAnsiTheme="minorHAnsi" w:cstheme="minorHAnsi"/>
                <w:sz w:val="18"/>
                <w:szCs w:val="18"/>
              </w:rPr>
              <w:br/>
            </w:r>
            <w:r w:rsidR="00DB2213" w:rsidRPr="00ED5FCD">
              <w:rPr>
                <w:rFonts w:asciiTheme="minorHAnsi" w:hAnsiTheme="minorHAnsi" w:cstheme="minorHAnsi"/>
                <w:sz w:val="18"/>
                <w:szCs w:val="18"/>
              </w:rPr>
              <w:t>Study 1 (Oregon)</w:t>
            </w:r>
            <w:r w:rsidR="00DB2213" w:rsidRPr="00ED5FCD">
              <w:rPr>
                <w:rFonts w:asciiTheme="minorHAnsi" w:hAnsiTheme="minorHAnsi" w:cstheme="minorHAnsi"/>
                <w:sz w:val="18"/>
                <w:szCs w:val="18"/>
              </w:rPr>
              <w:br/>
              <w:t>In-person interviews</w:t>
            </w:r>
          </w:p>
          <w:p w14:paraId="2F26A645" w14:textId="77777777" w:rsidR="00DB2213" w:rsidRPr="002070E0" w:rsidRDefault="00DB2213" w:rsidP="00F523A8">
            <w:pPr>
              <w:spacing w:before="60" w:after="120"/>
              <w:contextualSpacing/>
              <w:rPr>
                <w:rFonts w:asciiTheme="minorHAnsi" w:hAnsiTheme="minorHAnsi" w:cstheme="minorHAnsi"/>
                <w:sz w:val="18"/>
                <w:szCs w:val="18"/>
              </w:rPr>
            </w:pPr>
            <w:r w:rsidRPr="002070E0">
              <w:rPr>
                <w:rFonts w:asciiTheme="minorHAnsi" w:hAnsiTheme="minorHAnsi" w:cstheme="minorHAnsi"/>
                <w:sz w:val="18"/>
                <w:szCs w:val="18"/>
              </w:rPr>
              <w:t>ICC = 0.33 (self-reported age at first cigarette)</w:t>
            </w:r>
          </w:p>
          <w:p w14:paraId="78C5710A" w14:textId="3AFC679D" w:rsidR="00DB2213" w:rsidRPr="002070E0" w:rsidRDefault="00327475" w:rsidP="00F523A8">
            <w:pPr>
              <w:spacing w:before="60" w:after="120"/>
              <w:contextualSpacing/>
              <w:rPr>
                <w:rFonts w:asciiTheme="minorHAnsi" w:hAnsiTheme="minorHAnsi" w:cstheme="minorHAnsi"/>
                <w:sz w:val="18"/>
                <w:szCs w:val="18"/>
              </w:rPr>
            </w:pPr>
            <w:r w:rsidRPr="00327475">
              <w:rPr>
                <w:rFonts w:cstheme="minorHAnsi"/>
                <w:iCs/>
                <w:sz w:val="18"/>
                <w:szCs w:val="18"/>
              </w:rPr>
              <w:t>Test-retest interval:</w:t>
            </w:r>
            <w:r w:rsidRPr="00494051">
              <w:rPr>
                <w:rFonts w:cstheme="minorHAnsi"/>
                <w:iCs/>
              </w:rPr>
              <w:t xml:space="preserve"> </w:t>
            </w:r>
            <w:r w:rsidR="00DB2213" w:rsidRPr="002070E0">
              <w:rPr>
                <w:rFonts w:asciiTheme="minorHAnsi" w:hAnsiTheme="minorHAnsi" w:cstheme="minorHAnsi"/>
                <w:sz w:val="18"/>
                <w:szCs w:val="18"/>
              </w:rPr>
              <w:t>19.5 years</w:t>
            </w:r>
          </w:p>
          <w:p w14:paraId="498E93E1" w14:textId="77777777" w:rsidR="00DB2213" w:rsidRPr="002070E0" w:rsidRDefault="00DB2213" w:rsidP="00F523A8">
            <w:pPr>
              <w:spacing w:before="60" w:after="120"/>
              <w:contextualSpacing/>
              <w:rPr>
                <w:rFonts w:asciiTheme="minorHAnsi" w:hAnsiTheme="minorHAnsi" w:cstheme="minorHAnsi"/>
                <w:sz w:val="18"/>
                <w:szCs w:val="18"/>
              </w:rPr>
            </w:pPr>
            <w:r w:rsidRPr="002070E0">
              <w:rPr>
                <w:rFonts w:asciiTheme="minorHAnsi" w:hAnsiTheme="minorHAnsi" w:cstheme="minorHAnsi"/>
                <w:i/>
                <w:iCs/>
                <w:sz w:val="18"/>
                <w:szCs w:val="18"/>
              </w:rPr>
              <w:t>r</w:t>
            </w:r>
            <w:r w:rsidRPr="002070E0">
              <w:rPr>
                <w:rFonts w:asciiTheme="minorHAnsi" w:hAnsiTheme="minorHAnsi" w:cstheme="minorHAnsi"/>
                <w:i/>
                <w:iCs/>
                <w:sz w:val="18"/>
                <w:szCs w:val="18"/>
                <w:vertAlign w:val="subscript"/>
              </w:rPr>
              <w:t>s</w:t>
            </w:r>
            <w:r w:rsidRPr="002070E0">
              <w:rPr>
                <w:rFonts w:asciiTheme="minorHAnsi" w:hAnsiTheme="minorHAnsi" w:cstheme="minorHAnsi"/>
                <w:sz w:val="18"/>
                <w:szCs w:val="18"/>
                <w:vertAlign w:val="subscript"/>
              </w:rPr>
              <w:t xml:space="preserve"> </w:t>
            </w:r>
            <w:r w:rsidRPr="002070E0">
              <w:rPr>
                <w:rFonts w:asciiTheme="minorHAnsi" w:hAnsiTheme="minorHAnsi" w:cstheme="minorHAnsi"/>
                <w:sz w:val="18"/>
                <w:szCs w:val="18"/>
              </w:rPr>
              <w:t>= 0.01 (self-reported age at first daily smoking)</w:t>
            </w:r>
          </w:p>
          <w:p w14:paraId="7DCBF354" w14:textId="77777777" w:rsidR="00DB2213" w:rsidRPr="002070E0" w:rsidRDefault="00DB2213" w:rsidP="00F523A8">
            <w:pPr>
              <w:spacing w:before="60" w:after="120"/>
              <w:contextualSpacing/>
              <w:rPr>
                <w:rFonts w:asciiTheme="minorHAnsi" w:hAnsiTheme="minorHAnsi" w:cstheme="minorHAnsi"/>
                <w:sz w:val="18"/>
                <w:szCs w:val="18"/>
              </w:rPr>
            </w:pPr>
            <w:r w:rsidRPr="002070E0">
              <w:rPr>
                <w:rFonts w:asciiTheme="minorHAnsi" w:hAnsiTheme="minorHAnsi" w:cstheme="minorHAnsi"/>
                <w:i/>
                <w:iCs/>
                <w:sz w:val="18"/>
                <w:szCs w:val="18"/>
              </w:rPr>
              <w:t>346 child/adolescents, age 10 to 18</w:t>
            </w:r>
          </w:p>
          <w:p w14:paraId="1442E07E" w14:textId="77777777" w:rsidR="00DB2213" w:rsidRPr="002070E0" w:rsidRDefault="00DB2213" w:rsidP="00F523A8">
            <w:pPr>
              <w:spacing w:before="60" w:after="120"/>
              <w:contextualSpacing/>
              <w:rPr>
                <w:rFonts w:asciiTheme="minorHAnsi" w:hAnsiTheme="minorHAnsi" w:cstheme="minorHAnsi"/>
                <w:sz w:val="18"/>
                <w:szCs w:val="18"/>
              </w:rPr>
            </w:pPr>
          </w:p>
          <w:p w14:paraId="64AB08BB" w14:textId="77777777" w:rsidR="00DB2213" w:rsidRPr="00ED5FCD" w:rsidRDefault="00DB2213" w:rsidP="00F523A8">
            <w:pPr>
              <w:spacing w:before="60" w:after="120"/>
              <w:contextualSpacing/>
              <w:rPr>
                <w:rFonts w:asciiTheme="minorHAnsi" w:hAnsiTheme="minorHAnsi" w:cstheme="minorHAnsi"/>
                <w:iCs/>
                <w:sz w:val="18"/>
                <w:szCs w:val="18"/>
              </w:rPr>
            </w:pPr>
            <w:r w:rsidRPr="00ED5FCD">
              <w:rPr>
                <w:rFonts w:asciiTheme="minorHAnsi" w:hAnsiTheme="minorHAnsi" w:cstheme="minorHAnsi"/>
                <w:sz w:val="18"/>
                <w:szCs w:val="18"/>
              </w:rPr>
              <w:t>Study 2 (Pittsburgh)</w:t>
            </w:r>
            <w:r w:rsidRPr="00ED5FCD">
              <w:rPr>
                <w:rFonts w:asciiTheme="minorHAnsi" w:hAnsiTheme="minorHAnsi" w:cstheme="minorHAnsi"/>
                <w:sz w:val="18"/>
                <w:szCs w:val="18"/>
              </w:rPr>
              <w:br/>
              <w:t>In-person interviews</w:t>
            </w:r>
          </w:p>
          <w:p w14:paraId="107AC84D" w14:textId="77777777" w:rsidR="00DB2213" w:rsidRPr="002070E0" w:rsidRDefault="00DB2213" w:rsidP="00F523A8">
            <w:pPr>
              <w:spacing w:before="60" w:after="120"/>
              <w:contextualSpacing/>
              <w:rPr>
                <w:rFonts w:asciiTheme="minorHAnsi" w:hAnsiTheme="minorHAnsi" w:cstheme="minorHAnsi"/>
                <w:sz w:val="18"/>
                <w:szCs w:val="18"/>
              </w:rPr>
            </w:pPr>
            <w:r w:rsidRPr="002070E0">
              <w:rPr>
                <w:rFonts w:asciiTheme="minorHAnsi" w:hAnsiTheme="minorHAnsi" w:cstheme="minorHAnsi"/>
                <w:sz w:val="18"/>
                <w:szCs w:val="18"/>
              </w:rPr>
              <w:t>ICC</w:t>
            </w:r>
            <w:r w:rsidRPr="002070E0">
              <w:rPr>
                <w:rFonts w:asciiTheme="minorHAnsi" w:hAnsiTheme="minorHAnsi" w:cstheme="minorHAnsi"/>
                <w:sz w:val="18"/>
                <w:szCs w:val="18"/>
                <w:vertAlign w:val="subscript"/>
              </w:rPr>
              <w:t xml:space="preserve"> </w:t>
            </w:r>
            <w:r w:rsidRPr="002070E0">
              <w:rPr>
                <w:rFonts w:asciiTheme="minorHAnsi" w:hAnsiTheme="minorHAnsi" w:cstheme="minorHAnsi"/>
                <w:sz w:val="18"/>
                <w:szCs w:val="18"/>
              </w:rPr>
              <w:t>= 0.58 (age at first cigarette)</w:t>
            </w:r>
          </w:p>
          <w:p w14:paraId="5162E7B2" w14:textId="77777777" w:rsidR="00DB2213" w:rsidRPr="002070E0" w:rsidRDefault="00DB2213" w:rsidP="00F523A8">
            <w:pPr>
              <w:spacing w:before="60" w:after="120"/>
              <w:contextualSpacing/>
              <w:rPr>
                <w:rFonts w:asciiTheme="minorHAnsi" w:hAnsiTheme="minorHAnsi" w:cstheme="minorHAnsi"/>
                <w:sz w:val="18"/>
                <w:szCs w:val="18"/>
              </w:rPr>
            </w:pPr>
            <w:r w:rsidRPr="002070E0">
              <w:rPr>
                <w:rFonts w:asciiTheme="minorHAnsi" w:hAnsiTheme="minorHAnsi" w:cstheme="minorHAnsi"/>
                <w:sz w:val="18"/>
                <w:szCs w:val="18"/>
              </w:rPr>
              <w:t>ICC = 0.52 (self-reported age at first daily smoking)</w:t>
            </w:r>
          </w:p>
          <w:p w14:paraId="5A5F7A91" w14:textId="50A3E7B2" w:rsidR="00DB2213" w:rsidRPr="002070E0" w:rsidRDefault="00327475" w:rsidP="00F523A8">
            <w:pPr>
              <w:spacing w:before="60" w:after="120"/>
              <w:contextualSpacing/>
              <w:rPr>
                <w:rFonts w:asciiTheme="minorHAnsi" w:hAnsiTheme="minorHAnsi" w:cstheme="minorHAnsi"/>
                <w:sz w:val="18"/>
                <w:szCs w:val="18"/>
              </w:rPr>
            </w:pPr>
            <w:r w:rsidRPr="00327475">
              <w:rPr>
                <w:rFonts w:cstheme="minorHAnsi"/>
                <w:iCs/>
                <w:sz w:val="18"/>
                <w:szCs w:val="18"/>
              </w:rPr>
              <w:t>Test-retest interval:</w:t>
            </w:r>
            <w:r w:rsidRPr="00494051">
              <w:rPr>
                <w:rFonts w:cstheme="minorHAnsi"/>
                <w:iCs/>
              </w:rPr>
              <w:t xml:space="preserve"> </w:t>
            </w:r>
            <w:r w:rsidR="00DB2213" w:rsidRPr="002070E0">
              <w:rPr>
                <w:rFonts w:asciiTheme="minorHAnsi" w:hAnsiTheme="minorHAnsi" w:cstheme="minorHAnsi"/>
                <w:sz w:val="18"/>
                <w:szCs w:val="18"/>
              </w:rPr>
              <w:t>3.9 years</w:t>
            </w:r>
          </w:p>
          <w:p w14:paraId="1BEE03E4" w14:textId="77777777" w:rsidR="00DB2213" w:rsidRPr="002070E0" w:rsidRDefault="00DB2213" w:rsidP="00F523A8">
            <w:pPr>
              <w:spacing w:before="60" w:after="120"/>
              <w:contextualSpacing/>
              <w:rPr>
                <w:rFonts w:asciiTheme="minorHAnsi" w:hAnsiTheme="minorHAnsi" w:cstheme="minorHAnsi"/>
                <w:i/>
                <w:iCs/>
                <w:sz w:val="18"/>
                <w:szCs w:val="18"/>
              </w:rPr>
            </w:pPr>
            <w:r w:rsidRPr="002070E0">
              <w:rPr>
                <w:rFonts w:asciiTheme="minorHAnsi" w:hAnsiTheme="minorHAnsi" w:cstheme="minorHAnsi"/>
                <w:i/>
                <w:iCs/>
                <w:sz w:val="18"/>
                <w:szCs w:val="18"/>
              </w:rPr>
              <w:t>294 child/adolescents, age 10 to 18</w:t>
            </w:r>
            <w:r>
              <w:rPr>
                <w:rFonts w:asciiTheme="minorHAnsi" w:hAnsiTheme="minorHAnsi" w:cstheme="minorHAnsi"/>
                <w:i/>
                <w:iCs/>
                <w:sz w:val="18"/>
                <w:szCs w:val="18"/>
              </w:rPr>
              <w:t>.</w:t>
            </w:r>
          </w:p>
          <w:p w14:paraId="1517F4EF" w14:textId="77777777" w:rsidR="00DB2213" w:rsidRPr="002070E0" w:rsidRDefault="00DB2213" w:rsidP="00F523A8">
            <w:pPr>
              <w:spacing w:before="60" w:after="120"/>
              <w:contextualSpacing/>
              <w:rPr>
                <w:rFonts w:asciiTheme="minorHAnsi" w:hAnsiTheme="minorHAnsi" w:cstheme="minorHAnsi"/>
                <w:iCs/>
                <w:sz w:val="18"/>
                <w:szCs w:val="18"/>
              </w:rPr>
            </w:pPr>
          </w:p>
          <w:p w14:paraId="531C23A7" w14:textId="7F093862" w:rsidR="00DB2213" w:rsidRPr="003E3F07" w:rsidRDefault="00D2134A" w:rsidP="00F523A8">
            <w:pPr>
              <w:spacing w:before="60" w:after="120"/>
              <w:contextualSpacing/>
              <w:rPr>
                <w:rFonts w:asciiTheme="minorHAnsi" w:hAnsiTheme="minorHAnsi" w:cstheme="minorHAnsi"/>
                <w:b/>
                <w:sz w:val="18"/>
                <w:szCs w:val="18"/>
                <w:u w:val="single"/>
              </w:rPr>
            </w:pPr>
            <w:r>
              <w:rPr>
                <w:rFonts w:cstheme="minorHAnsi"/>
                <w:b/>
                <w:sz w:val="18"/>
                <w:szCs w:val="18"/>
                <w:u w:val="single"/>
              </w:rPr>
              <w:fldChar w:fldCharType="begin"/>
            </w:r>
            <w:r>
              <w:rPr>
                <w:rFonts w:cstheme="minorHAnsi"/>
                <w:b/>
                <w:sz w:val="18"/>
                <w:szCs w:val="18"/>
                <w:u w:val="single"/>
              </w:rPr>
              <w:instrText xml:space="preserve"> ADDIN EN.CITE &lt;EndNote&gt;&lt;Cite&gt;&lt;Author&gt;Colby&lt;/Author&gt;&lt;Year&gt;2012&lt;/Year&gt;&lt;RecNum&gt;311&lt;/RecNum&gt;&lt;DisplayText&gt;(29)&lt;/DisplayText&gt;&lt;record&gt;&lt;rec-number&gt;311&lt;/rec-number&gt;&lt;foreign-keys&gt;&lt;key app="EN" db-id="a2vz2dfp8xrad6exes75zwpiw5rxwa0vwapv" timestamp="1541524535"&gt;311&lt;/key&gt;&lt;/foreign-keys&gt;&lt;ref-type name="Journal Article"&gt;17&lt;/ref-type&gt;&lt;contributors&gt;&lt;authors&gt;&lt;author&gt;Colby, S.M.&lt;/author&gt;&lt;author&gt;Clark, M.A.&lt;/author&gt;&lt;author&gt;Rogers, M.L.&lt;/author&gt;&lt;author&gt;Ramsey, S.&lt;/author&gt;&lt;author&gt;Graham, A.L.&lt;/author&gt;&lt;author&gt;Boergers, J.&lt;/author&gt;&lt;author&gt;Kahler, C.W.&lt;/author&gt;&lt;author&gt;Papandonatos, G.D.&lt;/author&gt;&lt;author&gt;Buka, S.L.&lt;/author&gt;&lt;author&gt;Niaura, R.S.&lt;/author&gt;&lt;author&gt;Abrams, D.B.&lt;/author&gt;&lt;/authors&gt;&lt;/contributors&gt;&lt;titles&gt;&lt;title&gt;Development and reliability of the lifetime interview on smoking trajectories&lt;/title&gt;&lt;secondary-title&gt;Nicotine &amp;amp; tobacco research : official journal of the Society for Research on Nicotine and Tobacco&lt;/secondary-title&gt;&lt;/titles&gt;&lt;periodical&gt;&lt;full-title&gt;Nicotine &amp;amp; tobacco research : official journal of the Society for Research on Nicotine and Tobacco&lt;/full-title&gt;&lt;/periodical&gt;&lt;pages&gt;290-298&lt;/pages&gt;&lt;volume&gt;14&lt;/volume&gt;&lt;number&gt;3&lt;/number&gt;&lt;edition&gt;10/12&lt;/edition&gt;&lt;dates&gt;&lt;year&gt;2012&lt;/year&gt;&lt;/dates&gt;&lt;publisher&gt;Oxford University Press&lt;/publisher&gt;&lt;isbn&gt;1469-994X&amp;#xD;1462-2203&lt;/isbn&gt;&lt;accession-num&gt;21994340&lt;/accession-num&gt;&lt;urls&gt;&lt;related-urls&gt;&lt;url&gt;https://www.ncbi.nlm.nih.gov/pubmed/21994340&lt;/url&gt;&lt;url&gt;https://www.ncbi.nlm.nih.gov/pmc/PMC3281239/&lt;/url&gt;&lt;/related-urls&gt;&lt;/urls&gt;&lt;electronic-resource-num&gt;10.1093/ntr/ntr212&lt;/electronic-resource-num&gt;&lt;remote-database-name&gt;PubMed&lt;/remote-database-name&gt;&lt;/record&gt;&lt;/Cite&gt;&lt;/EndNote&gt;</w:instrText>
            </w:r>
            <w:r>
              <w:rPr>
                <w:rFonts w:cstheme="minorHAnsi"/>
                <w:b/>
                <w:sz w:val="18"/>
                <w:szCs w:val="18"/>
                <w:u w:val="single"/>
              </w:rPr>
              <w:fldChar w:fldCharType="separate"/>
            </w:r>
            <w:r>
              <w:rPr>
                <w:rFonts w:cstheme="minorHAnsi"/>
                <w:b/>
                <w:noProof/>
                <w:sz w:val="18"/>
                <w:szCs w:val="18"/>
                <w:u w:val="single"/>
              </w:rPr>
              <w:t>(</w:t>
            </w:r>
            <w:hyperlink w:anchor="_ENREF_29" w:tooltip="Colby, 2012 #311" w:history="1">
              <w:r w:rsidR="00A234A9">
                <w:rPr>
                  <w:rFonts w:cstheme="minorHAnsi"/>
                  <w:b/>
                  <w:noProof/>
                  <w:sz w:val="18"/>
                  <w:szCs w:val="18"/>
                  <w:u w:val="single"/>
                </w:rPr>
                <w:t>29</w:t>
              </w:r>
            </w:hyperlink>
            <w:r>
              <w:rPr>
                <w:rFonts w:cstheme="minorHAnsi"/>
                <w:b/>
                <w:noProof/>
                <w:sz w:val="18"/>
                <w:szCs w:val="18"/>
                <w:u w:val="single"/>
              </w:rPr>
              <w:t>)</w:t>
            </w:r>
            <w:r>
              <w:rPr>
                <w:rFonts w:cstheme="minorHAnsi"/>
                <w:b/>
                <w:sz w:val="18"/>
                <w:szCs w:val="18"/>
                <w:u w:val="single"/>
              </w:rPr>
              <w:fldChar w:fldCharType="end"/>
            </w:r>
          </w:p>
          <w:p w14:paraId="7990ABA9" w14:textId="77777777" w:rsidR="00DB2213" w:rsidRPr="002070E0" w:rsidRDefault="00DB2213" w:rsidP="00F523A8">
            <w:pPr>
              <w:spacing w:before="60" w:after="120"/>
              <w:contextualSpacing/>
              <w:rPr>
                <w:rFonts w:asciiTheme="minorHAnsi" w:hAnsiTheme="minorHAnsi" w:cstheme="minorHAnsi"/>
                <w:sz w:val="18"/>
                <w:szCs w:val="18"/>
              </w:rPr>
            </w:pPr>
            <w:r w:rsidRPr="00ED5FCD">
              <w:rPr>
                <w:rFonts w:asciiTheme="minorHAnsi" w:hAnsiTheme="minorHAnsi" w:cstheme="minorHAnsi"/>
                <w:sz w:val="18"/>
                <w:szCs w:val="18"/>
              </w:rPr>
              <w:t>In-person, telephone, or videotaped interviews</w:t>
            </w:r>
            <w:r w:rsidRPr="00116B56">
              <w:rPr>
                <w:rFonts w:asciiTheme="minorHAnsi" w:hAnsiTheme="minorHAnsi" w:cstheme="minorHAnsi"/>
                <w:i/>
                <w:sz w:val="18"/>
                <w:szCs w:val="18"/>
              </w:rPr>
              <w:t xml:space="preserve"> </w:t>
            </w:r>
            <w:r w:rsidRPr="002070E0">
              <w:rPr>
                <w:rFonts w:asciiTheme="minorHAnsi" w:hAnsiTheme="minorHAnsi" w:cstheme="minorHAnsi"/>
                <w:sz w:val="18"/>
                <w:szCs w:val="18"/>
              </w:rPr>
              <w:br/>
              <w:t xml:space="preserve">ICC = 0.89 (self-reported age of onset, first puff) </w:t>
            </w:r>
            <w:r w:rsidRPr="002070E0">
              <w:rPr>
                <w:rFonts w:asciiTheme="minorHAnsi" w:hAnsiTheme="minorHAnsi" w:cstheme="minorHAnsi"/>
                <w:sz w:val="18"/>
                <w:szCs w:val="18"/>
              </w:rPr>
              <w:br/>
              <w:t>ICC = 0.74 (self-reported age of onset, daily smoking)</w:t>
            </w:r>
          </w:p>
          <w:p w14:paraId="3E16651C" w14:textId="77777777" w:rsidR="00DB2213" w:rsidRPr="002070E0" w:rsidRDefault="00DB2213" w:rsidP="00F523A8">
            <w:pPr>
              <w:spacing w:before="60" w:after="120"/>
              <w:contextualSpacing/>
              <w:rPr>
                <w:rFonts w:asciiTheme="minorHAnsi" w:hAnsiTheme="minorHAnsi" w:cstheme="minorHAnsi"/>
                <w:sz w:val="18"/>
                <w:szCs w:val="18"/>
              </w:rPr>
            </w:pPr>
            <w:r w:rsidRPr="002070E0">
              <w:rPr>
                <w:rFonts w:asciiTheme="minorHAnsi" w:hAnsiTheme="minorHAnsi" w:cstheme="minorHAnsi"/>
                <w:sz w:val="18"/>
                <w:szCs w:val="18"/>
              </w:rPr>
              <w:t>ICC = 0.94 (self-reported age of onset, weekly smoking)</w:t>
            </w:r>
          </w:p>
          <w:p w14:paraId="7C31C09B" w14:textId="001FC49C" w:rsidR="00DB2213" w:rsidRPr="002070E0" w:rsidRDefault="00327475" w:rsidP="00F523A8">
            <w:pPr>
              <w:spacing w:before="60" w:after="120"/>
              <w:contextualSpacing/>
              <w:rPr>
                <w:rFonts w:asciiTheme="minorHAnsi" w:hAnsiTheme="minorHAnsi" w:cstheme="minorHAnsi"/>
                <w:sz w:val="18"/>
                <w:szCs w:val="18"/>
              </w:rPr>
            </w:pPr>
            <w:r w:rsidRPr="00327475">
              <w:rPr>
                <w:rFonts w:cstheme="minorHAnsi"/>
                <w:iCs/>
                <w:sz w:val="18"/>
                <w:szCs w:val="18"/>
              </w:rPr>
              <w:t>Test-retest interval:</w:t>
            </w:r>
            <w:r w:rsidRPr="00494051">
              <w:rPr>
                <w:rFonts w:cstheme="minorHAnsi"/>
                <w:iCs/>
              </w:rPr>
              <w:t xml:space="preserve"> </w:t>
            </w:r>
            <w:r w:rsidR="00DB2213" w:rsidRPr="002070E0">
              <w:rPr>
                <w:rFonts w:asciiTheme="minorHAnsi" w:hAnsiTheme="minorHAnsi" w:cstheme="minorHAnsi"/>
                <w:sz w:val="18"/>
                <w:szCs w:val="18"/>
              </w:rPr>
              <w:t>4-8 weeks</w:t>
            </w:r>
          </w:p>
          <w:p w14:paraId="52DE0621" w14:textId="440D56B0" w:rsidR="00DB2213" w:rsidRDefault="00DB2213" w:rsidP="00F523A8">
            <w:pPr>
              <w:spacing w:before="60" w:after="120"/>
              <w:contextualSpacing/>
              <w:rPr>
                <w:rFonts w:asciiTheme="minorHAnsi" w:hAnsiTheme="minorHAnsi" w:cstheme="minorHAnsi"/>
                <w:i/>
                <w:iCs/>
                <w:sz w:val="18"/>
                <w:szCs w:val="18"/>
              </w:rPr>
            </w:pPr>
            <w:r w:rsidRPr="00D22AE2">
              <w:rPr>
                <w:rFonts w:asciiTheme="minorHAnsi" w:hAnsiTheme="minorHAnsi" w:cstheme="minorHAnsi"/>
                <w:i/>
                <w:iCs/>
                <w:sz w:val="18"/>
                <w:szCs w:val="18"/>
              </w:rPr>
              <w:t xml:space="preserve">220 adult men and women (ages 34-44 years), mainly White (83.5%) </w:t>
            </w:r>
            <w:r w:rsidRPr="00D22AE2">
              <w:rPr>
                <w:rFonts w:asciiTheme="minorHAnsi" w:hAnsiTheme="minorHAnsi" w:cstheme="minorHAnsi"/>
                <w:i/>
                <w:iCs/>
                <w:sz w:val="18"/>
                <w:szCs w:val="18"/>
              </w:rPr>
              <w:lastRenderedPageBreak/>
              <w:t>from a distinct geographical region (</w:t>
            </w:r>
            <w:r w:rsidRPr="00D22AE2">
              <w:rPr>
                <w:rFonts w:asciiTheme="minorHAnsi" w:hAnsiTheme="minorHAnsi" w:cstheme="minorHAnsi"/>
                <w:i/>
                <w:sz w:val="18"/>
                <w:szCs w:val="18"/>
              </w:rPr>
              <w:t>Northeastern U.S.</w:t>
            </w:r>
            <w:r>
              <w:rPr>
                <w:rFonts w:asciiTheme="minorHAnsi" w:hAnsiTheme="minorHAnsi" w:cstheme="minorHAnsi"/>
                <w:i/>
                <w:iCs/>
                <w:sz w:val="18"/>
                <w:szCs w:val="18"/>
              </w:rPr>
              <w:t>).</w:t>
            </w:r>
          </w:p>
          <w:p w14:paraId="6FA12406" w14:textId="77777777" w:rsidR="00F80707" w:rsidRPr="002070E0" w:rsidRDefault="00F80707" w:rsidP="00F523A8">
            <w:pPr>
              <w:spacing w:before="60" w:after="120"/>
              <w:contextualSpacing/>
              <w:rPr>
                <w:rFonts w:asciiTheme="minorHAnsi" w:hAnsiTheme="minorHAnsi" w:cstheme="minorHAnsi"/>
                <w:sz w:val="18"/>
                <w:szCs w:val="18"/>
              </w:rPr>
            </w:pPr>
          </w:p>
          <w:p w14:paraId="2A9E0E22" w14:textId="331BE93D" w:rsidR="00DB2213" w:rsidRPr="003E3F07" w:rsidRDefault="00D2134A" w:rsidP="00F523A8">
            <w:pPr>
              <w:spacing w:before="60" w:after="120"/>
              <w:contextualSpacing/>
              <w:rPr>
                <w:rFonts w:asciiTheme="minorHAnsi" w:hAnsiTheme="minorHAnsi" w:cstheme="minorHAnsi"/>
                <w:b/>
                <w:sz w:val="18"/>
                <w:szCs w:val="18"/>
                <w:u w:val="single"/>
              </w:rPr>
            </w:pPr>
            <w:r>
              <w:rPr>
                <w:rFonts w:cstheme="minorHAnsi"/>
                <w:b/>
                <w:sz w:val="18"/>
                <w:szCs w:val="18"/>
                <w:u w:val="single"/>
              </w:rPr>
              <w:fldChar w:fldCharType="begin">
                <w:fldData xml:space="preserve">PEVuZE5vdGU+PENpdGU+PEF1dGhvcj5HcmFudDwvQXV0aG9yPjxZZWFyPjIwMDM8L1llYXI+PFJl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</w:fldData>
              </w:fldChar>
            </w:r>
            <w:r>
              <w:rPr>
                <w:rFonts w:cstheme="minorHAnsi"/>
                <w:b/>
                <w:sz w:val="18"/>
                <w:szCs w:val="18"/>
                <w:u w:val="single"/>
              </w:rPr>
              <w:instrText xml:space="preserve"> ADDIN EN.CITE </w:instrText>
            </w:r>
            <w:r>
              <w:rPr>
                <w:rFonts w:cstheme="minorHAnsi"/>
                <w:b/>
                <w:sz w:val="18"/>
                <w:szCs w:val="18"/>
                <w:u w:val="single"/>
              </w:rPr>
              <w:fldChar w:fldCharType="begin">
                <w:fldData xml:space="preserve">PEVuZE5vdGU+PENpdGU+PEF1dGhvcj5HcmFudDwvQXV0aG9yPjxZZWFyPjIwMDM8L1llYXI+PFJl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</w:fldData>
              </w:fldChar>
            </w:r>
            <w:r>
              <w:rPr>
                <w:rFonts w:cstheme="minorHAnsi"/>
                <w:b/>
                <w:sz w:val="18"/>
                <w:szCs w:val="18"/>
                <w:u w:val="single"/>
              </w:rPr>
              <w:instrText xml:space="preserve"> ADDIN EN.CITE.DATA </w:instrText>
            </w:r>
            <w:r>
              <w:rPr>
                <w:rFonts w:cstheme="minorHAnsi"/>
                <w:b/>
                <w:sz w:val="18"/>
                <w:szCs w:val="18"/>
                <w:u w:val="single"/>
              </w:rPr>
            </w:r>
            <w:r>
              <w:rPr>
                <w:rFonts w:cstheme="minorHAnsi"/>
                <w:b/>
                <w:sz w:val="18"/>
                <w:szCs w:val="18"/>
                <w:u w:val="single"/>
              </w:rPr>
              <w:fldChar w:fldCharType="end"/>
            </w:r>
            <w:r>
              <w:rPr>
                <w:rFonts w:cstheme="minorHAnsi"/>
                <w:b/>
                <w:sz w:val="18"/>
                <w:szCs w:val="18"/>
                <w:u w:val="single"/>
              </w:rPr>
              <w:fldChar w:fldCharType="separate"/>
            </w:r>
            <w:r>
              <w:rPr>
                <w:rFonts w:cstheme="minorHAnsi"/>
                <w:b/>
                <w:noProof/>
                <w:sz w:val="18"/>
                <w:szCs w:val="18"/>
                <w:u w:val="single"/>
              </w:rPr>
              <w:t>(</w:t>
            </w:r>
            <w:hyperlink w:anchor="_ENREF_30" w:tooltip="Grant, 2003 #133" w:history="1">
              <w:r w:rsidR="00A234A9">
                <w:rPr>
                  <w:rFonts w:cstheme="minorHAnsi"/>
                  <w:b/>
                  <w:noProof/>
                  <w:sz w:val="18"/>
                  <w:szCs w:val="18"/>
                  <w:u w:val="single"/>
                </w:rPr>
                <w:t>30</w:t>
              </w:r>
            </w:hyperlink>
            <w:r>
              <w:rPr>
                <w:rFonts w:cstheme="minorHAnsi"/>
                <w:b/>
                <w:noProof/>
                <w:sz w:val="18"/>
                <w:szCs w:val="18"/>
                <w:u w:val="single"/>
              </w:rPr>
              <w:t>)</w:t>
            </w:r>
            <w:r>
              <w:rPr>
                <w:rFonts w:cstheme="minorHAnsi"/>
                <w:b/>
                <w:sz w:val="18"/>
                <w:szCs w:val="18"/>
                <w:u w:val="single"/>
              </w:rPr>
              <w:fldChar w:fldCharType="end"/>
            </w:r>
          </w:p>
          <w:p w14:paraId="0C9108A5" w14:textId="77777777" w:rsidR="00DB2213" w:rsidRPr="00ED5FCD" w:rsidRDefault="00DB2213" w:rsidP="00F523A8">
            <w:pPr>
              <w:spacing w:before="60" w:after="120"/>
              <w:contextualSpacing/>
              <w:rPr>
                <w:rFonts w:asciiTheme="minorHAnsi" w:hAnsiTheme="minorHAnsi" w:cstheme="minorHAnsi"/>
                <w:sz w:val="18"/>
                <w:szCs w:val="18"/>
                <w:u w:val="single"/>
              </w:rPr>
            </w:pPr>
            <w:r w:rsidRPr="00ED5FCD">
              <w:rPr>
                <w:rFonts w:asciiTheme="minorHAnsi" w:hAnsiTheme="minorHAnsi" w:cstheme="minorHAnsi"/>
                <w:sz w:val="18"/>
                <w:szCs w:val="18"/>
              </w:rPr>
              <w:t>In-person interviews</w:t>
            </w:r>
          </w:p>
          <w:p w14:paraId="330550B3" w14:textId="77777777" w:rsidR="00DB2213" w:rsidRPr="002070E0" w:rsidRDefault="00DB2213" w:rsidP="00F523A8">
            <w:pPr>
              <w:spacing w:before="60" w:after="120"/>
              <w:contextualSpacing/>
              <w:rPr>
                <w:rFonts w:asciiTheme="minorHAnsi" w:hAnsiTheme="minorHAnsi" w:cstheme="minorHAnsi"/>
                <w:sz w:val="18"/>
                <w:szCs w:val="18"/>
              </w:rPr>
            </w:pPr>
            <w:r w:rsidRPr="002070E0">
              <w:rPr>
                <w:rFonts w:asciiTheme="minorHAnsi" w:hAnsiTheme="minorHAnsi" w:cstheme="minorHAnsi"/>
                <w:sz w:val="18"/>
                <w:szCs w:val="18"/>
              </w:rPr>
              <w:t>ICC = 0.91 (self-reported age at onset of smoking)</w:t>
            </w:r>
          </w:p>
          <w:p w14:paraId="6DF5A3B0" w14:textId="77777777" w:rsidR="00DB2213" w:rsidRPr="002070E0" w:rsidRDefault="00DB2213" w:rsidP="00F523A8">
            <w:pPr>
              <w:spacing w:before="60" w:after="120"/>
              <w:contextualSpacing/>
              <w:rPr>
                <w:rFonts w:asciiTheme="minorHAnsi" w:hAnsiTheme="minorHAnsi" w:cstheme="minorHAnsi"/>
                <w:sz w:val="18"/>
                <w:szCs w:val="18"/>
              </w:rPr>
            </w:pPr>
            <w:r w:rsidRPr="002070E0">
              <w:rPr>
                <w:rFonts w:asciiTheme="minorHAnsi" w:hAnsiTheme="minorHAnsi" w:cstheme="minorHAnsi"/>
                <w:sz w:val="18"/>
                <w:szCs w:val="18"/>
              </w:rPr>
              <w:t>ICC = 0.89 (self-reported age at onset of daily use)</w:t>
            </w:r>
          </w:p>
          <w:p w14:paraId="03958DC7" w14:textId="5DC64E97" w:rsidR="00DB2213" w:rsidRPr="002070E0" w:rsidRDefault="00327475" w:rsidP="00F523A8">
            <w:pPr>
              <w:spacing w:before="60" w:after="120"/>
              <w:contextualSpacing/>
              <w:rPr>
                <w:rFonts w:asciiTheme="minorHAnsi" w:hAnsiTheme="minorHAnsi" w:cstheme="minorHAnsi"/>
                <w:sz w:val="18"/>
                <w:szCs w:val="18"/>
              </w:rPr>
            </w:pPr>
            <w:r w:rsidRPr="00327475">
              <w:rPr>
                <w:rFonts w:cstheme="minorHAnsi"/>
                <w:iCs/>
                <w:sz w:val="18"/>
                <w:szCs w:val="18"/>
              </w:rPr>
              <w:t>Test-retest interval:</w:t>
            </w:r>
            <w:r w:rsidRPr="00494051">
              <w:rPr>
                <w:rFonts w:cstheme="minorHAnsi"/>
                <w:iCs/>
              </w:rPr>
              <w:t xml:space="preserve"> </w:t>
            </w:r>
            <w:r w:rsidR="00DB2213" w:rsidRPr="002070E0">
              <w:rPr>
                <w:rFonts w:asciiTheme="minorHAnsi" w:hAnsiTheme="minorHAnsi" w:cstheme="minorHAnsi"/>
                <w:sz w:val="18"/>
                <w:szCs w:val="18"/>
              </w:rPr>
              <w:t>3 to 20 weeks</w:t>
            </w:r>
          </w:p>
          <w:p w14:paraId="1B6CC211" w14:textId="77777777" w:rsidR="00DB2213" w:rsidRPr="002070E0" w:rsidRDefault="00DB2213" w:rsidP="00F523A8">
            <w:pPr>
              <w:spacing w:before="60" w:after="120"/>
              <w:contextualSpacing/>
              <w:rPr>
                <w:rFonts w:asciiTheme="minorHAnsi" w:hAnsiTheme="minorHAnsi" w:cstheme="minorHAnsi"/>
                <w:i/>
                <w:iCs/>
                <w:sz w:val="18"/>
                <w:szCs w:val="18"/>
              </w:rPr>
            </w:pPr>
            <w:r w:rsidRPr="002070E0">
              <w:rPr>
                <w:rFonts w:asciiTheme="minorHAnsi" w:hAnsiTheme="minorHAnsi" w:cstheme="minorHAnsi"/>
                <w:i/>
                <w:iCs/>
                <w:sz w:val="18"/>
                <w:szCs w:val="18"/>
              </w:rPr>
              <w:t>Nationally representative sample of 2</w:t>
            </w:r>
            <w:r>
              <w:rPr>
                <w:rFonts w:asciiTheme="minorHAnsi" w:hAnsiTheme="minorHAnsi" w:cstheme="minorHAnsi"/>
                <w:i/>
                <w:iCs/>
                <w:sz w:val="18"/>
                <w:szCs w:val="18"/>
              </w:rPr>
              <w:t>,</w:t>
            </w:r>
            <w:r w:rsidRPr="002070E0">
              <w:rPr>
                <w:rFonts w:asciiTheme="minorHAnsi" w:hAnsiTheme="minorHAnsi" w:cstheme="minorHAnsi"/>
                <w:i/>
                <w:iCs/>
                <w:sz w:val="18"/>
                <w:szCs w:val="18"/>
              </w:rPr>
              <w:t>657 participants, age 18-24 years, varying ethnicities</w:t>
            </w:r>
            <w:r w:rsidRPr="00D22AE2">
              <w:rPr>
                <w:rFonts w:asciiTheme="minorHAnsi" w:hAnsiTheme="minorHAnsi" w:cstheme="minorHAnsi"/>
                <w:i/>
                <w:iCs/>
                <w:sz w:val="18"/>
                <w:szCs w:val="18"/>
              </w:rPr>
              <w:t xml:space="preserve">, </w:t>
            </w:r>
            <w:r w:rsidRPr="00D22AE2">
              <w:rPr>
                <w:rFonts w:asciiTheme="minorHAnsi" w:hAnsiTheme="minorHAnsi" w:cstheme="minorHAnsi"/>
                <w:i/>
                <w:sz w:val="18"/>
                <w:szCs w:val="18"/>
              </w:rPr>
              <w:t>from the U.S.</w:t>
            </w:r>
          </w:p>
          <w:p w14:paraId="365DD78C" w14:textId="77777777" w:rsidR="00DB2213" w:rsidRPr="002070E0" w:rsidRDefault="00DB2213" w:rsidP="00F523A8">
            <w:pPr>
              <w:spacing w:before="60" w:after="120"/>
              <w:contextualSpacing/>
              <w:rPr>
                <w:rFonts w:asciiTheme="minorHAnsi" w:hAnsiTheme="minorHAnsi" w:cstheme="minorHAnsi"/>
                <w:i/>
                <w:iCs/>
                <w:sz w:val="18"/>
                <w:szCs w:val="18"/>
              </w:rPr>
            </w:pPr>
          </w:p>
          <w:p w14:paraId="4922F9BD" w14:textId="124BFBB0" w:rsidR="00DB2213" w:rsidRPr="003E3F07" w:rsidRDefault="00D2134A" w:rsidP="00F523A8">
            <w:pPr>
              <w:spacing w:before="60" w:after="120"/>
              <w:contextualSpacing/>
              <w:rPr>
                <w:rFonts w:asciiTheme="minorHAnsi" w:hAnsiTheme="minorHAnsi" w:cstheme="minorHAnsi"/>
                <w:b/>
                <w:sz w:val="18"/>
                <w:szCs w:val="18"/>
                <w:u w:val="single"/>
              </w:rPr>
            </w:pPr>
            <w:r>
              <w:rPr>
                <w:rFonts w:cstheme="minorHAnsi"/>
                <w:b/>
                <w:sz w:val="18"/>
                <w:szCs w:val="18"/>
                <w:u w:val="single"/>
              </w:rPr>
              <w:fldChar w:fldCharType="begin"/>
            </w:r>
            <w:r>
              <w:rPr>
                <w:rFonts w:cstheme="minorHAnsi"/>
                <w:b/>
                <w:sz w:val="18"/>
                <w:szCs w:val="18"/>
                <w:u w:val="single"/>
              </w:rPr>
              <w:instrText xml:space="preserve"> ADDIN EN.CITE &lt;EndNote&gt;&lt;Cite&gt;&lt;Author&gt;Johnson&lt;/Author&gt;&lt;Year&gt;2001&lt;/Year&gt;&lt;RecNum&gt;135&lt;/RecNum&gt;&lt;DisplayText&gt;(31)&lt;/DisplayText&gt;&lt;record&gt;&lt;rec-number&gt;135&lt;/rec-number&gt;&lt;foreign-keys&gt;&lt;key app="EN" db-id="a2vz2dfp8xrad6exes75zwpiw5rxwa0vwapv" timestamp="0"&gt;135&lt;/key&gt;&lt;/foreign-keys&gt;&lt;ref-type name="Journal Article"&gt;17&lt;/ref-type&gt;&lt;contributors&gt;&lt;authors&gt;&lt;author&gt;Johnson, T. P.&lt;/author&gt;&lt;author&gt;Mott, J. A.&lt;/author&gt;&lt;/authors&gt;&lt;/contributors&gt;&lt;auth-address&gt;Survey Research Laboratory, University of Illinois at Chicago, 60607, USA. johnson!srl.uic.edu&lt;/auth-address&gt;&lt;titles&gt;&lt;title&gt;The reliability of self-reported age of onset of tobacco, alcohol and illicit drug use&lt;/title&gt;&lt;secondary-title&gt;Addiction&lt;/secondary-title&gt;&lt;alt-title&gt;Addiction (Abingdon, England)&lt;/alt-title&gt;&lt;/titles&gt;&lt;periodical&gt;&lt;full-title&gt;Addiction&lt;/full-title&gt;&lt;/periodical&gt;&lt;alt-periodical&gt;&lt;full-title&gt;Addiction (Abingdon, England)&lt;/full-title&gt;&lt;/alt-periodical&gt;&lt;pages&gt;1187-98&lt;/pages&gt;&lt;volume&gt;96&lt;/volume&gt;&lt;number&gt;8&lt;/number&gt;&lt;edition&gt;2001/08/07&lt;/edition&gt;&lt;keywords&gt;&lt;keyword&gt;Adolescent&lt;/keyword&gt;&lt;keyword&gt;Adult&lt;/keyword&gt;&lt;keyword&gt;Age Factors&lt;/keyword&gt;&lt;keyword&gt;Age of Onset&lt;/keyword&gt;&lt;keyword&gt;Alcohol Drinking/epidemiology/*psychology&lt;/keyword&gt;&lt;keyword&gt;Chicago/epidemiology&lt;/keyword&gt;&lt;keyword&gt;Educational Status&lt;/keyword&gt;&lt;keyword&gt;Female&lt;/keyword&gt;&lt;keyword&gt;Health Surveys&lt;/keyword&gt;&lt;keyword&gt;Humans&lt;/keyword&gt;&lt;keyword&gt;Longitudinal Studies&lt;/keyword&gt;&lt;keyword&gt;Male&lt;/keyword&gt;&lt;keyword&gt;Mental Recall/physiology&lt;/keyword&gt;&lt;keyword&gt;Reproducibility of Results&lt;/keyword&gt;&lt;keyword&gt;Sex Factors&lt;/keyword&gt;&lt;keyword&gt;Smoking/epidemiology/*psychology&lt;/keyword&gt;&lt;keyword&gt;Social Class&lt;/keyword&gt;&lt;keyword&gt;Statistics as Topic&lt;/keyword&gt;&lt;keyword&gt;Substance-Related Disorders/*diagnosis&lt;/keyword&gt;&lt;/keywords&gt;&lt;dates&gt;&lt;year&gt;2001&lt;/year&gt;&lt;pub-dates&gt;&lt;date&gt;Aug&lt;/date&gt;&lt;/pub-dates&gt;&lt;/dates&gt;&lt;isbn&gt;0965-2140 (Print)&amp;#xD;0965-2140&lt;/isbn&gt;&lt;accession-num&gt;11487424&lt;/accession-num&gt;&lt;urls&gt;&lt;/urls&gt;&lt;electronic-resource-num&gt;10.1080/09652140120060770&lt;/electronic-resource-num&gt;&lt;remote-database-provider&gt;NLM&lt;/remote-database-provider&gt;&lt;language&gt;eng&lt;/language&gt;&lt;/record&gt;&lt;/Cite&gt;&lt;/EndNote&gt;</w:instrText>
            </w:r>
            <w:r>
              <w:rPr>
                <w:rFonts w:cstheme="minorHAnsi"/>
                <w:b/>
                <w:sz w:val="18"/>
                <w:szCs w:val="18"/>
                <w:u w:val="single"/>
              </w:rPr>
              <w:fldChar w:fldCharType="separate"/>
            </w:r>
            <w:r>
              <w:rPr>
                <w:rFonts w:cstheme="minorHAnsi"/>
                <w:b/>
                <w:noProof/>
                <w:sz w:val="18"/>
                <w:szCs w:val="18"/>
                <w:u w:val="single"/>
              </w:rPr>
              <w:t>(</w:t>
            </w:r>
            <w:hyperlink w:anchor="_ENREF_31" w:tooltip="Johnson, 2001 #135" w:history="1">
              <w:r w:rsidR="00A234A9">
                <w:rPr>
                  <w:rFonts w:cstheme="minorHAnsi"/>
                  <w:b/>
                  <w:noProof/>
                  <w:sz w:val="18"/>
                  <w:szCs w:val="18"/>
                  <w:u w:val="single"/>
                </w:rPr>
                <w:t>31</w:t>
              </w:r>
            </w:hyperlink>
            <w:r>
              <w:rPr>
                <w:rFonts w:cstheme="minorHAnsi"/>
                <w:b/>
                <w:noProof/>
                <w:sz w:val="18"/>
                <w:szCs w:val="18"/>
                <w:u w:val="single"/>
              </w:rPr>
              <w:t>)</w:t>
            </w:r>
            <w:r>
              <w:rPr>
                <w:rFonts w:cstheme="minorHAnsi"/>
                <w:b/>
                <w:sz w:val="18"/>
                <w:szCs w:val="18"/>
                <w:u w:val="single"/>
              </w:rPr>
              <w:fldChar w:fldCharType="end"/>
            </w:r>
          </w:p>
          <w:p w14:paraId="5DD3A65E" w14:textId="77777777" w:rsidR="00DB2213" w:rsidRPr="00ED5FCD" w:rsidRDefault="00DB2213" w:rsidP="00F523A8">
            <w:pPr>
              <w:spacing w:before="60" w:after="120"/>
              <w:contextualSpacing/>
              <w:rPr>
                <w:rFonts w:asciiTheme="minorHAnsi" w:hAnsiTheme="minorHAnsi" w:cstheme="minorHAnsi"/>
                <w:sz w:val="18"/>
                <w:szCs w:val="18"/>
              </w:rPr>
            </w:pPr>
            <w:r w:rsidRPr="00ED5FCD">
              <w:rPr>
                <w:rFonts w:asciiTheme="minorHAnsi" w:hAnsiTheme="minorHAnsi" w:cstheme="minorHAnsi"/>
                <w:sz w:val="18"/>
                <w:szCs w:val="18"/>
              </w:rPr>
              <w:t>Online survey questionnaire</w:t>
            </w:r>
          </w:p>
          <w:p w14:paraId="1BA254C5" w14:textId="77777777" w:rsidR="00DB2213" w:rsidRPr="002070E0" w:rsidRDefault="00DB2213" w:rsidP="00F523A8">
            <w:pPr>
              <w:spacing w:before="60" w:after="120"/>
              <w:contextualSpacing/>
              <w:rPr>
                <w:rFonts w:asciiTheme="minorHAnsi" w:hAnsiTheme="minorHAnsi" w:cstheme="minorHAnsi"/>
                <w:sz w:val="18"/>
                <w:szCs w:val="18"/>
              </w:rPr>
            </w:pPr>
            <w:r w:rsidRPr="002070E0">
              <w:rPr>
                <w:rFonts w:asciiTheme="minorHAnsi" w:hAnsiTheme="minorHAnsi" w:cstheme="minorHAnsi"/>
                <w:sz w:val="18"/>
                <w:szCs w:val="18"/>
              </w:rPr>
              <w:t>ICC = 0.82 (self-reported age of first cigarette use, adults 1992-1994); 0.64 (self-reported age of first cigarette use, youth 1990-1992); 0.67 (self-reported age of first cigarette use, youth 1994-1996); 0.52 (self-reported age of first cigarette use, youth 1994-1998); 0.64 (self-reported age of first cigarette use, youth 1996-1998)</w:t>
            </w:r>
          </w:p>
          <w:p w14:paraId="745BC047" w14:textId="1BC1E05C" w:rsidR="00DB2213" w:rsidRDefault="00327475" w:rsidP="00F523A8">
            <w:pPr>
              <w:spacing w:before="60" w:after="120"/>
              <w:contextualSpacing/>
              <w:rPr>
                <w:rFonts w:asciiTheme="minorHAnsi" w:hAnsiTheme="minorHAnsi" w:cstheme="minorHAnsi"/>
                <w:sz w:val="18"/>
                <w:szCs w:val="18"/>
              </w:rPr>
            </w:pPr>
            <w:r w:rsidRPr="00327475">
              <w:rPr>
                <w:rFonts w:cstheme="minorHAnsi"/>
                <w:iCs/>
                <w:sz w:val="18"/>
                <w:szCs w:val="18"/>
              </w:rPr>
              <w:t>Test-retest interval:</w:t>
            </w:r>
            <w:r w:rsidRPr="00494051">
              <w:rPr>
                <w:rFonts w:cstheme="minorHAnsi"/>
                <w:iCs/>
              </w:rPr>
              <w:t xml:space="preserve"> </w:t>
            </w:r>
            <w:r w:rsidR="00DB2213" w:rsidRPr="002070E0">
              <w:rPr>
                <w:rFonts w:asciiTheme="minorHAnsi" w:hAnsiTheme="minorHAnsi" w:cstheme="minorHAnsi"/>
                <w:sz w:val="18"/>
                <w:szCs w:val="18"/>
              </w:rPr>
              <w:t>2 to 4 years</w:t>
            </w:r>
          </w:p>
          <w:p w14:paraId="7EEC572E" w14:textId="6AD6A19A" w:rsidR="00DB2213" w:rsidRDefault="00DB2213" w:rsidP="00F523A8">
            <w:pPr>
              <w:spacing w:before="60" w:after="120"/>
              <w:contextualSpacing/>
              <w:rPr>
                <w:rFonts w:asciiTheme="minorHAnsi" w:hAnsiTheme="minorHAnsi" w:cstheme="minorHAnsi"/>
                <w:i/>
                <w:iCs/>
                <w:sz w:val="18"/>
                <w:szCs w:val="18"/>
              </w:rPr>
            </w:pPr>
            <w:r w:rsidRPr="002070E0">
              <w:rPr>
                <w:rFonts w:asciiTheme="minorHAnsi" w:hAnsiTheme="minorHAnsi" w:cstheme="minorHAnsi"/>
                <w:i/>
                <w:iCs/>
                <w:sz w:val="18"/>
                <w:szCs w:val="18"/>
              </w:rPr>
              <w:t>12,686 adults, 10,042 children, racially diverse</w:t>
            </w:r>
            <w:r w:rsidR="006C6B05">
              <w:rPr>
                <w:rFonts w:asciiTheme="minorHAnsi" w:hAnsiTheme="minorHAnsi" w:cstheme="minorHAnsi"/>
                <w:i/>
                <w:iCs/>
                <w:sz w:val="18"/>
                <w:szCs w:val="18"/>
              </w:rPr>
              <w:t>.</w:t>
            </w:r>
          </w:p>
          <w:p w14:paraId="4BD9756C" w14:textId="77777777" w:rsidR="00DB2213" w:rsidRDefault="00DB2213" w:rsidP="00F523A8">
            <w:pPr>
              <w:spacing w:before="60" w:after="120"/>
              <w:contextualSpacing/>
              <w:rPr>
                <w:rFonts w:asciiTheme="minorHAnsi" w:hAnsiTheme="minorHAnsi" w:cstheme="minorHAnsi"/>
                <w:i/>
                <w:iCs/>
                <w:sz w:val="18"/>
                <w:szCs w:val="18"/>
              </w:rPr>
            </w:pPr>
          </w:p>
          <w:p w14:paraId="707A97DC" w14:textId="6398484C" w:rsidR="00DB2213" w:rsidRPr="00F523A8" w:rsidRDefault="00D2134A" w:rsidP="00F523A8">
            <w:pPr>
              <w:spacing w:before="60" w:after="120"/>
              <w:contextualSpacing/>
              <w:rPr>
                <w:rFonts w:asciiTheme="minorHAnsi" w:hAnsiTheme="minorHAnsi" w:cstheme="minorHAnsi"/>
                <w:b/>
                <w:sz w:val="18"/>
                <w:szCs w:val="18"/>
                <w:u w:val="single"/>
              </w:rPr>
            </w:pPr>
            <w:r>
              <w:rPr>
                <w:rFonts w:cstheme="minorHAnsi"/>
                <w:b/>
                <w:sz w:val="18"/>
                <w:szCs w:val="18"/>
                <w:u w:val="single"/>
              </w:rPr>
              <w:fldChar w:fldCharType="begin">
                <w:fldData xml:space="preserve">PEVuZE5vdGU+PENpdGU+PEF1dGhvcj5Tb3VsYWtvdmE8L0F1dGhvcj48WWVhcj4yMDEyPC9ZZWFy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</w:fldData>
              </w:fldChar>
            </w:r>
            <w:r>
              <w:rPr>
                <w:rFonts w:cstheme="minorHAnsi"/>
                <w:b/>
                <w:sz w:val="18"/>
                <w:szCs w:val="18"/>
                <w:u w:val="single"/>
              </w:rPr>
              <w:instrText xml:space="preserve"> ADDIN EN.CITE </w:instrText>
            </w:r>
            <w:r>
              <w:rPr>
                <w:rFonts w:cstheme="minorHAnsi"/>
                <w:b/>
                <w:sz w:val="18"/>
                <w:szCs w:val="18"/>
                <w:u w:val="single"/>
              </w:rPr>
              <w:fldChar w:fldCharType="begin">
                <w:fldData xml:space="preserve">PEVuZE5vdGU+PENpdGU+PEF1dGhvcj5Tb3VsYWtvdmE8L0F1dGhvcj48WWVhcj4yMDEyPC9ZZWFy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</w:fldData>
              </w:fldChar>
            </w:r>
            <w:r>
              <w:rPr>
                <w:rFonts w:cstheme="minorHAnsi"/>
                <w:b/>
                <w:sz w:val="18"/>
                <w:szCs w:val="18"/>
                <w:u w:val="single"/>
              </w:rPr>
              <w:instrText xml:space="preserve"> ADDIN EN.CITE.DATA </w:instrText>
            </w:r>
            <w:r>
              <w:rPr>
                <w:rFonts w:cstheme="minorHAnsi"/>
                <w:b/>
                <w:sz w:val="18"/>
                <w:szCs w:val="18"/>
                <w:u w:val="single"/>
              </w:rPr>
            </w:r>
            <w:r>
              <w:rPr>
                <w:rFonts w:cstheme="minorHAnsi"/>
                <w:b/>
                <w:sz w:val="18"/>
                <w:szCs w:val="18"/>
                <w:u w:val="single"/>
              </w:rPr>
              <w:fldChar w:fldCharType="end"/>
            </w:r>
            <w:r>
              <w:rPr>
                <w:rFonts w:cstheme="minorHAnsi"/>
                <w:b/>
                <w:sz w:val="18"/>
                <w:szCs w:val="18"/>
                <w:u w:val="single"/>
              </w:rPr>
              <w:fldChar w:fldCharType="separate"/>
            </w:r>
            <w:r>
              <w:rPr>
                <w:rFonts w:cstheme="minorHAnsi"/>
                <w:b/>
                <w:noProof/>
                <w:sz w:val="18"/>
                <w:szCs w:val="18"/>
                <w:u w:val="single"/>
              </w:rPr>
              <w:t>(</w:t>
            </w:r>
            <w:hyperlink w:anchor="_ENREF_32" w:tooltip="Soulakova, 2012 #141" w:history="1">
              <w:r w:rsidR="00A234A9">
                <w:rPr>
                  <w:rFonts w:cstheme="minorHAnsi"/>
                  <w:b/>
                  <w:noProof/>
                  <w:sz w:val="18"/>
                  <w:szCs w:val="18"/>
                  <w:u w:val="single"/>
                </w:rPr>
                <w:t>32</w:t>
              </w:r>
            </w:hyperlink>
            <w:r>
              <w:rPr>
                <w:rFonts w:cstheme="minorHAnsi"/>
                <w:b/>
                <w:noProof/>
                <w:sz w:val="18"/>
                <w:szCs w:val="18"/>
                <w:u w:val="single"/>
              </w:rPr>
              <w:t>)</w:t>
            </w:r>
            <w:r>
              <w:rPr>
                <w:rFonts w:cstheme="minorHAnsi"/>
                <w:b/>
                <w:sz w:val="18"/>
                <w:szCs w:val="18"/>
                <w:u w:val="single"/>
              </w:rPr>
              <w:fldChar w:fldCharType="end"/>
            </w:r>
          </w:p>
          <w:p w14:paraId="2A20B4C8" w14:textId="77777777" w:rsidR="00DB2213" w:rsidRPr="00ED5FCD" w:rsidRDefault="00DB2213" w:rsidP="00F523A8">
            <w:pPr>
              <w:spacing w:before="60" w:after="120"/>
              <w:contextualSpacing/>
              <w:rPr>
                <w:rFonts w:asciiTheme="minorHAnsi" w:hAnsiTheme="minorHAnsi" w:cstheme="minorHAnsi"/>
                <w:sz w:val="18"/>
                <w:szCs w:val="18"/>
              </w:rPr>
            </w:pPr>
            <w:r w:rsidRPr="00ED5FCD">
              <w:rPr>
                <w:rFonts w:asciiTheme="minorHAnsi" w:hAnsiTheme="minorHAnsi" w:cstheme="minorHAnsi"/>
                <w:sz w:val="18"/>
                <w:szCs w:val="18"/>
              </w:rPr>
              <w:t>In-person and telephone interviews</w:t>
            </w:r>
          </w:p>
          <w:p w14:paraId="43C418D3" w14:textId="77777777" w:rsidR="00DB2213" w:rsidRPr="00D22AE2" w:rsidRDefault="00DB2213" w:rsidP="00F523A8">
            <w:pPr>
              <w:tabs>
                <w:tab w:val="left" w:pos="2552"/>
              </w:tabs>
              <w:spacing w:before="60" w:after="120"/>
              <w:contextualSpacing/>
              <w:rPr>
                <w:rFonts w:asciiTheme="minorHAnsi" w:hAnsiTheme="minorHAnsi" w:cstheme="minorHAnsi"/>
                <w:sz w:val="18"/>
                <w:szCs w:val="18"/>
              </w:rPr>
            </w:pPr>
            <w:r w:rsidRPr="00D22AE2">
              <w:rPr>
                <w:rFonts w:asciiTheme="minorHAnsi" w:hAnsiTheme="minorHAnsi" w:cstheme="minorHAnsi"/>
                <w:i/>
                <w:iCs/>
                <w:sz w:val="18"/>
                <w:szCs w:val="18"/>
              </w:rPr>
              <w:t>r</w:t>
            </w:r>
            <w:r w:rsidRPr="00D22AE2">
              <w:rPr>
                <w:rFonts w:asciiTheme="minorHAnsi" w:hAnsiTheme="minorHAnsi" w:cstheme="minorHAnsi"/>
                <w:sz w:val="18"/>
                <w:szCs w:val="18"/>
              </w:rPr>
              <w:t xml:space="preserve"> = 0.78 (</w:t>
            </w:r>
            <w:r w:rsidRPr="00D22AE2">
              <w:rPr>
                <w:rFonts w:asciiTheme="minorHAnsi" w:hAnsiTheme="minorHAnsi" w:cstheme="minorHAnsi"/>
                <w:i/>
                <w:iCs/>
                <w:sz w:val="18"/>
                <w:szCs w:val="18"/>
              </w:rPr>
              <w:t>p</w:t>
            </w:r>
            <w:r w:rsidRPr="00D22AE2">
              <w:rPr>
                <w:rFonts w:asciiTheme="minorHAnsi" w:hAnsiTheme="minorHAnsi" w:cstheme="minorHAnsi"/>
                <w:sz w:val="18"/>
                <w:szCs w:val="18"/>
              </w:rPr>
              <w:t>&lt;0.001)</w:t>
            </w:r>
          </w:p>
          <w:p w14:paraId="54F92B05" w14:textId="77777777" w:rsidR="00DB2213" w:rsidRPr="00D22AE2" w:rsidRDefault="00DB2213" w:rsidP="00F523A8">
            <w:pPr>
              <w:spacing w:before="60" w:after="120"/>
              <w:contextualSpacing/>
              <w:rPr>
                <w:rFonts w:asciiTheme="minorHAnsi" w:hAnsiTheme="minorHAnsi" w:cstheme="minorHAnsi"/>
                <w:sz w:val="18"/>
                <w:szCs w:val="18"/>
              </w:rPr>
            </w:pPr>
            <w:r w:rsidRPr="00D22AE2">
              <w:rPr>
                <w:rFonts w:asciiTheme="minorHAnsi" w:hAnsiTheme="minorHAnsi" w:cstheme="minorHAnsi"/>
                <w:sz w:val="18"/>
                <w:szCs w:val="18"/>
              </w:rPr>
              <w:t>ICC = 0.78, 95% CI 0.77-0.79 (Self-reported for age of initiation to fairly regular smoking)</w:t>
            </w:r>
          </w:p>
          <w:p w14:paraId="75F44CE2" w14:textId="77777777" w:rsidR="00DB2213" w:rsidRPr="00D22AE2" w:rsidRDefault="00DB2213" w:rsidP="00F523A8">
            <w:pPr>
              <w:spacing w:before="60" w:after="120"/>
              <w:contextualSpacing/>
              <w:rPr>
                <w:rFonts w:asciiTheme="minorHAnsi" w:hAnsiTheme="minorHAnsi" w:cstheme="minorHAnsi"/>
                <w:sz w:val="18"/>
                <w:szCs w:val="18"/>
              </w:rPr>
            </w:pPr>
            <w:r w:rsidRPr="00D22AE2">
              <w:rPr>
                <w:rFonts w:asciiTheme="minorHAnsi" w:hAnsiTheme="minorHAnsi" w:cstheme="minorHAnsi"/>
                <w:sz w:val="18"/>
                <w:szCs w:val="18"/>
              </w:rPr>
              <w:t>Test-retest interval: 1 year ± 2 weeks</w:t>
            </w:r>
          </w:p>
          <w:p w14:paraId="383673C9" w14:textId="77777777" w:rsidR="00DB2213" w:rsidRPr="002070E0" w:rsidRDefault="00DB2213" w:rsidP="00F523A8">
            <w:pPr>
              <w:spacing w:before="60" w:after="120"/>
              <w:contextualSpacing/>
              <w:rPr>
                <w:rFonts w:asciiTheme="minorHAnsi" w:hAnsiTheme="minorHAnsi" w:cstheme="minorHAnsi"/>
                <w:i/>
                <w:iCs/>
                <w:sz w:val="18"/>
                <w:szCs w:val="18"/>
              </w:rPr>
            </w:pPr>
            <w:r w:rsidRPr="00D22AE2">
              <w:rPr>
                <w:rFonts w:asciiTheme="minorHAnsi" w:hAnsiTheme="minorHAnsi" w:cstheme="minorHAnsi"/>
                <w:i/>
                <w:iCs/>
                <w:sz w:val="18"/>
                <w:szCs w:val="18"/>
              </w:rPr>
              <w:t xml:space="preserve">5,390 U.S. racially diverse youth and adult </w:t>
            </w:r>
            <w:r w:rsidRPr="00D22AE2">
              <w:rPr>
                <w:rFonts w:asciiTheme="minorHAnsi" w:hAnsiTheme="minorHAnsi" w:cstheme="minorHAnsi"/>
                <w:i/>
                <w:sz w:val="18"/>
                <w:szCs w:val="18"/>
              </w:rPr>
              <w:t>(&gt;15 years), both genders, former and current smokers.</w:t>
            </w:r>
          </w:p>
          <w:p w14:paraId="1C04BF43" w14:textId="77777777" w:rsidR="00DB2213" w:rsidRPr="002070E0" w:rsidRDefault="00DB2213" w:rsidP="00F523A8">
            <w:pPr>
              <w:spacing w:before="60" w:after="120"/>
              <w:contextualSpacing/>
              <w:rPr>
                <w:rFonts w:asciiTheme="minorHAnsi" w:hAnsiTheme="minorHAnsi" w:cstheme="minorHAnsi"/>
                <w:i/>
                <w:iCs/>
                <w:sz w:val="18"/>
                <w:szCs w:val="18"/>
              </w:rPr>
            </w:pPr>
          </w:p>
          <w:p w14:paraId="56254D7B" w14:textId="535A166D" w:rsidR="00DB2213" w:rsidRPr="003E3F07" w:rsidRDefault="00D2134A" w:rsidP="00F523A8">
            <w:pPr>
              <w:spacing w:before="60" w:after="120"/>
              <w:contextualSpacing/>
              <w:rPr>
                <w:rFonts w:asciiTheme="minorHAnsi" w:hAnsiTheme="minorHAnsi" w:cstheme="minorHAnsi"/>
                <w:b/>
                <w:sz w:val="18"/>
                <w:szCs w:val="18"/>
                <w:u w:val="single"/>
              </w:rPr>
            </w:pPr>
            <w:r>
              <w:rPr>
                <w:rFonts w:cstheme="minorHAnsi"/>
                <w:b/>
                <w:sz w:val="18"/>
                <w:szCs w:val="18"/>
                <w:u w:val="single"/>
              </w:rPr>
              <w:fldChar w:fldCharType="begin"/>
            </w:r>
            <w:r>
              <w:rPr>
                <w:rFonts w:cstheme="minorHAnsi"/>
                <w:b/>
                <w:sz w:val="18"/>
                <w:szCs w:val="18"/>
                <w:u w:val="single"/>
              </w:rPr>
              <w:instrText xml:space="preserve"> ADDIN EN.CITE &lt;EndNote&gt;&lt;Cite&gt;&lt;Author&gt;Soulakova&lt;/Author&gt;&lt;Year&gt;2013&lt;/Year&gt;&lt;RecNum&gt;2845&lt;/RecNum&gt;&lt;DisplayText&gt;(33)&lt;/DisplayText&gt;&lt;record&gt;&lt;rec-number&gt;2845&lt;/rec-number&gt;&lt;foreign-keys&gt;&lt;key app="EN" db-id="a2vz2dfp8xrad6exes75zwpiw5rxwa0vwapv" timestamp="1578318263"&gt;2845&lt;/key&gt;&lt;/foreign-keys&gt;&lt;ref-type name="Journal Article"&gt;17&lt;/ref-type&gt;&lt;contributors&gt;&lt;authors&gt;&lt;author&gt;Soulakova, Julia N.&lt;/author&gt;&lt;author&gt;Bright, Brianna C.&lt;/author&gt;&lt;author&gt;Crockett, Lisa J.&lt;/author&gt;&lt;/authors&gt;&lt;/contributors&gt;&lt;titles&gt;&lt;title&gt;On Consistency of Self- and Proxy-reported Regular Smoking Initiation Age&lt;/title&gt;&lt;secondary-title&gt;Journal of substance abuse and alcoholism&lt;/secondary-title&gt;&lt;alt-title&gt;J Subst Abus Alcohol&lt;/alt-title&gt;&lt;/titles&gt;&lt;periodical&gt;&lt;full-title&gt;Journal of substance abuse and alcoholism&lt;/full-title&gt;&lt;abbr-1&gt;J Subst Abus Alcohol&lt;/abbr-1&gt;&lt;/periodical&gt;&lt;alt-periodical&gt;&lt;full-title&gt;Journal of substance abuse and alcoholism&lt;/full-title&gt;&lt;abbr-1&gt;J Subst Abus Alcohol&lt;/abbr-1&gt;&lt;/alt-periodical&gt;&lt;pages&gt;1001-1001&lt;/pages&gt;&lt;volume&gt;1&lt;/volume&gt;&lt;number&gt;1&lt;/number&gt;&lt;keywords&gt;&lt;keyword&gt;Complex survey&lt;/keyword&gt;&lt;keyword&gt;Reliability&lt;/keyword&gt;&lt;keyword&gt;Respondent type Survey logistic regression&lt;/keyword&gt;&lt;/keywords&gt;&lt;dates&gt;&lt;year&gt;2013&lt;/year&gt;&lt;/dates&gt;&lt;isbn&gt;2373-9363&lt;/isbn&gt;&lt;accession-num&gt;25408943&lt;/accession-num&gt;&lt;urls&gt;&lt;related-urls&gt;&lt;url&gt;https://www.ncbi.nlm.nih.gov/pubmed/25408943&lt;/url&gt;&lt;url&gt;https://www.ncbi.nlm.nih.gov/pmc/articles/PMC4233135/&lt;/url&gt;&lt;/related-urls&gt;&lt;/urls&gt;&lt;remote-database-name&gt;PubMed&lt;/remote-database-name&gt;&lt;language&gt;eng&lt;/language&gt;&lt;/record&gt;&lt;/Cite&gt;&lt;/EndNote&gt;</w:instrText>
            </w:r>
            <w:r>
              <w:rPr>
                <w:rFonts w:cstheme="minorHAnsi"/>
                <w:b/>
                <w:sz w:val="18"/>
                <w:szCs w:val="18"/>
                <w:u w:val="single"/>
              </w:rPr>
              <w:fldChar w:fldCharType="separate"/>
            </w:r>
            <w:r>
              <w:rPr>
                <w:rFonts w:cstheme="minorHAnsi"/>
                <w:b/>
                <w:noProof/>
                <w:sz w:val="18"/>
                <w:szCs w:val="18"/>
                <w:u w:val="single"/>
              </w:rPr>
              <w:t>(</w:t>
            </w:r>
            <w:hyperlink w:anchor="_ENREF_33" w:tooltip="Soulakova, 2013 #2845" w:history="1">
              <w:r w:rsidR="00A234A9">
                <w:rPr>
                  <w:rFonts w:cstheme="minorHAnsi"/>
                  <w:b/>
                  <w:noProof/>
                  <w:sz w:val="18"/>
                  <w:szCs w:val="18"/>
                  <w:u w:val="single"/>
                </w:rPr>
                <w:t>33</w:t>
              </w:r>
            </w:hyperlink>
            <w:r>
              <w:rPr>
                <w:rFonts w:cstheme="minorHAnsi"/>
                <w:b/>
                <w:noProof/>
                <w:sz w:val="18"/>
                <w:szCs w:val="18"/>
                <w:u w:val="single"/>
              </w:rPr>
              <w:t>)</w:t>
            </w:r>
            <w:r>
              <w:rPr>
                <w:rFonts w:cstheme="minorHAnsi"/>
                <w:b/>
                <w:sz w:val="18"/>
                <w:szCs w:val="18"/>
                <w:u w:val="single"/>
              </w:rPr>
              <w:fldChar w:fldCharType="end"/>
            </w:r>
          </w:p>
          <w:p w14:paraId="701A5959" w14:textId="77777777" w:rsidR="00DB2213" w:rsidRPr="00ED5FCD" w:rsidRDefault="00DB2213" w:rsidP="00F523A8">
            <w:pPr>
              <w:spacing w:before="60" w:after="120"/>
              <w:contextualSpacing/>
              <w:rPr>
                <w:rFonts w:asciiTheme="minorHAnsi" w:hAnsiTheme="minorHAnsi" w:cstheme="minorHAnsi"/>
                <w:sz w:val="18"/>
                <w:szCs w:val="18"/>
              </w:rPr>
            </w:pPr>
            <w:r w:rsidRPr="00ED5FCD">
              <w:rPr>
                <w:rFonts w:asciiTheme="minorHAnsi" w:hAnsiTheme="minorHAnsi" w:cstheme="minorHAnsi"/>
                <w:sz w:val="18"/>
                <w:szCs w:val="18"/>
              </w:rPr>
              <w:t>In-person and telephone interviews</w:t>
            </w:r>
          </w:p>
          <w:p w14:paraId="39437651" w14:textId="77777777" w:rsidR="00DB2213" w:rsidRPr="002070E0" w:rsidRDefault="00DB2213" w:rsidP="00F523A8">
            <w:pPr>
              <w:spacing w:before="60" w:after="120"/>
              <w:contextualSpacing/>
              <w:rPr>
                <w:rFonts w:asciiTheme="minorHAnsi" w:hAnsiTheme="minorHAnsi" w:cstheme="minorHAnsi"/>
                <w:sz w:val="18"/>
                <w:szCs w:val="18"/>
              </w:rPr>
            </w:pPr>
            <w:r w:rsidRPr="002070E0">
              <w:rPr>
                <w:rFonts w:asciiTheme="minorHAnsi" w:hAnsiTheme="minorHAnsi" w:cstheme="minorHAnsi"/>
                <w:sz w:val="18"/>
                <w:szCs w:val="18"/>
              </w:rPr>
              <w:t>ICC = 0.70 (Proxy reporting for age of initiation to fairly regular smoking)</w:t>
            </w:r>
          </w:p>
          <w:p w14:paraId="6C1ED3B2" w14:textId="77777777" w:rsidR="00DB2213" w:rsidRPr="002070E0" w:rsidRDefault="00DB2213" w:rsidP="00F523A8">
            <w:pPr>
              <w:spacing w:before="60" w:after="120"/>
              <w:contextualSpacing/>
              <w:rPr>
                <w:rFonts w:asciiTheme="minorHAnsi" w:hAnsiTheme="minorHAnsi" w:cstheme="minorHAnsi"/>
                <w:sz w:val="18"/>
                <w:szCs w:val="18"/>
              </w:rPr>
            </w:pPr>
            <w:r w:rsidRPr="002070E0">
              <w:rPr>
                <w:rFonts w:asciiTheme="minorHAnsi" w:hAnsiTheme="minorHAnsi" w:cstheme="minorHAnsi"/>
                <w:sz w:val="18"/>
                <w:szCs w:val="18"/>
              </w:rPr>
              <w:t>ICC = 0.48 (Mixed self- and proxy reporting for age of initiation to fairly regular smoking)</w:t>
            </w:r>
          </w:p>
          <w:p w14:paraId="75AC3E6F" w14:textId="77C8E1B1" w:rsidR="00DB2213" w:rsidRPr="002070E0" w:rsidRDefault="00327475" w:rsidP="00F523A8">
            <w:pPr>
              <w:spacing w:before="60" w:after="120"/>
              <w:contextualSpacing/>
              <w:rPr>
                <w:rFonts w:asciiTheme="minorHAnsi" w:hAnsiTheme="minorHAnsi" w:cstheme="minorHAnsi"/>
                <w:sz w:val="18"/>
                <w:szCs w:val="18"/>
              </w:rPr>
            </w:pPr>
            <w:r w:rsidRPr="00327475">
              <w:rPr>
                <w:rFonts w:cstheme="minorHAnsi"/>
                <w:iCs/>
                <w:sz w:val="18"/>
                <w:szCs w:val="18"/>
              </w:rPr>
              <w:t>Test-retest interval:</w:t>
            </w:r>
            <w:r w:rsidRPr="00494051">
              <w:rPr>
                <w:rFonts w:cstheme="minorHAnsi"/>
                <w:iCs/>
              </w:rPr>
              <w:t xml:space="preserve"> </w:t>
            </w:r>
            <w:r w:rsidR="00DB2213" w:rsidRPr="002070E0">
              <w:rPr>
                <w:rFonts w:asciiTheme="minorHAnsi" w:hAnsiTheme="minorHAnsi" w:cstheme="minorHAnsi"/>
                <w:sz w:val="18"/>
                <w:szCs w:val="18"/>
              </w:rPr>
              <w:t>1 year ± 2 weeks</w:t>
            </w:r>
          </w:p>
          <w:p w14:paraId="6BE42261" w14:textId="47027247" w:rsidR="00DB2213" w:rsidRPr="002070E0" w:rsidRDefault="00DB2213" w:rsidP="00F523A8">
            <w:pPr>
              <w:spacing w:after="120"/>
              <w:contextualSpacing/>
              <w:rPr>
                <w:rFonts w:asciiTheme="minorHAnsi" w:hAnsiTheme="minorHAnsi" w:cstheme="minorHAnsi"/>
                <w:sz w:val="18"/>
                <w:szCs w:val="18"/>
              </w:rPr>
            </w:pPr>
            <w:r w:rsidRPr="002070E0">
              <w:rPr>
                <w:rFonts w:asciiTheme="minorHAnsi" w:hAnsiTheme="minorHAnsi" w:cstheme="minorHAnsi"/>
                <w:i/>
                <w:iCs/>
                <w:sz w:val="18"/>
                <w:szCs w:val="18"/>
              </w:rPr>
              <w:t>6</w:t>
            </w:r>
            <w:r>
              <w:rPr>
                <w:rFonts w:asciiTheme="minorHAnsi" w:hAnsiTheme="minorHAnsi" w:cstheme="minorHAnsi"/>
                <w:i/>
                <w:iCs/>
                <w:sz w:val="18"/>
                <w:szCs w:val="18"/>
              </w:rPr>
              <w:t>,</w:t>
            </w:r>
            <w:r w:rsidRPr="002070E0">
              <w:rPr>
                <w:rFonts w:asciiTheme="minorHAnsi" w:hAnsiTheme="minorHAnsi" w:cstheme="minorHAnsi"/>
                <w:i/>
                <w:iCs/>
                <w:sz w:val="18"/>
                <w:szCs w:val="18"/>
              </w:rPr>
              <w:t>783 racially diverse youth and adult former and current smokers</w:t>
            </w:r>
            <w:r w:rsidR="006C6B05">
              <w:rPr>
                <w:rFonts w:asciiTheme="minorHAnsi" w:hAnsiTheme="minorHAnsi" w:cstheme="minorHAnsi"/>
                <w:i/>
                <w:iCs/>
                <w:sz w:val="18"/>
                <w:szCs w:val="18"/>
              </w:rPr>
              <w:t>.</w:t>
            </w:r>
          </w:p>
        </w:tc>
        <w:tc>
          <w:tcPr>
            <w:tcW w:w="3510" w:type="dxa"/>
          </w:tcPr>
          <w:p w14:paraId="2A07DF65" w14:textId="75751D80" w:rsidR="00DB2213" w:rsidRPr="00ED5FCD" w:rsidRDefault="00D2134A" w:rsidP="00F523A8">
            <w:pPr>
              <w:spacing w:before="60" w:after="120"/>
              <w:contextualSpacing/>
              <w:rPr>
                <w:rFonts w:asciiTheme="minorHAnsi" w:hAnsiTheme="minorHAnsi" w:cstheme="minorHAnsi"/>
                <w:iCs/>
                <w:sz w:val="18"/>
                <w:szCs w:val="18"/>
              </w:rPr>
            </w:pPr>
            <w:r>
              <w:rPr>
                <w:rFonts w:cstheme="minorHAnsi"/>
                <w:b/>
                <w:iCs/>
                <w:sz w:val="18"/>
                <w:szCs w:val="18"/>
                <w:u w:val="single"/>
              </w:rPr>
              <w:lastRenderedPageBreak/>
              <w:fldChar w:fldCharType="begin"/>
            </w:r>
            <w:r>
              <w:rPr>
                <w:rFonts w:cstheme="minorHAnsi"/>
                <w:b/>
                <w:iCs/>
                <w:sz w:val="18"/>
                <w:szCs w:val="18"/>
                <w:u w:val="single"/>
              </w:rPr>
              <w:instrText xml:space="preserve"> ADDIN EN.CITE &lt;EndNote&gt;&lt;Cite&gt;&lt;Author&gt;Hwang&lt;/Author&gt;&lt;Year&gt;2014&lt;/Year&gt;&lt;RecNum&gt;315&lt;/RecNum&gt;&lt;DisplayText&gt;(34)&lt;/DisplayText&gt;&lt;record&gt;&lt;rec-number&gt;315&lt;/rec-number&gt;&lt;foreign-keys&gt;&lt;key app="EN" db-id="a2vz2dfp8xrad6exes75zwpiw5rxwa0vwapv" timestamp="1541534420"&gt;315&lt;/key&gt;&lt;/foreign-keys&gt;&lt;ref-type name="Journal Article"&gt;17&lt;/ref-type&gt;&lt;contributors&gt;&lt;authors&gt;&lt;author&gt;Hwang, J.H.&lt;/author&gt;&lt;author&gt;Park, S.W.&lt;/author&gt;&lt;/authors&gt;&lt;/contributors&gt;&lt;titles&gt;&lt;title&gt;Age at smoking initiation and subsequent smoking among Korean adolescent smokers&lt;/title&gt;&lt;secondary-title&gt;Journal of preventive medicine and public health = Yebang Uihakhoe chi&lt;/secondary-title&gt;&lt;/titles&gt;&lt;periodical&gt;&lt;full-title&gt;Journal of preventive medicine and public health = Yebang Uihakhoe chi&lt;/full-title&gt;&lt;/periodical&gt;&lt;pages&gt;266-272&lt;/pages&gt;&lt;volume&gt;47&lt;/volume&gt;&lt;number&gt;5&lt;/number&gt;&lt;edition&gt;09/12&lt;/edition&gt;&lt;dates&gt;&lt;year&gt;2014&lt;/year&gt;&lt;/dates&gt;&lt;publisher&gt;Korean Society for Preventive Medicine&lt;/publisher&gt;&lt;isbn&gt;2233-4521&amp;#xD;1975-8375&lt;/isbn&gt;&lt;accession-num&gt;25284198&lt;/accession-num&gt;&lt;urls&gt;&lt;related-urls&gt;&lt;url&gt;https://www.ncbi.nlm.nih.gov/pubmed/25284198&lt;/url&gt;&lt;url&gt;https://www.ncbi.nlm.nih.gov/pmc/PMC4186550/&lt;/url&gt;&lt;/related-urls&gt;&lt;/urls&gt;&lt;electronic-resource-num&gt;10.3961/jpmph.14.032&lt;/electronic-resource-num&gt;&lt;remote-database-name&gt;PubMed&lt;/remote-database-name&gt;&lt;/record&gt;&lt;/Cite&gt;&lt;/EndNote&gt;</w:instrText>
            </w:r>
            <w:r>
              <w:rPr>
                <w:rFonts w:cstheme="minorHAnsi"/>
                <w:b/>
                <w:iCs/>
                <w:sz w:val="18"/>
                <w:szCs w:val="18"/>
                <w:u w:val="single"/>
              </w:rPr>
              <w:fldChar w:fldCharType="separate"/>
            </w:r>
            <w:r>
              <w:rPr>
                <w:rFonts w:cstheme="minorHAnsi"/>
                <w:b/>
                <w:iCs/>
                <w:noProof/>
                <w:sz w:val="18"/>
                <w:szCs w:val="18"/>
                <w:u w:val="single"/>
              </w:rPr>
              <w:t>(</w:t>
            </w:r>
            <w:hyperlink w:anchor="_ENREF_34" w:tooltip="Hwang, 2014 #315" w:history="1">
              <w:r w:rsidR="00A234A9">
                <w:rPr>
                  <w:rFonts w:cstheme="minorHAnsi"/>
                  <w:b/>
                  <w:iCs/>
                  <w:noProof/>
                  <w:sz w:val="18"/>
                  <w:szCs w:val="18"/>
                  <w:u w:val="single"/>
                </w:rPr>
                <w:t>34</w:t>
              </w:r>
            </w:hyperlink>
            <w:r>
              <w:rPr>
                <w:rFonts w:cstheme="minorHAnsi"/>
                <w:b/>
                <w:iCs/>
                <w:noProof/>
                <w:sz w:val="18"/>
                <w:szCs w:val="18"/>
                <w:u w:val="single"/>
              </w:rPr>
              <w:t>)</w:t>
            </w:r>
            <w:r>
              <w:rPr>
                <w:rFonts w:cstheme="minorHAnsi"/>
                <w:b/>
                <w:iCs/>
                <w:sz w:val="18"/>
                <w:szCs w:val="18"/>
                <w:u w:val="single"/>
              </w:rPr>
              <w:fldChar w:fldCharType="end"/>
            </w:r>
            <w:r w:rsidR="00DB2213" w:rsidRPr="002070E0">
              <w:rPr>
                <w:rFonts w:asciiTheme="minorHAnsi" w:hAnsiTheme="minorHAnsi" w:cstheme="minorHAnsi"/>
                <w:iCs/>
                <w:sz w:val="18"/>
                <w:szCs w:val="18"/>
                <w:u w:val="single"/>
              </w:rPr>
              <w:br/>
            </w:r>
            <w:r w:rsidR="00DB2213" w:rsidRPr="00ED5FCD">
              <w:rPr>
                <w:rFonts w:asciiTheme="minorHAnsi" w:hAnsiTheme="minorHAnsi" w:cstheme="minorHAnsi"/>
                <w:iCs/>
                <w:sz w:val="18"/>
                <w:szCs w:val="18"/>
              </w:rPr>
              <w:t>Age at smoking initiation and subsequent smoking levels (frequent smoker, daily smoker):</w:t>
            </w:r>
          </w:p>
          <w:p w14:paraId="0B11FEC9" w14:textId="598A93AA" w:rsidR="00DB2213" w:rsidRPr="002070E0" w:rsidRDefault="00DB2213" w:rsidP="00F523A8">
            <w:pPr>
              <w:spacing w:before="60" w:after="120"/>
              <w:contextualSpacing/>
              <w:rPr>
                <w:rFonts w:asciiTheme="minorHAnsi" w:hAnsiTheme="minorHAnsi" w:cstheme="minorHAnsi"/>
                <w:iCs/>
                <w:sz w:val="18"/>
                <w:szCs w:val="18"/>
              </w:rPr>
            </w:pPr>
            <w:r w:rsidRPr="002070E0">
              <w:rPr>
                <w:rFonts w:asciiTheme="minorHAnsi" w:hAnsiTheme="minorHAnsi" w:cstheme="minorHAnsi"/>
                <w:iCs/>
                <w:sz w:val="18"/>
                <w:szCs w:val="18"/>
              </w:rPr>
              <w:t xml:space="preserve">OR for age at smoking initiation becoming a frequent smoker </w:t>
            </w:r>
            <w:r>
              <w:rPr>
                <w:rFonts w:asciiTheme="minorHAnsi" w:hAnsiTheme="minorHAnsi" w:cstheme="minorHAnsi"/>
                <w:iCs/>
                <w:sz w:val="18"/>
                <w:szCs w:val="18"/>
              </w:rPr>
              <w:t>vs.</w:t>
            </w:r>
            <w:r w:rsidRPr="002070E0">
              <w:rPr>
                <w:rFonts w:asciiTheme="minorHAnsi" w:hAnsiTheme="minorHAnsi" w:cstheme="minorHAnsi"/>
                <w:iCs/>
                <w:sz w:val="18"/>
                <w:szCs w:val="18"/>
              </w:rPr>
              <w:t xml:space="preserve"> Grade 10-11:</w:t>
            </w:r>
            <w:r w:rsidRPr="002070E0">
              <w:rPr>
                <w:rFonts w:asciiTheme="minorHAnsi" w:hAnsiTheme="minorHAnsi" w:cstheme="minorHAnsi"/>
                <w:iCs/>
                <w:sz w:val="18"/>
                <w:szCs w:val="18"/>
              </w:rPr>
              <w:br/>
              <w:t>Grade 9: 1.82, 95% CI 1.16-2.85</w:t>
            </w:r>
            <w:r w:rsidRPr="002070E0">
              <w:rPr>
                <w:rFonts w:asciiTheme="minorHAnsi" w:hAnsiTheme="minorHAnsi" w:cstheme="minorHAnsi"/>
                <w:iCs/>
                <w:sz w:val="18"/>
                <w:szCs w:val="18"/>
              </w:rPr>
              <w:br/>
              <w:t>Grade 8: 2.65, 95% CI 1.64-4.29</w:t>
            </w:r>
            <w:r w:rsidRPr="002070E0">
              <w:rPr>
                <w:rFonts w:asciiTheme="minorHAnsi" w:hAnsiTheme="minorHAnsi" w:cstheme="minorHAnsi"/>
                <w:iCs/>
                <w:sz w:val="18"/>
                <w:szCs w:val="18"/>
              </w:rPr>
              <w:br/>
              <w:t>Grade 7: 3.79, 95% CI 2.02-7.12</w:t>
            </w:r>
            <w:r w:rsidRPr="002070E0">
              <w:rPr>
                <w:rFonts w:asciiTheme="minorHAnsi" w:hAnsiTheme="minorHAnsi" w:cstheme="minorHAnsi"/>
                <w:iCs/>
                <w:sz w:val="18"/>
                <w:szCs w:val="18"/>
              </w:rPr>
              <w:br/>
              <w:t>Grade 1-6 or before: 3.14, 95% CI 1.83-5.40</w:t>
            </w:r>
          </w:p>
          <w:p w14:paraId="4C68175F" w14:textId="77777777" w:rsidR="00DB2213" w:rsidRPr="002070E0" w:rsidRDefault="00DB2213" w:rsidP="00F523A8">
            <w:pPr>
              <w:spacing w:before="60" w:after="120"/>
              <w:contextualSpacing/>
              <w:rPr>
                <w:rFonts w:asciiTheme="minorHAnsi" w:hAnsiTheme="minorHAnsi" w:cstheme="minorHAnsi"/>
                <w:iCs/>
                <w:sz w:val="18"/>
                <w:szCs w:val="18"/>
              </w:rPr>
            </w:pPr>
          </w:p>
          <w:p w14:paraId="505573BF" w14:textId="344FC430" w:rsidR="00DB2213" w:rsidRPr="002070E0" w:rsidRDefault="00DB2213" w:rsidP="00F523A8">
            <w:pPr>
              <w:spacing w:before="60" w:after="120"/>
              <w:contextualSpacing/>
              <w:rPr>
                <w:rFonts w:asciiTheme="minorHAnsi" w:hAnsiTheme="minorHAnsi" w:cstheme="minorHAnsi"/>
                <w:iCs/>
                <w:sz w:val="18"/>
                <w:szCs w:val="18"/>
              </w:rPr>
            </w:pPr>
            <w:r w:rsidRPr="002070E0">
              <w:rPr>
                <w:rFonts w:asciiTheme="minorHAnsi" w:hAnsiTheme="minorHAnsi" w:cstheme="minorHAnsi"/>
                <w:iCs/>
                <w:sz w:val="18"/>
                <w:szCs w:val="18"/>
              </w:rPr>
              <w:t xml:space="preserve">OR for age at smoking initiation becoming a daily smoker </w:t>
            </w:r>
            <w:r>
              <w:rPr>
                <w:rFonts w:asciiTheme="minorHAnsi" w:hAnsiTheme="minorHAnsi" w:cstheme="minorHAnsi"/>
                <w:iCs/>
                <w:sz w:val="18"/>
                <w:szCs w:val="18"/>
              </w:rPr>
              <w:t>vs.</w:t>
            </w:r>
            <w:r w:rsidRPr="002070E0">
              <w:rPr>
                <w:rFonts w:asciiTheme="minorHAnsi" w:hAnsiTheme="minorHAnsi" w:cstheme="minorHAnsi"/>
                <w:iCs/>
                <w:sz w:val="18"/>
                <w:szCs w:val="18"/>
              </w:rPr>
              <w:t xml:space="preserve"> Grades 10-11:</w:t>
            </w:r>
            <w:r w:rsidRPr="002070E0">
              <w:rPr>
                <w:rFonts w:asciiTheme="minorHAnsi" w:hAnsiTheme="minorHAnsi" w:cstheme="minorHAnsi"/>
                <w:iCs/>
                <w:sz w:val="18"/>
                <w:szCs w:val="18"/>
              </w:rPr>
              <w:br/>
              <w:t>Grade 9: 1.43, 95% CI 0.92-2.20</w:t>
            </w:r>
            <w:r w:rsidRPr="002070E0">
              <w:rPr>
                <w:rFonts w:asciiTheme="minorHAnsi" w:hAnsiTheme="minorHAnsi" w:cstheme="minorHAnsi"/>
                <w:iCs/>
                <w:sz w:val="18"/>
                <w:szCs w:val="18"/>
              </w:rPr>
              <w:br/>
              <w:t>Grade 8: 2.65, 95% CI 1.29-3.21</w:t>
            </w:r>
            <w:r w:rsidRPr="002070E0">
              <w:rPr>
                <w:rFonts w:asciiTheme="minorHAnsi" w:hAnsiTheme="minorHAnsi" w:cstheme="minorHAnsi"/>
                <w:iCs/>
                <w:sz w:val="18"/>
                <w:szCs w:val="18"/>
              </w:rPr>
              <w:br/>
              <w:t>Grade 7: 3.30, 95% CI 1.85-5.90</w:t>
            </w:r>
            <w:r w:rsidRPr="002070E0">
              <w:rPr>
                <w:rFonts w:asciiTheme="minorHAnsi" w:hAnsiTheme="minorHAnsi" w:cstheme="minorHAnsi"/>
                <w:iCs/>
                <w:sz w:val="18"/>
                <w:szCs w:val="18"/>
              </w:rPr>
              <w:br/>
              <w:t>Grades 1-6 or before: 2.94, 95% CI 1.76-4.92</w:t>
            </w:r>
          </w:p>
          <w:p w14:paraId="7946573A" w14:textId="77777777" w:rsidR="00DB2213" w:rsidRPr="002070E0" w:rsidRDefault="00DB2213" w:rsidP="00F523A8">
            <w:pPr>
              <w:spacing w:before="60" w:after="120"/>
              <w:contextualSpacing/>
              <w:rPr>
                <w:rFonts w:asciiTheme="minorHAnsi" w:hAnsiTheme="minorHAnsi" w:cstheme="minorHAnsi"/>
                <w:iCs/>
                <w:sz w:val="18"/>
                <w:szCs w:val="18"/>
              </w:rPr>
            </w:pPr>
          </w:p>
          <w:p w14:paraId="1A8D3B0B" w14:textId="413FDFAF" w:rsidR="00DB2213" w:rsidRPr="002070E0" w:rsidRDefault="00DB2213" w:rsidP="00F523A8">
            <w:pPr>
              <w:spacing w:before="60" w:after="120"/>
              <w:contextualSpacing/>
              <w:rPr>
                <w:rFonts w:asciiTheme="minorHAnsi" w:hAnsiTheme="minorHAnsi" w:cstheme="minorHAnsi"/>
                <w:iCs/>
                <w:sz w:val="18"/>
                <w:szCs w:val="18"/>
              </w:rPr>
            </w:pPr>
            <w:r w:rsidRPr="002070E0">
              <w:rPr>
                <w:rFonts w:asciiTheme="minorHAnsi" w:hAnsiTheme="minorHAnsi" w:cstheme="minorHAnsi"/>
                <w:i/>
                <w:iCs/>
                <w:sz w:val="18"/>
                <w:szCs w:val="18"/>
              </w:rPr>
              <w:t>743 students in Grade 10-11 in South Korea who are current smokers</w:t>
            </w:r>
            <w:r w:rsidR="00FA7E1F">
              <w:rPr>
                <w:rFonts w:asciiTheme="minorHAnsi" w:hAnsiTheme="minorHAnsi" w:cstheme="minorHAnsi"/>
                <w:i/>
                <w:iCs/>
                <w:sz w:val="18"/>
                <w:szCs w:val="18"/>
              </w:rPr>
              <w:t>.</w:t>
            </w:r>
            <w:r w:rsidRPr="002070E0">
              <w:rPr>
                <w:rFonts w:asciiTheme="minorHAnsi" w:hAnsiTheme="minorHAnsi" w:cstheme="minorHAnsi"/>
                <w:iCs/>
                <w:sz w:val="18"/>
                <w:szCs w:val="18"/>
              </w:rPr>
              <w:br/>
            </w:r>
          </w:p>
          <w:p w14:paraId="371EC8EC" w14:textId="33331FED" w:rsidR="00DB2213" w:rsidRPr="002070E0" w:rsidRDefault="00D2134A" w:rsidP="00F523A8">
            <w:pPr>
              <w:spacing w:before="60" w:after="120"/>
              <w:contextualSpacing/>
              <w:rPr>
                <w:rFonts w:asciiTheme="minorHAnsi" w:hAnsiTheme="minorHAnsi" w:cstheme="minorHAnsi"/>
                <w:iCs/>
                <w:sz w:val="18"/>
                <w:szCs w:val="18"/>
              </w:rPr>
            </w:pPr>
            <w:r>
              <w:rPr>
                <w:rFonts w:cstheme="minorHAnsi"/>
                <w:b/>
                <w:iCs/>
                <w:sz w:val="18"/>
                <w:szCs w:val="18"/>
                <w:u w:val="single"/>
              </w:rPr>
              <w:fldChar w:fldCharType="begin"/>
            </w:r>
            <w:r>
              <w:rPr>
                <w:rFonts w:cstheme="minorHAnsi"/>
                <w:b/>
                <w:iCs/>
                <w:sz w:val="18"/>
                <w:szCs w:val="18"/>
                <w:u w:val="single"/>
              </w:rPr>
              <w:instrText xml:space="preserve"> ADDIN EN.CITE &lt;EndNote&gt;&lt;Cite&gt;&lt;Author&gt;Kendler&lt;/Author&gt;&lt;Year&gt;2013&lt;/Year&gt;&lt;RecNum&gt;137&lt;/RecNum&gt;&lt;DisplayText&gt;(35)&lt;/DisplayText&gt;&lt;record&gt;&lt;rec-number&gt;137&lt;/rec-number&gt;&lt;foreign-keys&gt;&lt;key app="EN" db-id="a2vz2dfp8xrad6exes75zwpiw5rxwa0vwapv" timestamp="0"&gt;137&lt;/key&gt;&lt;/foreign-keys&gt;&lt;ref-type name="Journal Article"&gt;17&lt;/ref-type&gt;&lt;contributors&gt;&lt;authors&gt;&lt;author&gt;Kendler, K. S.&lt;/author&gt;&lt;author&gt;Myers, J.&lt;/author&gt;&lt;author&gt;Damaj, M. I.&lt;/author&gt;&lt;author&gt;Chen, X.&lt;/author&gt;&lt;/authors&gt;&lt;/contributors&gt;&lt;auth-address&gt;Department of Psychiatry, Virginia Commonwealth University School of Medicine, Richmond, USA. kendler@vcu.edu&lt;/auth-address&gt;&lt;titles&gt;&lt;title&gt;Early smoking onset and risk for subsequent nicotine dependence: a monozygotic co-twin control study&lt;/title&gt;&lt;secondary-title&gt;Am J Psychiatry&lt;/secondary-title&gt;&lt;alt-title&gt;The American journal of psychiatry&lt;/alt-title&gt;&lt;/titles&gt;&lt;pages&gt;408-13&lt;/pages&gt;&lt;volume&gt;170&lt;/volume&gt;&lt;number&gt;4&lt;/number&gt;&lt;edition&gt;2013/01/16&lt;/edition&gt;&lt;keywords&gt;&lt;keyword&gt;Adult&lt;/keyword&gt;&lt;keyword&gt;Age of Onset&lt;/keyword&gt;&lt;keyword&gt;Behavior, Addictive/epidemiology&lt;/keyword&gt;&lt;keyword&gt;Female&lt;/keyword&gt;&lt;keyword&gt;Humans&lt;/keyword&gt;&lt;keyword&gt;Male&lt;/keyword&gt;&lt;keyword&gt;Risk Factors&lt;/keyword&gt;&lt;keyword&gt;Sex Characteristics&lt;/keyword&gt;&lt;keyword&gt;Smoking/*epidemiology&lt;/keyword&gt;&lt;keyword&gt;Substance-Related Disorders/epidemiology&lt;/keyword&gt;&lt;keyword&gt;Tobacco Use Disorder/*epidemiology&lt;/keyword&gt;&lt;keyword&gt;Twins, Monozygotic/*psychology&lt;/keyword&gt;&lt;keyword&gt;Virginia&lt;/keyword&gt;&lt;/keywords&gt;&lt;dates&gt;&lt;year&gt;2013&lt;/year&gt;&lt;pub-dates&gt;&lt;date&gt;Apr&lt;/date&gt;&lt;/pub-dates&gt;&lt;/dates&gt;&lt;isbn&gt;0002-953x&lt;/isbn&gt;&lt;accession-num&gt;23318372&lt;/accession-num&gt;&lt;urls&gt;&lt;/urls&gt;&lt;custom2&gt;PMC3615117&lt;/custom2&gt;&lt;custom6&gt;NIHMS440149&lt;/custom6&gt;&lt;electronic-resource-num&gt;10.1176/appi.ajp.2012.12030321&lt;/electronic-resource-num&gt;&lt;remote-database-provider&gt;NLM&lt;/remote-database-provider&gt;&lt;language&gt;eng&lt;/language&gt;&lt;/record&gt;&lt;/Cite&gt;&lt;/EndNote&gt;</w:instrText>
            </w:r>
            <w:r>
              <w:rPr>
                <w:rFonts w:cstheme="minorHAnsi"/>
                <w:b/>
                <w:iCs/>
                <w:sz w:val="18"/>
                <w:szCs w:val="18"/>
                <w:u w:val="single"/>
              </w:rPr>
              <w:fldChar w:fldCharType="separate"/>
            </w:r>
            <w:r>
              <w:rPr>
                <w:rFonts w:cstheme="minorHAnsi"/>
                <w:b/>
                <w:iCs/>
                <w:noProof/>
                <w:sz w:val="18"/>
                <w:szCs w:val="18"/>
                <w:u w:val="single"/>
              </w:rPr>
              <w:t>(</w:t>
            </w:r>
            <w:hyperlink w:anchor="_ENREF_35" w:tooltip="Kendler, 2013 #137" w:history="1">
              <w:r w:rsidR="00A234A9">
                <w:rPr>
                  <w:rFonts w:cstheme="minorHAnsi"/>
                  <w:b/>
                  <w:iCs/>
                  <w:noProof/>
                  <w:sz w:val="18"/>
                  <w:szCs w:val="18"/>
                  <w:u w:val="single"/>
                </w:rPr>
                <w:t>35</w:t>
              </w:r>
            </w:hyperlink>
            <w:r>
              <w:rPr>
                <w:rFonts w:cstheme="minorHAnsi"/>
                <w:b/>
                <w:iCs/>
                <w:noProof/>
                <w:sz w:val="18"/>
                <w:szCs w:val="18"/>
                <w:u w:val="single"/>
              </w:rPr>
              <w:t>)</w:t>
            </w:r>
            <w:r>
              <w:rPr>
                <w:rFonts w:cstheme="minorHAnsi"/>
                <w:b/>
                <w:iCs/>
                <w:sz w:val="18"/>
                <w:szCs w:val="18"/>
                <w:u w:val="single"/>
              </w:rPr>
              <w:fldChar w:fldCharType="end"/>
            </w:r>
            <w:r w:rsidR="00DB2213" w:rsidRPr="003E3F07">
              <w:rPr>
                <w:rFonts w:asciiTheme="minorHAnsi" w:hAnsiTheme="minorHAnsi" w:cstheme="minorHAnsi"/>
                <w:b/>
                <w:iCs/>
                <w:sz w:val="18"/>
                <w:szCs w:val="18"/>
              </w:rPr>
              <w:br/>
            </w:r>
            <w:r w:rsidR="00DB2213" w:rsidRPr="00ED5FCD">
              <w:rPr>
                <w:rFonts w:asciiTheme="minorHAnsi" w:hAnsiTheme="minorHAnsi" w:cstheme="minorHAnsi"/>
                <w:iCs/>
                <w:sz w:val="18"/>
                <w:szCs w:val="18"/>
              </w:rPr>
              <w:t>Mailed questionnaires, with subsequent face-to-face or telephone interviews</w:t>
            </w:r>
          </w:p>
          <w:p w14:paraId="330EDADB" w14:textId="77777777" w:rsidR="00DB2213" w:rsidRPr="002070E0" w:rsidRDefault="00DB2213" w:rsidP="00F523A8">
            <w:pPr>
              <w:spacing w:before="60" w:after="120"/>
              <w:contextualSpacing/>
              <w:rPr>
                <w:rFonts w:asciiTheme="minorHAnsi" w:hAnsiTheme="minorHAnsi" w:cstheme="minorHAnsi"/>
                <w:iCs/>
                <w:sz w:val="18"/>
                <w:szCs w:val="18"/>
              </w:rPr>
            </w:pPr>
          </w:p>
          <w:p w14:paraId="5BEEC438" w14:textId="77777777" w:rsidR="00DB2213" w:rsidRPr="002070E0" w:rsidRDefault="00DB2213" w:rsidP="00F523A8">
            <w:pPr>
              <w:spacing w:before="60" w:after="120"/>
              <w:contextualSpacing/>
              <w:rPr>
                <w:rFonts w:asciiTheme="minorHAnsi" w:hAnsiTheme="minorHAnsi" w:cstheme="minorHAnsi"/>
                <w:iCs/>
                <w:sz w:val="18"/>
                <w:szCs w:val="18"/>
              </w:rPr>
            </w:pPr>
            <w:r w:rsidRPr="002070E0">
              <w:rPr>
                <w:rFonts w:asciiTheme="minorHAnsi" w:hAnsiTheme="minorHAnsi" w:cstheme="minorHAnsi"/>
                <w:i/>
                <w:iCs/>
                <w:sz w:val="18"/>
                <w:szCs w:val="18"/>
              </w:rPr>
              <w:t>Age at onset of regular smoking and level of nicotine dependence as measured by the Fagerström Test for Nicotine Dependence (FTND) and craving</w:t>
            </w:r>
            <w:r w:rsidRPr="002070E0">
              <w:rPr>
                <w:rFonts w:asciiTheme="minorHAnsi" w:hAnsiTheme="minorHAnsi" w:cstheme="minorHAnsi"/>
                <w:iCs/>
                <w:sz w:val="18"/>
                <w:szCs w:val="18"/>
              </w:rPr>
              <w:t>:</w:t>
            </w:r>
          </w:p>
          <w:p w14:paraId="71EA8F2D" w14:textId="77777777" w:rsidR="00DB2213" w:rsidRPr="002070E0" w:rsidRDefault="00DB2213" w:rsidP="00F523A8">
            <w:pPr>
              <w:spacing w:before="60" w:after="120"/>
              <w:contextualSpacing/>
              <w:rPr>
                <w:rFonts w:asciiTheme="minorHAnsi" w:hAnsiTheme="minorHAnsi" w:cstheme="minorHAnsi"/>
                <w:iCs/>
                <w:sz w:val="18"/>
                <w:szCs w:val="18"/>
              </w:rPr>
            </w:pPr>
          </w:p>
          <w:p w14:paraId="4E83B4B2" w14:textId="77777777" w:rsidR="00DB2213" w:rsidRPr="002070E0" w:rsidRDefault="00DB2213" w:rsidP="00F523A8">
            <w:pPr>
              <w:spacing w:before="60" w:after="120"/>
              <w:contextualSpacing/>
              <w:rPr>
                <w:rFonts w:asciiTheme="minorHAnsi" w:hAnsiTheme="minorHAnsi" w:cstheme="minorHAnsi"/>
                <w:iCs/>
                <w:sz w:val="18"/>
                <w:szCs w:val="18"/>
              </w:rPr>
            </w:pPr>
            <w:r w:rsidRPr="002070E0">
              <w:rPr>
                <w:rFonts w:asciiTheme="minorHAnsi" w:hAnsiTheme="minorHAnsi" w:cstheme="minorHAnsi"/>
                <w:iCs/>
                <w:sz w:val="18"/>
                <w:szCs w:val="18"/>
              </w:rPr>
              <w:t xml:space="preserve">FTND: </w:t>
            </w:r>
            <w:r w:rsidRPr="002070E0">
              <w:rPr>
                <w:rFonts w:asciiTheme="minorHAnsi" w:hAnsiTheme="minorHAnsi" w:cstheme="minorHAnsi"/>
                <w:iCs/>
                <w:sz w:val="18"/>
                <w:szCs w:val="18"/>
              </w:rPr>
              <w:br/>
              <w:t>For male pairs:</w:t>
            </w:r>
            <w:r>
              <w:rPr>
                <w:rFonts w:asciiTheme="minorHAnsi" w:hAnsiTheme="minorHAnsi" w:cstheme="minorHAnsi"/>
                <w:iCs/>
                <w:sz w:val="18"/>
                <w:szCs w:val="18"/>
              </w:rPr>
              <w:t xml:space="preserve"> </w:t>
            </w:r>
            <w:r w:rsidRPr="002070E0">
              <w:rPr>
                <w:rFonts w:asciiTheme="minorHAnsi" w:hAnsiTheme="minorHAnsi" w:cstheme="minorHAnsi"/>
                <w:iCs/>
                <w:sz w:val="18"/>
                <w:szCs w:val="18"/>
              </w:rPr>
              <w:t>Cohen’s d</w:t>
            </w:r>
            <w:r>
              <w:rPr>
                <w:rFonts w:asciiTheme="minorHAnsi" w:hAnsiTheme="minorHAnsi" w:cstheme="minorHAnsi"/>
                <w:iCs/>
                <w:sz w:val="18"/>
                <w:szCs w:val="18"/>
              </w:rPr>
              <w:t xml:space="preserve"> </w:t>
            </w:r>
            <w:r w:rsidRPr="002070E0">
              <w:rPr>
                <w:rFonts w:asciiTheme="minorHAnsi" w:hAnsiTheme="minorHAnsi" w:cstheme="minorHAnsi"/>
                <w:iCs/>
                <w:sz w:val="18"/>
                <w:szCs w:val="18"/>
              </w:rPr>
              <w:t>=</w:t>
            </w:r>
            <w:r>
              <w:rPr>
                <w:rFonts w:asciiTheme="minorHAnsi" w:hAnsiTheme="minorHAnsi" w:cstheme="minorHAnsi"/>
                <w:iCs/>
                <w:sz w:val="18"/>
                <w:szCs w:val="18"/>
              </w:rPr>
              <w:t xml:space="preserve"> </w:t>
            </w:r>
            <w:r w:rsidRPr="002070E0">
              <w:rPr>
                <w:rFonts w:asciiTheme="minorHAnsi" w:hAnsiTheme="minorHAnsi" w:cstheme="minorHAnsi"/>
                <w:iCs/>
                <w:sz w:val="18"/>
                <w:szCs w:val="18"/>
              </w:rPr>
              <w:t>0.20, p=0.004</w:t>
            </w:r>
            <w:r w:rsidRPr="002070E0">
              <w:rPr>
                <w:rFonts w:asciiTheme="minorHAnsi" w:hAnsiTheme="minorHAnsi" w:cstheme="minorHAnsi"/>
                <w:iCs/>
                <w:sz w:val="18"/>
                <w:szCs w:val="18"/>
              </w:rPr>
              <w:br/>
              <w:t>For female pairs: Cohen’s d</w:t>
            </w:r>
            <w:r>
              <w:rPr>
                <w:rFonts w:asciiTheme="minorHAnsi" w:hAnsiTheme="minorHAnsi" w:cstheme="minorHAnsi"/>
                <w:iCs/>
                <w:sz w:val="18"/>
                <w:szCs w:val="18"/>
              </w:rPr>
              <w:t xml:space="preserve"> </w:t>
            </w:r>
            <w:r w:rsidRPr="002070E0">
              <w:rPr>
                <w:rFonts w:asciiTheme="minorHAnsi" w:hAnsiTheme="minorHAnsi" w:cstheme="minorHAnsi"/>
                <w:iCs/>
                <w:sz w:val="18"/>
                <w:szCs w:val="18"/>
              </w:rPr>
              <w:t>=</w:t>
            </w:r>
            <w:r>
              <w:rPr>
                <w:rFonts w:asciiTheme="minorHAnsi" w:hAnsiTheme="minorHAnsi" w:cstheme="minorHAnsi"/>
                <w:iCs/>
                <w:sz w:val="18"/>
                <w:szCs w:val="18"/>
              </w:rPr>
              <w:t xml:space="preserve"> </w:t>
            </w:r>
            <w:r w:rsidRPr="002070E0">
              <w:rPr>
                <w:rFonts w:asciiTheme="minorHAnsi" w:hAnsiTheme="minorHAnsi" w:cstheme="minorHAnsi"/>
                <w:iCs/>
                <w:sz w:val="18"/>
                <w:szCs w:val="18"/>
              </w:rPr>
              <w:t>0.27, p=0.04</w:t>
            </w:r>
          </w:p>
          <w:p w14:paraId="2DB7FA8A" w14:textId="77777777" w:rsidR="00DB2213" w:rsidRPr="002070E0" w:rsidRDefault="00DB2213" w:rsidP="00F523A8">
            <w:pPr>
              <w:spacing w:before="60" w:after="120"/>
              <w:contextualSpacing/>
              <w:rPr>
                <w:rFonts w:asciiTheme="minorHAnsi" w:hAnsiTheme="minorHAnsi" w:cstheme="minorHAnsi"/>
                <w:iCs/>
                <w:sz w:val="18"/>
                <w:szCs w:val="18"/>
              </w:rPr>
            </w:pPr>
          </w:p>
          <w:p w14:paraId="1E49787F" w14:textId="77777777" w:rsidR="00116B56" w:rsidRDefault="00DB2213" w:rsidP="00F523A8">
            <w:pPr>
              <w:spacing w:after="120"/>
              <w:contextualSpacing/>
              <w:rPr>
                <w:rFonts w:asciiTheme="minorHAnsi" w:hAnsiTheme="minorHAnsi" w:cstheme="minorHAnsi"/>
                <w:iCs/>
                <w:sz w:val="18"/>
                <w:szCs w:val="18"/>
              </w:rPr>
            </w:pPr>
            <w:r w:rsidRPr="002070E0">
              <w:rPr>
                <w:rFonts w:asciiTheme="minorHAnsi" w:hAnsiTheme="minorHAnsi" w:cstheme="minorHAnsi"/>
                <w:iCs/>
                <w:sz w:val="18"/>
                <w:szCs w:val="18"/>
              </w:rPr>
              <w:t xml:space="preserve">Craving: </w:t>
            </w:r>
            <w:r w:rsidRPr="002070E0">
              <w:rPr>
                <w:rFonts w:asciiTheme="minorHAnsi" w:hAnsiTheme="minorHAnsi" w:cstheme="minorHAnsi"/>
                <w:iCs/>
                <w:sz w:val="18"/>
                <w:szCs w:val="18"/>
              </w:rPr>
              <w:br/>
              <w:t>For male pairs: Cohen’s d</w:t>
            </w:r>
            <w:r>
              <w:rPr>
                <w:rFonts w:asciiTheme="minorHAnsi" w:hAnsiTheme="minorHAnsi" w:cstheme="minorHAnsi"/>
                <w:iCs/>
                <w:sz w:val="18"/>
                <w:szCs w:val="18"/>
              </w:rPr>
              <w:t xml:space="preserve"> </w:t>
            </w:r>
            <w:r w:rsidRPr="002070E0">
              <w:rPr>
                <w:rFonts w:asciiTheme="minorHAnsi" w:hAnsiTheme="minorHAnsi" w:cstheme="minorHAnsi"/>
                <w:iCs/>
                <w:sz w:val="18"/>
                <w:szCs w:val="18"/>
              </w:rPr>
              <w:t>=</w:t>
            </w:r>
            <w:r>
              <w:rPr>
                <w:rFonts w:asciiTheme="minorHAnsi" w:hAnsiTheme="minorHAnsi" w:cstheme="minorHAnsi"/>
                <w:iCs/>
                <w:sz w:val="18"/>
                <w:szCs w:val="18"/>
              </w:rPr>
              <w:t xml:space="preserve"> </w:t>
            </w:r>
            <w:r w:rsidRPr="002070E0">
              <w:rPr>
                <w:rFonts w:asciiTheme="minorHAnsi" w:hAnsiTheme="minorHAnsi" w:cstheme="minorHAnsi"/>
                <w:iCs/>
                <w:sz w:val="18"/>
                <w:szCs w:val="18"/>
              </w:rPr>
              <w:t>0.38, p&lt;0.0001</w:t>
            </w:r>
            <w:r w:rsidRPr="002070E0">
              <w:rPr>
                <w:rFonts w:asciiTheme="minorHAnsi" w:hAnsiTheme="minorHAnsi" w:cstheme="minorHAnsi"/>
                <w:iCs/>
                <w:sz w:val="18"/>
                <w:szCs w:val="18"/>
              </w:rPr>
              <w:br/>
              <w:t>For female pairs: Cohen’s d</w:t>
            </w:r>
            <w:r>
              <w:rPr>
                <w:rFonts w:asciiTheme="minorHAnsi" w:hAnsiTheme="minorHAnsi" w:cstheme="minorHAnsi"/>
                <w:iCs/>
                <w:sz w:val="18"/>
                <w:szCs w:val="18"/>
              </w:rPr>
              <w:t xml:space="preserve"> </w:t>
            </w:r>
            <w:r w:rsidRPr="002070E0">
              <w:rPr>
                <w:rFonts w:asciiTheme="minorHAnsi" w:hAnsiTheme="minorHAnsi" w:cstheme="minorHAnsi"/>
                <w:iCs/>
                <w:sz w:val="18"/>
                <w:szCs w:val="18"/>
              </w:rPr>
              <w:t>=</w:t>
            </w:r>
            <w:r>
              <w:rPr>
                <w:rFonts w:asciiTheme="minorHAnsi" w:hAnsiTheme="minorHAnsi" w:cstheme="minorHAnsi"/>
                <w:iCs/>
                <w:sz w:val="18"/>
                <w:szCs w:val="18"/>
              </w:rPr>
              <w:t xml:space="preserve"> </w:t>
            </w:r>
            <w:r w:rsidRPr="002070E0">
              <w:rPr>
                <w:rFonts w:asciiTheme="minorHAnsi" w:hAnsiTheme="minorHAnsi" w:cstheme="minorHAnsi"/>
                <w:iCs/>
                <w:sz w:val="18"/>
                <w:szCs w:val="18"/>
              </w:rPr>
              <w:t>0.25, p=0.06</w:t>
            </w:r>
          </w:p>
          <w:p w14:paraId="06134CDD" w14:textId="03A070D7" w:rsidR="00DB2213" w:rsidRPr="002070E0" w:rsidRDefault="00DB2213" w:rsidP="00F523A8">
            <w:pPr>
              <w:spacing w:after="120"/>
              <w:contextualSpacing/>
              <w:rPr>
                <w:rFonts w:asciiTheme="minorHAnsi" w:hAnsiTheme="minorHAnsi" w:cstheme="minorHAnsi"/>
                <w:i/>
                <w:sz w:val="18"/>
                <w:szCs w:val="18"/>
              </w:rPr>
            </w:pPr>
            <w:r w:rsidRPr="002070E0">
              <w:rPr>
                <w:rFonts w:asciiTheme="minorHAnsi" w:hAnsiTheme="minorHAnsi" w:cstheme="minorHAnsi"/>
                <w:iCs/>
                <w:sz w:val="18"/>
                <w:szCs w:val="18"/>
              </w:rPr>
              <w:br/>
            </w:r>
            <w:r w:rsidRPr="002070E0">
              <w:rPr>
                <w:rFonts w:asciiTheme="minorHAnsi" w:hAnsiTheme="minorHAnsi" w:cstheme="minorHAnsi"/>
                <w:i/>
                <w:iCs/>
                <w:sz w:val="18"/>
                <w:szCs w:val="18"/>
              </w:rPr>
              <w:t xml:space="preserve">175 male-male and 69 female-female monozygotic twin pairs </w:t>
            </w:r>
            <w:r w:rsidRPr="002070E0">
              <w:rPr>
                <w:rFonts w:asciiTheme="minorHAnsi" w:hAnsiTheme="minorHAnsi" w:cstheme="minorHAnsi"/>
                <w:i/>
                <w:sz w:val="18"/>
                <w:szCs w:val="18"/>
              </w:rPr>
              <w:t>who differed by at least 2 years in age at onset of regular smoking. For the male-male pairs, the early-onset smoking member had a mean current age of 36.1 years (SD</w:t>
            </w:r>
            <w:r>
              <w:rPr>
                <w:rFonts w:asciiTheme="minorHAnsi" w:hAnsiTheme="minorHAnsi" w:cstheme="minorHAnsi"/>
                <w:i/>
                <w:sz w:val="18"/>
                <w:szCs w:val="18"/>
              </w:rPr>
              <w:t xml:space="preserve"> </w:t>
            </w:r>
            <w:r w:rsidRPr="002070E0">
              <w:rPr>
                <w:rFonts w:asciiTheme="minorHAnsi" w:hAnsiTheme="minorHAnsi" w:cstheme="minorHAnsi"/>
                <w:i/>
                <w:sz w:val="18"/>
                <w:szCs w:val="18"/>
              </w:rPr>
              <w:t>=</w:t>
            </w:r>
            <w:r>
              <w:rPr>
                <w:rFonts w:asciiTheme="minorHAnsi" w:hAnsiTheme="minorHAnsi" w:cstheme="minorHAnsi"/>
                <w:i/>
                <w:sz w:val="18"/>
                <w:szCs w:val="18"/>
              </w:rPr>
              <w:t xml:space="preserve"> </w:t>
            </w:r>
            <w:r w:rsidRPr="002070E0">
              <w:rPr>
                <w:rFonts w:asciiTheme="minorHAnsi" w:hAnsiTheme="minorHAnsi" w:cstheme="minorHAnsi"/>
                <w:i/>
                <w:sz w:val="18"/>
                <w:szCs w:val="18"/>
              </w:rPr>
              <w:t>8.6). For the later-onset smoking member the mean age at interview was 36.3 years (SD</w:t>
            </w:r>
            <w:r>
              <w:rPr>
                <w:rFonts w:asciiTheme="minorHAnsi" w:hAnsiTheme="minorHAnsi" w:cstheme="minorHAnsi"/>
                <w:i/>
                <w:sz w:val="18"/>
                <w:szCs w:val="18"/>
              </w:rPr>
              <w:t xml:space="preserve"> </w:t>
            </w:r>
            <w:r w:rsidRPr="002070E0">
              <w:rPr>
                <w:rFonts w:asciiTheme="minorHAnsi" w:hAnsiTheme="minorHAnsi" w:cstheme="minorHAnsi"/>
                <w:i/>
                <w:sz w:val="18"/>
                <w:szCs w:val="18"/>
              </w:rPr>
              <w:t>=</w:t>
            </w:r>
            <w:r>
              <w:rPr>
                <w:rFonts w:asciiTheme="minorHAnsi" w:hAnsiTheme="minorHAnsi" w:cstheme="minorHAnsi"/>
                <w:i/>
                <w:sz w:val="18"/>
                <w:szCs w:val="18"/>
              </w:rPr>
              <w:t xml:space="preserve"> </w:t>
            </w:r>
            <w:r w:rsidRPr="002070E0">
              <w:rPr>
                <w:rFonts w:asciiTheme="minorHAnsi" w:hAnsiTheme="minorHAnsi" w:cstheme="minorHAnsi"/>
                <w:i/>
                <w:sz w:val="18"/>
                <w:szCs w:val="18"/>
              </w:rPr>
              <w:t>8.5). For the female-female pairs, the mean age at interview was 36.1 years (SD</w:t>
            </w:r>
            <w:r>
              <w:rPr>
                <w:rFonts w:asciiTheme="minorHAnsi" w:hAnsiTheme="minorHAnsi" w:cstheme="minorHAnsi"/>
                <w:i/>
                <w:sz w:val="18"/>
                <w:szCs w:val="18"/>
              </w:rPr>
              <w:t xml:space="preserve"> </w:t>
            </w:r>
            <w:r w:rsidRPr="002070E0">
              <w:rPr>
                <w:rFonts w:asciiTheme="minorHAnsi" w:hAnsiTheme="minorHAnsi" w:cstheme="minorHAnsi"/>
                <w:i/>
                <w:sz w:val="18"/>
                <w:szCs w:val="18"/>
              </w:rPr>
              <w:t>=</w:t>
            </w:r>
            <w:r>
              <w:rPr>
                <w:rFonts w:asciiTheme="minorHAnsi" w:hAnsiTheme="minorHAnsi" w:cstheme="minorHAnsi"/>
                <w:i/>
                <w:sz w:val="18"/>
                <w:szCs w:val="18"/>
              </w:rPr>
              <w:t xml:space="preserve"> </w:t>
            </w:r>
            <w:r w:rsidRPr="002070E0">
              <w:rPr>
                <w:rFonts w:asciiTheme="minorHAnsi" w:hAnsiTheme="minorHAnsi" w:cstheme="minorHAnsi"/>
                <w:i/>
                <w:sz w:val="18"/>
                <w:szCs w:val="18"/>
              </w:rPr>
              <w:t>7.8) for the early-onset member and 35.9 years (SD</w:t>
            </w:r>
            <w:r>
              <w:rPr>
                <w:rFonts w:asciiTheme="minorHAnsi" w:hAnsiTheme="minorHAnsi" w:cstheme="minorHAnsi"/>
                <w:i/>
                <w:sz w:val="18"/>
                <w:szCs w:val="18"/>
              </w:rPr>
              <w:t xml:space="preserve"> </w:t>
            </w:r>
            <w:r w:rsidRPr="002070E0">
              <w:rPr>
                <w:rFonts w:asciiTheme="minorHAnsi" w:hAnsiTheme="minorHAnsi" w:cstheme="minorHAnsi"/>
                <w:i/>
                <w:sz w:val="18"/>
                <w:szCs w:val="18"/>
              </w:rPr>
              <w:t>=</w:t>
            </w:r>
            <w:r>
              <w:rPr>
                <w:rFonts w:asciiTheme="minorHAnsi" w:hAnsiTheme="minorHAnsi" w:cstheme="minorHAnsi"/>
                <w:i/>
                <w:sz w:val="18"/>
                <w:szCs w:val="18"/>
              </w:rPr>
              <w:t xml:space="preserve"> </w:t>
            </w:r>
            <w:r w:rsidRPr="002070E0">
              <w:rPr>
                <w:rFonts w:asciiTheme="minorHAnsi" w:hAnsiTheme="minorHAnsi" w:cstheme="minorHAnsi"/>
                <w:i/>
                <w:sz w:val="18"/>
                <w:szCs w:val="18"/>
              </w:rPr>
              <w:t>7.8) for the late-onset member.</w:t>
            </w:r>
          </w:p>
        </w:tc>
      </w:tr>
      <w:tr w:rsidR="00DB2213" w:rsidRPr="007A0C60" w14:paraId="21B7CA33" w14:textId="77777777" w:rsidTr="00F523A8">
        <w:tc>
          <w:tcPr>
            <w:tcW w:w="1710" w:type="dxa"/>
            <w:shd w:val="clear" w:color="auto" w:fill="auto"/>
          </w:tcPr>
          <w:p w14:paraId="0017A384" w14:textId="77777777" w:rsidR="00DB2213" w:rsidRPr="007A0C60" w:rsidRDefault="00DB2213" w:rsidP="00F523A8">
            <w:pPr>
              <w:rPr>
                <w:sz w:val="18"/>
                <w:szCs w:val="18"/>
              </w:rPr>
            </w:pPr>
            <w:r w:rsidRPr="007A0C60">
              <w:rPr>
                <w:sz w:val="18"/>
                <w:szCs w:val="18"/>
              </w:rPr>
              <w:lastRenderedPageBreak/>
              <w:t xml:space="preserve">Regular smoking </w:t>
            </w:r>
            <w:r>
              <w:rPr>
                <w:sz w:val="18"/>
                <w:szCs w:val="18"/>
              </w:rPr>
              <w:t>versus</w:t>
            </w:r>
            <w:r w:rsidRPr="007A0C60">
              <w:rPr>
                <w:sz w:val="18"/>
                <w:szCs w:val="18"/>
              </w:rPr>
              <w:t xml:space="preserve"> experimentation</w:t>
            </w:r>
          </w:p>
        </w:tc>
        <w:tc>
          <w:tcPr>
            <w:tcW w:w="1350" w:type="dxa"/>
            <w:shd w:val="clear" w:color="auto" w:fill="auto"/>
          </w:tcPr>
          <w:p w14:paraId="25E8B1FB" w14:textId="77777777" w:rsidR="00DB2213" w:rsidRPr="007A0C60" w:rsidRDefault="00DB2213" w:rsidP="00F523A8">
            <w:pPr>
              <w:jc w:val="center"/>
              <w:rPr>
                <w:sz w:val="18"/>
                <w:szCs w:val="18"/>
              </w:rPr>
            </w:pPr>
            <w:r w:rsidRPr="007A0C60">
              <w:rPr>
                <w:sz w:val="18"/>
                <w:szCs w:val="18"/>
              </w:rPr>
              <w:t>Adults: INCONCLUSIVE</w:t>
            </w:r>
          </w:p>
          <w:p w14:paraId="6B00B868" w14:textId="77777777" w:rsidR="00DB2213" w:rsidRPr="007A0C60" w:rsidRDefault="00DB2213" w:rsidP="00F523A8">
            <w:pPr>
              <w:jc w:val="center"/>
              <w:rPr>
                <w:sz w:val="18"/>
                <w:szCs w:val="18"/>
              </w:rPr>
            </w:pPr>
          </w:p>
          <w:p w14:paraId="15AF6D89" w14:textId="77777777" w:rsidR="00DB2213" w:rsidRPr="007A0C60" w:rsidRDefault="00DB2213" w:rsidP="00F523A8">
            <w:pPr>
              <w:jc w:val="center"/>
              <w:rPr>
                <w:sz w:val="18"/>
                <w:szCs w:val="18"/>
              </w:rPr>
            </w:pPr>
            <w:r w:rsidRPr="007A0C60">
              <w:rPr>
                <w:sz w:val="18"/>
                <w:szCs w:val="18"/>
              </w:rPr>
              <w:t>Youth: INCONCLUSIVE</w:t>
            </w:r>
          </w:p>
        </w:tc>
        <w:tc>
          <w:tcPr>
            <w:tcW w:w="2880" w:type="dxa"/>
            <w:shd w:val="clear" w:color="auto" w:fill="auto"/>
          </w:tcPr>
          <w:p w14:paraId="0609EF13" w14:textId="77777777" w:rsidR="00DB2213" w:rsidRPr="007A0C60" w:rsidRDefault="00DB2213" w:rsidP="00F523A8">
            <w:pPr>
              <w:rPr>
                <w:sz w:val="18"/>
                <w:szCs w:val="18"/>
              </w:rPr>
            </w:pPr>
            <w:r w:rsidRPr="007A0C60">
              <w:rPr>
                <w:sz w:val="18"/>
                <w:szCs w:val="18"/>
              </w:rPr>
              <w:t>--</w:t>
            </w:r>
          </w:p>
        </w:tc>
        <w:tc>
          <w:tcPr>
            <w:tcW w:w="3510" w:type="dxa"/>
          </w:tcPr>
          <w:p w14:paraId="46255843" w14:textId="77777777" w:rsidR="00DB2213" w:rsidRPr="007A0C60" w:rsidRDefault="00DB2213" w:rsidP="00F523A8">
            <w:pPr>
              <w:rPr>
                <w:sz w:val="18"/>
                <w:szCs w:val="18"/>
              </w:rPr>
            </w:pPr>
            <w:r w:rsidRPr="007A0C60">
              <w:rPr>
                <w:sz w:val="18"/>
                <w:szCs w:val="18"/>
              </w:rPr>
              <w:t>--</w:t>
            </w:r>
          </w:p>
        </w:tc>
      </w:tr>
      <w:tr w:rsidR="00DB2213" w:rsidRPr="007A0C60" w14:paraId="714551A2" w14:textId="77777777" w:rsidTr="00F523A8">
        <w:tc>
          <w:tcPr>
            <w:tcW w:w="1710" w:type="dxa"/>
            <w:shd w:val="clear" w:color="auto" w:fill="auto"/>
          </w:tcPr>
          <w:p w14:paraId="22D4C16C" w14:textId="77777777" w:rsidR="00DB2213" w:rsidRPr="007A0C60" w:rsidRDefault="00DB2213" w:rsidP="00F523A8">
            <w:pPr>
              <w:rPr>
                <w:sz w:val="18"/>
                <w:szCs w:val="18"/>
              </w:rPr>
            </w:pPr>
            <w:r w:rsidRPr="007A0C60">
              <w:rPr>
                <w:sz w:val="18"/>
                <w:szCs w:val="18"/>
              </w:rPr>
              <w:t>Time from initiation to regular/established smoking</w:t>
            </w:r>
          </w:p>
        </w:tc>
        <w:tc>
          <w:tcPr>
            <w:tcW w:w="1350" w:type="dxa"/>
            <w:shd w:val="clear" w:color="auto" w:fill="auto"/>
          </w:tcPr>
          <w:p w14:paraId="570D1D3B" w14:textId="77777777" w:rsidR="00DB2213" w:rsidRPr="007A0C60" w:rsidRDefault="00DB2213" w:rsidP="00F523A8">
            <w:pPr>
              <w:jc w:val="center"/>
              <w:rPr>
                <w:sz w:val="18"/>
                <w:szCs w:val="18"/>
              </w:rPr>
            </w:pPr>
            <w:r w:rsidRPr="007A0C60">
              <w:rPr>
                <w:sz w:val="18"/>
                <w:szCs w:val="18"/>
              </w:rPr>
              <w:t>Adults: INCONCLUSIVE</w:t>
            </w:r>
          </w:p>
          <w:p w14:paraId="2D2747D6" w14:textId="77777777" w:rsidR="00DB2213" w:rsidRPr="007A0C60" w:rsidRDefault="00DB2213" w:rsidP="00F523A8">
            <w:pPr>
              <w:jc w:val="center"/>
              <w:rPr>
                <w:sz w:val="18"/>
                <w:szCs w:val="18"/>
              </w:rPr>
            </w:pPr>
          </w:p>
          <w:p w14:paraId="56FBA9B1" w14:textId="77777777" w:rsidR="00DB2213" w:rsidRPr="007A0C60" w:rsidRDefault="00DB2213" w:rsidP="00F523A8">
            <w:pPr>
              <w:jc w:val="center"/>
              <w:rPr>
                <w:sz w:val="18"/>
                <w:szCs w:val="18"/>
              </w:rPr>
            </w:pPr>
            <w:r w:rsidRPr="007A0C60">
              <w:rPr>
                <w:sz w:val="18"/>
                <w:szCs w:val="18"/>
              </w:rPr>
              <w:t>Youth: INCONCLUSIVE</w:t>
            </w:r>
          </w:p>
        </w:tc>
        <w:tc>
          <w:tcPr>
            <w:tcW w:w="2880" w:type="dxa"/>
            <w:shd w:val="clear" w:color="auto" w:fill="auto"/>
          </w:tcPr>
          <w:p w14:paraId="0FA9DA0C" w14:textId="77777777" w:rsidR="00DB2213" w:rsidRPr="007A0C60" w:rsidRDefault="00DB2213" w:rsidP="00F523A8">
            <w:pPr>
              <w:rPr>
                <w:sz w:val="18"/>
                <w:szCs w:val="18"/>
              </w:rPr>
            </w:pPr>
            <w:r w:rsidRPr="007A0C60">
              <w:rPr>
                <w:sz w:val="18"/>
                <w:szCs w:val="18"/>
              </w:rPr>
              <w:t>--</w:t>
            </w:r>
          </w:p>
        </w:tc>
        <w:tc>
          <w:tcPr>
            <w:tcW w:w="3510" w:type="dxa"/>
          </w:tcPr>
          <w:p w14:paraId="021EC3AC" w14:textId="77777777" w:rsidR="00DB2213" w:rsidRPr="007A0C60" w:rsidRDefault="00DB2213" w:rsidP="00F523A8">
            <w:pPr>
              <w:rPr>
                <w:sz w:val="18"/>
                <w:szCs w:val="18"/>
              </w:rPr>
            </w:pPr>
            <w:r w:rsidRPr="007A0C60">
              <w:rPr>
                <w:sz w:val="18"/>
                <w:szCs w:val="18"/>
              </w:rPr>
              <w:t>--</w:t>
            </w:r>
          </w:p>
        </w:tc>
      </w:tr>
      <w:tr w:rsidR="00DB2213" w:rsidRPr="007A0C60" w14:paraId="5FCB0C2B" w14:textId="77777777" w:rsidTr="00F523A8">
        <w:tc>
          <w:tcPr>
            <w:tcW w:w="1710" w:type="dxa"/>
            <w:shd w:val="clear" w:color="auto" w:fill="auto"/>
          </w:tcPr>
          <w:p w14:paraId="0B599DE2" w14:textId="77777777" w:rsidR="00DB2213" w:rsidRPr="007A0C60" w:rsidRDefault="00DB2213" w:rsidP="00F523A8">
            <w:pPr>
              <w:rPr>
                <w:sz w:val="18"/>
                <w:szCs w:val="18"/>
              </w:rPr>
            </w:pPr>
            <w:r w:rsidRPr="007A0C60">
              <w:rPr>
                <w:sz w:val="18"/>
                <w:szCs w:val="18"/>
              </w:rPr>
              <w:t xml:space="preserve">Cigarette type at initiation (M </w:t>
            </w:r>
            <w:r>
              <w:rPr>
                <w:sz w:val="18"/>
                <w:szCs w:val="18"/>
              </w:rPr>
              <w:t>versus</w:t>
            </w:r>
            <w:r w:rsidRPr="007A0C60">
              <w:rPr>
                <w:sz w:val="18"/>
                <w:szCs w:val="18"/>
              </w:rPr>
              <w:t xml:space="preserve"> NM)</w:t>
            </w:r>
          </w:p>
        </w:tc>
        <w:tc>
          <w:tcPr>
            <w:tcW w:w="1350" w:type="dxa"/>
            <w:shd w:val="clear" w:color="auto" w:fill="auto"/>
          </w:tcPr>
          <w:p w14:paraId="080A8C0C" w14:textId="77777777" w:rsidR="00DB2213" w:rsidRPr="007A0C60" w:rsidRDefault="00DB2213" w:rsidP="00F523A8">
            <w:pPr>
              <w:jc w:val="center"/>
              <w:rPr>
                <w:sz w:val="18"/>
                <w:szCs w:val="18"/>
              </w:rPr>
            </w:pPr>
            <w:r w:rsidRPr="007A0C60">
              <w:rPr>
                <w:sz w:val="18"/>
                <w:szCs w:val="18"/>
              </w:rPr>
              <w:t>Adults: INCONCLUSIVE</w:t>
            </w:r>
          </w:p>
          <w:p w14:paraId="17AB4A88" w14:textId="77777777" w:rsidR="00DB2213" w:rsidRPr="007A0C60" w:rsidRDefault="00DB2213" w:rsidP="00F523A8">
            <w:pPr>
              <w:jc w:val="center"/>
              <w:rPr>
                <w:sz w:val="18"/>
                <w:szCs w:val="18"/>
              </w:rPr>
            </w:pPr>
          </w:p>
          <w:p w14:paraId="2156F04A" w14:textId="77777777" w:rsidR="00DB2213" w:rsidRPr="007A0C60" w:rsidRDefault="00DB2213" w:rsidP="00F523A8">
            <w:pPr>
              <w:jc w:val="center"/>
              <w:rPr>
                <w:sz w:val="18"/>
                <w:szCs w:val="18"/>
              </w:rPr>
            </w:pPr>
            <w:r w:rsidRPr="007A0C60">
              <w:rPr>
                <w:sz w:val="18"/>
                <w:szCs w:val="18"/>
              </w:rPr>
              <w:t>Youth: INCONCLUSIVE</w:t>
            </w:r>
          </w:p>
        </w:tc>
        <w:tc>
          <w:tcPr>
            <w:tcW w:w="2880" w:type="dxa"/>
            <w:shd w:val="clear" w:color="auto" w:fill="auto"/>
          </w:tcPr>
          <w:p w14:paraId="1F4D1928" w14:textId="77777777" w:rsidR="00DB2213" w:rsidRPr="007A0C60" w:rsidRDefault="00DB2213" w:rsidP="00F523A8">
            <w:pPr>
              <w:rPr>
                <w:sz w:val="18"/>
                <w:szCs w:val="18"/>
              </w:rPr>
            </w:pPr>
            <w:r w:rsidRPr="007A0C60">
              <w:rPr>
                <w:sz w:val="18"/>
                <w:szCs w:val="18"/>
              </w:rPr>
              <w:t>--</w:t>
            </w:r>
          </w:p>
        </w:tc>
        <w:tc>
          <w:tcPr>
            <w:tcW w:w="3510" w:type="dxa"/>
          </w:tcPr>
          <w:p w14:paraId="6BCAD7F0" w14:textId="77777777" w:rsidR="00DB2213" w:rsidRPr="007A0C60" w:rsidRDefault="00DB2213" w:rsidP="00F523A8">
            <w:pPr>
              <w:rPr>
                <w:sz w:val="18"/>
                <w:szCs w:val="18"/>
              </w:rPr>
            </w:pPr>
            <w:r w:rsidRPr="007A0C60">
              <w:rPr>
                <w:sz w:val="18"/>
                <w:szCs w:val="18"/>
              </w:rPr>
              <w:t>--</w:t>
            </w:r>
          </w:p>
        </w:tc>
      </w:tr>
      <w:tr w:rsidR="00DB2213" w:rsidRPr="007A0C60" w14:paraId="40307AFE" w14:textId="77777777" w:rsidTr="00F523A8">
        <w:tc>
          <w:tcPr>
            <w:tcW w:w="1710" w:type="dxa"/>
            <w:shd w:val="clear" w:color="auto" w:fill="auto"/>
          </w:tcPr>
          <w:p w14:paraId="0B9EC2BD" w14:textId="77777777" w:rsidR="00DB2213" w:rsidRPr="007A0C60" w:rsidRDefault="00DB2213" w:rsidP="00F523A8">
            <w:pPr>
              <w:rPr>
                <w:sz w:val="18"/>
                <w:szCs w:val="18"/>
              </w:rPr>
            </w:pPr>
            <w:r w:rsidRPr="007A0C60">
              <w:rPr>
                <w:sz w:val="18"/>
                <w:szCs w:val="18"/>
              </w:rPr>
              <w:t>Switching between M/NM type</w:t>
            </w:r>
          </w:p>
        </w:tc>
        <w:tc>
          <w:tcPr>
            <w:tcW w:w="1350" w:type="dxa"/>
            <w:shd w:val="clear" w:color="auto" w:fill="auto"/>
          </w:tcPr>
          <w:p w14:paraId="64A17C76" w14:textId="77777777" w:rsidR="00DB2213" w:rsidRPr="007A0C60" w:rsidRDefault="00DB2213" w:rsidP="00F523A8">
            <w:pPr>
              <w:jc w:val="center"/>
              <w:rPr>
                <w:sz w:val="18"/>
                <w:szCs w:val="18"/>
              </w:rPr>
            </w:pPr>
            <w:r w:rsidRPr="007A0C60">
              <w:rPr>
                <w:sz w:val="18"/>
                <w:szCs w:val="18"/>
              </w:rPr>
              <w:t>Adults: INCONCLUSIVE</w:t>
            </w:r>
          </w:p>
          <w:p w14:paraId="2230B6BA" w14:textId="77777777" w:rsidR="00DB2213" w:rsidRPr="007A0C60" w:rsidRDefault="00DB2213" w:rsidP="00F523A8">
            <w:pPr>
              <w:jc w:val="center"/>
              <w:rPr>
                <w:sz w:val="18"/>
                <w:szCs w:val="18"/>
              </w:rPr>
            </w:pPr>
          </w:p>
          <w:p w14:paraId="41DEBAB6" w14:textId="77777777" w:rsidR="00DB2213" w:rsidRPr="007A0C60" w:rsidRDefault="00DB2213" w:rsidP="00F523A8">
            <w:pPr>
              <w:jc w:val="center"/>
              <w:rPr>
                <w:sz w:val="18"/>
                <w:szCs w:val="18"/>
              </w:rPr>
            </w:pPr>
            <w:r w:rsidRPr="007A0C60">
              <w:rPr>
                <w:sz w:val="18"/>
                <w:szCs w:val="18"/>
              </w:rPr>
              <w:t>Youth: INCONCLUSIVE</w:t>
            </w:r>
          </w:p>
        </w:tc>
        <w:tc>
          <w:tcPr>
            <w:tcW w:w="2880" w:type="dxa"/>
            <w:shd w:val="clear" w:color="auto" w:fill="auto"/>
          </w:tcPr>
          <w:p w14:paraId="18ADBA5A" w14:textId="77777777" w:rsidR="00DB2213" w:rsidRPr="007A0C60" w:rsidRDefault="00DB2213" w:rsidP="00F523A8">
            <w:pPr>
              <w:rPr>
                <w:sz w:val="18"/>
                <w:szCs w:val="18"/>
              </w:rPr>
            </w:pPr>
            <w:r w:rsidRPr="007A0C60">
              <w:rPr>
                <w:sz w:val="18"/>
                <w:szCs w:val="18"/>
              </w:rPr>
              <w:t>--</w:t>
            </w:r>
          </w:p>
        </w:tc>
        <w:tc>
          <w:tcPr>
            <w:tcW w:w="3510" w:type="dxa"/>
          </w:tcPr>
          <w:p w14:paraId="5BD2C731" w14:textId="77777777" w:rsidR="00DB2213" w:rsidRPr="007A0C60" w:rsidRDefault="00DB2213" w:rsidP="00F523A8">
            <w:pPr>
              <w:rPr>
                <w:sz w:val="18"/>
                <w:szCs w:val="18"/>
              </w:rPr>
            </w:pPr>
            <w:r w:rsidRPr="007A0C60">
              <w:rPr>
                <w:sz w:val="18"/>
                <w:szCs w:val="18"/>
              </w:rPr>
              <w:t>--</w:t>
            </w:r>
          </w:p>
        </w:tc>
      </w:tr>
      <w:tr w:rsidR="00DB2213" w:rsidRPr="007A0C60" w14:paraId="3708268D" w14:textId="77777777" w:rsidTr="00F523A8">
        <w:tc>
          <w:tcPr>
            <w:tcW w:w="1710" w:type="dxa"/>
            <w:shd w:val="clear" w:color="auto" w:fill="auto"/>
          </w:tcPr>
          <w:p w14:paraId="1EEB3419" w14:textId="77777777" w:rsidR="00DB2213" w:rsidRPr="007A0C60" w:rsidRDefault="00DB2213" w:rsidP="00F523A8">
            <w:pPr>
              <w:rPr>
                <w:sz w:val="18"/>
                <w:szCs w:val="18"/>
              </w:rPr>
            </w:pPr>
            <w:r w:rsidRPr="007A0C60">
              <w:rPr>
                <w:sz w:val="18"/>
                <w:szCs w:val="18"/>
              </w:rPr>
              <w:t>Quantity/frequency of cigarettes smoked within 30 days of initiation</w:t>
            </w:r>
          </w:p>
        </w:tc>
        <w:tc>
          <w:tcPr>
            <w:tcW w:w="1350" w:type="dxa"/>
            <w:shd w:val="clear" w:color="auto" w:fill="auto"/>
          </w:tcPr>
          <w:p w14:paraId="403A640C" w14:textId="77777777" w:rsidR="00DB2213" w:rsidRPr="007A0C60" w:rsidRDefault="00DB2213" w:rsidP="00F523A8">
            <w:pPr>
              <w:jc w:val="center"/>
              <w:rPr>
                <w:sz w:val="18"/>
                <w:szCs w:val="18"/>
              </w:rPr>
            </w:pPr>
            <w:r w:rsidRPr="007A0C60">
              <w:rPr>
                <w:sz w:val="18"/>
                <w:szCs w:val="18"/>
              </w:rPr>
              <w:t>Adults: INCONCLUSIVE</w:t>
            </w:r>
          </w:p>
          <w:p w14:paraId="1B1CE658" w14:textId="77777777" w:rsidR="00DB2213" w:rsidRPr="007A0C60" w:rsidRDefault="00DB2213" w:rsidP="00F523A8">
            <w:pPr>
              <w:jc w:val="center"/>
              <w:rPr>
                <w:sz w:val="18"/>
                <w:szCs w:val="18"/>
              </w:rPr>
            </w:pPr>
          </w:p>
          <w:p w14:paraId="3EBD8A79" w14:textId="77777777" w:rsidR="00DB2213" w:rsidRPr="007A0C60" w:rsidRDefault="00DB2213" w:rsidP="00F523A8">
            <w:pPr>
              <w:jc w:val="center"/>
              <w:rPr>
                <w:sz w:val="18"/>
                <w:szCs w:val="18"/>
              </w:rPr>
            </w:pPr>
            <w:r w:rsidRPr="007A0C60">
              <w:rPr>
                <w:sz w:val="18"/>
                <w:szCs w:val="18"/>
              </w:rPr>
              <w:t>Youth: INCONCLUSIVE</w:t>
            </w:r>
          </w:p>
        </w:tc>
        <w:tc>
          <w:tcPr>
            <w:tcW w:w="2880" w:type="dxa"/>
            <w:shd w:val="clear" w:color="auto" w:fill="auto"/>
          </w:tcPr>
          <w:p w14:paraId="087608E5" w14:textId="77777777" w:rsidR="00DB2213" w:rsidRPr="007A0C60" w:rsidRDefault="00DB2213" w:rsidP="00F523A8">
            <w:pPr>
              <w:rPr>
                <w:sz w:val="18"/>
                <w:szCs w:val="18"/>
              </w:rPr>
            </w:pPr>
            <w:r w:rsidRPr="007A0C60">
              <w:rPr>
                <w:sz w:val="18"/>
                <w:szCs w:val="18"/>
              </w:rPr>
              <w:t>--</w:t>
            </w:r>
          </w:p>
        </w:tc>
        <w:tc>
          <w:tcPr>
            <w:tcW w:w="3510" w:type="dxa"/>
          </w:tcPr>
          <w:p w14:paraId="333FF0DD" w14:textId="77777777" w:rsidR="00DB2213" w:rsidRPr="007A0C60" w:rsidRDefault="00DB2213" w:rsidP="00F523A8">
            <w:pPr>
              <w:rPr>
                <w:sz w:val="18"/>
                <w:szCs w:val="18"/>
              </w:rPr>
            </w:pPr>
            <w:r w:rsidRPr="007A0C60">
              <w:rPr>
                <w:sz w:val="18"/>
                <w:szCs w:val="18"/>
              </w:rPr>
              <w:t>--</w:t>
            </w:r>
          </w:p>
        </w:tc>
      </w:tr>
      <w:tr w:rsidR="00DB2213" w:rsidRPr="007A0C60" w14:paraId="3551213F" w14:textId="77777777" w:rsidTr="00F523A8">
        <w:tc>
          <w:tcPr>
            <w:tcW w:w="1710" w:type="dxa"/>
            <w:shd w:val="clear" w:color="auto" w:fill="auto"/>
          </w:tcPr>
          <w:p w14:paraId="4EBBC803" w14:textId="77777777" w:rsidR="00DB2213" w:rsidRPr="007A0C60" w:rsidRDefault="00DB2213" w:rsidP="00F523A8">
            <w:pPr>
              <w:rPr>
                <w:sz w:val="18"/>
                <w:szCs w:val="18"/>
              </w:rPr>
            </w:pPr>
            <w:r>
              <w:rPr>
                <w:sz w:val="18"/>
                <w:szCs w:val="18"/>
              </w:rPr>
              <w:t>Initiation and p</w:t>
            </w:r>
            <w:r w:rsidRPr="007A0C60">
              <w:rPr>
                <w:sz w:val="18"/>
                <w:szCs w:val="18"/>
              </w:rPr>
              <w:t>rogression to regular smoking/increase in smoking over time</w:t>
            </w:r>
          </w:p>
        </w:tc>
        <w:tc>
          <w:tcPr>
            <w:tcW w:w="1350" w:type="dxa"/>
            <w:shd w:val="clear" w:color="auto" w:fill="auto"/>
          </w:tcPr>
          <w:p w14:paraId="14F4FE4C" w14:textId="308D2B10" w:rsidR="00DB2213" w:rsidRPr="007A0C60" w:rsidRDefault="00DB2213" w:rsidP="00F523A8">
            <w:pPr>
              <w:jc w:val="center"/>
              <w:rPr>
                <w:sz w:val="18"/>
                <w:szCs w:val="18"/>
              </w:rPr>
            </w:pPr>
            <w:r w:rsidRPr="007A0C60">
              <w:rPr>
                <w:sz w:val="18"/>
                <w:szCs w:val="18"/>
              </w:rPr>
              <w:t xml:space="preserve">Adults: </w:t>
            </w:r>
            <w:r w:rsidR="00F523A8">
              <w:rPr>
                <w:sz w:val="18"/>
                <w:szCs w:val="18"/>
              </w:rPr>
              <w:t>ACCEPTABLE</w:t>
            </w:r>
          </w:p>
          <w:p w14:paraId="15CC6FF8" w14:textId="77777777" w:rsidR="00DB2213" w:rsidRPr="007A0C60" w:rsidRDefault="00DB2213" w:rsidP="00F523A8">
            <w:pPr>
              <w:jc w:val="center"/>
              <w:rPr>
                <w:sz w:val="18"/>
                <w:szCs w:val="18"/>
              </w:rPr>
            </w:pPr>
          </w:p>
          <w:p w14:paraId="5EF04613" w14:textId="77777777" w:rsidR="00DB2213" w:rsidRPr="007A0C60" w:rsidRDefault="00DB2213" w:rsidP="00F523A8">
            <w:pPr>
              <w:jc w:val="center"/>
              <w:rPr>
                <w:sz w:val="18"/>
                <w:szCs w:val="18"/>
              </w:rPr>
            </w:pPr>
            <w:r w:rsidRPr="007A0C60">
              <w:rPr>
                <w:sz w:val="18"/>
                <w:szCs w:val="18"/>
              </w:rPr>
              <w:t xml:space="preserve">Youth: </w:t>
            </w:r>
            <w:r>
              <w:rPr>
                <w:sz w:val="18"/>
                <w:szCs w:val="18"/>
              </w:rPr>
              <w:t>ACCEPTABLE</w:t>
            </w:r>
          </w:p>
        </w:tc>
        <w:tc>
          <w:tcPr>
            <w:tcW w:w="2880" w:type="dxa"/>
            <w:shd w:val="clear" w:color="auto" w:fill="auto"/>
          </w:tcPr>
          <w:p w14:paraId="42BD1D98" w14:textId="1965DD8D" w:rsidR="00DB2213" w:rsidRPr="00F523A8" w:rsidRDefault="00D2134A" w:rsidP="00F523A8">
            <w:pPr>
              <w:tabs>
                <w:tab w:val="left" w:pos="2552"/>
              </w:tabs>
              <w:spacing w:before="60" w:after="120"/>
              <w:contextualSpacing/>
              <w:rPr>
                <w:rFonts w:asciiTheme="minorHAnsi" w:hAnsiTheme="minorHAnsi" w:cstheme="minorHAnsi"/>
                <w:b/>
                <w:sz w:val="18"/>
                <w:szCs w:val="18"/>
                <w:u w:val="single"/>
              </w:rPr>
            </w:pPr>
            <w:r>
              <w:rPr>
                <w:rFonts w:cstheme="minorHAnsi"/>
                <w:b/>
                <w:sz w:val="18"/>
                <w:szCs w:val="18"/>
                <w:u w:val="single"/>
              </w:rPr>
              <w:fldChar w:fldCharType="begin"/>
            </w:r>
            <w:r>
              <w:rPr>
                <w:rFonts w:cstheme="minorHAnsi"/>
                <w:b/>
                <w:sz w:val="18"/>
                <w:szCs w:val="18"/>
                <w:u w:val="single"/>
              </w:rPr>
              <w:instrText xml:space="preserve"> ADDIN EN.CITE &lt;EndNote&gt;&lt;Cite&gt;&lt;Author&gt;Blank&lt;/Author&gt;&lt;Year&gt;2016&lt;/Year&gt;&lt;RecNum&gt;155&lt;/RecNum&gt;&lt;DisplayText&gt;(36)&lt;/DisplayText&gt;&lt;record&gt;&lt;rec-number&gt;155&lt;/rec-number&gt;&lt;foreign-keys&gt;&lt;key app="EN" db-id="a2vz2dfp8xrad6exes75zwpiw5rxwa0vwapv" timestamp="0"&gt;155&lt;/key&gt;&lt;/foreign-keys&gt;&lt;ref-type name="Journal Article"&gt;17&lt;/ref-type&gt;&lt;contributors&gt;&lt;authors&gt;&lt;author&gt;Blank, M. D.&lt;/author&gt;&lt;author&gt;Breland, A. B.&lt;/author&gt;&lt;author&gt;Enlow, P. T.&lt;/author&gt;&lt;author&gt;Duncan, C.&lt;/author&gt;&lt;author&gt;Metzger, A.&lt;/author&gt;&lt;author&gt;Cobb, C. O.&lt;/author&gt;&lt;/authors&gt;&lt;/contributors&gt;&lt;titles&gt;&lt;title&gt;Measurement of Smoking Behavior: Comparison of Self-Reports, Returned Cigarette Butts, and Toxicant Levels&lt;/title&gt;&lt;secondary-title&gt;Exp Clin Psychopharmacol&lt;/secondary-title&gt;&lt;alt-title&gt;Experimental and clinical psychopharmacology&lt;/alt-title&gt;&lt;/titles&gt;&lt;alt-periodical&gt;&lt;full-title&gt;Experimental and Clinical Psychopharmacology&lt;/full-title&gt;&lt;/alt-periodical&gt;&lt;edition&gt;2016/06/28&lt;/edition&gt;&lt;dates&gt;&lt;year&gt;2016&lt;/year&gt;&lt;pub-dates&gt;&lt;date&gt;Jun 27&lt;/date&gt;&lt;/pub-dates&gt;&lt;/dates&gt;&lt;isbn&gt;1064-1297&lt;/isbn&gt;&lt;accession-num&gt;27347741&lt;/accession-num&gt;&lt;urls&gt;&lt;/urls&gt;&lt;electronic-resource-num&gt;10.1037/pha0000083&lt;/electronic-resource-num&gt;&lt;remote-database-provider&gt;NLM&lt;/remote-database-provider&gt;&lt;language&gt;Eng&lt;/language&gt;&lt;/record&gt;&lt;/Cite&gt;&lt;/EndNote&gt;</w:instrText>
            </w:r>
            <w:r>
              <w:rPr>
                <w:rFonts w:cstheme="minorHAnsi"/>
                <w:b/>
                <w:sz w:val="18"/>
                <w:szCs w:val="18"/>
                <w:u w:val="single"/>
              </w:rPr>
              <w:fldChar w:fldCharType="separate"/>
            </w:r>
            <w:r>
              <w:rPr>
                <w:rFonts w:cstheme="minorHAnsi"/>
                <w:b/>
                <w:noProof/>
                <w:sz w:val="18"/>
                <w:szCs w:val="18"/>
                <w:u w:val="single"/>
              </w:rPr>
              <w:t>(</w:t>
            </w:r>
            <w:hyperlink w:anchor="_ENREF_36" w:tooltip="Blank, 2016 #155" w:history="1">
              <w:r w:rsidR="00A234A9">
                <w:rPr>
                  <w:rFonts w:cstheme="minorHAnsi"/>
                  <w:b/>
                  <w:noProof/>
                  <w:sz w:val="18"/>
                  <w:szCs w:val="18"/>
                  <w:u w:val="single"/>
                </w:rPr>
                <w:t>36</w:t>
              </w:r>
            </w:hyperlink>
            <w:r>
              <w:rPr>
                <w:rFonts w:cstheme="minorHAnsi"/>
                <w:b/>
                <w:noProof/>
                <w:sz w:val="18"/>
                <w:szCs w:val="18"/>
                <w:u w:val="single"/>
              </w:rPr>
              <w:t>)</w:t>
            </w:r>
            <w:r>
              <w:rPr>
                <w:rFonts w:cstheme="minorHAnsi"/>
                <w:b/>
                <w:sz w:val="18"/>
                <w:szCs w:val="18"/>
                <w:u w:val="single"/>
              </w:rPr>
              <w:fldChar w:fldCharType="end"/>
            </w:r>
          </w:p>
          <w:p w14:paraId="6C253020" w14:textId="77777777" w:rsidR="00DB2213" w:rsidRPr="00ED5FCD" w:rsidRDefault="00DB2213" w:rsidP="00F523A8">
            <w:pPr>
              <w:tabs>
                <w:tab w:val="left" w:pos="2552"/>
              </w:tabs>
              <w:spacing w:before="60" w:after="120"/>
              <w:contextualSpacing/>
              <w:rPr>
                <w:rFonts w:asciiTheme="minorHAnsi" w:hAnsiTheme="minorHAnsi" w:cstheme="minorHAnsi"/>
                <w:sz w:val="18"/>
                <w:szCs w:val="18"/>
              </w:rPr>
            </w:pPr>
            <w:r w:rsidRPr="00ED5FCD">
              <w:rPr>
                <w:rFonts w:asciiTheme="minorHAnsi" w:hAnsiTheme="minorHAnsi" w:cstheme="minorHAnsi"/>
                <w:sz w:val="18"/>
                <w:szCs w:val="18"/>
              </w:rPr>
              <w:t>Test-retest reliability of smokers’ self-reported CPD on the phone and during in-person interview</w:t>
            </w:r>
          </w:p>
          <w:p w14:paraId="69B428A5" w14:textId="77777777" w:rsidR="00DB2213" w:rsidRPr="00D22AE2" w:rsidRDefault="00DB2213" w:rsidP="00F523A8">
            <w:pPr>
              <w:tabs>
                <w:tab w:val="left" w:pos="2552"/>
              </w:tabs>
              <w:spacing w:before="60" w:after="120"/>
              <w:contextualSpacing/>
              <w:rPr>
                <w:rFonts w:asciiTheme="minorHAnsi" w:hAnsiTheme="minorHAnsi" w:cstheme="minorHAnsi"/>
                <w:sz w:val="18"/>
                <w:szCs w:val="18"/>
              </w:rPr>
            </w:pPr>
            <w:r w:rsidRPr="00D22AE2">
              <w:rPr>
                <w:rFonts w:asciiTheme="minorHAnsi" w:hAnsiTheme="minorHAnsi" w:cstheme="minorHAnsi"/>
                <w:i/>
                <w:iCs/>
                <w:sz w:val="18"/>
                <w:szCs w:val="18"/>
              </w:rPr>
              <w:t xml:space="preserve">r </w:t>
            </w:r>
            <w:r w:rsidRPr="00D22AE2">
              <w:rPr>
                <w:rFonts w:asciiTheme="minorHAnsi" w:hAnsiTheme="minorHAnsi" w:cstheme="minorHAnsi"/>
                <w:sz w:val="18"/>
                <w:szCs w:val="18"/>
              </w:rPr>
              <w:t>= 0.86 (p&lt;0.001)</w:t>
            </w:r>
          </w:p>
          <w:p w14:paraId="3F8826DF" w14:textId="77777777" w:rsidR="00DB2213" w:rsidRPr="00D22AE2" w:rsidRDefault="00DB2213" w:rsidP="00F523A8">
            <w:pPr>
              <w:tabs>
                <w:tab w:val="left" w:pos="2552"/>
              </w:tabs>
              <w:spacing w:before="60" w:after="120"/>
              <w:contextualSpacing/>
              <w:rPr>
                <w:rFonts w:asciiTheme="minorHAnsi" w:hAnsiTheme="minorHAnsi" w:cstheme="minorHAnsi"/>
                <w:sz w:val="18"/>
                <w:szCs w:val="18"/>
              </w:rPr>
            </w:pPr>
            <w:r w:rsidRPr="00D22AE2">
              <w:rPr>
                <w:rFonts w:asciiTheme="minorHAnsi" w:hAnsiTheme="minorHAnsi" w:cstheme="minorHAnsi"/>
                <w:sz w:val="18"/>
                <w:szCs w:val="18"/>
              </w:rPr>
              <w:t>Test-retest interval: 1 to 2-weeks</w:t>
            </w:r>
          </w:p>
          <w:p w14:paraId="65480630" w14:textId="77777777" w:rsidR="00DB2213" w:rsidRPr="00D22AE2" w:rsidRDefault="00DB2213" w:rsidP="00F523A8">
            <w:pPr>
              <w:tabs>
                <w:tab w:val="left" w:pos="2552"/>
              </w:tabs>
              <w:spacing w:before="60" w:after="120"/>
              <w:contextualSpacing/>
              <w:rPr>
                <w:rFonts w:asciiTheme="minorHAnsi" w:hAnsiTheme="minorHAnsi" w:cstheme="minorHAnsi"/>
                <w:i/>
                <w:sz w:val="18"/>
                <w:szCs w:val="18"/>
              </w:rPr>
            </w:pPr>
            <w:r w:rsidRPr="00D22AE2">
              <w:rPr>
                <w:rFonts w:asciiTheme="minorHAnsi" w:hAnsiTheme="minorHAnsi" w:cstheme="minorHAnsi"/>
                <w:i/>
                <w:sz w:val="18"/>
                <w:szCs w:val="18"/>
              </w:rPr>
              <w:t>56 adults, largely White males.</w:t>
            </w:r>
          </w:p>
          <w:p w14:paraId="17223CBA" w14:textId="77777777" w:rsidR="00DB2213" w:rsidRDefault="00DB2213" w:rsidP="00F523A8">
            <w:pPr>
              <w:spacing w:after="120"/>
              <w:rPr>
                <w:rFonts w:cstheme="minorHAnsi"/>
                <w:b/>
                <w:sz w:val="18"/>
                <w:szCs w:val="18"/>
                <w:u w:val="single"/>
              </w:rPr>
            </w:pPr>
          </w:p>
          <w:p w14:paraId="17806485" w14:textId="16B54EA3" w:rsidR="00DB2213" w:rsidRPr="00F523A8" w:rsidRDefault="00D2134A" w:rsidP="00F523A8">
            <w:pPr>
              <w:widowControl w:val="0"/>
              <w:spacing w:before="60" w:after="120"/>
              <w:contextualSpacing/>
              <w:rPr>
                <w:rFonts w:asciiTheme="minorHAnsi" w:hAnsiTheme="minorHAnsi" w:cstheme="minorHAnsi"/>
                <w:b/>
                <w:iCs/>
                <w:sz w:val="18"/>
                <w:szCs w:val="18"/>
                <w:u w:val="single"/>
              </w:rPr>
            </w:pPr>
            <w:r>
              <w:rPr>
                <w:rFonts w:cstheme="minorHAnsi"/>
                <w:b/>
                <w:iCs/>
                <w:sz w:val="18"/>
                <w:szCs w:val="18"/>
                <w:u w:val="single"/>
              </w:rPr>
              <w:fldChar w:fldCharType="begin"/>
            </w:r>
            <w:r>
              <w:rPr>
                <w:rFonts w:cstheme="minorHAnsi"/>
                <w:b/>
                <w:iCs/>
                <w:sz w:val="18"/>
                <w:szCs w:val="18"/>
                <w:u w:val="single"/>
              </w:rPr>
              <w:instrText xml:space="preserve"> ADDIN EN.CITE &lt;EndNote&gt;&lt;Cite&gt;&lt;Author&gt;Brener&lt;/Author&gt;&lt;Year&gt;2002&lt;/Year&gt;&lt;RecNum&gt;128&lt;/RecNum&gt;&lt;DisplayText&gt;(37)&lt;/DisplayText&gt;&lt;record&gt;&lt;rec-number&gt;128&lt;/rec-number&gt;&lt;foreign-keys&gt;&lt;key app="EN" db-id="a2vz2dfp8xrad6exes75zwpiw5rxwa0vwapv" timestamp="0"&gt;128&lt;/key&gt;&lt;/foreign-keys&gt;&lt;ref-type name="Journal Article"&gt;17&lt;/ref-type&gt;&lt;contributors&gt;&lt;authors&gt;&lt;author&gt;Brener, N. D.&lt;/author&gt;&lt;author&gt;Kann, L.&lt;/author&gt;&lt;author&gt;McManus, T.&lt;/author&gt;&lt;author&gt;Kinchen, S. A.&lt;/author&gt;&lt;author&gt;Sundberg, E. C.&lt;/author&gt;&lt;author&gt;Ross, J. G.&lt;/author&gt;&lt;/authors&gt;&lt;/contributors&gt;&lt;auth-address&gt;Division of Adolescent and School Health, National Center for Chronic Disease Prevention and Health Promotion, Centers for Disease Control and Prevention, Atlanta, Georgia 30341, USA. nad1@cdc.gov&lt;/auth-address&gt;&lt;titles&gt;&lt;title&gt;Reliability of the 1999 youth risk behavior survey questionnaire&lt;/title&gt;&lt;secondary-title&gt;J Adolesc Health&lt;/secondary-title&gt;&lt;alt-title&gt;The Journal of adolescent health : official publication of the Society for Adolescent Medicine&lt;/alt-title&gt;&lt;/titles&gt;&lt;alt-periodical&gt;&lt;full-title&gt;The Journal of adolescent health : official publication of the Society for Adolescent Medicine&lt;/full-title&gt;&lt;/alt-periodical&gt;&lt;pages&gt;336-42&lt;/pages&gt;&lt;volume&gt;31&lt;/volume&gt;&lt;number&gt;4&lt;/number&gt;&lt;edition&gt;2002/10/03&lt;/edition&gt;&lt;keywords&gt;&lt;keyword&gt;Adolescent&lt;/keyword&gt;&lt;keyword&gt;*Adolescent Behavior&lt;/keyword&gt;&lt;keyword&gt;Female&lt;/keyword&gt;&lt;keyword&gt;*Health Behavior&lt;/keyword&gt;&lt;keyword&gt;*Health Surveys&lt;/keyword&gt;&lt;keyword&gt;Humans&lt;/keyword&gt;&lt;keyword&gt;Male&lt;/keyword&gt;&lt;keyword&gt;Reproducibility of Results&lt;/keyword&gt;&lt;keyword&gt;*Risk-Taking&lt;/keyword&gt;&lt;keyword&gt;*Surveys and Questionnaires&lt;/keyword&gt;&lt;keyword&gt;United States&lt;/keyword&gt;&lt;/keywords&gt;&lt;dates&gt;&lt;year&gt;2002&lt;/year&gt;&lt;pub-dates&gt;&lt;date&gt;Oct&lt;/date&gt;&lt;/pub-dates&gt;&lt;/dates&gt;&lt;isbn&gt;1054-139X (Print)&amp;#xD;1054-139x&lt;/isbn&gt;&lt;accession-num&gt;12359379&lt;/accession-num&gt;&lt;urls&gt;&lt;/urls&gt;&lt;remote-database-provider&gt;NLM&lt;/remote-database-provider&gt;&lt;language&gt;eng&lt;/language&gt;&lt;/record&gt;&lt;/Cite&gt;&lt;/EndNote&gt;</w:instrText>
            </w:r>
            <w:r>
              <w:rPr>
                <w:rFonts w:cstheme="minorHAnsi"/>
                <w:b/>
                <w:iCs/>
                <w:sz w:val="18"/>
                <w:szCs w:val="18"/>
                <w:u w:val="single"/>
              </w:rPr>
              <w:fldChar w:fldCharType="separate"/>
            </w:r>
            <w:r>
              <w:rPr>
                <w:rFonts w:cstheme="minorHAnsi"/>
                <w:b/>
                <w:iCs/>
                <w:noProof/>
                <w:sz w:val="18"/>
                <w:szCs w:val="18"/>
                <w:u w:val="single"/>
              </w:rPr>
              <w:t>(</w:t>
            </w:r>
            <w:hyperlink w:anchor="_ENREF_37" w:tooltip="Brener, 2002 #128" w:history="1">
              <w:r w:rsidR="00A234A9">
                <w:rPr>
                  <w:rFonts w:cstheme="minorHAnsi"/>
                  <w:b/>
                  <w:iCs/>
                  <w:noProof/>
                  <w:sz w:val="18"/>
                  <w:szCs w:val="18"/>
                  <w:u w:val="single"/>
                </w:rPr>
                <w:t>37</w:t>
              </w:r>
            </w:hyperlink>
            <w:r>
              <w:rPr>
                <w:rFonts w:cstheme="minorHAnsi"/>
                <w:b/>
                <w:iCs/>
                <w:noProof/>
                <w:sz w:val="18"/>
                <w:szCs w:val="18"/>
                <w:u w:val="single"/>
              </w:rPr>
              <w:t>)</w:t>
            </w:r>
            <w:r>
              <w:rPr>
                <w:rFonts w:cstheme="minorHAnsi"/>
                <w:b/>
                <w:iCs/>
                <w:sz w:val="18"/>
                <w:szCs w:val="18"/>
                <w:u w:val="single"/>
              </w:rPr>
              <w:fldChar w:fldCharType="end"/>
            </w:r>
          </w:p>
          <w:p w14:paraId="339CF797" w14:textId="77777777" w:rsidR="00DB2213" w:rsidRPr="00ED5FCD" w:rsidRDefault="00DB2213" w:rsidP="00F523A8">
            <w:pPr>
              <w:widowControl w:val="0"/>
              <w:spacing w:before="60" w:after="120"/>
              <w:contextualSpacing/>
              <w:rPr>
                <w:rFonts w:asciiTheme="minorHAnsi" w:hAnsiTheme="minorHAnsi" w:cstheme="minorHAnsi"/>
                <w:iCs/>
                <w:sz w:val="18"/>
                <w:szCs w:val="18"/>
              </w:rPr>
            </w:pPr>
            <w:r w:rsidRPr="00ED5FCD">
              <w:rPr>
                <w:rFonts w:asciiTheme="minorHAnsi" w:hAnsiTheme="minorHAnsi" w:cstheme="minorHAnsi"/>
                <w:iCs/>
                <w:sz w:val="18"/>
                <w:szCs w:val="18"/>
              </w:rPr>
              <w:t>Questionnaire administered in classrooms</w:t>
            </w:r>
          </w:p>
          <w:p w14:paraId="27D33B51" w14:textId="77777777" w:rsidR="00DB2213" w:rsidRPr="00D22AE2" w:rsidRDefault="00DB2213" w:rsidP="00F523A8">
            <w:pPr>
              <w:widowControl w:val="0"/>
              <w:spacing w:before="60" w:after="120"/>
              <w:contextualSpacing/>
              <w:rPr>
                <w:rFonts w:asciiTheme="minorHAnsi" w:hAnsiTheme="minorHAnsi" w:cstheme="minorHAnsi"/>
                <w:iCs/>
                <w:sz w:val="18"/>
                <w:szCs w:val="18"/>
              </w:rPr>
            </w:pPr>
            <w:r w:rsidRPr="00D22AE2">
              <w:rPr>
                <w:rFonts w:asciiTheme="minorHAnsi" w:hAnsiTheme="minorHAnsi" w:cstheme="minorHAnsi"/>
                <w:iCs/>
                <w:sz w:val="18"/>
                <w:szCs w:val="18"/>
              </w:rPr>
              <w:t>κ (%) = 83.5 (self-reported: smoked ≥20 CPD on the days smoked during the past 30 days)</w:t>
            </w:r>
          </w:p>
          <w:p w14:paraId="6D9755A2" w14:textId="77777777" w:rsidR="00DB2213" w:rsidRPr="00D22AE2" w:rsidRDefault="00DB2213" w:rsidP="00F523A8">
            <w:pPr>
              <w:widowControl w:val="0"/>
              <w:spacing w:before="60" w:after="120"/>
              <w:contextualSpacing/>
              <w:rPr>
                <w:rFonts w:asciiTheme="minorHAnsi" w:hAnsiTheme="minorHAnsi" w:cstheme="minorHAnsi"/>
                <w:iCs/>
                <w:sz w:val="18"/>
                <w:szCs w:val="18"/>
              </w:rPr>
            </w:pPr>
            <w:r w:rsidRPr="00D22AE2">
              <w:rPr>
                <w:rFonts w:asciiTheme="minorHAnsi" w:hAnsiTheme="minorHAnsi" w:cstheme="minorHAnsi"/>
                <w:iCs/>
                <w:sz w:val="18"/>
                <w:szCs w:val="18"/>
              </w:rPr>
              <w:t>Test-retest interval: 2 weeks</w:t>
            </w:r>
          </w:p>
          <w:p w14:paraId="61BD256E" w14:textId="77777777" w:rsidR="00DB2213" w:rsidRPr="00D22AE2" w:rsidRDefault="00DB2213" w:rsidP="00F523A8">
            <w:pPr>
              <w:widowControl w:val="0"/>
              <w:spacing w:before="60" w:after="120"/>
              <w:contextualSpacing/>
              <w:rPr>
                <w:rFonts w:asciiTheme="minorHAnsi" w:hAnsiTheme="minorHAnsi" w:cstheme="minorHAnsi"/>
                <w:i/>
                <w:iCs/>
                <w:sz w:val="18"/>
                <w:szCs w:val="18"/>
              </w:rPr>
            </w:pPr>
            <w:r w:rsidRPr="00D22AE2">
              <w:rPr>
                <w:rFonts w:asciiTheme="minorHAnsi" w:hAnsiTheme="minorHAnsi" w:cstheme="minorHAnsi"/>
                <w:i/>
                <w:iCs/>
                <w:sz w:val="18"/>
                <w:szCs w:val="18"/>
              </w:rPr>
              <w:t>4,619 male (46.6%) and female (53.4%) high-school students (Grade 9 through 12) from White (52.2%), Black (31.4%), Hispanic (6.1%), and other groups (10.3%) in the U.S.</w:t>
            </w:r>
          </w:p>
          <w:p w14:paraId="3051D749" w14:textId="77777777" w:rsidR="00DB2213" w:rsidRDefault="00DB2213" w:rsidP="00F523A8">
            <w:pPr>
              <w:spacing w:after="120"/>
              <w:rPr>
                <w:rFonts w:cstheme="minorHAnsi"/>
                <w:b/>
                <w:sz w:val="18"/>
                <w:szCs w:val="18"/>
                <w:u w:val="single"/>
              </w:rPr>
            </w:pPr>
          </w:p>
          <w:p w14:paraId="4EBCDBB1" w14:textId="3D37DBA7" w:rsidR="00DB2213" w:rsidRPr="00F523A8" w:rsidRDefault="00D2134A" w:rsidP="00F523A8">
            <w:pPr>
              <w:widowControl w:val="0"/>
              <w:spacing w:before="60" w:after="120"/>
              <w:contextualSpacing/>
              <w:rPr>
                <w:rFonts w:asciiTheme="minorHAnsi" w:hAnsiTheme="minorHAnsi" w:cstheme="minorHAnsi"/>
                <w:b/>
                <w:iCs/>
                <w:sz w:val="18"/>
                <w:szCs w:val="18"/>
                <w:u w:val="single"/>
              </w:rPr>
            </w:pPr>
            <w:r>
              <w:rPr>
                <w:rFonts w:cstheme="minorHAnsi"/>
                <w:b/>
                <w:iCs/>
                <w:sz w:val="18"/>
                <w:szCs w:val="18"/>
                <w:u w:val="single"/>
              </w:rPr>
              <w:fldChar w:fldCharType="begin">
                <w:fldData xml:space="preserve">PEVuZE5vdGU+PENpdGU+PEF1dGhvcj5Cb3JsYW5kPC9BdXRob3I+PFllYXI+MjAxMDwvWWVhcj48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</w:fldData>
              </w:fldChar>
            </w:r>
            <w:r>
              <w:rPr>
                <w:rFonts w:cstheme="minorHAnsi"/>
                <w:b/>
                <w:iCs/>
                <w:sz w:val="18"/>
                <w:szCs w:val="18"/>
                <w:u w:val="single"/>
              </w:rPr>
              <w:instrText xml:space="preserve"> ADDIN EN.CITE </w:instrText>
            </w:r>
            <w:r>
              <w:rPr>
                <w:rFonts w:cstheme="minorHAnsi"/>
                <w:b/>
                <w:iCs/>
                <w:sz w:val="18"/>
                <w:szCs w:val="18"/>
                <w:u w:val="single"/>
              </w:rPr>
              <w:fldChar w:fldCharType="begin">
                <w:fldData xml:space="preserve">PEVuZE5vdGU+PENpdGU+PEF1dGhvcj5Cb3JsYW5kPC9BdXRob3I+PFllYXI+MjAxMDwvWWVhcj48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</w:fldData>
              </w:fldChar>
            </w:r>
            <w:r>
              <w:rPr>
                <w:rFonts w:cstheme="minorHAnsi"/>
                <w:b/>
                <w:iCs/>
                <w:sz w:val="18"/>
                <w:szCs w:val="18"/>
                <w:u w:val="single"/>
              </w:rPr>
              <w:instrText xml:space="preserve"> ADDIN EN.CITE.DATA </w:instrText>
            </w:r>
            <w:r>
              <w:rPr>
                <w:rFonts w:cstheme="minorHAnsi"/>
                <w:b/>
                <w:iCs/>
                <w:sz w:val="18"/>
                <w:szCs w:val="18"/>
                <w:u w:val="single"/>
              </w:rPr>
            </w:r>
            <w:r>
              <w:rPr>
                <w:rFonts w:cstheme="minorHAnsi"/>
                <w:b/>
                <w:iCs/>
                <w:sz w:val="18"/>
                <w:szCs w:val="18"/>
                <w:u w:val="single"/>
              </w:rPr>
              <w:fldChar w:fldCharType="end"/>
            </w:r>
            <w:r>
              <w:rPr>
                <w:rFonts w:cstheme="minorHAnsi"/>
                <w:b/>
                <w:iCs/>
                <w:sz w:val="18"/>
                <w:szCs w:val="18"/>
                <w:u w:val="single"/>
              </w:rPr>
              <w:fldChar w:fldCharType="separate"/>
            </w:r>
            <w:r>
              <w:rPr>
                <w:rFonts w:cstheme="minorHAnsi"/>
                <w:b/>
                <w:iCs/>
                <w:noProof/>
                <w:sz w:val="18"/>
                <w:szCs w:val="18"/>
                <w:u w:val="single"/>
              </w:rPr>
              <w:t>(</w:t>
            </w:r>
            <w:hyperlink w:anchor="_ENREF_38" w:tooltip="Borland, 2010 #156" w:history="1">
              <w:r w:rsidR="00A234A9">
                <w:rPr>
                  <w:rFonts w:cstheme="minorHAnsi"/>
                  <w:b/>
                  <w:iCs/>
                  <w:noProof/>
                  <w:sz w:val="18"/>
                  <w:szCs w:val="18"/>
                  <w:u w:val="single"/>
                </w:rPr>
                <w:t>38</w:t>
              </w:r>
            </w:hyperlink>
            <w:r>
              <w:rPr>
                <w:rFonts w:cstheme="minorHAnsi"/>
                <w:b/>
                <w:iCs/>
                <w:noProof/>
                <w:sz w:val="18"/>
                <w:szCs w:val="18"/>
                <w:u w:val="single"/>
              </w:rPr>
              <w:t>)</w:t>
            </w:r>
            <w:r>
              <w:rPr>
                <w:rFonts w:cstheme="minorHAnsi"/>
                <w:b/>
                <w:iCs/>
                <w:sz w:val="18"/>
                <w:szCs w:val="18"/>
                <w:u w:val="single"/>
              </w:rPr>
              <w:fldChar w:fldCharType="end"/>
            </w:r>
          </w:p>
          <w:p w14:paraId="3E44FCC7" w14:textId="77777777" w:rsidR="00DB2213" w:rsidRPr="00CF10AA" w:rsidRDefault="00DB2213" w:rsidP="00F523A8">
            <w:pPr>
              <w:widowControl w:val="0"/>
              <w:spacing w:before="60" w:after="120"/>
              <w:contextualSpacing/>
              <w:rPr>
                <w:rFonts w:asciiTheme="minorHAnsi" w:hAnsiTheme="minorHAnsi" w:cstheme="minorHAnsi"/>
                <w:iCs/>
                <w:sz w:val="18"/>
                <w:szCs w:val="18"/>
              </w:rPr>
            </w:pPr>
            <w:r w:rsidRPr="00CF10AA">
              <w:rPr>
                <w:rFonts w:asciiTheme="minorHAnsi" w:hAnsiTheme="minorHAnsi" w:cstheme="minorHAnsi"/>
                <w:iCs/>
                <w:sz w:val="18"/>
                <w:szCs w:val="18"/>
              </w:rPr>
              <w:t>Telephone interview</w:t>
            </w:r>
          </w:p>
          <w:p w14:paraId="77A23236" w14:textId="77777777" w:rsidR="00DB2213" w:rsidRPr="00CF10AA" w:rsidRDefault="00DB2213" w:rsidP="00F523A8">
            <w:pPr>
              <w:widowControl w:val="0"/>
              <w:spacing w:before="60" w:after="120"/>
              <w:contextualSpacing/>
              <w:rPr>
                <w:rFonts w:asciiTheme="minorHAnsi" w:hAnsiTheme="minorHAnsi" w:cstheme="minorHAnsi"/>
                <w:iCs/>
                <w:sz w:val="18"/>
                <w:szCs w:val="18"/>
              </w:rPr>
            </w:pPr>
            <w:r w:rsidRPr="00CF10AA">
              <w:rPr>
                <w:rFonts w:asciiTheme="minorHAnsi" w:hAnsiTheme="minorHAnsi" w:cstheme="minorHAnsi"/>
                <w:iCs/>
                <w:sz w:val="18"/>
                <w:szCs w:val="18"/>
              </w:rPr>
              <w:t>Interwave reliability across 2 waves of smoking (self-reported CPD)</w:t>
            </w:r>
          </w:p>
          <w:p w14:paraId="246D2C3E" w14:textId="37D6D674" w:rsidR="00DB2213" w:rsidRPr="00D22AE2" w:rsidRDefault="00DB2213" w:rsidP="00F523A8">
            <w:pPr>
              <w:widowControl w:val="0"/>
              <w:spacing w:before="60" w:after="120"/>
              <w:contextualSpacing/>
              <w:rPr>
                <w:rFonts w:asciiTheme="minorHAnsi" w:hAnsiTheme="minorHAnsi" w:cstheme="minorHAnsi"/>
                <w:iCs/>
                <w:sz w:val="18"/>
                <w:szCs w:val="18"/>
              </w:rPr>
            </w:pPr>
            <w:r w:rsidRPr="00D22AE2">
              <w:rPr>
                <w:rFonts w:asciiTheme="minorHAnsi" w:hAnsiTheme="minorHAnsi" w:cstheme="minorHAnsi"/>
                <w:iCs/>
                <w:sz w:val="18"/>
                <w:szCs w:val="18"/>
              </w:rPr>
              <w:t xml:space="preserve">ICC </w:t>
            </w:r>
            <w:r w:rsidR="00C840DE">
              <w:rPr>
                <w:rFonts w:asciiTheme="minorHAnsi" w:hAnsiTheme="minorHAnsi" w:cstheme="minorHAnsi"/>
                <w:iCs/>
                <w:sz w:val="18"/>
                <w:szCs w:val="18"/>
              </w:rPr>
              <w:t>wave 1</w:t>
            </w:r>
            <w:r w:rsidRPr="00D22AE2">
              <w:rPr>
                <w:rFonts w:asciiTheme="minorHAnsi" w:hAnsiTheme="minorHAnsi" w:cstheme="minorHAnsi"/>
                <w:iCs/>
                <w:sz w:val="18"/>
                <w:szCs w:val="18"/>
              </w:rPr>
              <w:t xml:space="preserve"> to </w:t>
            </w:r>
            <w:r w:rsidR="00C840DE">
              <w:rPr>
                <w:rFonts w:asciiTheme="minorHAnsi" w:hAnsiTheme="minorHAnsi" w:cstheme="minorHAnsi"/>
                <w:iCs/>
                <w:sz w:val="18"/>
                <w:szCs w:val="18"/>
              </w:rPr>
              <w:t>wave 2</w:t>
            </w:r>
            <w:r w:rsidRPr="00D22AE2">
              <w:rPr>
                <w:rFonts w:asciiTheme="minorHAnsi" w:hAnsiTheme="minorHAnsi" w:cstheme="minorHAnsi"/>
                <w:iCs/>
                <w:sz w:val="18"/>
                <w:szCs w:val="18"/>
              </w:rPr>
              <w:t xml:space="preserve"> (continuous): 0.76</w:t>
            </w:r>
          </w:p>
          <w:p w14:paraId="0B470C49" w14:textId="104E1BD7" w:rsidR="00DB2213" w:rsidRPr="00D22AE2" w:rsidRDefault="00DB2213" w:rsidP="00F523A8">
            <w:pPr>
              <w:widowControl w:val="0"/>
              <w:spacing w:before="60" w:after="120"/>
              <w:contextualSpacing/>
              <w:rPr>
                <w:rFonts w:asciiTheme="minorHAnsi" w:hAnsiTheme="minorHAnsi" w:cstheme="minorHAnsi"/>
                <w:iCs/>
                <w:sz w:val="18"/>
                <w:szCs w:val="18"/>
              </w:rPr>
            </w:pPr>
            <w:r w:rsidRPr="00D22AE2">
              <w:rPr>
                <w:rFonts w:asciiTheme="minorHAnsi" w:hAnsiTheme="minorHAnsi" w:cstheme="minorHAnsi"/>
                <w:iCs/>
                <w:sz w:val="18"/>
                <w:szCs w:val="18"/>
              </w:rPr>
              <w:t xml:space="preserve">ICC </w:t>
            </w:r>
            <w:r w:rsidR="00C840DE">
              <w:rPr>
                <w:rFonts w:asciiTheme="minorHAnsi" w:hAnsiTheme="minorHAnsi" w:cstheme="minorHAnsi"/>
                <w:iCs/>
                <w:sz w:val="18"/>
                <w:szCs w:val="18"/>
              </w:rPr>
              <w:t>wave 1</w:t>
            </w:r>
            <w:r w:rsidRPr="00D22AE2">
              <w:rPr>
                <w:rFonts w:asciiTheme="minorHAnsi" w:hAnsiTheme="minorHAnsi" w:cstheme="minorHAnsi"/>
                <w:iCs/>
                <w:sz w:val="18"/>
                <w:szCs w:val="18"/>
              </w:rPr>
              <w:t xml:space="preserve"> to </w:t>
            </w:r>
            <w:r w:rsidR="00C840DE">
              <w:rPr>
                <w:rFonts w:asciiTheme="minorHAnsi" w:hAnsiTheme="minorHAnsi" w:cstheme="minorHAnsi"/>
                <w:iCs/>
                <w:sz w:val="18"/>
                <w:szCs w:val="18"/>
              </w:rPr>
              <w:t>wave 2</w:t>
            </w:r>
            <w:r w:rsidRPr="00D22AE2">
              <w:rPr>
                <w:rFonts w:asciiTheme="minorHAnsi" w:hAnsiTheme="minorHAnsi" w:cstheme="minorHAnsi"/>
                <w:iCs/>
                <w:sz w:val="18"/>
                <w:szCs w:val="18"/>
              </w:rPr>
              <w:t xml:space="preserve"> (categorical): </w:t>
            </w:r>
            <w:r w:rsidRPr="00D22AE2">
              <w:rPr>
                <w:rFonts w:asciiTheme="minorHAnsi" w:hAnsiTheme="minorHAnsi" w:cstheme="minorHAnsi"/>
                <w:iCs/>
                <w:sz w:val="18"/>
                <w:szCs w:val="18"/>
              </w:rPr>
              <w:lastRenderedPageBreak/>
              <w:t>0.71</w:t>
            </w:r>
          </w:p>
          <w:p w14:paraId="3FAF041E" w14:textId="437BA213" w:rsidR="00DB2213" w:rsidRPr="00D22AE2" w:rsidRDefault="00DB2213" w:rsidP="00F523A8">
            <w:pPr>
              <w:widowControl w:val="0"/>
              <w:spacing w:before="60" w:after="120"/>
              <w:contextualSpacing/>
              <w:rPr>
                <w:rFonts w:asciiTheme="minorHAnsi" w:hAnsiTheme="minorHAnsi" w:cstheme="minorHAnsi"/>
                <w:iCs/>
                <w:sz w:val="18"/>
                <w:szCs w:val="18"/>
              </w:rPr>
            </w:pPr>
            <w:r w:rsidRPr="00D22AE2">
              <w:rPr>
                <w:rFonts w:asciiTheme="minorHAnsi" w:hAnsiTheme="minorHAnsi" w:cstheme="minorHAnsi"/>
                <w:iCs/>
                <w:sz w:val="18"/>
                <w:szCs w:val="18"/>
              </w:rPr>
              <w:t xml:space="preserve">ICC </w:t>
            </w:r>
            <w:r w:rsidR="00C840DE">
              <w:rPr>
                <w:rFonts w:asciiTheme="minorHAnsi" w:hAnsiTheme="minorHAnsi" w:cstheme="minorHAnsi"/>
                <w:iCs/>
                <w:sz w:val="18"/>
                <w:szCs w:val="18"/>
              </w:rPr>
              <w:t>wave 2</w:t>
            </w:r>
            <w:r w:rsidRPr="00D22AE2">
              <w:rPr>
                <w:rFonts w:asciiTheme="minorHAnsi" w:hAnsiTheme="minorHAnsi" w:cstheme="minorHAnsi"/>
                <w:iCs/>
                <w:sz w:val="18"/>
                <w:szCs w:val="18"/>
              </w:rPr>
              <w:t xml:space="preserve"> to Wave 3 (continuous): 0.77</w:t>
            </w:r>
          </w:p>
          <w:p w14:paraId="383DC432" w14:textId="649EEA93" w:rsidR="00DB2213" w:rsidRPr="00D22AE2" w:rsidRDefault="00DB2213" w:rsidP="00F523A8">
            <w:pPr>
              <w:widowControl w:val="0"/>
              <w:spacing w:before="60" w:after="120"/>
              <w:contextualSpacing/>
              <w:rPr>
                <w:rFonts w:asciiTheme="minorHAnsi" w:hAnsiTheme="minorHAnsi" w:cstheme="minorHAnsi"/>
                <w:iCs/>
                <w:sz w:val="18"/>
                <w:szCs w:val="18"/>
              </w:rPr>
            </w:pPr>
            <w:r w:rsidRPr="00D22AE2">
              <w:rPr>
                <w:rFonts w:asciiTheme="minorHAnsi" w:hAnsiTheme="minorHAnsi" w:cstheme="minorHAnsi"/>
                <w:iCs/>
                <w:sz w:val="18"/>
                <w:szCs w:val="18"/>
              </w:rPr>
              <w:t xml:space="preserve">ICC </w:t>
            </w:r>
            <w:r w:rsidR="00C840DE">
              <w:rPr>
                <w:rFonts w:asciiTheme="minorHAnsi" w:hAnsiTheme="minorHAnsi" w:cstheme="minorHAnsi"/>
                <w:iCs/>
                <w:sz w:val="18"/>
                <w:szCs w:val="18"/>
              </w:rPr>
              <w:t>wave 2</w:t>
            </w:r>
            <w:r w:rsidRPr="00D22AE2">
              <w:rPr>
                <w:rFonts w:asciiTheme="minorHAnsi" w:hAnsiTheme="minorHAnsi" w:cstheme="minorHAnsi"/>
                <w:iCs/>
                <w:sz w:val="18"/>
                <w:szCs w:val="18"/>
              </w:rPr>
              <w:t xml:space="preserve"> to Wave 3 (categorical): 0.72</w:t>
            </w:r>
          </w:p>
          <w:p w14:paraId="349C8F13" w14:textId="77777777" w:rsidR="00DB2213" w:rsidRPr="00D22AE2" w:rsidRDefault="00DB2213" w:rsidP="00F523A8">
            <w:pPr>
              <w:widowControl w:val="0"/>
              <w:spacing w:before="60" w:after="120"/>
              <w:contextualSpacing/>
              <w:rPr>
                <w:rFonts w:asciiTheme="minorHAnsi" w:hAnsiTheme="minorHAnsi" w:cstheme="minorHAnsi"/>
                <w:iCs/>
                <w:sz w:val="18"/>
                <w:szCs w:val="18"/>
              </w:rPr>
            </w:pPr>
            <w:r w:rsidRPr="00D22AE2">
              <w:rPr>
                <w:rFonts w:asciiTheme="minorHAnsi" w:hAnsiTheme="minorHAnsi" w:cstheme="minorHAnsi"/>
                <w:iCs/>
                <w:sz w:val="18"/>
                <w:szCs w:val="18"/>
              </w:rPr>
              <w:t>ICC Wave 3 to Wave 4 (continuous): 0.74</w:t>
            </w:r>
          </w:p>
          <w:p w14:paraId="7529AEBB" w14:textId="77777777" w:rsidR="00DB2213" w:rsidRPr="00D22AE2" w:rsidRDefault="00DB2213" w:rsidP="00F523A8">
            <w:pPr>
              <w:widowControl w:val="0"/>
              <w:spacing w:before="60" w:after="120"/>
              <w:contextualSpacing/>
              <w:rPr>
                <w:rFonts w:asciiTheme="minorHAnsi" w:hAnsiTheme="minorHAnsi" w:cstheme="minorHAnsi"/>
                <w:iCs/>
                <w:sz w:val="18"/>
                <w:szCs w:val="18"/>
              </w:rPr>
            </w:pPr>
            <w:r w:rsidRPr="00D22AE2">
              <w:rPr>
                <w:rFonts w:asciiTheme="minorHAnsi" w:hAnsiTheme="minorHAnsi" w:cstheme="minorHAnsi"/>
                <w:iCs/>
                <w:sz w:val="18"/>
                <w:szCs w:val="18"/>
              </w:rPr>
              <w:t>ICC Wave 3 to Wave 4 (categorical): 0.70</w:t>
            </w:r>
          </w:p>
          <w:p w14:paraId="5B212C2D" w14:textId="77777777" w:rsidR="00DB2213" w:rsidRPr="00327475" w:rsidRDefault="00DB2213" w:rsidP="00F523A8">
            <w:pPr>
              <w:widowControl w:val="0"/>
              <w:spacing w:before="60" w:after="120"/>
              <w:contextualSpacing/>
              <w:rPr>
                <w:rFonts w:asciiTheme="minorHAnsi" w:hAnsiTheme="minorHAnsi" w:cstheme="minorHAnsi"/>
                <w:iCs/>
                <w:sz w:val="18"/>
                <w:szCs w:val="18"/>
              </w:rPr>
            </w:pPr>
            <w:r w:rsidRPr="00327475">
              <w:rPr>
                <w:rFonts w:asciiTheme="minorHAnsi" w:hAnsiTheme="minorHAnsi" w:cstheme="minorHAnsi"/>
                <w:iCs/>
                <w:sz w:val="18"/>
                <w:szCs w:val="18"/>
              </w:rPr>
              <w:t>Interwave reliability across 3 waves of smoking (self-reported CPD)</w:t>
            </w:r>
          </w:p>
          <w:p w14:paraId="22A89816" w14:textId="1701A1F3" w:rsidR="00DB2213" w:rsidRPr="00D22AE2" w:rsidRDefault="00DB2213" w:rsidP="00F523A8">
            <w:pPr>
              <w:widowControl w:val="0"/>
              <w:spacing w:before="60" w:after="120"/>
              <w:contextualSpacing/>
              <w:rPr>
                <w:rFonts w:asciiTheme="minorHAnsi" w:hAnsiTheme="minorHAnsi" w:cstheme="minorHAnsi"/>
                <w:iCs/>
                <w:sz w:val="18"/>
                <w:szCs w:val="18"/>
              </w:rPr>
            </w:pPr>
            <w:r w:rsidRPr="00D22AE2">
              <w:rPr>
                <w:rFonts w:asciiTheme="minorHAnsi" w:hAnsiTheme="minorHAnsi" w:cstheme="minorHAnsi"/>
                <w:iCs/>
                <w:sz w:val="18"/>
                <w:szCs w:val="18"/>
              </w:rPr>
              <w:t xml:space="preserve">ICC </w:t>
            </w:r>
            <w:r w:rsidR="00C840DE">
              <w:rPr>
                <w:rFonts w:asciiTheme="minorHAnsi" w:hAnsiTheme="minorHAnsi" w:cstheme="minorHAnsi"/>
                <w:iCs/>
                <w:sz w:val="18"/>
                <w:szCs w:val="18"/>
              </w:rPr>
              <w:t>wave 1</w:t>
            </w:r>
            <w:r w:rsidRPr="00D22AE2">
              <w:rPr>
                <w:rFonts w:asciiTheme="minorHAnsi" w:hAnsiTheme="minorHAnsi" w:cstheme="minorHAnsi"/>
                <w:iCs/>
                <w:sz w:val="18"/>
                <w:szCs w:val="18"/>
              </w:rPr>
              <w:t xml:space="preserve"> to Wave 3 (continuous): 0.72</w:t>
            </w:r>
          </w:p>
          <w:p w14:paraId="38DF4063" w14:textId="2CAF8A8A" w:rsidR="00DB2213" w:rsidRPr="00D22AE2" w:rsidRDefault="00DB2213" w:rsidP="00F523A8">
            <w:pPr>
              <w:widowControl w:val="0"/>
              <w:spacing w:before="60" w:after="120"/>
              <w:contextualSpacing/>
              <w:rPr>
                <w:rFonts w:asciiTheme="minorHAnsi" w:hAnsiTheme="minorHAnsi" w:cstheme="minorHAnsi"/>
                <w:iCs/>
                <w:sz w:val="18"/>
                <w:szCs w:val="18"/>
              </w:rPr>
            </w:pPr>
            <w:r w:rsidRPr="00D22AE2">
              <w:rPr>
                <w:rFonts w:asciiTheme="minorHAnsi" w:hAnsiTheme="minorHAnsi" w:cstheme="minorHAnsi"/>
                <w:iCs/>
                <w:sz w:val="18"/>
                <w:szCs w:val="18"/>
              </w:rPr>
              <w:t xml:space="preserve">ICC </w:t>
            </w:r>
            <w:r w:rsidR="00C840DE">
              <w:rPr>
                <w:rFonts w:asciiTheme="minorHAnsi" w:hAnsiTheme="minorHAnsi" w:cstheme="minorHAnsi"/>
                <w:iCs/>
                <w:sz w:val="18"/>
                <w:szCs w:val="18"/>
              </w:rPr>
              <w:t>wave 1</w:t>
            </w:r>
            <w:r w:rsidRPr="00D22AE2">
              <w:rPr>
                <w:rFonts w:asciiTheme="minorHAnsi" w:hAnsiTheme="minorHAnsi" w:cstheme="minorHAnsi"/>
                <w:iCs/>
                <w:sz w:val="18"/>
                <w:szCs w:val="18"/>
              </w:rPr>
              <w:t xml:space="preserve"> to Wave 3 (categorical): 0.68</w:t>
            </w:r>
          </w:p>
          <w:p w14:paraId="67B5D8E0" w14:textId="0EE6053B" w:rsidR="00DB2213" w:rsidRPr="00D22AE2" w:rsidRDefault="00DB2213" w:rsidP="00F523A8">
            <w:pPr>
              <w:widowControl w:val="0"/>
              <w:spacing w:before="60" w:after="120"/>
              <w:contextualSpacing/>
              <w:rPr>
                <w:rFonts w:asciiTheme="minorHAnsi" w:hAnsiTheme="minorHAnsi" w:cstheme="minorHAnsi"/>
                <w:iCs/>
                <w:sz w:val="18"/>
                <w:szCs w:val="18"/>
              </w:rPr>
            </w:pPr>
            <w:r w:rsidRPr="00D22AE2">
              <w:rPr>
                <w:rFonts w:asciiTheme="minorHAnsi" w:hAnsiTheme="minorHAnsi" w:cstheme="minorHAnsi"/>
                <w:iCs/>
                <w:sz w:val="18"/>
                <w:szCs w:val="18"/>
              </w:rPr>
              <w:t xml:space="preserve">ICC </w:t>
            </w:r>
            <w:r w:rsidR="00C840DE">
              <w:rPr>
                <w:rFonts w:asciiTheme="minorHAnsi" w:hAnsiTheme="minorHAnsi" w:cstheme="minorHAnsi"/>
                <w:iCs/>
                <w:sz w:val="18"/>
                <w:szCs w:val="18"/>
              </w:rPr>
              <w:t>wave 2</w:t>
            </w:r>
            <w:r w:rsidRPr="00D22AE2">
              <w:rPr>
                <w:rFonts w:asciiTheme="minorHAnsi" w:hAnsiTheme="minorHAnsi" w:cstheme="minorHAnsi"/>
                <w:iCs/>
                <w:sz w:val="18"/>
                <w:szCs w:val="18"/>
              </w:rPr>
              <w:t xml:space="preserve"> to Wave 4 (continuous): 0.69</w:t>
            </w:r>
          </w:p>
          <w:p w14:paraId="464DEB15" w14:textId="6602F1B5" w:rsidR="00DB2213" w:rsidRPr="00D22AE2" w:rsidRDefault="00DB2213" w:rsidP="00F523A8">
            <w:pPr>
              <w:widowControl w:val="0"/>
              <w:spacing w:before="60" w:after="120"/>
              <w:contextualSpacing/>
              <w:rPr>
                <w:rFonts w:asciiTheme="minorHAnsi" w:hAnsiTheme="minorHAnsi" w:cstheme="minorHAnsi"/>
                <w:iCs/>
                <w:sz w:val="18"/>
                <w:szCs w:val="18"/>
              </w:rPr>
            </w:pPr>
            <w:r w:rsidRPr="00D22AE2">
              <w:rPr>
                <w:rFonts w:asciiTheme="minorHAnsi" w:hAnsiTheme="minorHAnsi" w:cstheme="minorHAnsi"/>
                <w:iCs/>
                <w:sz w:val="18"/>
                <w:szCs w:val="18"/>
              </w:rPr>
              <w:t xml:space="preserve">ICC </w:t>
            </w:r>
            <w:r w:rsidR="00C840DE">
              <w:rPr>
                <w:rFonts w:asciiTheme="minorHAnsi" w:hAnsiTheme="minorHAnsi" w:cstheme="minorHAnsi"/>
                <w:iCs/>
                <w:sz w:val="18"/>
                <w:szCs w:val="18"/>
              </w:rPr>
              <w:t>wave 2</w:t>
            </w:r>
            <w:r w:rsidRPr="00D22AE2">
              <w:rPr>
                <w:rFonts w:asciiTheme="minorHAnsi" w:hAnsiTheme="minorHAnsi" w:cstheme="minorHAnsi"/>
                <w:iCs/>
                <w:sz w:val="18"/>
                <w:szCs w:val="18"/>
              </w:rPr>
              <w:t xml:space="preserve"> to Wave 4 (categorical): 0.68</w:t>
            </w:r>
          </w:p>
          <w:p w14:paraId="36405913" w14:textId="77777777" w:rsidR="00DB2213" w:rsidRPr="00327475" w:rsidRDefault="00DB2213" w:rsidP="00F523A8">
            <w:pPr>
              <w:widowControl w:val="0"/>
              <w:spacing w:before="60" w:after="120"/>
              <w:contextualSpacing/>
              <w:rPr>
                <w:rFonts w:asciiTheme="minorHAnsi" w:hAnsiTheme="minorHAnsi" w:cstheme="minorHAnsi"/>
                <w:iCs/>
                <w:sz w:val="18"/>
                <w:szCs w:val="18"/>
              </w:rPr>
            </w:pPr>
            <w:r w:rsidRPr="00327475">
              <w:rPr>
                <w:rFonts w:asciiTheme="minorHAnsi" w:hAnsiTheme="minorHAnsi" w:cstheme="minorHAnsi"/>
                <w:iCs/>
                <w:sz w:val="18"/>
                <w:szCs w:val="18"/>
              </w:rPr>
              <w:t>Interwave reliability across 4 waves of smoking (self-reported CPD)</w:t>
            </w:r>
          </w:p>
          <w:p w14:paraId="5DA5FC93" w14:textId="156A43C5" w:rsidR="00DB2213" w:rsidRPr="00D22AE2" w:rsidRDefault="00DB2213" w:rsidP="00F523A8">
            <w:pPr>
              <w:widowControl w:val="0"/>
              <w:spacing w:before="60" w:after="120"/>
              <w:contextualSpacing/>
              <w:rPr>
                <w:rFonts w:asciiTheme="minorHAnsi" w:hAnsiTheme="minorHAnsi" w:cstheme="minorHAnsi"/>
                <w:iCs/>
                <w:sz w:val="18"/>
                <w:szCs w:val="18"/>
              </w:rPr>
            </w:pPr>
            <w:r w:rsidRPr="00D22AE2">
              <w:rPr>
                <w:rFonts w:asciiTheme="minorHAnsi" w:hAnsiTheme="minorHAnsi" w:cstheme="minorHAnsi"/>
                <w:iCs/>
                <w:sz w:val="18"/>
                <w:szCs w:val="18"/>
              </w:rPr>
              <w:t xml:space="preserve">ICC </w:t>
            </w:r>
            <w:r w:rsidR="00C840DE">
              <w:rPr>
                <w:rFonts w:asciiTheme="minorHAnsi" w:hAnsiTheme="minorHAnsi" w:cstheme="minorHAnsi"/>
                <w:iCs/>
                <w:sz w:val="18"/>
                <w:szCs w:val="18"/>
              </w:rPr>
              <w:t>wave 1</w:t>
            </w:r>
            <w:r w:rsidRPr="00D22AE2">
              <w:rPr>
                <w:rFonts w:asciiTheme="minorHAnsi" w:hAnsiTheme="minorHAnsi" w:cstheme="minorHAnsi"/>
                <w:iCs/>
                <w:sz w:val="18"/>
                <w:szCs w:val="18"/>
              </w:rPr>
              <w:t xml:space="preserve"> to Wave 4 (continuous): 0.66</w:t>
            </w:r>
          </w:p>
          <w:p w14:paraId="43D788F7" w14:textId="7FE03ABB" w:rsidR="00DB2213" w:rsidRPr="00D22AE2" w:rsidRDefault="00DB2213" w:rsidP="00F523A8">
            <w:pPr>
              <w:widowControl w:val="0"/>
              <w:spacing w:before="60" w:after="120"/>
              <w:contextualSpacing/>
              <w:rPr>
                <w:rFonts w:asciiTheme="minorHAnsi" w:hAnsiTheme="minorHAnsi" w:cstheme="minorHAnsi"/>
                <w:iCs/>
                <w:sz w:val="18"/>
                <w:szCs w:val="18"/>
              </w:rPr>
            </w:pPr>
            <w:r w:rsidRPr="00D22AE2">
              <w:rPr>
                <w:rFonts w:asciiTheme="minorHAnsi" w:hAnsiTheme="minorHAnsi" w:cstheme="minorHAnsi"/>
                <w:iCs/>
                <w:sz w:val="18"/>
                <w:szCs w:val="18"/>
              </w:rPr>
              <w:t xml:space="preserve">ICC </w:t>
            </w:r>
            <w:r w:rsidR="00C840DE">
              <w:rPr>
                <w:rFonts w:asciiTheme="minorHAnsi" w:hAnsiTheme="minorHAnsi" w:cstheme="minorHAnsi"/>
                <w:iCs/>
                <w:sz w:val="18"/>
                <w:szCs w:val="18"/>
              </w:rPr>
              <w:t>wave 1</w:t>
            </w:r>
            <w:r w:rsidRPr="00D22AE2">
              <w:rPr>
                <w:rFonts w:asciiTheme="minorHAnsi" w:hAnsiTheme="minorHAnsi" w:cstheme="minorHAnsi"/>
                <w:iCs/>
                <w:sz w:val="18"/>
                <w:szCs w:val="18"/>
              </w:rPr>
              <w:t xml:space="preserve"> to Wave 4 (categorical): 0.64</w:t>
            </w:r>
          </w:p>
          <w:p w14:paraId="3EAE4558" w14:textId="77777777" w:rsidR="00DB2213" w:rsidRPr="00D22AE2" w:rsidRDefault="00DB2213" w:rsidP="00F523A8">
            <w:pPr>
              <w:widowControl w:val="0"/>
              <w:spacing w:before="60" w:after="120"/>
              <w:contextualSpacing/>
              <w:rPr>
                <w:rFonts w:asciiTheme="minorHAnsi" w:hAnsiTheme="minorHAnsi" w:cstheme="minorHAnsi"/>
                <w:iCs/>
                <w:sz w:val="18"/>
                <w:szCs w:val="18"/>
              </w:rPr>
            </w:pPr>
            <w:r w:rsidRPr="00D22AE2">
              <w:rPr>
                <w:rFonts w:asciiTheme="minorHAnsi" w:hAnsiTheme="minorHAnsi" w:cstheme="minorHAnsi"/>
                <w:iCs/>
                <w:sz w:val="18"/>
                <w:szCs w:val="18"/>
              </w:rPr>
              <w:t>p&lt;0.0001 for all correlations</w:t>
            </w:r>
          </w:p>
          <w:p w14:paraId="3EA72419" w14:textId="464CE743" w:rsidR="00DB2213" w:rsidRDefault="00DB2213" w:rsidP="00F523A8">
            <w:pPr>
              <w:widowControl w:val="0"/>
              <w:spacing w:before="60" w:after="120"/>
              <w:contextualSpacing/>
              <w:rPr>
                <w:rFonts w:asciiTheme="minorHAnsi" w:hAnsiTheme="minorHAnsi" w:cstheme="minorHAnsi"/>
                <w:i/>
                <w:iCs/>
                <w:sz w:val="18"/>
                <w:szCs w:val="18"/>
              </w:rPr>
            </w:pPr>
            <w:r w:rsidRPr="00D22AE2">
              <w:rPr>
                <w:rFonts w:asciiTheme="minorHAnsi" w:hAnsiTheme="minorHAnsi" w:cstheme="minorHAnsi"/>
                <w:i/>
                <w:iCs/>
                <w:sz w:val="18"/>
                <w:szCs w:val="18"/>
              </w:rPr>
              <w:t xml:space="preserve">Daily smokers from </w:t>
            </w:r>
            <w:r w:rsidR="00C840DE">
              <w:rPr>
                <w:rFonts w:asciiTheme="minorHAnsi" w:hAnsiTheme="minorHAnsi" w:cstheme="minorHAnsi"/>
                <w:i/>
                <w:iCs/>
                <w:sz w:val="18"/>
                <w:szCs w:val="18"/>
              </w:rPr>
              <w:t>wave 1</w:t>
            </w:r>
            <w:r w:rsidRPr="00D22AE2">
              <w:rPr>
                <w:rFonts w:asciiTheme="minorHAnsi" w:hAnsiTheme="minorHAnsi" w:cstheme="minorHAnsi"/>
                <w:i/>
                <w:iCs/>
                <w:sz w:val="18"/>
                <w:szCs w:val="18"/>
              </w:rPr>
              <w:t xml:space="preserve"> to 4 of the International Tobacco Control cohort from the U.S., U.K., Canada, and Australia (</w:t>
            </w:r>
            <w:r w:rsidR="00C840DE">
              <w:rPr>
                <w:rFonts w:asciiTheme="minorHAnsi" w:hAnsiTheme="minorHAnsi" w:cstheme="minorHAnsi"/>
                <w:i/>
                <w:iCs/>
                <w:sz w:val="18"/>
                <w:szCs w:val="18"/>
              </w:rPr>
              <w:t>wave 1</w:t>
            </w:r>
            <w:r w:rsidRPr="00D22AE2">
              <w:rPr>
                <w:rFonts w:asciiTheme="minorHAnsi" w:hAnsiTheme="minorHAnsi" w:cstheme="minorHAnsi"/>
                <w:i/>
                <w:iCs/>
                <w:sz w:val="18"/>
                <w:szCs w:val="18"/>
              </w:rPr>
              <w:t xml:space="preserve"> to 2: 5,459 participants; </w:t>
            </w:r>
            <w:r w:rsidR="00C840DE">
              <w:rPr>
                <w:rFonts w:asciiTheme="minorHAnsi" w:hAnsiTheme="minorHAnsi" w:cstheme="minorHAnsi"/>
                <w:i/>
                <w:iCs/>
                <w:sz w:val="18"/>
                <w:szCs w:val="18"/>
              </w:rPr>
              <w:t>wave 2</w:t>
            </w:r>
            <w:r w:rsidRPr="00D22AE2">
              <w:rPr>
                <w:rFonts w:asciiTheme="minorHAnsi" w:hAnsiTheme="minorHAnsi" w:cstheme="minorHAnsi"/>
                <w:i/>
                <w:iCs/>
                <w:sz w:val="18"/>
                <w:szCs w:val="18"/>
              </w:rPr>
              <w:t xml:space="preserve"> to 3: 4,356 participants; </w:t>
            </w:r>
            <w:r>
              <w:rPr>
                <w:rFonts w:asciiTheme="minorHAnsi" w:hAnsiTheme="minorHAnsi" w:cstheme="minorHAnsi"/>
                <w:i/>
                <w:iCs/>
                <w:sz w:val="18"/>
                <w:szCs w:val="18"/>
              </w:rPr>
              <w:t>W</w:t>
            </w:r>
            <w:r w:rsidRPr="00D22AE2">
              <w:rPr>
                <w:rFonts w:asciiTheme="minorHAnsi" w:hAnsiTheme="minorHAnsi" w:cstheme="minorHAnsi"/>
                <w:i/>
                <w:iCs/>
                <w:sz w:val="18"/>
                <w:szCs w:val="18"/>
              </w:rPr>
              <w:t xml:space="preserve">ave 3 to 4: 4,376 participants; </w:t>
            </w:r>
            <w:r w:rsidR="00C840DE">
              <w:rPr>
                <w:rFonts w:asciiTheme="minorHAnsi" w:hAnsiTheme="minorHAnsi" w:cstheme="minorHAnsi"/>
                <w:i/>
                <w:iCs/>
                <w:sz w:val="18"/>
                <w:szCs w:val="18"/>
              </w:rPr>
              <w:t>wave 1</w:t>
            </w:r>
            <w:r w:rsidRPr="00D22AE2">
              <w:rPr>
                <w:rFonts w:asciiTheme="minorHAnsi" w:hAnsiTheme="minorHAnsi" w:cstheme="minorHAnsi"/>
                <w:i/>
                <w:iCs/>
                <w:sz w:val="18"/>
                <w:szCs w:val="18"/>
              </w:rPr>
              <w:t xml:space="preserve"> to 3: 3,535 participants; </w:t>
            </w:r>
            <w:r w:rsidR="00C840DE">
              <w:rPr>
                <w:rFonts w:asciiTheme="minorHAnsi" w:hAnsiTheme="minorHAnsi" w:cstheme="minorHAnsi"/>
                <w:i/>
                <w:iCs/>
                <w:sz w:val="18"/>
                <w:szCs w:val="18"/>
              </w:rPr>
              <w:t>wave 2</w:t>
            </w:r>
            <w:r w:rsidRPr="00D22AE2">
              <w:rPr>
                <w:rFonts w:asciiTheme="minorHAnsi" w:hAnsiTheme="minorHAnsi" w:cstheme="minorHAnsi"/>
                <w:i/>
                <w:iCs/>
                <w:sz w:val="18"/>
                <w:szCs w:val="18"/>
              </w:rPr>
              <w:t xml:space="preserve"> to 4: 3,080 participants; </w:t>
            </w:r>
            <w:r w:rsidR="00C840DE">
              <w:rPr>
                <w:rFonts w:asciiTheme="minorHAnsi" w:hAnsiTheme="minorHAnsi" w:cstheme="minorHAnsi"/>
                <w:i/>
                <w:iCs/>
                <w:sz w:val="18"/>
                <w:szCs w:val="18"/>
              </w:rPr>
              <w:t>wave 1</w:t>
            </w:r>
            <w:r w:rsidRPr="00D22AE2">
              <w:rPr>
                <w:rFonts w:asciiTheme="minorHAnsi" w:hAnsiTheme="minorHAnsi" w:cstheme="minorHAnsi"/>
                <w:i/>
                <w:iCs/>
                <w:sz w:val="18"/>
                <w:szCs w:val="18"/>
              </w:rPr>
              <w:t xml:space="preserve"> to 4: 2,594 participants).</w:t>
            </w:r>
          </w:p>
          <w:p w14:paraId="2D20B8D6" w14:textId="77777777" w:rsidR="00DB2213" w:rsidRDefault="00DB2213" w:rsidP="00F523A8">
            <w:pPr>
              <w:widowControl w:val="0"/>
              <w:spacing w:before="60" w:after="120"/>
              <w:contextualSpacing/>
              <w:rPr>
                <w:rFonts w:asciiTheme="minorHAnsi" w:hAnsiTheme="minorHAnsi" w:cstheme="minorHAnsi"/>
                <w:i/>
                <w:iCs/>
                <w:sz w:val="18"/>
                <w:szCs w:val="18"/>
              </w:rPr>
            </w:pPr>
          </w:p>
          <w:p w14:paraId="5B5FB6D8" w14:textId="1A426658" w:rsidR="00DB2213" w:rsidRPr="00F523A8" w:rsidRDefault="00D2134A" w:rsidP="00F523A8">
            <w:pPr>
              <w:widowControl w:val="0"/>
              <w:spacing w:before="60" w:after="120"/>
              <w:contextualSpacing/>
              <w:rPr>
                <w:rFonts w:asciiTheme="minorHAnsi" w:hAnsiTheme="minorHAnsi" w:cstheme="minorHAnsi"/>
                <w:b/>
                <w:iCs/>
                <w:sz w:val="18"/>
                <w:szCs w:val="18"/>
                <w:u w:val="single"/>
              </w:rPr>
            </w:pPr>
            <w:r>
              <w:rPr>
                <w:rFonts w:cstheme="minorHAnsi"/>
                <w:b/>
                <w:iCs/>
                <w:sz w:val="18"/>
                <w:szCs w:val="18"/>
                <w:u w:val="single"/>
              </w:rPr>
              <w:fldChar w:fldCharType="begin"/>
            </w:r>
            <w:r>
              <w:rPr>
                <w:rFonts w:cstheme="minorHAnsi"/>
                <w:b/>
                <w:iCs/>
                <w:sz w:val="18"/>
                <w:szCs w:val="18"/>
                <w:u w:val="single"/>
              </w:rPr>
              <w:instrText xml:space="preserve"> ADDIN EN.CITE &lt;EndNote&gt;&lt;Cite&gt;&lt;Author&gt;Brigham&lt;/Author&gt;&lt;Year&gt;2009&lt;/Year&gt;&lt;RecNum&gt;143&lt;/RecNum&gt;&lt;DisplayText&gt;(27)&lt;/DisplayText&gt;&lt;record&gt;&lt;rec-number&gt;143&lt;/rec-number&gt;&lt;foreign-keys&gt;&lt;key app="EN" db-id="a2vz2dfp8xrad6exes75zwpiw5rxwa0vwapv" timestamp="0"&gt;143&lt;/key&gt;&lt;/foreign-keys&gt;&lt;ref-type name="Journal Article"&gt;17&lt;/ref-type&gt;&lt;contributors&gt;&lt;authors&gt;&lt;author&gt;Brigham, J.&lt;/author&gt;&lt;author&gt;Lessov-Schlaggar, C. N.&lt;/author&gt;&lt;author&gt;Javitz, H. S.&lt;/author&gt;&lt;author&gt;Krasnow, R. E.&lt;/author&gt;&lt;author&gt;McElroy, M.&lt;/author&gt;&lt;author&gt;Swan, G. E.&lt;/author&gt;&lt;/authors&gt;&lt;/contributors&gt;&lt;auth-address&gt;Center for Health Sciences, SRI International, Menlo Park, CA, USA.&lt;/auth-address&gt;&lt;titles&gt;&lt;title&gt;Test-retest reliability of web-based retrospective self-report of tobacco exposure and risk&lt;/title&gt;&lt;secondary-title&gt;J Med Internet Res&lt;/secondary-title&gt;&lt;alt-title&gt;Journal of medical Internet research&lt;/alt-title&gt;&lt;/titles&gt;&lt;alt-periodical&gt;&lt;full-title&gt;Journal of Medical Internet Research&lt;/full-title&gt;&lt;/alt-periodical&gt;&lt;pages&gt;e35&lt;/pages&gt;&lt;volume&gt;11&lt;/volume&gt;&lt;number&gt;3&lt;/number&gt;&lt;edition&gt;2009/08/14&lt;/edition&gt;&lt;keywords&gt;&lt;keyword&gt;Adolescent&lt;/keyword&gt;&lt;keyword&gt;Adult&lt;/keyword&gt;&lt;keyword&gt;Aged&lt;/keyword&gt;&lt;keyword&gt;Alcohol Drinking&lt;/keyword&gt;&lt;keyword&gt;Humans&lt;/keyword&gt;&lt;keyword&gt;*Internet&lt;/keyword&gt;&lt;keyword&gt;Middle Aged&lt;/keyword&gt;&lt;keyword&gt;Religion&lt;/keyword&gt;&lt;keyword&gt;*Reproducibility of Results&lt;/keyword&gt;&lt;keyword&gt;Retrospective Studies&lt;/keyword&gt;&lt;keyword&gt;Risk Assessment&lt;/keyword&gt;&lt;keyword&gt;*Surveys and Questionnaires&lt;/keyword&gt;&lt;keyword&gt;Tobacco Smoke Pollution/statistics &amp;amp; numerical data&lt;/keyword&gt;&lt;keyword&gt;Tobacco Use Cessation/*statistics &amp;amp; numerical data&lt;/keyword&gt;&lt;keyword&gt;Tobacco Use Disorder/*rehabilitation&lt;/keyword&gt;&lt;keyword&gt;Young Adult&lt;/keyword&gt;&lt;/keywords&gt;&lt;dates&gt;&lt;year&gt;2009&lt;/year&gt;&lt;/dates&gt;&lt;isbn&gt;1438-8871&lt;/isbn&gt;&lt;accession-num&gt;19674962&lt;/accession-num&gt;&lt;urls&gt;&lt;/urls&gt;&lt;custom2&gt;PMC2762856&lt;/custom2&gt;&lt;electronic-resource-num&gt;10.2196/jmir.1248&lt;/electronic-resource-num&gt;&lt;remote-database-provider&gt;NLM&lt;/remote-database-provider&gt;&lt;language&gt;eng&lt;/language&gt;&lt;/record&gt;&lt;/Cite&gt;&lt;/EndNote&gt;</w:instrText>
            </w:r>
            <w:r>
              <w:rPr>
                <w:rFonts w:cstheme="minorHAnsi"/>
                <w:b/>
                <w:iCs/>
                <w:sz w:val="18"/>
                <w:szCs w:val="18"/>
                <w:u w:val="single"/>
              </w:rPr>
              <w:fldChar w:fldCharType="separate"/>
            </w:r>
            <w:r>
              <w:rPr>
                <w:rFonts w:cstheme="minorHAnsi"/>
                <w:b/>
                <w:iCs/>
                <w:noProof/>
                <w:sz w:val="18"/>
                <w:szCs w:val="18"/>
                <w:u w:val="single"/>
              </w:rPr>
              <w:t>(</w:t>
            </w:r>
            <w:hyperlink w:anchor="_ENREF_27" w:tooltip="Brigham, 2009 #143" w:history="1">
              <w:r w:rsidR="00A234A9">
                <w:rPr>
                  <w:rFonts w:cstheme="minorHAnsi"/>
                  <w:b/>
                  <w:iCs/>
                  <w:noProof/>
                  <w:sz w:val="18"/>
                  <w:szCs w:val="18"/>
                  <w:u w:val="single"/>
                </w:rPr>
                <w:t>27</w:t>
              </w:r>
            </w:hyperlink>
            <w:r>
              <w:rPr>
                <w:rFonts w:cstheme="minorHAnsi"/>
                <w:b/>
                <w:iCs/>
                <w:noProof/>
                <w:sz w:val="18"/>
                <w:szCs w:val="18"/>
                <w:u w:val="single"/>
              </w:rPr>
              <w:t>)</w:t>
            </w:r>
            <w:r>
              <w:rPr>
                <w:rFonts w:cstheme="minorHAnsi"/>
                <w:b/>
                <w:iCs/>
                <w:sz w:val="18"/>
                <w:szCs w:val="18"/>
                <w:u w:val="single"/>
              </w:rPr>
              <w:fldChar w:fldCharType="end"/>
            </w:r>
          </w:p>
          <w:p w14:paraId="01F652CA" w14:textId="77777777" w:rsidR="00DB2213" w:rsidRPr="00ED5FCD" w:rsidRDefault="00DB2213" w:rsidP="00F523A8">
            <w:pPr>
              <w:widowControl w:val="0"/>
              <w:spacing w:before="60" w:after="120"/>
              <w:contextualSpacing/>
              <w:rPr>
                <w:rFonts w:asciiTheme="minorHAnsi" w:hAnsiTheme="minorHAnsi" w:cstheme="minorHAnsi"/>
                <w:iCs/>
                <w:sz w:val="18"/>
                <w:szCs w:val="18"/>
              </w:rPr>
            </w:pPr>
            <w:r w:rsidRPr="00ED5FCD">
              <w:rPr>
                <w:rFonts w:asciiTheme="minorHAnsi" w:hAnsiTheme="minorHAnsi" w:cstheme="minorHAnsi"/>
                <w:iCs/>
                <w:sz w:val="18"/>
                <w:szCs w:val="18"/>
              </w:rPr>
              <w:t>A closed, password-controlled, invitation-only website questionnaire</w:t>
            </w:r>
          </w:p>
          <w:p w14:paraId="61D2CC73" w14:textId="77777777" w:rsidR="00DB2213" w:rsidRPr="00D22AE2" w:rsidRDefault="00DB2213" w:rsidP="00F523A8">
            <w:pPr>
              <w:widowControl w:val="0"/>
              <w:spacing w:before="60" w:after="120"/>
              <w:contextualSpacing/>
              <w:rPr>
                <w:rFonts w:asciiTheme="minorHAnsi" w:hAnsiTheme="minorHAnsi" w:cstheme="minorHAnsi"/>
                <w:iCs/>
                <w:sz w:val="18"/>
                <w:szCs w:val="18"/>
              </w:rPr>
            </w:pPr>
            <w:r w:rsidRPr="00D22AE2">
              <w:rPr>
                <w:rFonts w:asciiTheme="minorHAnsi" w:hAnsiTheme="minorHAnsi" w:cstheme="minorHAnsi"/>
                <w:iCs/>
                <w:sz w:val="18"/>
                <w:szCs w:val="18"/>
              </w:rPr>
              <w:t>ICC = 0.54 (self-reported: number of CPD when started daily use; N = 515 adults)</w:t>
            </w:r>
          </w:p>
          <w:p w14:paraId="6EFA330A" w14:textId="77777777" w:rsidR="00DB2213" w:rsidRPr="00D22AE2" w:rsidRDefault="00DB2213" w:rsidP="00F523A8">
            <w:pPr>
              <w:widowControl w:val="0"/>
              <w:spacing w:before="60" w:after="120"/>
              <w:contextualSpacing/>
              <w:rPr>
                <w:rFonts w:asciiTheme="minorHAnsi" w:hAnsiTheme="minorHAnsi" w:cstheme="minorHAnsi"/>
                <w:iCs/>
                <w:sz w:val="18"/>
                <w:szCs w:val="18"/>
              </w:rPr>
            </w:pPr>
            <w:r w:rsidRPr="00D22AE2">
              <w:rPr>
                <w:rFonts w:asciiTheme="minorHAnsi" w:hAnsiTheme="minorHAnsi" w:cstheme="minorHAnsi"/>
                <w:iCs/>
                <w:sz w:val="18"/>
                <w:szCs w:val="18"/>
              </w:rPr>
              <w:t>Test-retest interval: 2 months</w:t>
            </w:r>
          </w:p>
          <w:p w14:paraId="0F85009F" w14:textId="77777777" w:rsidR="00DB2213" w:rsidRDefault="00DB2213" w:rsidP="00F523A8">
            <w:pPr>
              <w:widowControl w:val="0"/>
              <w:spacing w:before="60" w:after="120"/>
              <w:contextualSpacing/>
              <w:rPr>
                <w:rFonts w:asciiTheme="minorHAnsi" w:hAnsiTheme="minorHAnsi" w:cstheme="minorHAnsi"/>
                <w:i/>
                <w:iCs/>
                <w:sz w:val="18"/>
                <w:szCs w:val="18"/>
              </w:rPr>
            </w:pPr>
            <w:r w:rsidRPr="00D22AE2">
              <w:rPr>
                <w:rFonts w:asciiTheme="minorHAnsi" w:hAnsiTheme="minorHAnsi" w:cstheme="minorHAnsi"/>
                <w:i/>
                <w:iCs/>
                <w:sz w:val="18"/>
                <w:szCs w:val="18"/>
              </w:rPr>
              <w:t>Anonymous adults (baseline sample: 1,229 adults aged 18 years and older) drawn from a U.S. consumer panel (comprising databases such as:</w:t>
            </w:r>
            <w:r w:rsidRPr="00D22AE2">
              <w:rPr>
                <w:rFonts w:asciiTheme="minorHAnsi" w:hAnsiTheme="minorHAnsi" w:cstheme="minorHAnsi"/>
                <w:sz w:val="18"/>
                <w:szCs w:val="18"/>
              </w:rPr>
              <w:t xml:space="preserve"> </w:t>
            </w:r>
            <w:r w:rsidRPr="00D22AE2">
              <w:rPr>
                <w:rFonts w:asciiTheme="minorHAnsi" w:hAnsiTheme="minorHAnsi" w:cstheme="minorHAnsi"/>
                <w:i/>
                <w:iCs/>
                <w:sz w:val="18"/>
                <w:szCs w:val="18"/>
              </w:rPr>
              <w:t>public utility customers, airline, dining, and hotel program members).</w:t>
            </w:r>
          </w:p>
          <w:p w14:paraId="7C757C25" w14:textId="77777777" w:rsidR="00DB2213" w:rsidRPr="00D22AE2" w:rsidRDefault="00DB2213" w:rsidP="00F523A8">
            <w:pPr>
              <w:widowControl w:val="0"/>
              <w:spacing w:before="60" w:after="120"/>
              <w:contextualSpacing/>
              <w:rPr>
                <w:rFonts w:asciiTheme="minorHAnsi" w:hAnsiTheme="minorHAnsi" w:cstheme="minorHAnsi"/>
                <w:i/>
                <w:iCs/>
                <w:sz w:val="18"/>
                <w:szCs w:val="18"/>
              </w:rPr>
            </w:pPr>
          </w:p>
          <w:p w14:paraId="422893F9" w14:textId="2B91FFDC" w:rsidR="00DB2213" w:rsidRPr="00F523A8" w:rsidRDefault="00D2134A" w:rsidP="00F523A8">
            <w:pPr>
              <w:widowControl w:val="0"/>
              <w:spacing w:before="60" w:after="120"/>
              <w:contextualSpacing/>
              <w:rPr>
                <w:rFonts w:asciiTheme="minorHAnsi" w:hAnsiTheme="minorHAnsi" w:cstheme="minorHAnsi"/>
                <w:b/>
                <w:sz w:val="18"/>
                <w:szCs w:val="18"/>
                <w:u w:val="single"/>
              </w:rPr>
            </w:pPr>
            <w:r>
              <w:rPr>
                <w:rFonts w:cstheme="minorHAnsi"/>
                <w:b/>
                <w:sz w:val="18"/>
                <w:szCs w:val="18"/>
                <w:u w:val="single"/>
              </w:rPr>
              <w:fldChar w:fldCharType="begin"/>
            </w:r>
            <w:r>
              <w:rPr>
                <w:rFonts w:cstheme="minorHAnsi"/>
                <w:b/>
                <w:sz w:val="18"/>
                <w:szCs w:val="18"/>
                <w:u w:val="single"/>
              </w:rPr>
              <w:instrText xml:space="preserve"> ADDIN EN.CITE &lt;EndNote&gt;&lt;Cite&gt;&lt;Author&gt;Brigham&lt;/Author&gt;&lt;Year&gt;2010&lt;/Year&gt;&lt;RecNum&gt;310&lt;/RecNum&gt;&lt;DisplayText&gt;(28)&lt;/DisplayText&gt;&lt;record&gt;&lt;rec-number&gt;310&lt;/rec-number&gt;&lt;foreign-keys&gt;&lt;key app="EN" db-id="a2vz2dfp8xrad6exes75zwpiw5rxwa0vwapv" timestamp="1541524148"&gt;310&lt;/key&gt;&lt;/foreign-keys&gt;&lt;ref-type name="Journal Article"&gt;17&lt;/ref-type&gt;&lt;contributors&gt;&lt;authors&gt;&lt;author&gt;Brigham, Janet&lt;/author&gt;&lt;author&gt;Lessov-Schlaggar, Christina N.&lt;/author&gt;&lt;author&gt;Javitz, Harold S.&lt;/author&gt;&lt;author&gt;Krasnow, Ruth E.&lt;/author&gt;&lt;author&gt;Tildesley, Elizabeth&lt;/author&gt;&lt;author&gt;Andrews, Judy&lt;/author&gt;&lt;author&gt;Hops, Hyman&lt;/author&gt;&lt;author&gt;Cornelius, Marie D.&lt;/author&gt;&lt;author&gt;Day, Nancy L.&lt;/author&gt;&lt;author&gt;McElroy, Mary&lt;/author&gt;&lt;author&gt;Swan, Gary E.&lt;/author&gt;&lt;/authors&gt;&lt;/contributors&gt;&lt;titles&gt;&lt;title&gt;Validity of recall of tobacco use in two prospective cohorts&lt;/title&gt;&lt;secondary-title&gt;American journal of epidemiology&lt;/secondary-title&gt;&lt;/titles&gt;&lt;periodical&gt;&lt;full-title&gt;American journal of epidemiology&lt;/full-title&gt;&lt;/periodical&gt;&lt;pages&gt;828-835&lt;/pages&gt;&lt;volume&gt;172&lt;/volume&gt;&lt;number&gt;7&lt;/number&gt;&lt;edition&gt;08/18&lt;/edition&gt;&lt;dates&gt;&lt;year&gt;2010&lt;/year&gt;&lt;/dates&gt;&lt;publisher&gt;Oxford University Press&lt;/publisher&gt;&lt;isbn&gt;1476-6256&amp;#xD;0002-9262&lt;/isbn&gt;&lt;accession-num&gt;20720099&lt;/accession-num&gt;&lt;urls&gt;&lt;related-urls&gt;&lt;url&gt;https://www.ncbi.nlm.nih.gov/pubmed/20720099&lt;/url&gt;&lt;url&gt;https://www.ncbi.nlm.nih.gov/pmc/PMC2945825/&lt;/url&gt;&lt;/related-urls&gt;&lt;/urls&gt;&lt;electronic-resource-num&gt;10.1093/aje/kwq179&lt;/electronic-resource-num&gt;&lt;remote-database-name&gt;PubMed&lt;/remote-database-name&gt;&lt;/record&gt;&lt;/Cite&gt;&lt;/EndNote&gt;</w:instrText>
            </w:r>
            <w:r>
              <w:rPr>
                <w:rFonts w:cstheme="minorHAnsi"/>
                <w:b/>
                <w:sz w:val="18"/>
                <w:szCs w:val="18"/>
                <w:u w:val="single"/>
              </w:rPr>
              <w:fldChar w:fldCharType="separate"/>
            </w:r>
            <w:r>
              <w:rPr>
                <w:rFonts w:cstheme="minorHAnsi"/>
                <w:b/>
                <w:noProof/>
                <w:sz w:val="18"/>
                <w:szCs w:val="18"/>
                <w:u w:val="single"/>
              </w:rPr>
              <w:t>(</w:t>
            </w:r>
            <w:hyperlink w:anchor="_ENREF_28" w:tooltip="Brigham, 2010 #310" w:history="1">
              <w:r w:rsidR="00A234A9">
                <w:rPr>
                  <w:rFonts w:cstheme="minorHAnsi"/>
                  <w:b/>
                  <w:noProof/>
                  <w:sz w:val="18"/>
                  <w:szCs w:val="18"/>
                  <w:u w:val="single"/>
                </w:rPr>
                <w:t>28</w:t>
              </w:r>
            </w:hyperlink>
            <w:r>
              <w:rPr>
                <w:rFonts w:cstheme="minorHAnsi"/>
                <w:b/>
                <w:noProof/>
                <w:sz w:val="18"/>
                <w:szCs w:val="18"/>
                <w:u w:val="single"/>
              </w:rPr>
              <w:t>)</w:t>
            </w:r>
            <w:r>
              <w:rPr>
                <w:rFonts w:cstheme="minorHAnsi"/>
                <w:b/>
                <w:sz w:val="18"/>
                <w:szCs w:val="18"/>
                <w:u w:val="single"/>
              </w:rPr>
              <w:fldChar w:fldCharType="end"/>
            </w:r>
          </w:p>
          <w:p w14:paraId="29C18D1A" w14:textId="77777777" w:rsidR="00DB2213" w:rsidRPr="00ED5FCD" w:rsidRDefault="00DB2213" w:rsidP="00F523A8">
            <w:pPr>
              <w:widowControl w:val="0"/>
              <w:spacing w:before="60" w:after="120"/>
              <w:contextualSpacing/>
              <w:rPr>
                <w:rFonts w:asciiTheme="minorHAnsi" w:hAnsiTheme="minorHAnsi" w:cstheme="minorHAnsi"/>
                <w:sz w:val="18"/>
                <w:szCs w:val="18"/>
              </w:rPr>
            </w:pPr>
            <w:r w:rsidRPr="00ED5FCD">
              <w:rPr>
                <w:rFonts w:asciiTheme="minorHAnsi" w:hAnsiTheme="minorHAnsi" w:cstheme="minorHAnsi"/>
                <w:sz w:val="18"/>
                <w:szCs w:val="18"/>
              </w:rPr>
              <w:lastRenderedPageBreak/>
              <w:t>In-person interview, phone interview, questionnaire, or website questionnaire</w:t>
            </w:r>
          </w:p>
          <w:p w14:paraId="014EE987" w14:textId="77777777" w:rsidR="00DB2213" w:rsidRPr="00D22AE2" w:rsidRDefault="00DB2213" w:rsidP="00F523A8">
            <w:pPr>
              <w:widowControl w:val="0"/>
              <w:spacing w:before="60" w:after="120"/>
              <w:contextualSpacing/>
              <w:rPr>
                <w:rFonts w:asciiTheme="minorHAnsi" w:hAnsiTheme="minorHAnsi" w:cstheme="minorHAnsi"/>
                <w:sz w:val="18"/>
                <w:szCs w:val="18"/>
              </w:rPr>
            </w:pPr>
            <w:r w:rsidRPr="00D22AE2">
              <w:rPr>
                <w:rFonts w:asciiTheme="minorHAnsi" w:hAnsiTheme="minorHAnsi" w:cstheme="minorHAnsi"/>
                <w:sz w:val="18"/>
                <w:szCs w:val="18"/>
              </w:rPr>
              <w:t>Spearman's</w:t>
            </w:r>
            <w:r w:rsidRPr="00D22AE2">
              <w:rPr>
                <w:rFonts w:asciiTheme="minorHAnsi" w:hAnsiTheme="minorHAnsi" w:cstheme="minorHAnsi"/>
                <w:i/>
                <w:iCs/>
                <w:sz w:val="18"/>
                <w:szCs w:val="18"/>
              </w:rPr>
              <w:t xml:space="preserve"> rho </w:t>
            </w:r>
            <w:r w:rsidRPr="00D22AE2">
              <w:rPr>
                <w:rFonts w:asciiTheme="minorHAnsi" w:hAnsiTheme="minorHAnsi" w:cstheme="minorHAnsi"/>
                <w:sz w:val="18"/>
                <w:szCs w:val="18"/>
              </w:rPr>
              <w:t>= 0.31; p&lt;0.01 (Oregon cohort: self-reported number of CPD, daily smoking; N = 89 individuals)</w:t>
            </w:r>
          </w:p>
          <w:p w14:paraId="4B6193AB" w14:textId="77777777" w:rsidR="00DB2213" w:rsidRPr="00D22AE2" w:rsidRDefault="00DB2213" w:rsidP="00F523A8">
            <w:pPr>
              <w:widowControl w:val="0"/>
              <w:spacing w:before="60" w:after="120"/>
              <w:contextualSpacing/>
              <w:rPr>
                <w:rFonts w:asciiTheme="minorHAnsi" w:hAnsiTheme="minorHAnsi" w:cstheme="minorHAnsi"/>
                <w:sz w:val="18"/>
                <w:szCs w:val="18"/>
              </w:rPr>
            </w:pPr>
            <w:r w:rsidRPr="00D22AE2">
              <w:rPr>
                <w:rFonts w:asciiTheme="minorHAnsi" w:hAnsiTheme="minorHAnsi" w:cstheme="minorHAnsi"/>
                <w:sz w:val="18"/>
                <w:szCs w:val="18"/>
              </w:rPr>
              <w:t>Spearman's</w:t>
            </w:r>
            <w:r w:rsidRPr="00D22AE2">
              <w:rPr>
                <w:rFonts w:asciiTheme="minorHAnsi" w:hAnsiTheme="minorHAnsi" w:cstheme="minorHAnsi"/>
                <w:i/>
                <w:iCs/>
                <w:sz w:val="18"/>
                <w:szCs w:val="18"/>
              </w:rPr>
              <w:t xml:space="preserve"> rho </w:t>
            </w:r>
            <w:r w:rsidRPr="00D22AE2">
              <w:rPr>
                <w:rFonts w:asciiTheme="minorHAnsi" w:hAnsiTheme="minorHAnsi" w:cstheme="minorHAnsi"/>
                <w:iCs/>
                <w:sz w:val="18"/>
                <w:szCs w:val="18"/>
              </w:rPr>
              <w:t xml:space="preserve">= 0.32; p=0.00 </w:t>
            </w:r>
            <w:r w:rsidRPr="00D22AE2">
              <w:rPr>
                <w:rFonts w:asciiTheme="minorHAnsi" w:hAnsiTheme="minorHAnsi" w:cstheme="minorHAnsi"/>
                <w:sz w:val="18"/>
                <w:szCs w:val="18"/>
              </w:rPr>
              <w:t>(Pittsburgh cohort: self-reported: number of CPD at first daily smoking; N = 111 individuals)</w:t>
            </w:r>
          </w:p>
          <w:p w14:paraId="796AE6BA" w14:textId="77777777" w:rsidR="00DB2213" w:rsidRPr="00D22AE2" w:rsidRDefault="00DB2213" w:rsidP="00F523A8">
            <w:pPr>
              <w:widowControl w:val="0"/>
              <w:spacing w:before="60" w:after="120"/>
              <w:contextualSpacing/>
              <w:rPr>
                <w:rFonts w:asciiTheme="minorHAnsi" w:hAnsiTheme="minorHAnsi" w:cstheme="minorHAnsi"/>
                <w:sz w:val="18"/>
                <w:szCs w:val="18"/>
              </w:rPr>
            </w:pPr>
            <w:r w:rsidRPr="00D22AE2">
              <w:rPr>
                <w:rFonts w:asciiTheme="minorHAnsi" w:hAnsiTheme="minorHAnsi" w:cstheme="minorHAnsi"/>
                <w:sz w:val="18"/>
                <w:szCs w:val="18"/>
              </w:rPr>
              <w:t>Test-retest interval: average interval of 19.5 years for the Oregon cohort; average interval of 3.9 years for the Pittsburgh cohort</w:t>
            </w:r>
          </w:p>
          <w:p w14:paraId="1522708C" w14:textId="77777777" w:rsidR="00DB2213" w:rsidRPr="00D22AE2" w:rsidRDefault="00DB2213" w:rsidP="00F523A8">
            <w:pPr>
              <w:widowControl w:val="0"/>
              <w:spacing w:before="60" w:after="120"/>
              <w:contextualSpacing/>
              <w:rPr>
                <w:rFonts w:asciiTheme="minorHAnsi" w:hAnsiTheme="minorHAnsi" w:cstheme="minorHAnsi"/>
                <w:i/>
                <w:sz w:val="18"/>
                <w:szCs w:val="18"/>
              </w:rPr>
            </w:pPr>
            <w:r w:rsidRPr="00D22AE2">
              <w:rPr>
                <w:rFonts w:asciiTheme="minorHAnsi" w:hAnsiTheme="minorHAnsi" w:cstheme="minorHAnsi"/>
                <w:i/>
                <w:sz w:val="18"/>
                <w:szCs w:val="18"/>
              </w:rPr>
              <w:t>Oregon Cohort: Individuals (mainly White) from Oregon, U.S. (baseline: this study recruited 346 of 483 original subjects who underwent initial testing for the Smoking in Families Study and retested them with the Lifetime Tobacco Use Questionnaire from 2005 through 2008); Pittsburgh Cohort: Individuals from Pittsburgh, U.S. (baseline: this study recruited 301 of 426 original subjects who underwent initial testing for the Maternal Health Practices and Child Development Study and retested them with the Lifetime Tobacco Use Questionnaire from 2005 through 2008).</w:t>
            </w:r>
          </w:p>
          <w:p w14:paraId="654471D1" w14:textId="77777777" w:rsidR="00DB2213" w:rsidRDefault="00DB2213" w:rsidP="00F523A8">
            <w:pPr>
              <w:widowControl w:val="0"/>
              <w:spacing w:before="60" w:after="120"/>
              <w:contextualSpacing/>
              <w:rPr>
                <w:rFonts w:cstheme="minorHAnsi"/>
                <w:b/>
                <w:sz w:val="18"/>
                <w:szCs w:val="18"/>
                <w:u w:val="single"/>
              </w:rPr>
            </w:pPr>
          </w:p>
          <w:p w14:paraId="61D5A7F8" w14:textId="54361E56" w:rsidR="00DB2213" w:rsidRDefault="00D2134A" w:rsidP="00F523A8">
            <w:pPr>
              <w:spacing w:after="120"/>
              <w:contextualSpacing/>
              <w:rPr>
                <w:rFonts w:asciiTheme="minorHAnsi" w:hAnsiTheme="minorHAnsi" w:cstheme="minorHAnsi"/>
                <w:b/>
                <w:sz w:val="18"/>
                <w:szCs w:val="18"/>
                <w:u w:val="single"/>
              </w:rPr>
            </w:pPr>
            <w:r>
              <w:rPr>
                <w:rFonts w:cstheme="minorHAnsi"/>
                <w:b/>
                <w:sz w:val="18"/>
                <w:szCs w:val="18"/>
                <w:u w:val="single"/>
              </w:rPr>
              <w:fldChar w:fldCharType="begin"/>
            </w:r>
            <w:r>
              <w:rPr>
                <w:rFonts w:cstheme="minorHAnsi"/>
                <w:b/>
                <w:sz w:val="18"/>
                <w:szCs w:val="18"/>
                <w:u w:val="single"/>
              </w:rPr>
              <w:instrText xml:space="preserve"> ADDIN EN.CITE &lt;EndNote&gt;&lt;Cite&gt;&lt;Author&gt;Colby&lt;/Author&gt;&lt;Year&gt;2012&lt;/Year&gt;&lt;RecNum&gt;311&lt;/RecNum&gt;&lt;DisplayText&gt;(29)&lt;/DisplayText&gt;&lt;record&gt;&lt;rec-number&gt;311&lt;/rec-number&gt;&lt;foreign-keys&gt;&lt;key app="EN" db-id="a2vz2dfp8xrad6exes75zwpiw5rxwa0vwapv" timestamp="1541524535"&gt;311&lt;/key&gt;&lt;/foreign-keys&gt;&lt;ref-type name="Journal Article"&gt;17&lt;/ref-type&gt;&lt;contributors&gt;&lt;authors&gt;&lt;author&gt;Colby, S.M.&lt;/author&gt;&lt;author&gt;Clark, M.A.&lt;/author&gt;&lt;author&gt;Rogers, M.L.&lt;/author&gt;&lt;author&gt;Ramsey, S.&lt;/author&gt;&lt;author&gt;Graham, A.L.&lt;/author&gt;&lt;author&gt;Boergers, J.&lt;/author&gt;&lt;author&gt;Kahler, C.W.&lt;/author&gt;&lt;author&gt;Papandonatos, G.D.&lt;/author&gt;&lt;author&gt;Buka, S.L.&lt;/author&gt;&lt;author&gt;Niaura, R.S.&lt;/author&gt;&lt;author&gt;Abrams, D.B.&lt;/author&gt;&lt;/authors&gt;&lt;/contributors&gt;&lt;titles&gt;&lt;title&gt;Development and reliability of the lifetime interview on smoking trajectories&lt;/title&gt;&lt;secondary-title&gt;Nicotine &amp;amp; tobacco research : official journal of the Society for Research on Nicotine and Tobacco&lt;/secondary-title&gt;&lt;/titles&gt;&lt;periodical&gt;&lt;full-title&gt;Nicotine &amp;amp; tobacco research : official journal of the Society for Research on Nicotine and Tobacco&lt;/full-title&gt;&lt;/periodical&gt;&lt;pages&gt;290-298&lt;/pages&gt;&lt;volume&gt;14&lt;/volume&gt;&lt;number&gt;3&lt;/number&gt;&lt;edition&gt;10/12&lt;/edition&gt;&lt;dates&gt;&lt;year&gt;2012&lt;/year&gt;&lt;/dates&gt;&lt;publisher&gt;Oxford University Press&lt;/publisher&gt;&lt;isbn&gt;1469-994X&amp;#xD;1462-2203&lt;/isbn&gt;&lt;accession-num&gt;21994340&lt;/accession-num&gt;&lt;urls&gt;&lt;related-urls&gt;&lt;url&gt;https://www.ncbi.nlm.nih.gov/pubmed/21994340&lt;/url&gt;&lt;url&gt;https://www.ncbi.nlm.nih.gov/pmc/PMC3281239/&lt;/url&gt;&lt;/related-urls&gt;&lt;/urls&gt;&lt;electronic-resource-num&gt;10.1093/ntr/ntr212&lt;/electronic-resource-num&gt;&lt;remote-database-name&gt;PubMed&lt;/remote-database-name&gt;&lt;/record&gt;&lt;/Cite&gt;&lt;/EndNote&gt;</w:instrText>
            </w:r>
            <w:r>
              <w:rPr>
                <w:rFonts w:cstheme="minorHAnsi"/>
                <w:b/>
                <w:sz w:val="18"/>
                <w:szCs w:val="18"/>
                <w:u w:val="single"/>
              </w:rPr>
              <w:fldChar w:fldCharType="separate"/>
            </w:r>
            <w:r>
              <w:rPr>
                <w:rFonts w:cstheme="minorHAnsi"/>
                <w:b/>
                <w:noProof/>
                <w:sz w:val="18"/>
                <w:szCs w:val="18"/>
                <w:u w:val="single"/>
              </w:rPr>
              <w:t>(</w:t>
            </w:r>
            <w:hyperlink w:anchor="_ENREF_29" w:tooltip="Colby, 2012 #311" w:history="1">
              <w:r w:rsidR="00A234A9">
                <w:rPr>
                  <w:rFonts w:cstheme="minorHAnsi"/>
                  <w:b/>
                  <w:noProof/>
                  <w:sz w:val="18"/>
                  <w:szCs w:val="18"/>
                  <w:u w:val="single"/>
                </w:rPr>
                <w:t>29</w:t>
              </w:r>
            </w:hyperlink>
            <w:r>
              <w:rPr>
                <w:rFonts w:cstheme="minorHAnsi"/>
                <w:b/>
                <w:noProof/>
                <w:sz w:val="18"/>
                <w:szCs w:val="18"/>
                <w:u w:val="single"/>
              </w:rPr>
              <w:t>)</w:t>
            </w:r>
            <w:r>
              <w:rPr>
                <w:rFonts w:cstheme="minorHAnsi"/>
                <w:b/>
                <w:sz w:val="18"/>
                <w:szCs w:val="18"/>
                <w:u w:val="single"/>
              </w:rPr>
              <w:fldChar w:fldCharType="end"/>
            </w:r>
          </w:p>
          <w:p w14:paraId="5C99B7FF" w14:textId="77777777" w:rsidR="00DB2213" w:rsidRPr="00807424" w:rsidRDefault="00DB2213" w:rsidP="00F523A8">
            <w:pPr>
              <w:spacing w:after="120"/>
              <w:rPr>
                <w:rFonts w:cstheme="minorHAnsi"/>
                <w:sz w:val="18"/>
                <w:szCs w:val="18"/>
              </w:rPr>
            </w:pPr>
            <w:r w:rsidRPr="00807424">
              <w:rPr>
                <w:rFonts w:asciiTheme="minorHAnsi" w:hAnsiTheme="minorHAnsi" w:cstheme="minorHAnsi"/>
                <w:sz w:val="18"/>
                <w:szCs w:val="18"/>
              </w:rPr>
              <w:t>In-person, telephone, or videotaped interviews</w:t>
            </w:r>
          </w:p>
          <w:p w14:paraId="1034A8DA" w14:textId="77777777" w:rsidR="00DB2213" w:rsidRDefault="00DB2213" w:rsidP="00F523A8">
            <w:pPr>
              <w:spacing w:after="60"/>
              <w:rPr>
                <w:rFonts w:eastAsia="Times New Roman" w:cstheme="minorHAnsi"/>
                <w:sz w:val="18"/>
                <w:szCs w:val="18"/>
              </w:rPr>
            </w:pPr>
            <w:r w:rsidRPr="005B1E24">
              <w:rPr>
                <w:rFonts w:asciiTheme="minorHAnsi" w:hAnsiTheme="minorHAnsi" w:cstheme="minorHAnsi"/>
                <w:sz w:val="18"/>
                <w:szCs w:val="18"/>
              </w:rPr>
              <w:t xml:space="preserve">κ = 0.95 (% ever smoked daily) </w:t>
            </w:r>
            <w:r w:rsidRPr="005B1E24">
              <w:rPr>
                <w:rFonts w:asciiTheme="minorHAnsi" w:hAnsiTheme="minorHAnsi" w:cstheme="minorHAnsi"/>
                <w:sz w:val="18"/>
                <w:szCs w:val="18"/>
              </w:rPr>
              <w:br/>
            </w:r>
            <w:r w:rsidRPr="005B1E24">
              <w:rPr>
                <w:rFonts w:asciiTheme="minorHAnsi" w:eastAsia="Times New Roman" w:hAnsiTheme="minorHAnsi" w:cstheme="minorHAnsi"/>
                <w:sz w:val="18"/>
                <w:szCs w:val="18"/>
              </w:rPr>
              <w:t>κ = 0.92 (% smoked weekly)</w:t>
            </w:r>
          </w:p>
          <w:p w14:paraId="4F3E664C" w14:textId="7804F351" w:rsidR="00DB2213" w:rsidRDefault="008F2CD1" w:rsidP="00F523A8">
            <w:pPr>
              <w:spacing w:after="60"/>
              <w:rPr>
                <w:rFonts w:cstheme="minorHAnsi"/>
                <w:sz w:val="18"/>
                <w:szCs w:val="18"/>
              </w:rPr>
            </w:pPr>
            <w:r w:rsidRPr="00327475">
              <w:rPr>
                <w:rFonts w:cstheme="minorHAnsi"/>
                <w:iCs/>
                <w:sz w:val="18"/>
                <w:szCs w:val="18"/>
              </w:rPr>
              <w:t>Test-retest interval:</w:t>
            </w:r>
            <w:r w:rsidRPr="00494051">
              <w:rPr>
                <w:rFonts w:cstheme="minorHAnsi"/>
                <w:iCs/>
              </w:rPr>
              <w:t xml:space="preserve"> </w:t>
            </w:r>
            <w:r w:rsidR="00DB2213" w:rsidRPr="005B1E24">
              <w:rPr>
                <w:rFonts w:asciiTheme="minorHAnsi" w:hAnsiTheme="minorHAnsi" w:cstheme="minorHAnsi"/>
                <w:sz w:val="18"/>
                <w:szCs w:val="18"/>
              </w:rPr>
              <w:t>4 to 8 months</w:t>
            </w:r>
          </w:p>
          <w:p w14:paraId="27E746CE" w14:textId="77777777" w:rsidR="00DB2213" w:rsidRDefault="00DB2213" w:rsidP="00F523A8">
            <w:pPr>
              <w:spacing w:after="120"/>
              <w:contextualSpacing/>
              <w:rPr>
                <w:rFonts w:asciiTheme="minorHAnsi" w:hAnsiTheme="minorHAnsi" w:cstheme="minorHAnsi"/>
                <w:i/>
                <w:iCs/>
                <w:sz w:val="18"/>
                <w:szCs w:val="18"/>
              </w:rPr>
            </w:pPr>
            <w:r w:rsidRPr="005B1E24">
              <w:rPr>
                <w:rFonts w:asciiTheme="minorHAnsi" w:hAnsiTheme="minorHAnsi" w:cstheme="minorHAnsi"/>
                <w:i/>
                <w:iCs/>
                <w:sz w:val="18"/>
                <w:szCs w:val="18"/>
              </w:rPr>
              <w:t>220 participants from a birth cohort aged 34-44 years old from a distinct geographical region in the United States</w:t>
            </w:r>
          </w:p>
          <w:p w14:paraId="6E941477" w14:textId="77777777" w:rsidR="00DB2213" w:rsidRPr="00807424" w:rsidRDefault="00DB2213" w:rsidP="00F523A8">
            <w:pPr>
              <w:widowControl w:val="0"/>
              <w:spacing w:before="60" w:after="120"/>
              <w:contextualSpacing/>
              <w:rPr>
                <w:rFonts w:asciiTheme="minorHAnsi" w:hAnsiTheme="minorHAnsi" w:cstheme="minorHAnsi"/>
                <w:iCs/>
                <w:sz w:val="18"/>
                <w:szCs w:val="18"/>
              </w:rPr>
            </w:pPr>
            <w:r w:rsidRPr="00807424">
              <w:rPr>
                <w:rFonts w:asciiTheme="minorHAnsi" w:hAnsiTheme="minorHAnsi" w:cstheme="minorHAnsi"/>
                <w:iCs/>
                <w:sz w:val="18"/>
                <w:szCs w:val="18"/>
              </w:rPr>
              <w:t>Current smoking phase (CPD); N = 55 participants</w:t>
            </w:r>
          </w:p>
          <w:p w14:paraId="41E20BF2" w14:textId="77777777" w:rsidR="00DB2213" w:rsidRPr="00D22AE2" w:rsidRDefault="00DB2213" w:rsidP="00F523A8">
            <w:pPr>
              <w:widowControl w:val="0"/>
              <w:spacing w:before="60" w:after="120"/>
              <w:contextualSpacing/>
              <w:rPr>
                <w:rFonts w:asciiTheme="minorHAnsi" w:hAnsiTheme="minorHAnsi" w:cstheme="minorHAnsi"/>
                <w:i/>
                <w:iCs/>
                <w:sz w:val="18"/>
                <w:szCs w:val="18"/>
              </w:rPr>
            </w:pPr>
            <w:r w:rsidRPr="00D22AE2">
              <w:rPr>
                <w:rFonts w:asciiTheme="minorHAnsi" w:hAnsiTheme="minorHAnsi" w:cstheme="minorHAnsi"/>
                <w:i/>
                <w:iCs/>
                <w:sz w:val="18"/>
                <w:szCs w:val="18"/>
              </w:rPr>
              <w:t xml:space="preserve">r </w:t>
            </w:r>
            <w:r w:rsidRPr="00D22AE2">
              <w:rPr>
                <w:rFonts w:asciiTheme="minorHAnsi" w:hAnsiTheme="minorHAnsi" w:cstheme="minorHAnsi"/>
                <w:iCs/>
                <w:sz w:val="18"/>
                <w:szCs w:val="18"/>
              </w:rPr>
              <w:t>= 0.76; p&lt;0.0001</w:t>
            </w:r>
          </w:p>
          <w:p w14:paraId="17F1205A" w14:textId="77777777" w:rsidR="00DB2213" w:rsidRPr="00D22AE2" w:rsidRDefault="00DB2213" w:rsidP="00F523A8">
            <w:pPr>
              <w:widowControl w:val="0"/>
              <w:spacing w:before="60" w:after="120"/>
              <w:contextualSpacing/>
              <w:rPr>
                <w:rFonts w:asciiTheme="minorHAnsi" w:hAnsiTheme="minorHAnsi" w:cstheme="minorHAnsi"/>
                <w:iCs/>
                <w:sz w:val="18"/>
                <w:szCs w:val="18"/>
              </w:rPr>
            </w:pPr>
            <w:r w:rsidRPr="00D22AE2">
              <w:rPr>
                <w:rFonts w:asciiTheme="minorHAnsi" w:hAnsiTheme="minorHAnsi" w:cstheme="minorHAnsi"/>
                <w:iCs/>
                <w:sz w:val="18"/>
                <w:szCs w:val="18"/>
              </w:rPr>
              <w:t>ICC = 0.77</w:t>
            </w:r>
          </w:p>
          <w:p w14:paraId="1872E395" w14:textId="77777777" w:rsidR="00DB2213" w:rsidRPr="00D22AE2" w:rsidRDefault="00DB2213" w:rsidP="00F523A8">
            <w:pPr>
              <w:widowControl w:val="0"/>
              <w:spacing w:before="60" w:after="120"/>
              <w:contextualSpacing/>
              <w:rPr>
                <w:rFonts w:asciiTheme="minorHAnsi" w:hAnsiTheme="minorHAnsi" w:cstheme="minorHAnsi"/>
                <w:i/>
                <w:iCs/>
                <w:sz w:val="18"/>
                <w:szCs w:val="18"/>
              </w:rPr>
            </w:pPr>
            <w:r w:rsidRPr="00D22AE2">
              <w:rPr>
                <w:rFonts w:asciiTheme="minorHAnsi" w:hAnsiTheme="minorHAnsi" w:cstheme="minorHAnsi"/>
                <w:i/>
                <w:iCs/>
                <w:sz w:val="18"/>
                <w:szCs w:val="18"/>
              </w:rPr>
              <w:t>First daily smoking phase (CPD); N = 121 participants</w:t>
            </w:r>
          </w:p>
          <w:p w14:paraId="0A91782A" w14:textId="77777777" w:rsidR="00DB2213" w:rsidRPr="00D22AE2" w:rsidRDefault="00DB2213" w:rsidP="00F523A8">
            <w:pPr>
              <w:widowControl w:val="0"/>
              <w:spacing w:before="60" w:after="120"/>
              <w:contextualSpacing/>
              <w:rPr>
                <w:rFonts w:asciiTheme="minorHAnsi" w:hAnsiTheme="minorHAnsi" w:cstheme="minorHAnsi"/>
                <w:i/>
                <w:iCs/>
                <w:sz w:val="18"/>
                <w:szCs w:val="18"/>
              </w:rPr>
            </w:pPr>
            <w:r w:rsidRPr="00D22AE2">
              <w:rPr>
                <w:rFonts w:asciiTheme="minorHAnsi" w:hAnsiTheme="minorHAnsi" w:cstheme="minorHAnsi"/>
                <w:i/>
                <w:iCs/>
                <w:sz w:val="18"/>
                <w:szCs w:val="18"/>
              </w:rPr>
              <w:t xml:space="preserve">r </w:t>
            </w:r>
            <w:r w:rsidRPr="00D22AE2">
              <w:rPr>
                <w:rFonts w:asciiTheme="minorHAnsi" w:hAnsiTheme="minorHAnsi" w:cstheme="minorHAnsi"/>
                <w:iCs/>
                <w:sz w:val="18"/>
                <w:szCs w:val="18"/>
              </w:rPr>
              <w:t>= 0.54; p&lt;0.0001</w:t>
            </w:r>
          </w:p>
          <w:p w14:paraId="09BB9D1B" w14:textId="77777777" w:rsidR="00DB2213" w:rsidRPr="00D22AE2" w:rsidRDefault="00DB2213" w:rsidP="00F523A8">
            <w:pPr>
              <w:widowControl w:val="0"/>
              <w:spacing w:before="60" w:after="120"/>
              <w:contextualSpacing/>
              <w:rPr>
                <w:rFonts w:asciiTheme="minorHAnsi" w:hAnsiTheme="minorHAnsi" w:cstheme="minorHAnsi"/>
                <w:iCs/>
                <w:sz w:val="18"/>
                <w:szCs w:val="18"/>
              </w:rPr>
            </w:pPr>
            <w:r w:rsidRPr="00D22AE2">
              <w:rPr>
                <w:rFonts w:asciiTheme="minorHAnsi" w:hAnsiTheme="minorHAnsi" w:cstheme="minorHAnsi"/>
                <w:iCs/>
                <w:sz w:val="18"/>
                <w:szCs w:val="18"/>
              </w:rPr>
              <w:t>ICC = 0.54</w:t>
            </w:r>
          </w:p>
          <w:p w14:paraId="7D86D0F9" w14:textId="77777777" w:rsidR="00DB2213" w:rsidRPr="00D22AE2" w:rsidRDefault="00DB2213" w:rsidP="00F523A8">
            <w:pPr>
              <w:widowControl w:val="0"/>
              <w:spacing w:before="60" w:after="120"/>
              <w:contextualSpacing/>
              <w:rPr>
                <w:rFonts w:asciiTheme="minorHAnsi" w:hAnsiTheme="minorHAnsi" w:cstheme="minorHAnsi"/>
                <w:i/>
                <w:iCs/>
                <w:sz w:val="18"/>
                <w:szCs w:val="18"/>
              </w:rPr>
            </w:pPr>
            <w:r w:rsidRPr="00D22AE2">
              <w:rPr>
                <w:rFonts w:asciiTheme="minorHAnsi" w:hAnsiTheme="minorHAnsi" w:cstheme="minorHAnsi"/>
                <w:i/>
                <w:iCs/>
                <w:sz w:val="18"/>
                <w:szCs w:val="18"/>
              </w:rPr>
              <w:t xml:space="preserve">Heaviest smoking phase (CPD); N = </w:t>
            </w:r>
            <w:r w:rsidRPr="00D22AE2">
              <w:rPr>
                <w:rFonts w:asciiTheme="minorHAnsi" w:hAnsiTheme="minorHAnsi" w:cstheme="minorHAnsi"/>
                <w:i/>
                <w:iCs/>
                <w:sz w:val="18"/>
                <w:szCs w:val="18"/>
              </w:rPr>
              <w:lastRenderedPageBreak/>
              <w:t>103 participants</w:t>
            </w:r>
          </w:p>
          <w:p w14:paraId="380BDB31" w14:textId="77777777" w:rsidR="00DB2213" w:rsidRPr="00D22AE2" w:rsidRDefault="00DB2213" w:rsidP="00F523A8">
            <w:pPr>
              <w:widowControl w:val="0"/>
              <w:spacing w:before="60" w:after="120"/>
              <w:contextualSpacing/>
              <w:rPr>
                <w:rFonts w:asciiTheme="minorHAnsi" w:hAnsiTheme="minorHAnsi" w:cstheme="minorHAnsi"/>
                <w:i/>
                <w:iCs/>
                <w:sz w:val="18"/>
                <w:szCs w:val="18"/>
              </w:rPr>
            </w:pPr>
            <w:r w:rsidRPr="00D22AE2">
              <w:rPr>
                <w:rFonts w:asciiTheme="minorHAnsi" w:hAnsiTheme="minorHAnsi" w:cstheme="minorHAnsi"/>
                <w:i/>
                <w:iCs/>
                <w:sz w:val="18"/>
                <w:szCs w:val="18"/>
              </w:rPr>
              <w:t xml:space="preserve">r </w:t>
            </w:r>
            <w:r w:rsidRPr="00D22AE2">
              <w:rPr>
                <w:rFonts w:asciiTheme="minorHAnsi" w:hAnsiTheme="minorHAnsi" w:cstheme="minorHAnsi"/>
                <w:iCs/>
                <w:sz w:val="18"/>
                <w:szCs w:val="18"/>
              </w:rPr>
              <w:t>= 0.73; p&lt;0.0001</w:t>
            </w:r>
          </w:p>
          <w:p w14:paraId="39E4AEA8" w14:textId="77777777" w:rsidR="00DB2213" w:rsidRPr="00D22AE2" w:rsidRDefault="00DB2213" w:rsidP="00F523A8">
            <w:pPr>
              <w:widowControl w:val="0"/>
              <w:spacing w:before="60" w:after="120"/>
              <w:contextualSpacing/>
              <w:rPr>
                <w:rFonts w:asciiTheme="minorHAnsi" w:hAnsiTheme="minorHAnsi" w:cstheme="minorHAnsi"/>
                <w:iCs/>
                <w:sz w:val="18"/>
                <w:szCs w:val="18"/>
              </w:rPr>
            </w:pPr>
            <w:r w:rsidRPr="00D22AE2">
              <w:rPr>
                <w:rFonts w:asciiTheme="minorHAnsi" w:hAnsiTheme="minorHAnsi" w:cstheme="minorHAnsi"/>
                <w:iCs/>
                <w:sz w:val="18"/>
                <w:szCs w:val="18"/>
              </w:rPr>
              <w:t>ICC = 0.72</w:t>
            </w:r>
          </w:p>
          <w:p w14:paraId="150D444B" w14:textId="77777777" w:rsidR="00DB2213" w:rsidRPr="00D22AE2" w:rsidRDefault="00DB2213" w:rsidP="00F523A8">
            <w:pPr>
              <w:widowControl w:val="0"/>
              <w:spacing w:before="60" w:after="120"/>
              <w:contextualSpacing/>
              <w:rPr>
                <w:rFonts w:asciiTheme="minorHAnsi" w:hAnsiTheme="minorHAnsi" w:cstheme="minorHAnsi"/>
                <w:i/>
                <w:iCs/>
                <w:sz w:val="18"/>
                <w:szCs w:val="18"/>
              </w:rPr>
            </w:pPr>
            <w:r w:rsidRPr="00D22AE2">
              <w:rPr>
                <w:rFonts w:asciiTheme="minorHAnsi" w:hAnsiTheme="minorHAnsi" w:cstheme="minorHAnsi"/>
                <w:i/>
                <w:iCs/>
                <w:sz w:val="18"/>
                <w:szCs w:val="18"/>
              </w:rPr>
              <w:t>Most recent smoking phase of former smokers (CPD); N = 50 participants</w:t>
            </w:r>
          </w:p>
          <w:p w14:paraId="39019BE2" w14:textId="77777777" w:rsidR="00DB2213" w:rsidRPr="00D22AE2" w:rsidRDefault="00DB2213" w:rsidP="00F523A8">
            <w:pPr>
              <w:widowControl w:val="0"/>
              <w:spacing w:before="60" w:after="120"/>
              <w:contextualSpacing/>
              <w:rPr>
                <w:rFonts w:asciiTheme="minorHAnsi" w:hAnsiTheme="minorHAnsi" w:cstheme="minorHAnsi"/>
                <w:i/>
                <w:iCs/>
                <w:sz w:val="18"/>
                <w:szCs w:val="18"/>
              </w:rPr>
            </w:pPr>
            <w:r w:rsidRPr="00D22AE2">
              <w:rPr>
                <w:rFonts w:asciiTheme="minorHAnsi" w:hAnsiTheme="minorHAnsi" w:cstheme="minorHAnsi"/>
                <w:i/>
                <w:iCs/>
                <w:sz w:val="18"/>
                <w:szCs w:val="18"/>
              </w:rPr>
              <w:t xml:space="preserve">r </w:t>
            </w:r>
            <w:r w:rsidRPr="00D22AE2">
              <w:rPr>
                <w:rFonts w:asciiTheme="minorHAnsi" w:hAnsiTheme="minorHAnsi" w:cstheme="minorHAnsi"/>
                <w:iCs/>
                <w:sz w:val="18"/>
                <w:szCs w:val="18"/>
              </w:rPr>
              <w:t>= 0.71; p&lt;0.0001</w:t>
            </w:r>
          </w:p>
          <w:p w14:paraId="0DC5EE25" w14:textId="77777777" w:rsidR="00DB2213" w:rsidRPr="00D22AE2" w:rsidRDefault="00DB2213" w:rsidP="00F523A8">
            <w:pPr>
              <w:widowControl w:val="0"/>
              <w:spacing w:before="60" w:after="120"/>
              <w:contextualSpacing/>
              <w:rPr>
                <w:rFonts w:asciiTheme="minorHAnsi" w:hAnsiTheme="minorHAnsi" w:cstheme="minorHAnsi"/>
                <w:iCs/>
                <w:sz w:val="18"/>
                <w:szCs w:val="18"/>
              </w:rPr>
            </w:pPr>
            <w:r w:rsidRPr="00D22AE2">
              <w:rPr>
                <w:rFonts w:asciiTheme="minorHAnsi" w:hAnsiTheme="minorHAnsi" w:cstheme="minorHAnsi"/>
                <w:iCs/>
                <w:sz w:val="18"/>
                <w:szCs w:val="18"/>
              </w:rPr>
              <w:t>ICC = 0.65</w:t>
            </w:r>
          </w:p>
          <w:p w14:paraId="7D4DA807" w14:textId="77777777" w:rsidR="00DB2213" w:rsidRPr="00D22AE2" w:rsidRDefault="00DB2213" w:rsidP="00F523A8">
            <w:pPr>
              <w:widowControl w:val="0"/>
              <w:spacing w:before="60" w:after="120"/>
              <w:contextualSpacing/>
              <w:rPr>
                <w:rFonts w:asciiTheme="minorHAnsi" w:hAnsiTheme="minorHAnsi" w:cstheme="minorHAnsi"/>
                <w:iCs/>
                <w:sz w:val="18"/>
                <w:szCs w:val="18"/>
              </w:rPr>
            </w:pPr>
            <w:r w:rsidRPr="00D22AE2">
              <w:rPr>
                <w:rFonts w:asciiTheme="minorHAnsi" w:hAnsiTheme="minorHAnsi" w:cstheme="minorHAnsi"/>
                <w:iCs/>
                <w:sz w:val="18"/>
                <w:szCs w:val="18"/>
              </w:rPr>
              <w:t>Test-retest interval: 4 to 8 weeks</w:t>
            </w:r>
          </w:p>
          <w:p w14:paraId="2734034A" w14:textId="77777777" w:rsidR="00DB2213" w:rsidRDefault="00DB2213" w:rsidP="00F523A8">
            <w:pPr>
              <w:widowControl w:val="0"/>
              <w:spacing w:before="60" w:after="120"/>
              <w:contextualSpacing/>
              <w:rPr>
                <w:rFonts w:asciiTheme="minorHAnsi" w:hAnsiTheme="minorHAnsi" w:cstheme="minorHAnsi"/>
                <w:i/>
                <w:iCs/>
                <w:sz w:val="18"/>
                <w:szCs w:val="18"/>
              </w:rPr>
            </w:pPr>
            <w:r w:rsidRPr="00D22AE2">
              <w:rPr>
                <w:rFonts w:asciiTheme="minorHAnsi" w:hAnsiTheme="minorHAnsi" w:cstheme="minorHAnsi"/>
                <w:i/>
                <w:iCs/>
                <w:sz w:val="18"/>
                <w:szCs w:val="18"/>
              </w:rPr>
              <w:t>Baseline sample: 1,625 adults</w:t>
            </w:r>
            <w:r>
              <w:rPr>
                <w:rFonts w:asciiTheme="minorHAnsi" w:hAnsiTheme="minorHAnsi" w:cstheme="minorHAnsi"/>
                <w:i/>
                <w:iCs/>
                <w:sz w:val="18"/>
                <w:szCs w:val="18"/>
              </w:rPr>
              <w:t>,</w:t>
            </w:r>
            <w:r w:rsidRPr="00D22AE2">
              <w:rPr>
                <w:rFonts w:asciiTheme="minorHAnsi" w:hAnsiTheme="minorHAnsi" w:cstheme="minorHAnsi"/>
                <w:i/>
                <w:iCs/>
                <w:sz w:val="18"/>
                <w:szCs w:val="18"/>
              </w:rPr>
              <w:t xml:space="preserve"> ages 34-44 years, mainly White, from the U.S.</w:t>
            </w:r>
          </w:p>
          <w:p w14:paraId="38B214F1" w14:textId="77777777" w:rsidR="00D7646B" w:rsidRPr="00D22AE2" w:rsidRDefault="00D7646B" w:rsidP="00F523A8">
            <w:pPr>
              <w:widowControl w:val="0"/>
              <w:spacing w:before="60" w:after="120"/>
              <w:contextualSpacing/>
              <w:rPr>
                <w:rFonts w:asciiTheme="minorHAnsi" w:hAnsiTheme="minorHAnsi" w:cstheme="minorHAnsi"/>
                <w:i/>
                <w:iCs/>
                <w:sz w:val="18"/>
                <w:szCs w:val="18"/>
              </w:rPr>
            </w:pPr>
          </w:p>
          <w:p w14:paraId="687A390E" w14:textId="528F1EFE" w:rsidR="00DB2213" w:rsidRPr="009920F8" w:rsidRDefault="00D2134A" w:rsidP="00F523A8">
            <w:pPr>
              <w:rPr>
                <w:rFonts w:asciiTheme="minorHAnsi" w:hAnsiTheme="minorHAnsi" w:cstheme="minorHAnsi"/>
                <w:b/>
                <w:sz w:val="18"/>
                <w:szCs w:val="18"/>
              </w:rPr>
            </w:pPr>
            <w:r>
              <w:rPr>
                <w:rFonts w:eastAsia="Times New Roman" w:cstheme="minorHAnsi"/>
                <w:b/>
                <w:sz w:val="18"/>
                <w:szCs w:val="18"/>
                <w:u w:val="single"/>
              </w:rPr>
              <w:fldChar w:fldCharType="begin"/>
            </w:r>
            <w:r>
              <w:rPr>
                <w:rFonts w:eastAsia="Times New Roman" w:cstheme="minorHAnsi"/>
                <w:b/>
                <w:sz w:val="18"/>
                <w:szCs w:val="18"/>
                <w:u w:val="single"/>
              </w:rPr>
              <w:instrText xml:space="preserve"> ADDIN EN.CITE &lt;EndNote&gt;&lt;Cite&gt;&lt;Author&gt;Eppel&lt;/Author&gt;&lt;Year&gt;2006&lt;/Year&gt;&lt;RecNum&gt;312&lt;/RecNum&gt;&lt;DisplayText&gt;(39)&lt;/DisplayText&gt;&lt;record&gt;&lt;rec-number&gt;312&lt;/rec-number&gt;&lt;foreign-keys&gt;&lt;key app="EN" db-id="a2vz2dfp8xrad6exes75zwpiw5rxwa0vwapv" timestamp="1541527723"&gt;312&lt;/key&gt;&lt;/foreign-keys&gt;&lt;ref-type name="Journal Article"&gt;17&lt;/ref-type&gt;&lt;contributors&gt;&lt;authors&gt;&lt;author&gt;Eppel, A.&lt;/author&gt;&lt;author&gt;O&amp;apos;Loughlin, J.&lt;/author&gt;&lt;author&gt;Paradis, G.&lt;/author&gt;&lt;author&gt;Platt, R.&lt;/author&gt;&lt;/authors&gt;&lt;/contributors&gt;&lt;auth-address&gt;McGill University, Department of Epidemiology, Biostatistics, and Occupational Health, Montreal, Quebec, Canada.&lt;/auth-address&gt;&lt;titles&gt;&lt;title&gt;Reliability of self-reports of cigarette use in novice smokers&lt;/title&gt;&lt;secondary-title&gt;Addict Behav&lt;/secondary-title&gt;&lt;alt-title&gt;Addictive behaviors&lt;/alt-title&gt;&lt;/titles&gt;&lt;periodical&gt;&lt;full-title&gt;Addict Behav&lt;/full-title&gt;&lt;/periodical&gt;&lt;alt-periodical&gt;&lt;full-title&gt;Addictive Behaviors&lt;/full-title&gt;&lt;/alt-periodical&gt;&lt;pages&gt;1700-4&lt;/pages&gt;&lt;volume&gt;31&lt;/volume&gt;&lt;number&gt;9&lt;/number&gt;&lt;edition&gt;2005/12/20&lt;/edition&gt;&lt;keywords&gt;&lt;keyword&gt;Adolescent&lt;/keyword&gt;&lt;keyword&gt;Age Factors&lt;/keyword&gt;&lt;keyword&gt;Child&lt;/keyword&gt;&lt;keyword&gt;Female&lt;/keyword&gt;&lt;keyword&gt;Follow-Up Studies&lt;/keyword&gt;&lt;keyword&gt;Humans&lt;/keyword&gt;&lt;keyword&gt;Male&lt;/keyword&gt;&lt;keyword&gt;*Mental Recall&lt;/keyword&gt;&lt;keyword&gt;Psychometrics&lt;/keyword&gt;&lt;keyword&gt;Reproducibility of Results&lt;/keyword&gt;&lt;keyword&gt;*Self Disclosure&lt;/keyword&gt;&lt;keyword&gt;Smoking/*psychology&lt;/keyword&gt;&lt;/keywords&gt;&lt;dates&gt;&lt;year&gt;2006&lt;/year&gt;&lt;pub-dates&gt;&lt;date&gt;Sep&lt;/date&gt;&lt;/pub-dates&gt;&lt;/dates&gt;&lt;isbn&gt;0306-4603 (Print)&amp;#xD;0306-4603&lt;/isbn&gt;&lt;accession-num&gt;16359824&lt;/accession-num&gt;&lt;urls&gt;&lt;/urls&gt;&lt;electronic-resource-num&gt;10.1016/j.addbeh.2005.11.006&lt;/electronic-resource-num&gt;&lt;remote-database-provider&gt;NLM&lt;/remote-database-provider&gt;&lt;language&gt;eng&lt;/language&gt;&lt;/record&gt;&lt;/Cite&gt;&lt;/EndNote&gt;</w:instrText>
            </w:r>
            <w:r>
              <w:rPr>
                <w:rFonts w:eastAsia="Times New Roman" w:cstheme="minorHAnsi"/>
                <w:b/>
                <w:sz w:val="18"/>
                <w:szCs w:val="18"/>
                <w:u w:val="single"/>
              </w:rPr>
              <w:fldChar w:fldCharType="separate"/>
            </w:r>
            <w:r>
              <w:rPr>
                <w:rFonts w:eastAsia="Times New Roman" w:cstheme="minorHAnsi"/>
                <w:b/>
                <w:noProof/>
                <w:sz w:val="18"/>
                <w:szCs w:val="18"/>
                <w:u w:val="single"/>
              </w:rPr>
              <w:t>(</w:t>
            </w:r>
            <w:hyperlink w:anchor="_ENREF_39" w:tooltip="Eppel, 2006 #312" w:history="1">
              <w:r w:rsidR="00A234A9">
                <w:rPr>
                  <w:rFonts w:eastAsia="Times New Roman" w:cstheme="minorHAnsi"/>
                  <w:b/>
                  <w:noProof/>
                  <w:sz w:val="18"/>
                  <w:szCs w:val="18"/>
                  <w:u w:val="single"/>
                </w:rPr>
                <w:t>39</w:t>
              </w:r>
            </w:hyperlink>
            <w:r>
              <w:rPr>
                <w:rFonts w:eastAsia="Times New Roman" w:cstheme="minorHAnsi"/>
                <w:b/>
                <w:noProof/>
                <w:sz w:val="18"/>
                <w:szCs w:val="18"/>
                <w:u w:val="single"/>
              </w:rPr>
              <w:t>)</w:t>
            </w:r>
            <w:r>
              <w:rPr>
                <w:rFonts w:eastAsia="Times New Roman" w:cstheme="minorHAnsi"/>
                <w:b/>
                <w:sz w:val="18"/>
                <w:szCs w:val="18"/>
                <w:u w:val="single"/>
              </w:rPr>
              <w:fldChar w:fldCharType="end"/>
            </w:r>
          </w:p>
          <w:p w14:paraId="33EBAFDE" w14:textId="77777777" w:rsidR="00DB2213" w:rsidRPr="00867C27" w:rsidRDefault="00DB2213" w:rsidP="00F523A8">
            <w:pPr>
              <w:spacing w:afterLines="60" w:after="144"/>
              <w:rPr>
                <w:rFonts w:asciiTheme="minorHAnsi" w:hAnsiTheme="minorHAnsi" w:cstheme="minorHAnsi"/>
                <w:sz w:val="18"/>
                <w:szCs w:val="18"/>
              </w:rPr>
            </w:pPr>
            <w:r w:rsidRPr="00867C27">
              <w:rPr>
                <w:rFonts w:asciiTheme="minorHAnsi" w:eastAsia="Times New Roman" w:hAnsiTheme="minorHAnsi" w:cstheme="minorHAnsi"/>
                <w:sz w:val="18"/>
                <w:szCs w:val="18"/>
              </w:rPr>
              <w:t>Classroom pen-and-paper self-administered questionnaire.</w:t>
            </w:r>
          </w:p>
          <w:p w14:paraId="73C6B30F" w14:textId="77777777" w:rsidR="00DB2213" w:rsidRPr="00FA7E1F" w:rsidRDefault="00DB2213" w:rsidP="00F523A8">
            <w:pPr>
              <w:spacing w:after="60"/>
              <w:rPr>
                <w:rFonts w:asciiTheme="minorHAnsi" w:eastAsia="Times New Roman" w:hAnsiTheme="minorHAnsi" w:cstheme="minorHAnsi"/>
                <w:sz w:val="18"/>
                <w:szCs w:val="18"/>
              </w:rPr>
            </w:pPr>
            <w:r w:rsidRPr="00FA7E1F">
              <w:rPr>
                <w:rFonts w:asciiTheme="minorHAnsi" w:eastAsia="Times New Roman" w:hAnsiTheme="minorHAnsi" w:cstheme="minorHAnsi"/>
                <w:sz w:val="18"/>
                <w:szCs w:val="18"/>
              </w:rPr>
              <w:t>Test–retest reliability for smoking frequency:</w:t>
            </w:r>
          </w:p>
          <w:p w14:paraId="28D0375E" w14:textId="77777777" w:rsidR="00DB2213" w:rsidRPr="005B1E24" w:rsidRDefault="00DB2213" w:rsidP="00F523A8">
            <w:pPr>
              <w:spacing w:afterLines="60" w:after="144"/>
              <w:rPr>
                <w:rFonts w:asciiTheme="minorHAnsi" w:eastAsia="Times New Roman" w:hAnsiTheme="minorHAnsi" w:cstheme="minorHAnsi"/>
                <w:sz w:val="18"/>
                <w:szCs w:val="18"/>
              </w:rPr>
            </w:pPr>
            <w:r w:rsidRPr="005B1E24">
              <w:rPr>
                <w:rFonts w:asciiTheme="minorHAnsi" w:eastAsia="Times New Roman" w:hAnsiTheme="minorHAnsi" w:cstheme="minorHAnsi"/>
                <w:sz w:val="18"/>
                <w:szCs w:val="18"/>
              </w:rPr>
              <w:t>κ = 0.78 (0.66–0.91)</w:t>
            </w:r>
          </w:p>
          <w:p w14:paraId="56E8E0CC" w14:textId="77777777" w:rsidR="00DB2213" w:rsidRPr="00FA7E1F" w:rsidRDefault="00DB2213" w:rsidP="00F523A8">
            <w:pPr>
              <w:spacing w:after="60"/>
              <w:rPr>
                <w:rFonts w:asciiTheme="minorHAnsi" w:eastAsia="Times New Roman" w:hAnsiTheme="minorHAnsi" w:cstheme="minorHAnsi"/>
                <w:sz w:val="18"/>
                <w:szCs w:val="18"/>
              </w:rPr>
            </w:pPr>
            <w:r w:rsidRPr="00FA7E1F">
              <w:rPr>
                <w:rFonts w:asciiTheme="minorHAnsi" w:eastAsia="Times New Roman" w:hAnsiTheme="minorHAnsi" w:cstheme="minorHAnsi"/>
                <w:sz w:val="18"/>
                <w:szCs w:val="18"/>
              </w:rPr>
              <w:t>Test-retest reliability for smoking intensity:</w:t>
            </w:r>
          </w:p>
          <w:p w14:paraId="3F04CF2C" w14:textId="77777777" w:rsidR="00DB2213" w:rsidRPr="005B1E24" w:rsidRDefault="00DB2213" w:rsidP="00F523A8">
            <w:pPr>
              <w:spacing w:afterLines="60" w:after="144"/>
              <w:rPr>
                <w:rFonts w:asciiTheme="minorHAnsi" w:eastAsia="Times New Roman" w:hAnsiTheme="minorHAnsi" w:cstheme="minorHAnsi"/>
                <w:sz w:val="18"/>
                <w:szCs w:val="18"/>
              </w:rPr>
            </w:pPr>
            <w:r w:rsidRPr="005B1E24">
              <w:rPr>
                <w:rFonts w:asciiTheme="minorHAnsi" w:eastAsia="Times New Roman" w:hAnsiTheme="minorHAnsi" w:cstheme="minorHAnsi"/>
                <w:sz w:val="18"/>
                <w:szCs w:val="18"/>
              </w:rPr>
              <w:t>κ =</w:t>
            </w:r>
            <w:r>
              <w:rPr>
                <w:rFonts w:asciiTheme="minorHAnsi" w:eastAsia="Times New Roman" w:hAnsiTheme="minorHAnsi" w:cstheme="minorHAnsi"/>
                <w:sz w:val="18"/>
                <w:szCs w:val="18"/>
              </w:rPr>
              <w:t xml:space="preserve"> </w:t>
            </w:r>
            <w:r w:rsidRPr="005B1E24">
              <w:rPr>
                <w:rFonts w:asciiTheme="minorHAnsi" w:eastAsia="Times New Roman" w:hAnsiTheme="minorHAnsi" w:cstheme="minorHAnsi"/>
                <w:sz w:val="18"/>
                <w:szCs w:val="18"/>
              </w:rPr>
              <w:t>0.75 (0.61–0.89);</w:t>
            </w:r>
          </w:p>
          <w:p w14:paraId="368C9564" w14:textId="70F763F5" w:rsidR="00DB2213" w:rsidRPr="005B1E24" w:rsidRDefault="008F2CD1" w:rsidP="00F523A8">
            <w:pPr>
              <w:spacing w:afterLines="60" w:after="144"/>
              <w:rPr>
                <w:rFonts w:asciiTheme="minorHAnsi" w:hAnsiTheme="minorHAnsi" w:cstheme="minorHAnsi"/>
                <w:sz w:val="18"/>
                <w:szCs w:val="18"/>
              </w:rPr>
            </w:pPr>
            <w:r w:rsidRPr="00327475">
              <w:rPr>
                <w:rFonts w:cstheme="minorHAnsi"/>
                <w:iCs/>
                <w:sz w:val="18"/>
                <w:szCs w:val="18"/>
              </w:rPr>
              <w:t>Test-retest interval:</w:t>
            </w:r>
            <w:r w:rsidRPr="00494051">
              <w:rPr>
                <w:rFonts w:cstheme="minorHAnsi"/>
                <w:iCs/>
              </w:rPr>
              <w:t xml:space="preserve"> </w:t>
            </w:r>
            <w:r w:rsidR="00DB2213" w:rsidRPr="005B1E24">
              <w:rPr>
                <w:rFonts w:asciiTheme="minorHAnsi" w:eastAsia="Times New Roman" w:hAnsiTheme="minorHAnsi" w:cstheme="minorHAnsi"/>
                <w:sz w:val="18"/>
                <w:szCs w:val="18"/>
              </w:rPr>
              <w:t>1 and 3 months</w:t>
            </w:r>
          </w:p>
          <w:p w14:paraId="4A4BDEF7" w14:textId="601C4C90" w:rsidR="00DB2213" w:rsidRPr="005B1E24" w:rsidRDefault="00DB2213" w:rsidP="00F523A8">
            <w:pPr>
              <w:spacing w:after="240"/>
              <w:rPr>
                <w:rFonts w:asciiTheme="minorHAnsi" w:hAnsiTheme="minorHAnsi" w:cstheme="minorHAnsi"/>
                <w:i/>
                <w:sz w:val="18"/>
                <w:szCs w:val="18"/>
              </w:rPr>
            </w:pPr>
            <w:r w:rsidRPr="005B1E24">
              <w:rPr>
                <w:rFonts w:asciiTheme="minorHAnsi" w:eastAsia="Times New Roman" w:hAnsiTheme="minorHAnsi" w:cstheme="minorHAnsi"/>
                <w:i/>
                <w:iCs/>
                <w:sz w:val="18"/>
                <w:szCs w:val="18"/>
              </w:rPr>
              <w:t>63 novice smokers in Montreal, aged 12-13 years at baseline</w:t>
            </w:r>
            <w:r w:rsidR="00D7646B">
              <w:rPr>
                <w:rFonts w:asciiTheme="minorHAnsi" w:eastAsia="Times New Roman" w:hAnsiTheme="minorHAnsi" w:cstheme="minorHAnsi"/>
                <w:i/>
                <w:iCs/>
                <w:sz w:val="18"/>
                <w:szCs w:val="18"/>
              </w:rPr>
              <w:t>.</w:t>
            </w:r>
          </w:p>
          <w:p w14:paraId="5BB58810" w14:textId="348B1F37" w:rsidR="00DB2213" w:rsidRPr="006F51B3" w:rsidRDefault="00D2134A" w:rsidP="00F523A8">
            <w:pPr>
              <w:rPr>
                <w:rFonts w:asciiTheme="minorHAnsi" w:hAnsiTheme="minorHAnsi" w:cstheme="minorHAnsi"/>
                <w:b/>
                <w:sz w:val="18"/>
                <w:szCs w:val="18"/>
                <w:u w:val="single"/>
              </w:rPr>
            </w:pPr>
            <w:r>
              <w:rPr>
                <w:rFonts w:cstheme="minorHAnsi"/>
                <w:b/>
                <w:sz w:val="18"/>
                <w:szCs w:val="18"/>
                <w:u w:val="single"/>
              </w:rPr>
              <w:fldChar w:fldCharType="begin">
                <w:fldData xml:space="preserve">PEVuZE5vdGU+PENpdGU+PEF1dGhvcj5HcmFudDwvQXV0aG9yPjxZZWFyPjIwMDM8L1llYXI+PFJl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</w:fldData>
              </w:fldChar>
            </w:r>
            <w:r>
              <w:rPr>
                <w:rFonts w:cstheme="minorHAnsi"/>
                <w:b/>
                <w:sz w:val="18"/>
                <w:szCs w:val="18"/>
                <w:u w:val="single"/>
              </w:rPr>
              <w:instrText xml:space="preserve"> ADDIN EN.CITE </w:instrText>
            </w:r>
            <w:r>
              <w:rPr>
                <w:rFonts w:cstheme="minorHAnsi"/>
                <w:b/>
                <w:sz w:val="18"/>
                <w:szCs w:val="18"/>
                <w:u w:val="single"/>
              </w:rPr>
              <w:fldChar w:fldCharType="begin">
                <w:fldData xml:space="preserve">PEVuZE5vdGU+PENpdGU+PEF1dGhvcj5HcmFudDwvQXV0aG9yPjxZZWFyPjIwMDM8L1llYXI+PFJl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</w:fldData>
              </w:fldChar>
            </w:r>
            <w:r>
              <w:rPr>
                <w:rFonts w:cstheme="minorHAnsi"/>
                <w:b/>
                <w:sz w:val="18"/>
                <w:szCs w:val="18"/>
                <w:u w:val="single"/>
              </w:rPr>
              <w:instrText xml:space="preserve"> ADDIN EN.CITE.DATA </w:instrText>
            </w:r>
            <w:r>
              <w:rPr>
                <w:rFonts w:cstheme="minorHAnsi"/>
                <w:b/>
                <w:sz w:val="18"/>
                <w:szCs w:val="18"/>
                <w:u w:val="single"/>
              </w:rPr>
            </w:r>
            <w:r>
              <w:rPr>
                <w:rFonts w:cstheme="minorHAnsi"/>
                <w:b/>
                <w:sz w:val="18"/>
                <w:szCs w:val="18"/>
                <w:u w:val="single"/>
              </w:rPr>
              <w:fldChar w:fldCharType="end"/>
            </w:r>
            <w:r>
              <w:rPr>
                <w:rFonts w:cstheme="minorHAnsi"/>
                <w:b/>
                <w:sz w:val="18"/>
                <w:szCs w:val="18"/>
                <w:u w:val="single"/>
              </w:rPr>
              <w:fldChar w:fldCharType="separate"/>
            </w:r>
            <w:r>
              <w:rPr>
                <w:rFonts w:cstheme="minorHAnsi"/>
                <w:b/>
                <w:noProof/>
                <w:sz w:val="18"/>
                <w:szCs w:val="18"/>
                <w:u w:val="single"/>
              </w:rPr>
              <w:t>(</w:t>
            </w:r>
            <w:hyperlink w:anchor="_ENREF_30" w:tooltip="Grant, 2003 #133" w:history="1">
              <w:r w:rsidR="00A234A9">
                <w:rPr>
                  <w:rFonts w:cstheme="minorHAnsi"/>
                  <w:b/>
                  <w:noProof/>
                  <w:sz w:val="18"/>
                  <w:szCs w:val="18"/>
                  <w:u w:val="single"/>
                </w:rPr>
                <w:t>30</w:t>
              </w:r>
            </w:hyperlink>
            <w:r>
              <w:rPr>
                <w:rFonts w:cstheme="minorHAnsi"/>
                <w:b/>
                <w:noProof/>
                <w:sz w:val="18"/>
                <w:szCs w:val="18"/>
                <w:u w:val="single"/>
              </w:rPr>
              <w:t>)</w:t>
            </w:r>
            <w:r>
              <w:rPr>
                <w:rFonts w:cstheme="minorHAnsi"/>
                <w:b/>
                <w:sz w:val="18"/>
                <w:szCs w:val="18"/>
                <w:u w:val="single"/>
              </w:rPr>
              <w:fldChar w:fldCharType="end"/>
            </w:r>
          </w:p>
          <w:p w14:paraId="5E31C1F3" w14:textId="77777777" w:rsidR="00DB2213" w:rsidRPr="00CF10AA" w:rsidRDefault="00DB2213" w:rsidP="00F523A8">
            <w:pPr>
              <w:spacing w:afterLines="60" w:after="144"/>
              <w:rPr>
                <w:rFonts w:asciiTheme="minorHAnsi" w:hAnsiTheme="minorHAnsi" w:cstheme="minorHAnsi"/>
                <w:sz w:val="18"/>
                <w:szCs w:val="18"/>
                <w:u w:val="single"/>
              </w:rPr>
            </w:pPr>
            <w:r w:rsidRPr="00CF10AA">
              <w:rPr>
                <w:rFonts w:asciiTheme="minorHAnsi" w:hAnsiTheme="minorHAnsi" w:cstheme="minorHAnsi"/>
                <w:sz w:val="18"/>
                <w:szCs w:val="18"/>
              </w:rPr>
              <w:t>In-person interviews</w:t>
            </w:r>
          </w:p>
          <w:p w14:paraId="35EA75F3" w14:textId="77777777" w:rsidR="00DB2213" w:rsidRPr="00D22AE2" w:rsidRDefault="00DB2213" w:rsidP="00F523A8">
            <w:pPr>
              <w:tabs>
                <w:tab w:val="left" w:pos="2552"/>
              </w:tabs>
              <w:spacing w:before="60" w:after="120"/>
              <w:contextualSpacing/>
              <w:rPr>
                <w:rFonts w:asciiTheme="minorHAnsi" w:hAnsiTheme="minorHAnsi" w:cstheme="minorHAnsi"/>
                <w:sz w:val="18"/>
                <w:szCs w:val="18"/>
              </w:rPr>
            </w:pPr>
            <w:r w:rsidRPr="005B1E24">
              <w:rPr>
                <w:rFonts w:asciiTheme="minorHAnsi" w:hAnsiTheme="minorHAnsi" w:cstheme="minorHAnsi"/>
                <w:sz w:val="18"/>
                <w:szCs w:val="18"/>
              </w:rPr>
              <w:t>ICC = 0.83</w:t>
            </w:r>
            <w:r w:rsidRPr="00D22AE2">
              <w:rPr>
                <w:rFonts w:asciiTheme="minorHAnsi" w:hAnsiTheme="minorHAnsi" w:cstheme="minorHAnsi"/>
                <w:sz w:val="18"/>
                <w:szCs w:val="18"/>
              </w:rPr>
              <w:t>, 95% CI: 0.79-0.86 (self-reported number of days/months smoking daily)</w:t>
            </w:r>
          </w:p>
          <w:p w14:paraId="7EBBA99D" w14:textId="77777777" w:rsidR="00DB2213" w:rsidRPr="00D22AE2" w:rsidRDefault="00DB2213" w:rsidP="00F523A8">
            <w:pPr>
              <w:tabs>
                <w:tab w:val="left" w:pos="2552"/>
              </w:tabs>
              <w:spacing w:before="60" w:after="120"/>
              <w:contextualSpacing/>
              <w:rPr>
                <w:rFonts w:asciiTheme="minorHAnsi" w:hAnsiTheme="minorHAnsi" w:cstheme="minorHAnsi"/>
                <w:sz w:val="18"/>
                <w:szCs w:val="18"/>
              </w:rPr>
            </w:pPr>
            <w:r w:rsidRPr="00D22AE2">
              <w:rPr>
                <w:rFonts w:asciiTheme="minorHAnsi" w:hAnsiTheme="minorHAnsi" w:cstheme="minorHAnsi"/>
                <w:sz w:val="18"/>
                <w:szCs w:val="18"/>
              </w:rPr>
              <w:t>Test-retest interval: 3 to 20 weeks</w:t>
            </w:r>
          </w:p>
          <w:p w14:paraId="0839A9A2" w14:textId="3D047514" w:rsidR="00DB2213" w:rsidRDefault="00DB2213" w:rsidP="00F523A8">
            <w:pPr>
              <w:spacing w:afterLines="60" w:after="144"/>
              <w:contextualSpacing/>
              <w:rPr>
                <w:rFonts w:asciiTheme="minorHAnsi" w:hAnsiTheme="minorHAnsi" w:cstheme="minorHAnsi"/>
                <w:i/>
                <w:sz w:val="18"/>
                <w:szCs w:val="18"/>
              </w:rPr>
            </w:pPr>
            <w:r w:rsidRPr="00D22AE2">
              <w:rPr>
                <w:rFonts w:asciiTheme="minorHAnsi" w:hAnsiTheme="minorHAnsi" w:cstheme="minorHAnsi"/>
                <w:i/>
                <w:iCs/>
                <w:sz w:val="18"/>
                <w:szCs w:val="18"/>
              </w:rPr>
              <w:t>Nationally representative sample of 2,657 participants, age 18-24 years, varying ethnicities</w:t>
            </w:r>
            <w:r w:rsidRPr="00D22AE2">
              <w:rPr>
                <w:rFonts w:asciiTheme="minorHAnsi" w:hAnsiTheme="minorHAnsi" w:cstheme="minorHAnsi"/>
                <w:i/>
                <w:sz w:val="18"/>
                <w:szCs w:val="18"/>
              </w:rPr>
              <w:t xml:space="preserve"> from the U.S.</w:t>
            </w:r>
          </w:p>
          <w:p w14:paraId="272D6AA5" w14:textId="77777777" w:rsidR="00DB2213" w:rsidRDefault="00DB2213" w:rsidP="00F523A8">
            <w:pPr>
              <w:spacing w:afterLines="60" w:after="144"/>
              <w:contextualSpacing/>
              <w:rPr>
                <w:rFonts w:asciiTheme="minorHAnsi" w:hAnsiTheme="minorHAnsi" w:cstheme="minorHAnsi"/>
                <w:sz w:val="18"/>
                <w:szCs w:val="18"/>
              </w:rPr>
            </w:pPr>
          </w:p>
          <w:p w14:paraId="71B46119" w14:textId="044B591C" w:rsidR="00DB2213" w:rsidRPr="005B1E24" w:rsidRDefault="00D2134A" w:rsidP="00F523A8">
            <w:pPr>
              <w:spacing w:after="60"/>
              <w:rPr>
                <w:rFonts w:asciiTheme="minorHAnsi" w:hAnsiTheme="minorHAnsi" w:cstheme="minorHAnsi"/>
                <w:sz w:val="18"/>
                <w:szCs w:val="18"/>
                <w:u w:val="single"/>
              </w:rPr>
            </w:pPr>
            <w:r>
              <w:rPr>
                <w:rFonts w:cstheme="minorHAnsi"/>
                <w:b/>
                <w:sz w:val="18"/>
                <w:szCs w:val="18"/>
                <w:u w:val="single"/>
              </w:rPr>
              <w:fldChar w:fldCharType="begin"/>
            </w:r>
            <w:r>
              <w:rPr>
                <w:rFonts w:cstheme="minorHAnsi"/>
                <w:b/>
                <w:sz w:val="18"/>
                <w:szCs w:val="18"/>
                <w:u w:val="single"/>
              </w:rPr>
              <w:instrText xml:space="preserve"> ADDIN EN.CITE &lt;EndNote&gt;&lt;Cite&gt;&lt;Author&gt;Huerta&lt;/Author&gt;&lt;Year&gt;2005&lt;/Year&gt;&lt;RecNum&gt;314&lt;/RecNum&gt;&lt;DisplayText&gt;(40)&lt;/DisplayText&gt;&lt;record&gt;&lt;rec-number&gt;314&lt;/rec-number&gt;&lt;foreign-keys&gt;&lt;key app="EN" db-id="a2vz2dfp8xrad6exes75zwpiw5rxwa0vwapv" timestamp="1541529529"&gt;314&lt;/key&gt;&lt;/foreign-keys&gt;&lt;ref-type name="Journal Article"&gt;17&lt;/ref-type&gt;&lt;contributors&gt;&lt;authors&gt;&lt;author&gt;Huerta, Michael&lt;/author&gt;&lt;author&gt;Chodick, Gabriel&lt;/author&gt;&lt;author&gt;Balicer, Ran D.&lt;/author&gt;&lt;author&gt;Davidovitch, Nadav&lt;/author&gt;&lt;author&gt;Grotto, Itamar&lt;/author&gt;&lt;/authors&gt;&lt;/contributors&gt;&lt;titles&gt;&lt;title&gt;Reliability of self-reported smoking history and age at initial tobacco use&lt;/title&gt;&lt;secondary-title&gt;Preventive Medicine&lt;/secondary-title&gt;&lt;/titles&gt;&lt;periodical&gt;&lt;full-title&gt;Preventive Medicine&lt;/full-title&gt;&lt;/periodical&gt;&lt;pages&gt;646-650&lt;/pages&gt;&lt;volume&gt;41&lt;/volume&gt;&lt;number&gt;2&lt;/number&gt;&lt;keywords&gt;&lt;keyword&gt;Smoking&lt;/keyword&gt;&lt;keyword&gt;Questionnaire&lt;/keyword&gt;&lt;keyword&gt;Reliability&lt;/keyword&gt;&lt;keyword&gt;Consistency&lt;/keyword&gt;&lt;/keywords&gt;&lt;dates&gt;&lt;year&gt;2005&lt;/year&gt;&lt;pub-dates&gt;&lt;date&gt;2005/08/01/&lt;/date&gt;&lt;/pub-dates&gt;&lt;/dates&gt;&lt;isbn&gt;0091-7435&lt;/isbn&gt;&lt;urls&gt;&lt;related-urls&gt;&lt;url&gt;http://www.sciencedirect.com/science/article/pii/S0091743505000393&lt;/url&gt;&lt;/related-urls&gt;&lt;/urls&gt;&lt;electronic-resource-num&gt;https://doi.org/10.1016/j.ypmed.2005.01.011&lt;/electronic-resource-num&gt;&lt;/record&gt;&lt;/Cite&gt;&lt;/EndNote&gt;</w:instrText>
            </w:r>
            <w:r>
              <w:rPr>
                <w:rFonts w:cstheme="minorHAnsi"/>
                <w:b/>
                <w:sz w:val="18"/>
                <w:szCs w:val="18"/>
                <w:u w:val="single"/>
              </w:rPr>
              <w:fldChar w:fldCharType="separate"/>
            </w:r>
            <w:r>
              <w:rPr>
                <w:rFonts w:cstheme="minorHAnsi"/>
                <w:b/>
                <w:noProof/>
                <w:sz w:val="18"/>
                <w:szCs w:val="18"/>
                <w:u w:val="single"/>
              </w:rPr>
              <w:t>(</w:t>
            </w:r>
            <w:hyperlink w:anchor="_ENREF_40" w:tooltip="Huerta, 2005 #314" w:history="1">
              <w:r w:rsidR="00A234A9">
                <w:rPr>
                  <w:rFonts w:cstheme="minorHAnsi"/>
                  <w:b/>
                  <w:noProof/>
                  <w:sz w:val="18"/>
                  <w:szCs w:val="18"/>
                  <w:u w:val="single"/>
                </w:rPr>
                <w:t>40</w:t>
              </w:r>
            </w:hyperlink>
            <w:r>
              <w:rPr>
                <w:rFonts w:cstheme="minorHAnsi"/>
                <w:b/>
                <w:noProof/>
                <w:sz w:val="18"/>
                <w:szCs w:val="18"/>
                <w:u w:val="single"/>
              </w:rPr>
              <w:t>)</w:t>
            </w:r>
            <w:r>
              <w:rPr>
                <w:rFonts w:cstheme="minorHAnsi"/>
                <w:b/>
                <w:sz w:val="18"/>
                <w:szCs w:val="18"/>
                <w:u w:val="single"/>
              </w:rPr>
              <w:fldChar w:fldCharType="end"/>
            </w:r>
            <w:r w:rsidR="00DB2213" w:rsidRPr="005B1E24">
              <w:rPr>
                <w:rFonts w:asciiTheme="minorHAnsi" w:hAnsiTheme="minorHAnsi" w:cstheme="minorHAnsi"/>
                <w:sz w:val="18"/>
                <w:szCs w:val="18"/>
              </w:rPr>
              <w:br/>
            </w:r>
            <w:r w:rsidR="00DB2213" w:rsidRPr="00CF10AA">
              <w:rPr>
                <w:rFonts w:asciiTheme="minorHAnsi" w:hAnsiTheme="minorHAnsi" w:cstheme="minorHAnsi"/>
                <w:sz w:val="18"/>
                <w:szCs w:val="18"/>
              </w:rPr>
              <w:t>In-person interviews</w:t>
            </w:r>
          </w:p>
          <w:p w14:paraId="2FFDE2A9" w14:textId="77777777" w:rsidR="00DB2213" w:rsidRDefault="00DB2213" w:rsidP="00F523A8">
            <w:pPr>
              <w:spacing w:after="60"/>
              <w:contextualSpacing/>
              <w:rPr>
                <w:rFonts w:asciiTheme="minorHAnsi" w:hAnsiTheme="minorHAnsi" w:cstheme="minorHAnsi"/>
                <w:sz w:val="18"/>
                <w:szCs w:val="18"/>
              </w:rPr>
            </w:pPr>
            <w:r>
              <w:rPr>
                <w:rFonts w:asciiTheme="minorHAnsi" w:hAnsiTheme="minorHAnsi" w:cstheme="minorHAnsi"/>
                <w:sz w:val="18"/>
                <w:szCs w:val="18"/>
              </w:rPr>
              <w:t>ICC = 0.73 males</w:t>
            </w:r>
          </w:p>
          <w:p w14:paraId="5CE9F074" w14:textId="06B618C9" w:rsidR="00DB2213" w:rsidRDefault="00DB2213" w:rsidP="00F523A8">
            <w:pPr>
              <w:spacing w:after="60"/>
              <w:contextualSpacing/>
              <w:rPr>
                <w:rFonts w:asciiTheme="minorHAnsi" w:hAnsiTheme="minorHAnsi" w:cstheme="minorHAnsi"/>
                <w:sz w:val="18"/>
                <w:szCs w:val="18"/>
              </w:rPr>
            </w:pPr>
            <w:r>
              <w:rPr>
                <w:rFonts w:asciiTheme="minorHAnsi" w:hAnsiTheme="minorHAnsi" w:cstheme="minorHAnsi"/>
                <w:sz w:val="18"/>
                <w:szCs w:val="18"/>
              </w:rPr>
              <w:t xml:space="preserve">ICC = </w:t>
            </w:r>
            <w:r w:rsidRPr="005B1E24">
              <w:rPr>
                <w:rFonts w:asciiTheme="minorHAnsi" w:hAnsiTheme="minorHAnsi" w:cstheme="minorHAnsi"/>
                <w:sz w:val="18"/>
                <w:szCs w:val="18"/>
              </w:rPr>
              <w:t>0.76 females</w:t>
            </w:r>
          </w:p>
          <w:p w14:paraId="15BA7593" w14:textId="77777777" w:rsidR="00DB2213" w:rsidRDefault="00DB2213" w:rsidP="00F523A8">
            <w:pPr>
              <w:spacing w:after="60"/>
              <w:rPr>
                <w:rFonts w:asciiTheme="minorHAnsi" w:hAnsiTheme="minorHAnsi" w:cstheme="minorHAnsi"/>
                <w:sz w:val="18"/>
                <w:szCs w:val="18"/>
              </w:rPr>
            </w:pPr>
            <w:r w:rsidRPr="005B1E24">
              <w:rPr>
                <w:rFonts w:asciiTheme="minorHAnsi" w:hAnsiTheme="minorHAnsi" w:cstheme="minorHAnsi"/>
                <w:sz w:val="18"/>
                <w:szCs w:val="18"/>
              </w:rPr>
              <w:t>(self-reported current smoking history)</w:t>
            </w:r>
          </w:p>
          <w:p w14:paraId="216595F5" w14:textId="5DC29FD2" w:rsidR="00DB2213" w:rsidRDefault="008F2CD1" w:rsidP="00F523A8">
            <w:pPr>
              <w:spacing w:after="60"/>
              <w:contextualSpacing/>
              <w:rPr>
                <w:rFonts w:asciiTheme="minorHAnsi" w:hAnsiTheme="minorHAnsi" w:cstheme="minorHAnsi"/>
                <w:sz w:val="18"/>
                <w:szCs w:val="18"/>
              </w:rPr>
            </w:pPr>
            <w:r w:rsidRPr="00327475">
              <w:rPr>
                <w:rFonts w:cstheme="minorHAnsi"/>
                <w:iCs/>
                <w:sz w:val="18"/>
                <w:szCs w:val="18"/>
              </w:rPr>
              <w:t>Test-retest interval:</w:t>
            </w:r>
            <w:r w:rsidRPr="00494051">
              <w:rPr>
                <w:rFonts w:cstheme="minorHAnsi"/>
                <w:iCs/>
              </w:rPr>
              <w:t xml:space="preserve"> </w:t>
            </w:r>
            <w:r w:rsidR="00DB2213" w:rsidRPr="005B1E24">
              <w:rPr>
                <w:rFonts w:asciiTheme="minorHAnsi" w:hAnsiTheme="minorHAnsi" w:cstheme="minorHAnsi"/>
                <w:sz w:val="18"/>
                <w:szCs w:val="18"/>
              </w:rPr>
              <w:t>1 to 4 years</w:t>
            </w:r>
          </w:p>
          <w:p w14:paraId="51368975" w14:textId="77777777" w:rsidR="00DB2213" w:rsidRPr="005B1E24" w:rsidRDefault="00DB2213" w:rsidP="00F523A8">
            <w:pPr>
              <w:spacing w:after="60"/>
              <w:rPr>
                <w:rFonts w:asciiTheme="minorHAnsi" w:hAnsiTheme="minorHAnsi" w:cstheme="minorHAnsi"/>
                <w:sz w:val="18"/>
                <w:szCs w:val="18"/>
              </w:rPr>
            </w:pPr>
            <w:r w:rsidRPr="005B1E24">
              <w:rPr>
                <w:rFonts w:asciiTheme="minorHAnsi" w:hAnsiTheme="minorHAnsi" w:cstheme="minorHAnsi"/>
                <w:sz w:val="18"/>
                <w:szCs w:val="18"/>
              </w:rPr>
              <w:t>(from recruitment to discharge)</w:t>
            </w:r>
          </w:p>
          <w:p w14:paraId="39782E8C" w14:textId="3517EC8D" w:rsidR="00D7646B" w:rsidRPr="005B1E24" w:rsidRDefault="00DB2213" w:rsidP="00325254">
            <w:pPr>
              <w:spacing w:after="120"/>
              <w:rPr>
                <w:rFonts w:asciiTheme="minorHAnsi" w:hAnsiTheme="minorHAnsi" w:cstheme="minorHAnsi"/>
                <w:i/>
                <w:iCs/>
                <w:sz w:val="18"/>
                <w:szCs w:val="18"/>
              </w:rPr>
            </w:pPr>
            <w:r w:rsidRPr="005B1E24">
              <w:rPr>
                <w:rFonts w:asciiTheme="minorHAnsi" w:hAnsiTheme="minorHAnsi" w:cstheme="minorHAnsi"/>
                <w:i/>
                <w:iCs/>
                <w:sz w:val="18"/>
                <w:szCs w:val="18"/>
              </w:rPr>
              <w:t>7</w:t>
            </w:r>
            <w:r>
              <w:rPr>
                <w:rFonts w:asciiTheme="minorHAnsi" w:hAnsiTheme="minorHAnsi" w:cstheme="minorHAnsi"/>
                <w:i/>
                <w:iCs/>
                <w:sz w:val="18"/>
                <w:szCs w:val="18"/>
              </w:rPr>
              <w:t>,</w:t>
            </w:r>
            <w:r w:rsidRPr="005B1E24">
              <w:rPr>
                <w:rFonts w:asciiTheme="minorHAnsi" w:hAnsiTheme="minorHAnsi" w:cstheme="minorHAnsi"/>
                <w:i/>
                <w:iCs/>
                <w:sz w:val="18"/>
                <w:szCs w:val="18"/>
              </w:rPr>
              <w:t>276 members of th</w:t>
            </w:r>
            <w:r>
              <w:rPr>
                <w:rFonts w:asciiTheme="minorHAnsi" w:hAnsiTheme="minorHAnsi" w:cstheme="minorHAnsi"/>
                <w:i/>
                <w:iCs/>
                <w:sz w:val="18"/>
                <w:szCs w:val="18"/>
              </w:rPr>
              <w:t>e Israeli Defense Force</w:t>
            </w:r>
            <w:r w:rsidR="00D7646B">
              <w:rPr>
                <w:rFonts w:asciiTheme="minorHAnsi" w:hAnsiTheme="minorHAnsi" w:cstheme="minorHAnsi"/>
                <w:i/>
                <w:iCs/>
                <w:sz w:val="18"/>
                <w:szCs w:val="18"/>
              </w:rPr>
              <w:t>, ages</w:t>
            </w:r>
            <w:r w:rsidRPr="005B1E24">
              <w:rPr>
                <w:rFonts w:asciiTheme="minorHAnsi" w:hAnsiTheme="minorHAnsi" w:cstheme="minorHAnsi"/>
                <w:i/>
                <w:iCs/>
                <w:sz w:val="18"/>
                <w:szCs w:val="18"/>
              </w:rPr>
              <w:t xml:space="preserve"> 18-22</w:t>
            </w:r>
            <w:r w:rsidR="00D7646B">
              <w:rPr>
                <w:rFonts w:asciiTheme="minorHAnsi" w:hAnsiTheme="minorHAnsi" w:cstheme="minorHAnsi"/>
                <w:i/>
                <w:iCs/>
                <w:sz w:val="18"/>
                <w:szCs w:val="18"/>
              </w:rPr>
              <w:t xml:space="preserve"> years, and r</w:t>
            </w:r>
            <w:r w:rsidRPr="005B1E24">
              <w:rPr>
                <w:rFonts w:asciiTheme="minorHAnsi" w:hAnsiTheme="minorHAnsi" w:cstheme="minorHAnsi"/>
                <w:i/>
                <w:iCs/>
                <w:sz w:val="18"/>
                <w:szCs w:val="18"/>
              </w:rPr>
              <w:t>ecruited from 1986 to 2000</w:t>
            </w:r>
            <w:r w:rsidR="00D7646B">
              <w:rPr>
                <w:rFonts w:asciiTheme="minorHAnsi" w:hAnsiTheme="minorHAnsi" w:cstheme="minorHAnsi"/>
                <w:i/>
                <w:iCs/>
                <w:sz w:val="18"/>
                <w:szCs w:val="18"/>
              </w:rPr>
              <w:t>.</w:t>
            </w:r>
          </w:p>
          <w:p w14:paraId="011A5B68" w14:textId="23BCD77A" w:rsidR="00DB2213" w:rsidRPr="00F523A8" w:rsidRDefault="00D2134A" w:rsidP="00F523A8">
            <w:pPr>
              <w:widowControl w:val="0"/>
              <w:spacing w:before="60" w:after="120"/>
              <w:contextualSpacing/>
              <w:rPr>
                <w:rFonts w:asciiTheme="minorHAnsi" w:hAnsiTheme="minorHAnsi" w:cstheme="minorHAnsi"/>
                <w:b/>
                <w:iCs/>
                <w:sz w:val="18"/>
                <w:szCs w:val="18"/>
                <w:u w:val="single"/>
              </w:rPr>
            </w:pPr>
            <w:r>
              <w:rPr>
                <w:rFonts w:cstheme="minorHAnsi"/>
                <w:b/>
                <w:iCs/>
                <w:sz w:val="18"/>
                <w:szCs w:val="18"/>
                <w:u w:val="single"/>
              </w:rPr>
              <w:fldChar w:fldCharType="begin">
                <w:fldData xml:space="preserve">PEVuZE5vdGU+PENpdGU+PEF1dGhvcj5SYW1vPC9BdXRob3I+PFllYXI+MjAxMTwvWWVhcj48UmVj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==
</w:fldData>
              </w:fldChar>
            </w:r>
            <w:r>
              <w:rPr>
                <w:rFonts w:cstheme="minorHAnsi"/>
                <w:b/>
                <w:iCs/>
                <w:sz w:val="18"/>
                <w:szCs w:val="18"/>
                <w:u w:val="single"/>
              </w:rPr>
              <w:instrText xml:space="preserve"> ADDIN EN.CITE </w:instrText>
            </w:r>
            <w:r>
              <w:rPr>
                <w:rFonts w:cstheme="minorHAnsi"/>
                <w:b/>
                <w:iCs/>
                <w:sz w:val="18"/>
                <w:szCs w:val="18"/>
                <w:u w:val="single"/>
              </w:rPr>
              <w:fldChar w:fldCharType="begin">
                <w:fldData xml:space="preserve">PEVuZE5vdGU+PENpdGU+PEF1dGhvcj5SYW1vPC9BdXRob3I+PFllYXI+MjAxMTwvWWVhcj48UmVj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==
</w:fldData>
              </w:fldChar>
            </w:r>
            <w:r>
              <w:rPr>
                <w:rFonts w:cstheme="minorHAnsi"/>
                <w:b/>
                <w:iCs/>
                <w:sz w:val="18"/>
                <w:szCs w:val="18"/>
                <w:u w:val="single"/>
              </w:rPr>
              <w:instrText xml:space="preserve"> ADDIN EN.CITE.DATA </w:instrText>
            </w:r>
            <w:r>
              <w:rPr>
                <w:rFonts w:cstheme="minorHAnsi"/>
                <w:b/>
                <w:iCs/>
                <w:sz w:val="18"/>
                <w:szCs w:val="18"/>
                <w:u w:val="single"/>
              </w:rPr>
            </w:r>
            <w:r>
              <w:rPr>
                <w:rFonts w:cstheme="minorHAnsi"/>
                <w:b/>
                <w:iCs/>
                <w:sz w:val="18"/>
                <w:szCs w:val="18"/>
                <w:u w:val="single"/>
              </w:rPr>
              <w:fldChar w:fldCharType="end"/>
            </w:r>
            <w:r>
              <w:rPr>
                <w:rFonts w:cstheme="minorHAnsi"/>
                <w:b/>
                <w:iCs/>
                <w:sz w:val="18"/>
                <w:szCs w:val="18"/>
                <w:u w:val="single"/>
              </w:rPr>
              <w:fldChar w:fldCharType="separate"/>
            </w:r>
            <w:r>
              <w:rPr>
                <w:rFonts w:cstheme="minorHAnsi"/>
                <w:b/>
                <w:iCs/>
                <w:noProof/>
                <w:sz w:val="18"/>
                <w:szCs w:val="18"/>
                <w:u w:val="single"/>
              </w:rPr>
              <w:t>(</w:t>
            </w:r>
            <w:hyperlink w:anchor="_ENREF_41" w:tooltip="Ramo, 2011 #182" w:history="1">
              <w:r w:rsidR="00A234A9">
                <w:rPr>
                  <w:rFonts w:cstheme="minorHAnsi"/>
                  <w:b/>
                  <w:iCs/>
                  <w:noProof/>
                  <w:sz w:val="18"/>
                  <w:szCs w:val="18"/>
                  <w:u w:val="single"/>
                </w:rPr>
                <w:t>41</w:t>
              </w:r>
            </w:hyperlink>
            <w:r>
              <w:rPr>
                <w:rFonts w:cstheme="minorHAnsi"/>
                <w:b/>
                <w:iCs/>
                <w:noProof/>
                <w:sz w:val="18"/>
                <w:szCs w:val="18"/>
                <w:u w:val="single"/>
              </w:rPr>
              <w:t>)</w:t>
            </w:r>
            <w:r>
              <w:rPr>
                <w:rFonts w:cstheme="minorHAnsi"/>
                <w:b/>
                <w:iCs/>
                <w:sz w:val="18"/>
                <w:szCs w:val="18"/>
                <w:u w:val="single"/>
              </w:rPr>
              <w:fldChar w:fldCharType="end"/>
            </w:r>
          </w:p>
          <w:p w14:paraId="6B315316" w14:textId="6DF915AC" w:rsidR="00DB2213" w:rsidRPr="00D22AE2" w:rsidRDefault="00DB2213" w:rsidP="00F523A8">
            <w:pPr>
              <w:widowControl w:val="0"/>
              <w:spacing w:before="60" w:after="120"/>
              <w:contextualSpacing/>
              <w:rPr>
                <w:rFonts w:asciiTheme="minorHAnsi" w:hAnsiTheme="minorHAnsi" w:cstheme="minorHAnsi"/>
                <w:i/>
                <w:iCs/>
                <w:sz w:val="18"/>
                <w:szCs w:val="18"/>
              </w:rPr>
            </w:pPr>
            <w:r w:rsidRPr="00CF10AA">
              <w:rPr>
                <w:rFonts w:asciiTheme="minorHAnsi" w:hAnsiTheme="minorHAnsi" w:cstheme="minorHAnsi"/>
                <w:iCs/>
                <w:sz w:val="18"/>
                <w:szCs w:val="18"/>
              </w:rPr>
              <w:t xml:space="preserve">Cross-sectional anonymous online </w:t>
            </w:r>
            <w:r w:rsidRPr="00CF10AA">
              <w:rPr>
                <w:rFonts w:asciiTheme="minorHAnsi" w:hAnsiTheme="minorHAnsi" w:cstheme="minorHAnsi"/>
                <w:iCs/>
                <w:sz w:val="18"/>
                <w:szCs w:val="18"/>
              </w:rPr>
              <w:lastRenderedPageBreak/>
              <w:t>survey. Internal-consistency reliability of self-reported smoking frequency: correlations between two different question formats</w:t>
            </w:r>
            <w:r w:rsidRPr="00D22AE2">
              <w:rPr>
                <w:rFonts w:asciiTheme="minorHAnsi" w:hAnsiTheme="minorHAnsi" w:cstheme="minorHAnsi"/>
                <w:i/>
                <w:iCs/>
                <w:sz w:val="18"/>
                <w:szCs w:val="18"/>
              </w:rPr>
              <w:t xml:space="preserve"> (Smoking Questionnaire </w:t>
            </w:r>
            <w:r>
              <w:rPr>
                <w:rFonts w:asciiTheme="minorHAnsi" w:hAnsiTheme="minorHAnsi" w:cstheme="minorHAnsi"/>
                <w:i/>
                <w:iCs/>
                <w:sz w:val="18"/>
                <w:szCs w:val="18"/>
              </w:rPr>
              <w:t>vs.</w:t>
            </w:r>
            <w:r w:rsidRPr="00D22AE2">
              <w:rPr>
                <w:rFonts w:asciiTheme="minorHAnsi" w:hAnsiTheme="minorHAnsi" w:cstheme="minorHAnsi"/>
                <w:i/>
                <w:iCs/>
                <w:sz w:val="18"/>
                <w:szCs w:val="18"/>
              </w:rPr>
              <w:t xml:space="preserve"> Timeline Followback method)</w:t>
            </w:r>
            <w:r w:rsidR="00CF10AA">
              <w:rPr>
                <w:rFonts w:asciiTheme="minorHAnsi" w:hAnsiTheme="minorHAnsi" w:cstheme="minorHAnsi"/>
                <w:i/>
                <w:iCs/>
                <w:sz w:val="18"/>
                <w:szCs w:val="18"/>
              </w:rPr>
              <w:t>.</w:t>
            </w:r>
          </w:p>
          <w:p w14:paraId="5E4D5692" w14:textId="1AA33F22" w:rsidR="00DB2213" w:rsidRPr="00D22AE2" w:rsidRDefault="00DB2213" w:rsidP="00F523A8">
            <w:pPr>
              <w:widowControl w:val="0"/>
              <w:spacing w:before="60" w:after="120"/>
              <w:contextualSpacing/>
              <w:rPr>
                <w:rFonts w:asciiTheme="minorHAnsi" w:hAnsiTheme="minorHAnsi" w:cstheme="minorHAnsi"/>
                <w:i/>
                <w:iCs/>
                <w:sz w:val="18"/>
                <w:szCs w:val="18"/>
              </w:rPr>
            </w:pPr>
            <w:r w:rsidRPr="00D22AE2">
              <w:rPr>
                <w:rFonts w:asciiTheme="minorHAnsi" w:hAnsiTheme="minorHAnsi" w:cstheme="minorHAnsi"/>
                <w:i/>
                <w:iCs/>
                <w:sz w:val="18"/>
                <w:szCs w:val="18"/>
              </w:rPr>
              <w:t xml:space="preserve">“How many cigarettes did you smoke in the past 24 hours?” </w:t>
            </w:r>
            <w:r>
              <w:rPr>
                <w:rFonts w:asciiTheme="minorHAnsi" w:hAnsiTheme="minorHAnsi" w:cstheme="minorHAnsi"/>
                <w:i/>
                <w:iCs/>
                <w:sz w:val="18"/>
                <w:szCs w:val="18"/>
              </w:rPr>
              <w:t>vs.</w:t>
            </w:r>
            <w:r w:rsidRPr="00D22AE2">
              <w:rPr>
                <w:rFonts w:asciiTheme="minorHAnsi" w:hAnsiTheme="minorHAnsi" w:cstheme="minorHAnsi"/>
                <w:i/>
                <w:iCs/>
                <w:sz w:val="18"/>
                <w:szCs w:val="18"/>
              </w:rPr>
              <w:t xml:space="preserve"> Average number of cigarettes smoked between today and yesterday</w:t>
            </w:r>
          </w:p>
          <w:p w14:paraId="57FF13DA" w14:textId="77777777" w:rsidR="00DB2213" w:rsidRPr="00D22AE2" w:rsidRDefault="00DB2213" w:rsidP="00F523A8">
            <w:pPr>
              <w:widowControl w:val="0"/>
              <w:spacing w:before="60" w:after="120"/>
              <w:contextualSpacing/>
              <w:rPr>
                <w:rFonts w:asciiTheme="minorHAnsi" w:hAnsiTheme="minorHAnsi" w:cstheme="minorHAnsi"/>
                <w:iCs/>
                <w:sz w:val="18"/>
                <w:szCs w:val="18"/>
              </w:rPr>
            </w:pPr>
            <w:r w:rsidRPr="00D22AE2">
              <w:rPr>
                <w:rFonts w:asciiTheme="minorHAnsi" w:hAnsiTheme="minorHAnsi" w:cstheme="minorHAnsi"/>
                <w:i/>
                <w:iCs/>
                <w:sz w:val="18"/>
                <w:szCs w:val="18"/>
              </w:rPr>
              <w:t xml:space="preserve">r </w:t>
            </w:r>
            <w:r w:rsidRPr="00D22AE2">
              <w:rPr>
                <w:rFonts w:asciiTheme="minorHAnsi" w:hAnsiTheme="minorHAnsi" w:cstheme="minorHAnsi"/>
                <w:iCs/>
                <w:sz w:val="18"/>
                <w:szCs w:val="18"/>
              </w:rPr>
              <w:t>= 0.83; p&lt;0.01</w:t>
            </w:r>
          </w:p>
          <w:p w14:paraId="6FA972DA" w14:textId="0896C89C" w:rsidR="00DB2213" w:rsidRPr="00D22AE2" w:rsidRDefault="00DB2213" w:rsidP="00F523A8">
            <w:pPr>
              <w:widowControl w:val="0"/>
              <w:spacing w:before="60" w:after="120"/>
              <w:contextualSpacing/>
              <w:rPr>
                <w:rFonts w:asciiTheme="minorHAnsi" w:hAnsiTheme="minorHAnsi" w:cstheme="minorHAnsi"/>
                <w:i/>
                <w:iCs/>
                <w:sz w:val="18"/>
                <w:szCs w:val="18"/>
              </w:rPr>
            </w:pPr>
            <w:r w:rsidRPr="00D22AE2">
              <w:rPr>
                <w:rFonts w:asciiTheme="minorHAnsi" w:hAnsiTheme="minorHAnsi" w:cstheme="minorHAnsi"/>
                <w:i/>
                <w:iCs/>
                <w:sz w:val="18"/>
                <w:szCs w:val="18"/>
              </w:rPr>
              <w:t xml:space="preserve">“What is the usual number of cigarettes you smoke in a day?” </w:t>
            </w:r>
            <w:r>
              <w:rPr>
                <w:rFonts w:asciiTheme="minorHAnsi" w:hAnsiTheme="minorHAnsi" w:cstheme="minorHAnsi"/>
                <w:i/>
                <w:iCs/>
                <w:sz w:val="18"/>
                <w:szCs w:val="18"/>
              </w:rPr>
              <w:t>vs.</w:t>
            </w:r>
            <w:r w:rsidRPr="00D22AE2">
              <w:rPr>
                <w:rFonts w:asciiTheme="minorHAnsi" w:hAnsiTheme="minorHAnsi" w:cstheme="minorHAnsi"/>
                <w:i/>
                <w:iCs/>
                <w:sz w:val="18"/>
                <w:szCs w:val="18"/>
              </w:rPr>
              <w:t xml:space="preserve"> Average number of cigarettes smoked between today and yesterday</w:t>
            </w:r>
          </w:p>
          <w:p w14:paraId="52A7FB2C" w14:textId="77777777" w:rsidR="00DB2213" w:rsidRPr="00D22AE2" w:rsidRDefault="00DB2213" w:rsidP="00F523A8">
            <w:pPr>
              <w:widowControl w:val="0"/>
              <w:spacing w:before="60" w:after="120"/>
              <w:contextualSpacing/>
              <w:rPr>
                <w:rFonts w:asciiTheme="minorHAnsi" w:hAnsiTheme="minorHAnsi" w:cstheme="minorHAnsi"/>
                <w:iCs/>
                <w:sz w:val="18"/>
                <w:szCs w:val="18"/>
              </w:rPr>
            </w:pPr>
            <w:r w:rsidRPr="00D22AE2">
              <w:rPr>
                <w:rFonts w:asciiTheme="minorHAnsi" w:hAnsiTheme="minorHAnsi" w:cstheme="minorHAnsi"/>
                <w:i/>
                <w:iCs/>
                <w:sz w:val="18"/>
                <w:szCs w:val="18"/>
              </w:rPr>
              <w:t xml:space="preserve">r </w:t>
            </w:r>
            <w:r w:rsidRPr="00D22AE2">
              <w:rPr>
                <w:rFonts w:asciiTheme="minorHAnsi" w:hAnsiTheme="minorHAnsi" w:cstheme="minorHAnsi"/>
                <w:iCs/>
                <w:sz w:val="18"/>
                <w:szCs w:val="18"/>
              </w:rPr>
              <w:t>= 0.85; p&lt;0.01</w:t>
            </w:r>
          </w:p>
          <w:p w14:paraId="115BA912" w14:textId="1A4AAE51" w:rsidR="00DB2213" w:rsidRPr="00D22AE2" w:rsidRDefault="00DB2213" w:rsidP="00F523A8">
            <w:pPr>
              <w:widowControl w:val="0"/>
              <w:spacing w:before="60" w:after="120"/>
              <w:contextualSpacing/>
              <w:rPr>
                <w:rFonts w:asciiTheme="minorHAnsi" w:hAnsiTheme="minorHAnsi" w:cstheme="minorHAnsi"/>
                <w:i/>
                <w:iCs/>
                <w:sz w:val="18"/>
                <w:szCs w:val="18"/>
              </w:rPr>
            </w:pPr>
            <w:r w:rsidRPr="00D22AE2">
              <w:rPr>
                <w:rFonts w:asciiTheme="minorHAnsi" w:hAnsiTheme="minorHAnsi" w:cstheme="minorHAnsi"/>
                <w:i/>
                <w:iCs/>
                <w:sz w:val="18"/>
                <w:szCs w:val="18"/>
              </w:rPr>
              <w:t xml:space="preserve">“How many cigarettes did you smoke in the past 24 hours?” </w:t>
            </w:r>
            <w:r>
              <w:rPr>
                <w:rFonts w:asciiTheme="minorHAnsi" w:hAnsiTheme="minorHAnsi" w:cstheme="minorHAnsi"/>
                <w:i/>
                <w:iCs/>
                <w:sz w:val="18"/>
                <w:szCs w:val="18"/>
              </w:rPr>
              <w:t>vs.</w:t>
            </w:r>
            <w:r w:rsidRPr="00D22AE2">
              <w:rPr>
                <w:rFonts w:asciiTheme="minorHAnsi" w:hAnsiTheme="minorHAnsi" w:cstheme="minorHAnsi"/>
                <w:i/>
                <w:iCs/>
                <w:sz w:val="18"/>
                <w:szCs w:val="18"/>
              </w:rPr>
              <w:t xml:space="preserve"> Average number of CPD</w:t>
            </w:r>
          </w:p>
          <w:p w14:paraId="0471C21A" w14:textId="77777777" w:rsidR="00DB2213" w:rsidRPr="00D22AE2" w:rsidRDefault="00DB2213" w:rsidP="00F523A8">
            <w:pPr>
              <w:widowControl w:val="0"/>
              <w:spacing w:before="60" w:after="120"/>
              <w:contextualSpacing/>
              <w:rPr>
                <w:rFonts w:asciiTheme="minorHAnsi" w:hAnsiTheme="minorHAnsi" w:cstheme="minorHAnsi"/>
                <w:iCs/>
                <w:sz w:val="18"/>
                <w:szCs w:val="18"/>
              </w:rPr>
            </w:pPr>
            <w:r w:rsidRPr="00D22AE2">
              <w:rPr>
                <w:rFonts w:asciiTheme="minorHAnsi" w:hAnsiTheme="minorHAnsi" w:cstheme="minorHAnsi"/>
                <w:i/>
                <w:iCs/>
                <w:sz w:val="18"/>
                <w:szCs w:val="18"/>
              </w:rPr>
              <w:t xml:space="preserve">r </w:t>
            </w:r>
            <w:r w:rsidRPr="00D22AE2">
              <w:rPr>
                <w:rFonts w:asciiTheme="minorHAnsi" w:hAnsiTheme="minorHAnsi" w:cstheme="minorHAnsi"/>
                <w:iCs/>
                <w:sz w:val="18"/>
                <w:szCs w:val="18"/>
              </w:rPr>
              <w:t>= 0.82; p&lt;0.01</w:t>
            </w:r>
          </w:p>
          <w:p w14:paraId="1B301984" w14:textId="3C316A2B" w:rsidR="00DB2213" w:rsidRPr="00D22AE2" w:rsidRDefault="00DB2213" w:rsidP="00F523A8">
            <w:pPr>
              <w:widowControl w:val="0"/>
              <w:spacing w:before="60" w:after="120"/>
              <w:contextualSpacing/>
              <w:rPr>
                <w:rFonts w:asciiTheme="minorHAnsi" w:hAnsiTheme="minorHAnsi" w:cstheme="minorHAnsi"/>
                <w:i/>
                <w:iCs/>
                <w:sz w:val="18"/>
                <w:szCs w:val="18"/>
              </w:rPr>
            </w:pPr>
            <w:r w:rsidRPr="00D22AE2">
              <w:rPr>
                <w:rFonts w:asciiTheme="minorHAnsi" w:hAnsiTheme="minorHAnsi" w:cstheme="minorHAnsi"/>
                <w:i/>
                <w:iCs/>
                <w:sz w:val="18"/>
                <w:szCs w:val="18"/>
              </w:rPr>
              <w:t xml:space="preserve">“What is the usual number of cigarettes you smoke in a day?” </w:t>
            </w:r>
            <w:r>
              <w:rPr>
                <w:rFonts w:asciiTheme="minorHAnsi" w:hAnsiTheme="minorHAnsi" w:cstheme="minorHAnsi"/>
                <w:i/>
                <w:iCs/>
                <w:sz w:val="18"/>
                <w:szCs w:val="18"/>
              </w:rPr>
              <w:t>vs.</w:t>
            </w:r>
            <w:r w:rsidRPr="00D22AE2">
              <w:rPr>
                <w:rFonts w:asciiTheme="minorHAnsi" w:hAnsiTheme="minorHAnsi" w:cstheme="minorHAnsi"/>
                <w:i/>
                <w:iCs/>
                <w:sz w:val="18"/>
                <w:szCs w:val="18"/>
              </w:rPr>
              <w:t xml:space="preserve"> Average number of CPD</w:t>
            </w:r>
          </w:p>
          <w:p w14:paraId="1F4FAE07" w14:textId="77777777" w:rsidR="00DB2213" w:rsidRPr="00D22AE2" w:rsidRDefault="00DB2213" w:rsidP="00F523A8">
            <w:pPr>
              <w:widowControl w:val="0"/>
              <w:spacing w:before="60" w:after="120"/>
              <w:contextualSpacing/>
              <w:rPr>
                <w:rFonts w:asciiTheme="minorHAnsi" w:hAnsiTheme="minorHAnsi" w:cstheme="minorHAnsi"/>
                <w:iCs/>
                <w:sz w:val="18"/>
                <w:szCs w:val="18"/>
              </w:rPr>
            </w:pPr>
            <w:r w:rsidRPr="00D22AE2">
              <w:rPr>
                <w:rFonts w:asciiTheme="minorHAnsi" w:hAnsiTheme="minorHAnsi" w:cstheme="minorHAnsi"/>
                <w:i/>
                <w:iCs/>
                <w:sz w:val="18"/>
                <w:szCs w:val="18"/>
              </w:rPr>
              <w:t xml:space="preserve">r </w:t>
            </w:r>
            <w:r w:rsidRPr="00D22AE2">
              <w:rPr>
                <w:rFonts w:asciiTheme="minorHAnsi" w:hAnsiTheme="minorHAnsi" w:cstheme="minorHAnsi"/>
                <w:iCs/>
                <w:sz w:val="18"/>
                <w:szCs w:val="18"/>
              </w:rPr>
              <w:t>= 0.90; p&lt;0.01</w:t>
            </w:r>
          </w:p>
          <w:p w14:paraId="4ED40A8C" w14:textId="77777777" w:rsidR="00DB2213" w:rsidRPr="00D22AE2" w:rsidRDefault="00DB2213" w:rsidP="00F523A8">
            <w:pPr>
              <w:widowControl w:val="0"/>
              <w:spacing w:before="60" w:after="120"/>
              <w:contextualSpacing/>
              <w:rPr>
                <w:rFonts w:asciiTheme="minorHAnsi" w:hAnsiTheme="minorHAnsi" w:cstheme="minorHAnsi"/>
                <w:i/>
                <w:iCs/>
                <w:sz w:val="18"/>
                <w:szCs w:val="18"/>
              </w:rPr>
            </w:pPr>
            <w:r w:rsidRPr="00D22AE2">
              <w:rPr>
                <w:rFonts w:asciiTheme="minorHAnsi" w:hAnsiTheme="minorHAnsi" w:cstheme="minorHAnsi"/>
                <w:i/>
                <w:iCs/>
                <w:sz w:val="18"/>
                <w:szCs w:val="18"/>
              </w:rPr>
              <w:t>248 young adults aged 18 to 25 years who had smoked at least one cigarette in the past 30 days from the U.S. (N = 167 daily smokers; N = 81 non-daily smokers).</w:t>
            </w:r>
          </w:p>
          <w:p w14:paraId="4A750388" w14:textId="77777777" w:rsidR="00FA7E1F" w:rsidRDefault="00FA7E1F" w:rsidP="00F523A8">
            <w:pPr>
              <w:spacing w:after="120"/>
              <w:contextualSpacing/>
              <w:rPr>
                <w:rFonts w:cstheme="minorHAnsi"/>
                <w:b/>
                <w:sz w:val="18"/>
                <w:szCs w:val="18"/>
                <w:u w:val="single"/>
              </w:rPr>
            </w:pPr>
          </w:p>
          <w:p w14:paraId="64FABDD7" w14:textId="01DA60F3" w:rsidR="00DB2213" w:rsidRPr="006F51B3" w:rsidRDefault="00D2134A" w:rsidP="00F523A8">
            <w:pPr>
              <w:spacing w:after="120"/>
              <w:contextualSpacing/>
              <w:rPr>
                <w:rFonts w:asciiTheme="minorHAnsi" w:hAnsiTheme="minorHAnsi" w:cstheme="minorHAnsi"/>
                <w:b/>
                <w:sz w:val="18"/>
                <w:szCs w:val="18"/>
                <w:u w:val="single"/>
              </w:rPr>
            </w:pPr>
            <w:r>
              <w:rPr>
                <w:rFonts w:cstheme="minorHAnsi"/>
                <w:b/>
                <w:sz w:val="18"/>
                <w:szCs w:val="18"/>
                <w:u w:val="single"/>
              </w:rPr>
              <w:fldChar w:fldCharType="begin"/>
            </w:r>
            <w:r>
              <w:rPr>
                <w:rFonts w:cstheme="minorHAnsi"/>
                <w:b/>
                <w:sz w:val="18"/>
                <w:szCs w:val="18"/>
                <w:u w:val="single"/>
              </w:rPr>
              <w:instrText xml:space="preserve"> ADDIN EN.CITE &lt;EndNote&gt;&lt;Cite&gt;&lt;Author&gt;Stanton&lt;/Author&gt;&lt;Year&gt;1996&lt;/Year&gt;&lt;RecNum&gt;313&lt;/RecNum&gt;&lt;DisplayText&gt;(42)&lt;/DisplayText&gt;&lt;record&gt;&lt;rec-number&gt;313&lt;/rec-number&gt;&lt;foreign-keys&gt;&lt;key app="EN" db-id="a2vz2dfp8xrad6exes75zwpiw5rxwa0vwapv" timestamp="1541528205"&gt;313&lt;/key&gt;&lt;/foreign-keys&gt;&lt;ref-type name="Journal Article"&gt;17&lt;/ref-type&gt;&lt;contributors&gt;&lt;authors&gt;&lt;author&gt;Stanton, W. R.&lt;/author&gt;&lt;author&gt;McClelland, M.&lt;/author&gt;&lt;author&gt;Elwood, C.&lt;/author&gt;&lt;author&gt;Ferry, D.&lt;/author&gt;&lt;author&gt;Silva, P. A.&lt;/author&gt;&lt;/authors&gt;&lt;/contributors&gt;&lt;auth-address&gt;Centre for Health Promotion and Cancer Prevention Research, University of Queensland Medical School, Herston, Australia.&lt;/auth-address&gt;&lt;titles&gt;&lt;title&gt;Prevalence, reliability and bias of adolescents&amp;apos; reports of smoking and quitting&lt;/title&gt;&lt;secondary-title&gt;Addiction&lt;/secondary-title&gt;&lt;alt-title&gt;Addiction (Abingdon, England)&lt;/alt-title&gt;&lt;/titles&gt;&lt;periodical&gt;&lt;full-title&gt;Addiction&lt;/full-title&gt;&lt;/periodical&gt;&lt;alt-periodical&gt;&lt;full-title&gt;Addiction (Abingdon, England)&lt;/full-title&gt;&lt;/alt-periodical&gt;&lt;pages&gt;1705-14&lt;/pages&gt;&lt;volume&gt;91&lt;/volume&gt;&lt;number&gt;11&lt;/number&gt;&lt;edition&gt;1996/11/01&lt;/edition&gt;&lt;keywords&gt;&lt;keyword&gt;Adolescent&lt;/keyword&gt;&lt;keyword&gt;Bias&lt;/keyword&gt;&lt;keyword&gt;Cohort Studies&lt;/keyword&gt;&lt;keyword&gt;Cross-Sectional Studies&lt;/keyword&gt;&lt;keyword&gt;Female&lt;/keyword&gt;&lt;keyword&gt;Health Knowledge, Attitudes, Practice&lt;/keyword&gt;&lt;keyword&gt;Humans&lt;/keyword&gt;&lt;keyword&gt;Incidence&lt;/keyword&gt;&lt;keyword&gt;Male&lt;/keyword&gt;&lt;keyword&gt;New Zealand/epidemiology&lt;/keyword&gt;&lt;keyword&gt;*Self Disclosure&lt;/keyword&gt;&lt;keyword&gt;Smoking/*epidemiology/psychology&lt;/keyword&gt;&lt;keyword&gt;Smoking Cessation/psychology/*statistics &amp;amp; numerical data&lt;/keyword&gt;&lt;keyword&gt;Smoking Prevention&lt;/keyword&gt;&lt;/keywords&gt;&lt;dates&gt;&lt;year&gt;1996&lt;/year&gt;&lt;pub-dates&gt;&lt;date&gt;Nov&lt;/date&gt;&lt;/pub-dates&gt;&lt;/dates&gt;&lt;isbn&gt;0965-2140 (Print)&amp;#xD;0965-2140&lt;/isbn&gt;&lt;accession-num&gt;8972928&lt;/accession-num&gt;&lt;urls&gt;&lt;/urls&gt;&lt;remote-database-provider&gt;NLM&lt;/remote-database-provider&gt;&lt;language&gt;eng&lt;/language&gt;&lt;/record&gt;&lt;/Cite&gt;&lt;/EndNote&gt;</w:instrText>
            </w:r>
            <w:r>
              <w:rPr>
                <w:rFonts w:cstheme="minorHAnsi"/>
                <w:b/>
                <w:sz w:val="18"/>
                <w:szCs w:val="18"/>
                <w:u w:val="single"/>
              </w:rPr>
              <w:fldChar w:fldCharType="separate"/>
            </w:r>
            <w:r>
              <w:rPr>
                <w:rFonts w:cstheme="minorHAnsi"/>
                <w:b/>
                <w:noProof/>
                <w:sz w:val="18"/>
                <w:szCs w:val="18"/>
                <w:u w:val="single"/>
              </w:rPr>
              <w:t>(</w:t>
            </w:r>
            <w:hyperlink w:anchor="_ENREF_42" w:tooltip="Stanton, 1996 #313" w:history="1">
              <w:r w:rsidR="00A234A9">
                <w:rPr>
                  <w:rFonts w:cstheme="minorHAnsi"/>
                  <w:b/>
                  <w:noProof/>
                  <w:sz w:val="18"/>
                  <w:szCs w:val="18"/>
                  <w:u w:val="single"/>
                </w:rPr>
                <w:t>42</w:t>
              </w:r>
            </w:hyperlink>
            <w:r>
              <w:rPr>
                <w:rFonts w:cstheme="minorHAnsi"/>
                <w:b/>
                <w:noProof/>
                <w:sz w:val="18"/>
                <w:szCs w:val="18"/>
                <w:u w:val="single"/>
              </w:rPr>
              <w:t>)</w:t>
            </w:r>
            <w:r>
              <w:rPr>
                <w:rFonts w:cstheme="minorHAnsi"/>
                <w:b/>
                <w:sz w:val="18"/>
                <w:szCs w:val="18"/>
                <w:u w:val="single"/>
              </w:rPr>
              <w:fldChar w:fldCharType="end"/>
            </w:r>
          </w:p>
          <w:p w14:paraId="0251C943" w14:textId="77777777" w:rsidR="00DB2213" w:rsidRPr="00CF10AA" w:rsidRDefault="00DB2213" w:rsidP="00F523A8">
            <w:pPr>
              <w:spacing w:after="60"/>
              <w:rPr>
                <w:rFonts w:asciiTheme="minorHAnsi" w:hAnsiTheme="minorHAnsi" w:cstheme="minorHAnsi"/>
                <w:sz w:val="18"/>
                <w:szCs w:val="18"/>
              </w:rPr>
            </w:pPr>
            <w:r w:rsidRPr="00CF10AA">
              <w:rPr>
                <w:rFonts w:asciiTheme="minorHAnsi" w:hAnsiTheme="minorHAnsi" w:cstheme="minorHAnsi"/>
                <w:sz w:val="18"/>
                <w:szCs w:val="18"/>
              </w:rPr>
              <w:t>In-person interviews</w:t>
            </w:r>
          </w:p>
          <w:p w14:paraId="16A2AEE3" w14:textId="77777777" w:rsidR="00DB2213" w:rsidRPr="005B1E24" w:rsidRDefault="00DB2213" w:rsidP="00F523A8">
            <w:pPr>
              <w:spacing w:after="120"/>
              <w:contextualSpacing/>
              <w:rPr>
                <w:rFonts w:asciiTheme="minorHAnsi" w:eastAsia="Times New Roman" w:hAnsiTheme="minorHAnsi" w:cstheme="minorHAnsi"/>
                <w:sz w:val="18"/>
                <w:szCs w:val="18"/>
              </w:rPr>
            </w:pPr>
            <w:r w:rsidRPr="005B1E24">
              <w:rPr>
                <w:rFonts w:asciiTheme="minorHAnsi" w:eastAsia="Times New Roman" w:hAnsiTheme="minorHAnsi" w:cstheme="minorHAnsi"/>
                <w:sz w:val="18"/>
                <w:szCs w:val="18"/>
              </w:rPr>
              <w:t>κ = 0.29 (self-reported smoking status)</w:t>
            </w:r>
          </w:p>
          <w:p w14:paraId="7A1BFFFF" w14:textId="77777777" w:rsidR="00DB2213" w:rsidRPr="00307323" w:rsidRDefault="00DB2213" w:rsidP="00F523A8">
            <w:pPr>
              <w:spacing w:after="120"/>
              <w:contextualSpacing/>
              <w:rPr>
                <w:rFonts w:asciiTheme="minorHAnsi" w:eastAsia="Times New Roman" w:hAnsiTheme="minorHAnsi" w:cstheme="minorHAnsi"/>
                <w:sz w:val="18"/>
                <w:szCs w:val="18"/>
              </w:rPr>
            </w:pPr>
            <w:r w:rsidRPr="00307323">
              <w:rPr>
                <w:rFonts w:asciiTheme="minorHAnsi" w:eastAsia="Times New Roman" w:hAnsiTheme="minorHAnsi" w:cstheme="minorHAnsi"/>
                <w:sz w:val="18"/>
                <w:szCs w:val="18"/>
              </w:rPr>
              <w:t>Comparison of recall of 18-year-olds of their smoking status at age 15 with responses given at age 15.</w:t>
            </w:r>
          </w:p>
          <w:p w14:paraId="1F38E00F" w14:textId="77777777" w:rsidR="00DB2213" w:rsidRDefault="00DB2213" w:rsidP="00F523A8">
            <w:pPr>
              <w:spacing w:after="120"/>
              <w:rPr>
                <w:rFonts w:asciiTheme="minorHAnsi" w:hAnsiTheme="minorHAnsi" w:cstheme="minorHAnsi"/>
                <w:i/>
                <w:iCs/>
                <w:sz w:val="18"/>
                <w:szCs w:val="18"/>
              </w:rPr>
            </w:pPr>
            <w:r w:rsidRPr="005B1E24">
              <w:rPr>
                <w:rFonts w:asciiTheme="minorHAnsi" w:hAnsiTheme="minorHAnsi" w:cstheme="minorHAnsi"/>
                <w:i/>
                <w:iCs/>
                <w:sz w:val="18"/>
                <w:szCs w:val="18"/>
              </w:rPr>
              <w:t>707 participants from a birth cohort from an Australian health care institution</w:t>
            </w:r>
          </w:p>
          <w:p w14:paraId="63F87431" w14:textId="77777777" w:rsidR="00DB2213" w:rsidRPr="00D22AE2" w:rsidRDefault="00DB2213" w:rsidP="00F523A8">
            <w:pPr>
              <w:widowControl w:val="0"/>
              <w:spacing w:before="60" w:after="120"/>
              <w:contextualSpacing/>
              <w:rPr>
                <w:rFonts w:asciiTheme="minorHAnsi" w:hAnsiTheme="minorHAnsi" w:cstheme="minorHAnsi"/>
                <w:iCs/>
                <w:sz w:val="18"/>
                <w:szCs w:val="18"/>
              </w:rPr>
            </w:pPr>
            <w:r w:rsidRPr="00D22AE2">
              <w:rPr>
                <w:rFonts w:asciiTheme="minorHAnsi" w:hAnsiTheme="minorHAnsi" w:cstheme="minorHAnsi"/>
                <w:iCs/>
                <w:sz w:val="18"/>
                <w:szCs w:val="18"/>
              </w:rPr>
              <w:t>κ = 0.76; p&lt;0.05 (self-reported CPD of daily and weekly smokers, coded as “0, 1-5, 6-15, and 16 plus" assessed at 15 and 18 years of age)</w:t>
            </w:r>
          </w:p>
          <w:p w14:paraId="4D8E6659" w14:textId="77777777" w:rsidR="00DB2213" w:rsidRPr="00D22AE2" w:rsidRDefault="00DB2213" w:rsidP="00F523A8">
            <w:pPr>
              <w:widowControl w:val="0"/>
              <w:spacing w:before="60" w:after="120"/>
              <w:contextualSpacing/>
              <w:rPr>
                <w:rFonts w:asciiTheme="minorHAnsi" w:hAnsiTheme="minorHAnsi" w:cstheme="minorHAnsi"/>
                <w:iCs/>
                <w:sz w:val="18"/>
                <w:szCs w:val="18"/>
              </w:rPr>
            </w:pPr>
            <w:r w:rsidRPr="00D22AE2">
              <w:rPr>
                <w:rFonts w:asciiTheme="minorHAnsi" w:hAnsiTheme="minorHAnsi" w:cstheme="minorHAnsi"/>
                <w:iCs/>
                <w:sz w:val="18"/>
                <w:szCs w:val="18"/>
              </w:rPr>
              <w:t>Test-retest interval: 3 years</w:t>
            </w:r>
          </w:p>
          <w:p w14:paraId="6AF94968" w14:textId="07E5CBAF" w:rsidR="00DB2213" w:rsidRPr="00D22AE2" w:rsidRDefault="00DB2213" w:rsidP="00F523A8">
            <w:pPr>
              <w:widowControl w:val="0"/>
              <w:spacing w:before="60" w:after="120"/>
              <w:contextualSpacing/>
              <w:rPr>
                <w:rFonts w:asciiTheme="minorHAnsi" w:hAnsiTheme="minorHAnsi" w:cstheme="minorHAnsi"/>
                <w:i/>
                <w:iCs/>
                <w:sz w:val="18"/>
                <w:szCs w:val="18"/>
              </w:rPr>
            </w:pPr>
            <w:r w:rsidRPr="00D22AE2">
              <w:rPr>
                <w:rFonts w:asciiTheme="minorHAnsi" w:hAnsiTheme="minorHAnsi" w:cstheme="minorHAnsi"/>
                <w:i/>
                <w:iCs/>
                <w:sz w:val="18"/>
                <w:szCs w:val="18"/>
              </w:rPr>
              <w:t xml:space="preserve">320 daily or weekly smokers in New Zealand who were part of a longitudinal study (Sample of 18-year-olds included 937 adolescents interviewed about smoking histories; this study examines changes in smoking from 15–18 </w:t>
            </w:r>
            <w:r w:rsidRPr="00D22AE2">
              <w:rPr>
                <w:rFonts w:asciiTheme="minorHAnsi" w:hAnsiTheme="minorHAnsi" w:cstheme="minorHAnsi"/>
                <w:i/>
                <w:iCs/>
                <w:sz w:val="18"/>
                <w:szCs w:val="18"/>
              </w:rPr>
              <w:lastRenderedPageBreak/>
              <w:t>years)</w:t>
            </w:r>
            <w:r w:rsidR="00224136">
              <w:rPr>
                <w:rFonts w:asciiTheme="minorHAnsi" w:hAnsiTheme="minorHAnsi" w:cstheme="minorHAnsi"/>
                <w:i/>
                <w:iCs/>
                <w:sz w:val="18"/>
                <w:szCs w:val="18"/>
              </w:rPr>
              <w:t>.</w:t>
            </w:r>
          </w:p>
          <w:p w14:paraId="78821C41" w14:textId="77777777" w:rsidR="00DB2213" w:rsidRDefault="00DB2213" w:rsidP="00F523A8">
            <w:pPr>
              <w:spacing w:after="120"/>
              <w:contextualSpacing/>
              <w:rPr>
                <w:rFonts w:asciiTheme="minorHAnsi" w:hAnsiTheme="minorHAnsi" w:cstheme="minorHAnsi"/>
                <w:i/>
                <w:iCs/>
                <w:sz w:val="18"/>
                <w:szCs w:val="18"/>
              </w:rPr>
            </w:pPr>
          </w:p>
          <w:p w14:paraId="3282E505" w14:textId="64BFDDAC" w:rsidR="00DB2213" w:rsidRPr="00F523A8" w:rsidRDefault="00D2134A" w:rsidP="00F523A8">
            <w:pPr>
              <w:spacing w:after="120"/>
              <w:contextualSpacing/>
              <w:rPr>
                <w:rFonts w:asciiTheme="minorHAnsi" w:eastAsia="Times New Roman" w:hAnsiTheme="minorHAnsi" w:cstheme="minorHAnsi"/>
                <w:b/>
                <w:sz w:val="18"/>
                <w:szCs w:val="18"/>
                <w:u w:val="single"/>
                <w:lang w:eastAsia="en-CA"/>
              </w:rPr>
            </w:pPr>
            <w:r>
              <w:rPr>
                <w:rFonts w:eastAsia="Times New Roman" w:cstheme="minorHAnsi"/>
                <w:b/>
                <w:sz w:val="18"/>
                <w:szCs w:val="18"/>
                <w:u w:val="single"/>
                <w:lang w:eastAsia="en-CA"/>
              </w:rPr>
              <w:fldChar w:fldCharType="begin"/>
            </w:r>
            <w:r>
              <w:rPr>
                <w:rFonts w:eastAsia="Times New Roman" w:cstheme="minorHAnsi"/>
                <w:b/>
                <w:sz w:val="18"/>
                <w:szCs w:val="18"/>
                <w:u w:val="single"/>
                <w:lang w:eastAsia="en-CA"/>
              </w:rPr>
              <w:instrText xml:space="preserve"> ADDIN EN.CITE &lt;EndNote&gt;&lt;Cite&gt;&lt;Author&gt;Weinberger&lt;/Author&gt;&lt;Year&gt;2007&lt;/Year&gt;&lt;RecNum&gt;2846&lt;/RecNum&gt;&lt;DisplayText&gt;(43)&lt;/DisplayText&gt;&lt;record&gt;&lt;rec-number&gt;2846&lt;/rec-number&gt;&lt;foreign-keys&gt;&lt;key app="EN" db-id="a2vz2dfp8xrad6exes75zwpiw5rxwa0vwapv" timestamp="1578323577"&gt;2846&lt;/key&gt;&lt;/foreign-keys&gt;&lt;ref-type name="Journal Article"&gt;17&lt;/ref-type&gt;&lt;contributors&gt;&lt;authors&gt;&lt;author&gt;Weinberger, Andrea H.&lt;/author&gt;&lt;author&gt;Reutenauer, Erin L.&lt;/author&gt;&lt;author&gt;Allen, Taryn M.&lt;/author&gt;&lt;author&gt;Termine, Angelo&lt;/author&gt;&lt;author&gt;Vessicchio, Jennifer C.&lt;/author&gt;&lt;author&gt;Sacco, Kristi A.&lt;/author&gt;&lt;author&gt;Easton, Caroline J.&lt;/author&gt;&lt;author&gt;McKee, Sherry A.&lt;/author&gt;&lt;author&gt;George, Tony P.&lt;/author&gt;&lt;/authors&gt;&lt;/contributors&gt;&lt;titles&gt;&lt;title&gt;Reliability of the Fagerström Test for Nicotine Dependence, Minnesota Nicotine Withdrawal Scale, and Tiffany Questionnaire for Smoking Urges in Smokers with and without Schizophrenia&lt;/title&gt;&lt;secondary-title&gt;Drug and Alcohol Dependence&lt;/secondary-title&gt;&lt;/titles&gt;&lt;periodical&gt;&lt;full-title&gt;Drug and Alcohol Dependence&lt;/full-title&gt;&lt;/periodical&gt;&lt;pages&gt;278-282&lt;/pages&gt;&lt;volume&gt;86&lt;/volume&gt;&lt;number&gt;2&lt;/number&gt;&lt;keywords&gt;&lt;keyword&gt;Psychometrics&lt;/keyword&gt;&lt;keyword&gt;Reliability&lt;/keyword&gt;&lt;keyword&gt;Nicotine dependence&lt;/keyword&gt;&lt;keyword&gt;Nicotine withdrawal&lt;/keyword&gt;&lt;keyword&gt;Tobacco craving&lt;/keyword&gt;&lt;keyword&gt;Schizophrenia&lt;/keyword&gt;&lt;/keywords&gt;&lt;dates&gt;&lt;year&gt;2007&lt;/year&gt;&lt;pub-dates&gt;&lt;date&gt;2007/01/12/&lt;/date&gt;&lt;/pub-dates&gt;&lt;/dates&gt;&lt;isbn&gt;0376-8716&lt;/isbn&gt;&lt;urls&gt;&lt;related-urls&gt;&lt;url&gt;http://www.sciencedirect.com/science/article/pii/S0376871606002262&lt;/url&gt;&lt;/related-urls&gt;&lt;/urls&gt;&lt;electronic-resource-num&gt;https://doi.org/10.1016/j.drugalcdep.2006.06.005&lt;/electronic-resource-num&gt;&lt;/record&gt;&lt;/Cite&gt;&lt;/EndNote&gt;</w:instrText>
            </w:r>
            <w:r>
              <w:rPr>
                <w:rFonts w:eastAsia="Times New Roman" w:cstheme="minorHAnsi"/>
                <w:b/>
                <w:sz w:val="18"/>
                <w:szCs w:val="18"/>
                <w:u w:val="single"/>
                <w:lang w:eastAsia="en-CA"/>
              </w:rPr>
              <w:fldChar w:fldCharType="separate"/>
            </w:r>
            <w:r>
              <w:rPr>
                <w:rFonts w:eastAsia="Times New Roman" w:cstheme="minorHAnsi"/>
                <w:b/>
                <w:noProof/>
                <w:sz w:val="18"/>
                <w:szCs w:val="18"/>
                <w:u w:val="single"/>
                <w:lang w:eastAsia="en-CA"/>
              </w:rPr>
              <w:t>(</w:t>
            </w:r>
            <w:hyperlink w:anchor="_ENREF_43" w:tooltip="Weinberger, 2007 #2846" w:history="1">
              <w:r w:rsidR="00A234A9">
                <w:rPr>
                  <w:rFonts w:eastAsia="Times New Roman" w:cstheme="minorHAnsi"/>
                  <w:b/>
                  <w:noProof/>
                  <w:sz w:val="18"/>
                  <w:szCs w:val="18"/>
                  <w:u w:val="single"/>
                  <w:lang w:eastAsia="en-CA"/>
                </w:rPr>
                <w:t>43</w:t>
              </w:r>
            </w:hyperlink>
            <w:r>
              <w:rPr>
                <w:rFonts w:eastAsia="Times New Roman" w:cstheme="minorHAnsi"/>
                <w:b/>
                <w:noProof/>
                <w:sz w:val="18"/>
                <w:szCs w:val="18"/>
                <w:u w:val="single"/>
                <w:lang w:eastAsia="en-CA"/>
              </w:rPr>
              <w:t>)</w:t>
            </w:r>
            <w:r>
              <w:rPr>
                <w:rFonts w:eastAsia="Times New Roman" w:cstheme="minorHAnsi"/>
                <w:b/>
                <w:sz w:val="18"/>
                <w:szCs w:val="18"/>
                <w:u w:val="single"/>
                <w:lang w:eastAsia="en-CA"/>
              </w:rPr>
              <w:fldChar w:fldCharType="end"/>
            </w:r>
          </w:p>
          <w:p w14:paraId="6298D0F3" w14:textId="77777777" w:rsidR="00DB2213" w:rsidRPr="00CF10AA" w:rsidRDefault="00DB2213" w:rsidP="00F523A8">
            <w:pPr>
              <w:spacing w:after="120"/>
              <w:contextualSpacing/>
              <w:rPr>
                <w:rFonts w:asciiTheme="minorHAnsi" w:eastAsia="Times New Roman" w:hAnsiTheme="minorHAnsi" w:cstheme="minorHAnsi"/>
                <w:sz w:val="18"/>
                <w:szCs w:val="18"/>
                <w:lang w:eastAsia="en-CA"/>
              </w:rPr>
            </w:pPr>
            <w:r w:rsidRPr="00CF10AA">
              <w:rPr>
                <w:rFonts w:asciiTheme="minorHAnsi" w:eastAsia="Times New Roman" w:hAnsiTheme="minorHAnsi" w:cstheme="minorHAnsi"/>
                <w:iCs/>
                <w:sz w:val="18"/>
                <w:szCs w:val="18"/>
                <w:lang w:eastAsia="en-CA"/>
              </w:rPr>
              <w:t>Test-retest reliability of CPD</w:t>
            </w:r>
          </w:p>
          <w:p w14:paraId="1B94D5D8" w14:textId="77777777" w:rsidR="00DB2213" w:rsidRPr="00D22AE2" w:rsidRDefault="00DB2213" w:rsidP="00F523A8">
            <w:pPr>
              <w:spacing w:after="120"/>
              <w:contextualSpacing/>
              <w:rPr>
                <w:rFonts w:asciiTheme="minorHAnsi" w:eastAsia="Times New Roman" w:hAnsiTheme="minorHAnsi" w:cstheme="minorHAnsi"/>
                <w:sz w:val="18"/>
                <w:szCs w:val="18"/>
                <w:lang w:eastAsia="en-CA"/>
              </w:rPr>
            </w:pPr>
            <w:r w:rsidRPr="00D22AE2">
              <w:rPr>
                <w:rFonts w:asciiTheme="minorHAnsi" w:eastAsia="Times New Roman" w:hAnsiTheme="minorHAnsi" w:cstheme="minorHAnsi"/>
                <w:i/>
                <w:iCs/>
                <w:sz w:val="18"/>
                <w:szCs w:val="18"/>
                <w:lang w:eastAsia="en-CA"/>
              </w:rPr>
              <w:t xml:space="preserve">r </w:t>
            </w:r>
            <w:r w:rsidRPr="00D22AE2">
              <w:rPr>
                <w:rFonts w:asciiTheme="minorHAnsi" w:eastAsia="Times New Roman" w:hAnsiTheme="minorHAnsi" w:cstheme="minorHAnsi"/>
                <w:sz w:val="18"/>
                <w:szCs w:val="18"/>
                <w:lang w:eastAsia="en-CA"/>
              </w:rPr>
              <w:t>= 0.91 (N = 84 smokers)</w:t>
            </w:r>
          </w:p>
          <w:p w14:paraId="37DC7199" w14:textId="77777777" w:rsidR="00DB2213" w:rsidRPr="00D22AE2" w:rsidRDefault="00DB2213" w:rsidP="00F523A8">
            <w:pPr>
              <w:spacing w:after="120"/>
              <w:contextualSpacing/>
              <w:rPr>
                <w:rFonts w:asciiTheme="minorHAnsi" w:eastAsia="Times New Roman" w:hAnsiTheme="minorHAnsi" w:cstheme="minorHAnsi"/>
                <w:sz w:val="18"/>
                <w:szCs w:val="18"/>
                <w:lang w:eastAsia="en-CA"/>
              </w:rPr>
            </w:pPr>
            <w:r w:rsidRPr="00D22AE2">
              <w:rPr>
                <w:rFonts w:asciiTheme="minorHAnsi" w:eastAsia="Times New Roman" w:hAnsiTheme="minorHAnsi" w:cstheme="minorHAnsi"/>
                <w:sz w:val="18"/>
                <w:szCs w:val="18"/>
                <w:lang w:eastAsia="en-CA"/>
              </w:rPr>
              <w:t>Test-retest interval: mean of 29.75 days (95% CI: 25.9 to 33.7)</w:t>
            </w:r>
          </w:p>
          <w:p w14:paraId="1EFEC1EB" w14:textId="77777777" w:rsidR="00DB2213" w:rsidRPr="005B1E24" w:rsidRDefault="00DB2213" w:rsidP="00F523A8">
            <w:pPr>
              <w:spacing w:afterLines="60" w:after="144"/>
              <w:rPr>
                <w:rFonts w:asciiTheme="minorHAnsi" w:hAnsiTheme="minorHAnsi" w:cstheme="minorHAnsi"/>
                <w:sz w:val="18"/>
                <w:szCs w:val="18"/>
              </w:rPr>
            </w:pPr>
            <w:r w:rsidRPr="00D22AE2">
              <w:rPr>
                <w:rFonts w:asciiTheme="minorHAnsi" w:eastAsia="Times New Roman" w:hAnsiTheme="minorHAnsi" w:cstheme="minorHAnsi"/>
                <w:i/>
                <w:iCs/>
                <w:sz w:val="18"/>
                <w:szCs w:val="18"/>
                <w:lang w:eastAsia="en-CA"/>
              </w:rPr>
              <w:t>Nonpsychiatric smokers (N = 181 smokers) recruited in three studies conducted by the Program for Research in Smokers with Mental Illness, Connecticut Mental Health Center.</w:t>
            </w:r>
          </w:p>
        </w:tc>
        <w:tc>
          <w:tcPr>
            <w:tcW w:w="3510" w:type="dxa"/>
          </w:tcPr>
          <w:p w14:paraId="2E6204DA" w14:textId="28E99131" w:rsidR="00DB2213" w:rsidRPr="00F523A8" w:rsidRDefault="00D2134A" w:rsidP="00F523A8">
            <w:pPr>
              <w:widowControl w:val="0"/>
              <w:spacing w:before="60" w:after="120"/>
              <w:contextualSpacing/>
              <w:rPr>
                <w:rFonts w:asciiTheme="minorHAnsi" w:hAnsiTheme="minorHAnsi" w:cstheme="minorHAnsi"/>
                <w:b/>
                <w:iCs/>
                <w:sz w:val="18"/>
                <w:szCs w:val="18"/>
                <w:u w:val="single"/>
              </w:rPr>
            </w:pPr>
            <w:r>
              <w:rPr>
                <w:rFonts w:cstheme="minorHAnsi"/>
                <w:b/>
                <w:iCs/>
                <w:sz w:val="18"/>
                <w:szCs w:val="18"/>
                <w:u w:val="single"/>
              </w:rPr>
              <w:lastRenderedPageBreak/>
              <w:fldChar w:fldCharType="begin"/>
            </w:r>
            <w:r>
              <w:rPr>
                <w:rFonts w:cstheme="minorHAnsi"/>
                <w:b/>
                <w:iCs/>
                <w:sz w:val="18"/>
                <w:szCs w:val="18"/>
                <w:u w:val="single"/>
              </w:rPr>
              <w:instrText xml:space="preserve"> ADDIN EN.CITE &lt;EndNote&gt;&lt;Cite&gt;&lt;Author&gt;Abrams&lt;/Author&gt;&lt;Year&gt;1987&lt;/Year&gt;&lt;RecNum&gt;2847&lt;/RecNum&gt;&lt;DisplayText&gt;(44)&lt;/DisplayText&gt;&lt;record&gt;&lt;rec-number&gt;2847&lt;/rec-number&gt;&lt;foreign-keys&gt;&lt;key app="EN" db-id="a2vz2dfp8xrad6exes75zwpiw5rxwa0vwapv" timestamp="1578323665"&gt;2847&lt;/key&gt;&lt;/foreign-keys&gt;&lt;ref-type name="Journal Article"&gt;17&lt;/ref-type&gt;&lt;contributors&gt;&lt;authors&gt;&lt;author&gt;Abrams, D. B.&lt;/author&gt;&lt;author&gt;Follick, M. J.&lt;/author&gt;&lt;author&gt;Biener, L.&lt;/author&gt;&lt;author&gt;Carey, K. B.&lt;/author&gt;&lt;author&gt;Hitti, J.&lt;/author&gt;&lt;/authors&gt;&lt;/contributors&gt;&lt;titles&gt;&lt;title&gt;Saliva cotinine as a measure of smoking status in field settings&lt;/title&gt;&lt;secondary-title&gt;American journal of public health&lt;/secondary-title&gt;&lt;alt-title&gt;Am J Public Health&lt;/alt-title&gt;&lt;/titles&gt;&lt;periodical&gt;&lt;full-title&gt;American Journal of Public Health&lt;/full-title&gt;&lt;/periodical&gt;&lt;alt-periodical&gt;&lt;full-title&gt;Am J Public Health&lt;/full-title&gt;&lt;/alt-periodical&gt;&lt;pages&gt;846-848&lt;/pages&gt;&lt;volume&gt;77&lt;/volume&gt;&lt;number&gt;7&lt;/number&gt;&lt;keywords&gt;&lt;keyword&gt;Adult&lt;/keyword&gt;&lt;keyword&gt;Cotinine/*analysis&lt;/keyword&gt;&lt;keyword&gt;Female&lt;/keyword&gt;&lt;keyword&gt;Humans&lt;/keyword&gt;&lt;keyword&gt;Male&lt;/keyword&gt;&lt;keyword&gt;Pyrrolidinones/*analysis&lt;/keyword&gt;&lt;keyword&gt;Radioimmunoassay&lt;/keyword&gt;&lt;keyword&gt;Saliva/*analysis&lt;/keyword&gt;&lt;keyword&gt;*Smoking&lt;/keyword&gt;&lt;/keywords&gt;&lt;dates&gt;&lt;year&gt;1987&lt;/year&gt;&lt;/dates&gt;&lt;isbn&gt;0090-0036&amp;#xD;1541-0048&lt;/isbn&gt;&lt;accession-num&gt;3592039&lt;/accession-num&gt;&lt;urls&gt;&lt;related-urls&gt;&lt;url&gt;https://www.ncbi.nlm.nih.gov/pubmed/3592039&lt;/url&gt;&lt;url&gt;https://www.ncbi.nlm.nih.gov/pmc/articles/PMC1647227/&lt;/url&gt;&lt;/related-urls&gt;&lt;/urls&gt;&lt;electronic-resource-num&gt;10.2105/ajph.77.7.846&lt;/electronic-resource-num&gt;&lt;remote-database-name&gt;PubMed&lt;/remote-database-name&gt;&lt;language&gt;eng&lt;/language&gt;&lt;/record&gt;&lt;/Cite&gt;&lt;/EndNote&gt;</w:instrText>
            </w:r>
            <w:r>
              <w:rPr>
                <w:rFonts w:cstheme="minorHAnsi"/>
                <w:b/>
                <w:iCs/>
                <w:sz w:val="18"/>
                <w:szCs w:val="18"/>
                <w:u w:val="single"/>
              </w:rPr>
              <w:fldChar w:fldCharType="separate"/>
            </w:r>
            <w:r>
              <w:rPr>
                <w:rFonts w:cstheme="minorHAnsi"/>
                <w:b/>
                <w:iCs/>
                <w:noProof/>
                <w:sz w:val="18"/>
                <w:szCs w:val="18"/>
                <w:u w:val="single"/>
              </w:rPr>
              <w:t>(</w:t>
            </w:r>
            <w:hyperlink w:anchor="_ENREF_44" w:tooltip="Abrams, 1987 #2847" w:history="1">
              <w:r w:rsidR="00A234A9">
                <w:rPr>
                  <w:rFonts w:cstheme="minorHAnsi"/>
                  <w:b/>
                  <w:iCs/>
                  <w:noProof/>
                  <w:sz w:val="18"/>
                  <w:szCs w:val="18"/>
                  <w:u w:val="single"/>
                </w:rPr>
                <w:t>44</w:t>
              </w:r>
            </w:hyperlink>
            <w:r>
              <w:rPr>
                <w:rFonts w:cstheme="minorHAnsi"/>
                <w:b/>
                <w:iCs/>
                <w:noProof/>
                <w:sz w:val="18"/>
                <w:szCs w:val="18"/>
                <w:u w:val="single"/>
              </w:rPr>
              <w:t>)</w:t>
            </w:r>
            <w:r>
              <w:rPr>
                <w:rFonts w:cstheme="minorHAnsi"/>
                <w:b/>
                <w:iCs/>
                <w:sz w:val="18"/>
                <w:szCs w:val="18"/>
                <w:u w:val="single"/>
              </w:rPr>
              <w:fldChar w:fldCharType="end"/>
            </w:r>
          </w:p>
          <w:p w14:paraId="0160E6AE" w14:textId="77777777" w:rsidR="00DB2213" w:rsidRPr="00ED5FCD" w:rsidRDefault="00DB2213" w:rsidP="00F523A8">
            <w:pPr>
              <w:widowControl w:val="0"/>
              <w:spacing w:before="60" w:after="120"/>
              <w:contextualSpacing/>
              <w:rPr>
                <w:rFonts w:asciiTheme="minorHAnsi" w:hAnsiTheme="minorHAnsi" w:cstheme="minorHAnsi"/>
                <w:iCs/>
                <w:sz w:val="18"/>
                <w:szCs w:val="18"/>
              </w:rPr>
            </w:pPr>
            <w:r w:rsidRPr="00ED5FCD">
              <w:rPr>
                <w:rFonts w:asciiTheme="minorHAnsi" w:hAnsiTheme="minorHAnsi" w:cstheme="minorHAnsi"/>
                <w:iCs/>
                <w:sz w:val="18"/>
                <w:szCs w:val="18"/>
              </w:rPr>
              <w:t>Questionnaire and in-person biochemical validation</w:t>
            </w:r>
          </w:p>
          <w:p w14:paraId="7D7E5F9F" w14:textId="77777777" w:rsidR="00DB2213" w:rsidRPr="00ED5FCD" w:rsidRDefault="00DB2213" w:rsidP="00F523A8">
            <w:pPr>
              <w:widowControl w:val="0"/>
              <w:spacing w:before="60" w:after="120"/>
              <w:contextualSpacing/>
              <w:rPr>
                <w:rFonts w:asciiTheme="minorHAnsi" w:hAnsiTheme="minorHAnsi" w:cstheme="minorHAnsi"/>
                <w:iCs/>
                <w:sz w:val="18"/>
                <w:szCs w:val="18"/>
              </w:rPr>
            </w:pPr>
            <w:r w:rsidRPr="00ED5FCD">
              <w:rPr>
                <w:rFonts w:asciiTheme="minorHAnsi" w:hAnsiTheme="minorHAnsi" w:cstheme="minorHAnsi"/>
                <w:iCs/>
                <w:sz w:val="18"/>
                <w:szCs w:val="18"/>
              </w:rPr>
              <w:t>Correlation between self-reported CPD and cotinine concentration</w:t>
            </w:r>
          </w:p>
          <w:p w14:paraId="742762BA" w14:textId="77777777" w:rsidR="00DB2213" w:rsidRPr="00D22AE2" w:rsidRDefault="00DB2213" w:rsidP="00F523A8">
            <w:pPr>
              <w:widowControl w:val="0"/>
              <w:spacing w:before="60" w:after="120"/>
              <w:contextualSpacing/>
              <w:rPr>
                <w:rFonts w:asciiTheme="minorHAnsi" w:hAnsiTheme="minorHAnsi" w:cstheme="minorHAnsi"/>
                <w:iCs/>
                <w:sz w:val="18"/>
                <w:szCs w:val="18"/>
              </w:rPr>
            </w:pPr>
            <w:r w:rsidRPr="00D22AE2">
              <w:rPr>
                <w:rFonts w:asciiTheme="minorHAnsi" w:hAnsiTheme="minorHAnsi" w:cstheme="minorHAnsi"/>
                <w:i/>
                <w:iCs/>
                <w:sz w:val="18"/>
                <w:szCs w:val="18"/>
              </w:rPr>
              <w:t xml:space="preserve">r </w:t>
            </w:r>
            <w:r w:rsidRPr="00D22AE2">
              <w:rPr>
                <w:rFonts w:asciiTheme="minorHAnsi" w:hAnsiTheme="minorHAnsi" w:cstheme="minorHAnsi"/>
                <w:iCs/>
                <w:sz w:val="18"/>
                <w:szCs w:val="18"/>
              </w:rPr>
              <w:t>= 0.47 (self-reported: &lt;25 CPD)–Study II</w:t>
            </w:r>
          </w:p>
          <w:p w14:paraId="26036AA4" w14:textId="77777777" w:rsidR="00DB2213" w:rsidRPr="00D22AE2" w:rsidRDefault="00DB2213" w:rsidP="00F523A8">
            <w:pPr>
              <w:widowControl w:val="0"/>
              <w:spacing w:before="60" w:after="120"/>
              <w:contextualSpacing/>
              <w:rPr>
                <w:rFonts w:asciiTheme="minorHAnsi" w:hAnsiTheme="minorHAnsi" w:cstheme="minorHAnsi"/>
                <w:iCs/>
                <w:sz w:val="18"/>
                <w:szCs w:val="18"/>
              </w:rPr>
            </w:pPr>
            <w:r w:rsidRPr="00D22AE2">
              <w:rPr>
                <w:rFonts w:asciiTheme="minorHAnsi" w:hAnsiTheme="minorHAnsi" w:cstheme="minorHAnsi"/>
                <w:i/>
                <w:iCs/>
                <w:sz w:val="18"/>
                <w:szCs w:val="18"/>
              </w:rPr>
              <w:t xml:space="preserve">r </w:t>
            </w:r>
            <w:r w:rsidRPr="00D22AE2">
              <w:rPr>
                <w:rFonts w:asciiTheme="minorHAnsi" w:hAnsiTheme="minorHAnsi" w:cstheme="minorHAnsi"/>
                <w:iCs/>
                <w:sz w:val="18"/>
                <w:szCs w:val="18"/>
              </w:rPr>
              <w:t>= -0.05 (self-reported: ≥25 CPD)–Study II</w:t>
            </w:r>
          </w:p>
          <w:p w14:paraId="6C1ECCCC" w14:textId="77777777" w:rsidR="00DB2213" w:rsidRDefault="00DB2213" w:rsidP="00F523A8">
            <w:pPr>
              <w:widowControl w:val="0"/>
              <w:spacing w:before="60" w:after="120"/>
              <w:contextualSpacing/>
              <w:rPr>
                <w:rFonts w:asciiTheme="minorHAnsi" w:hAnsiTheme="minorHAnsi" w:cstheme="minorHAnsi"/>
                <w:i/>
                <w:iCs/>
                <w:sz w:val="18"/>
                <w:szCs w:val="18"/>
              </w:rPr>
            </w:pPr>
            <w:r w:rsidRPr="00D22AE2">
              <w:rPr>
                <w:rFonts w:asciiTheme="minorHAnsi" w:hAnsiTheme="minorHAnsi" w:cstheme="minorHAnsi"/>
                <w:i/>
                <w:iCs/>
                <w:sz w:val="18"/>
                <w:szCs w:val="18"/>
              </w:rPr>
              <w:t>Study II: Baseline population: 96 smokers (74% female with a mean age of 39 years) who were hospital employees enrolled in a self-help smoking cessation program at the worksite (91 participants provided saliva samples).</w:t>
            </w:r>
          </w:p>
          <w:p w14:paraId="3B273F45" w14:textId="77777777" w:rsidR="00DB2213" w:rsidRDefault="00DB2213" w:rsidP="00F523A8">
            <w:pPr>
              <w:widowControl w:val="0"/>
              <w:spacing w:before="60" w:after="120"/>
              <w:contextualSpacing/>
              <w:rPr>
                <w:rFonts w:cstheme="minorHAnsi"/>
                <w:b/>
                <w:sz w:val="18"/>
                <w:szCs w:val="18"/>
                <w:u w:val="single"/>
              </w:rPr>
            </w:pPr>
          </w:p>
          <w:p w14:paraId="6BB30AD6" w14:textId="4A42861B" w:rsidR="00DB2213" w:rsidRPr="00ED5FCD" w:rsidRDefault="00D2134A" w:rsidP="00F523A8">
            <w:pPr>
              <w:spacing w:afterLines="60" w:after="144"/>
              <w:rPr>
                <w:rFonts w:asciiTheme="minorHAnsi" w:hAnsiTheme="minorHAnsi" w:cstheme="minorHAnsi"/>
                <w:sz w:val="18"/>
                <w:szCs w:val="18"/>
              </w:rPr>
            </w:pPr>
            <w:r>
              <w:rPr>
                <w:rFonts w:cstheme="minorHAnsi"/>
                <w:b/>
                <w:sz w:val="18"/>
                <w:szCs w:val="18"/>
                <w:u w:val="single"/>
              </w:rPr>
              <w:fldChar w:fldCharType="begin"/>
            </w:r>
            <w:r>
              <w:rPr>
                <w:rFonts w:cstheme="minorHAnsi"/>
                <w:b/>
                <w:sz w:val="18"/>
                <w:szCs w:val="18"/>
                <w:u w:val="single"/>
              </w:rPr>
              <w:instrText xml:space="preserve"> ADDIN EN.CITE &lt;EndNote&gt;&lt;Cite&gt;&lt;Author&gt;Eppel&lt;/Author&gt;&lt;Year&gt;2006&lt;/Year&gt;&lt;RecNum&gt;312&lt;/RecNum&gt;&lt;DisplayText&gt;(39)&lt;/DisplayText&gt;&lt;record&gt;&lt;rec-number&gt;312&lt;/rec-number&gt;&lt;foreign-keys&gt;&lt;key app="EN" db-id="a2vz2dfp8xrad6exes75zwpiw5rxwa0vwapv" timestamp="1541527723"&gt;312&lt;/key&gt;&lt;/foreign-keys&gt;&lt;ref-type name="Journal Article"&gt;17&lt;/ref-type&gt;&lt;contributors&gt;&lt;authors&gt;&lt;author&gt;Eppel, A.&lt;/author&gt;&lt;author&gt;O&amp;apos;Loughlin, J.&lt;/author&gt;&lt;author&gt;Paradis, G.&lt;/author&gt;&lt;author&gt;Platt, R.&lt;/author&gt;&lt;/authors&gt;&lt;/contributors&gt;&lt;auth-address&gt;McGill University, Department of Epidemiology, Biostatistics, and Occupational Health, Montreal, Quebec, Canada.&lt;/auth-address&gt;&lt;titles&gt;&lt;title&gt;Reliability of self-reports of cigarette use in novice smokers&lt;/title&gt;&lt;secondary-title&gt;Addict Behav&lt;/secondary-title&gt;&lt;alt-title&gt;Addictive behaviors&lt;/alt-title&gt;&lt;/titles&gt;&lt;periodical&gt;&lt;full-title&gt;Addict Behav&lt;/full-title&gt;&lt;/periodical&gt;&lt;alt-periodical&gt;&lt;full-title&gt;Addictive Behaviors&lt;/full-title&gt;&lt;/alt-periodical&gt;&lt;pages&gt;1700-4&lt;/pages&gt;&lt;volume&gt;31&lt;/volume&gt;&lt;number&gt;9&lt;/number&gt;&lt;edition&gt;2005/12/20&lt;/edition&gt;&lt;keywords&gt;&lt;keyword&gt;Adolescent&lt;/keyword&gt;&lt;keyword&gt;Age Factors&lt;/keyword&gt;&lt;keyword&gt;Child&lt;/keyword&gt;&lt;keyword&gt;Female&lt;/keyword&gt;&lt;keyword&gt;Follow-Up Studies&lt;/keyword&gt;&lt;keyword&gt;Humans&lt;/keyword&gt;&lt;keyword&gt;Male&lt;/keyword&gt;&lt;keyword&gt;*Mental Recall&lt;/keyword&gt;&lt;keyword&gt;Psychometrics&lt;/keyword&gt;&lt;keyword&gt;Reproducibility of Results&lt;/keyword&gt;&lt;keyword&gt;*Self Disclosure&lt;/keyword&gt;&lt;keyword&gt;Smoking/*psychology&lt;/keyword&gt;&lt;/keywords&gt;&lt;dates&gt;&lt;year&gt;2006&lt;/year&gt;&lt;pub-dates&gt;&lt;date&gt;Sep&lt;/date&gt;&lt;/pub-dates&gt;&lt;/dates&gt;&lt;isbn&gt;0306-4603 (Print)&amp;#xD;0306-4603&lt;/isbn&gt;&lt;accession-num&gt;16359824&lt;/accession-num&gt;&lt;urls&gt;&lt;/urls&gt;&lt;electronic-resource-num&gt;10.1016/j.addbeh.2005.11.006&lt;/electronic-resource-num&gt;&lt;remote-database-provider&gt;NLM&lt;/remote-database-provider&gt;&lt;language&gt;eng&lt;/language&gt;&lt;/record&gt;&lt;/Cite&gt;&lt;/EndNote&gt;</w:instrText>
            </w:r>
            <w:r>
              <w:rPr>
                <w:rFonts w:cstheme="minorHAnsi"/>
                <w:b/>
                <w:sz w:val="18"/>
                <w:szCs w:val="18"/>
                <w:u w:val="single"/>
              </w:rPr>
              <w:fldChar w:fldCharType="separate"/>
            </w:r>
            <w:r>
              <w:rPr>
                <w:rFonts w:cstheme="minorHAnsi"/>
                <w:b/>
                <w:noProof/>
                <w:sz w:val="18"/>
                <w:szCs w:val="18"/>
                <w:u w:val="single"/>
              </w:rPr>
              <w:t>(</w:t>
            </w:r>
            <w:hyperlink w:anchor="_ENREF_39" w:tooltip="Eppel, 2006 #312" w:history="1">
              <w:r w:rsidR="00A234A9">
                <w:rPr>
                  <w:rFonts w:cstheme="minorHAnsi"/>
                  <w:b/>
                  <w:noProof/>
                  <w:sz w:val="18"/>
                  <w:szCs w:val="18"/>
                  <w:u w:val="single"/>
                </w:rPr>
                <w:t>39</w:t>
              </w:r>
            </w:hyperlink>
            <w:r>
              <w:rPr>
                <w:rFonts w:cstheme="minorHAnsi"/>
                <w:b/>
                <w:noProof/>
                <w:sz w:val="18"/>
                <w:szCs w:val="18"/>
                <w:u w:val="single"/>
              </w:rPr>
              <w:t>)</w:t>
            </w:r>
            <w:r>
              <w:rPr>
                <w:rFonts w:cstheme="minorHAnsi"/>
                <w:b/>
                <w:sz w:val="18"/>
                <w:szCs w:val="18"/>
                <w:u w:val="single"/>
              </w:rPr>
              <w:fldChar w:fldCharType="end"/>
            </w:r>
            <w:r w:rsidR="00DB2213" w:rsidRPr="005B1E24">
              <w:rPr>
                <w:rFonts w:asciiTheme="minorHAnsi" w:hAnsiTheme="minorHAnsi" w:cstheme="minorHAnsi"/>
                <w:sz w:val="18"/>
                <w:szCs w:val="18"/>
              </w:rPr>
              <w:br/>
            </w:r>
            <w:r w:rsidR="00DB2213" w:rsidRPr="00ED5FCD">
              <w:rPr>
                <w:rFonts w:asciiTheme="minorHAnsi" w:hAnsiTheme="minorHAnsi" w:cstheme="minorHAnsi"/>
                <w:sz w:val="18"/>
                <w:szCs w:val="18"/>
              </w:rPr>
              <w:t>Classroom pen-and-paper self-administered questionnaire. 1-month vs. 3-month recall for smoking frequency and intensity</w:t>
            </w:r>
          </w:p>
          <w:p w14:paraId="4EB3AC9A" w14:textId="6BB3761E" w:rsidR="00DB2213" w:rsidRPr="00ED5FCD" w:rsidRDefault="00DB2213" w:rsidP="00F523A8">
            <w:pPr>
              <w:spacing w:afterLines="60" w:after="144"/>
              <w:rPr>
                <w:rFonts w:asciiTheme="minorHAnsi" w:hAnsiTheme="minorHAnsi" w:cstheme="minorHAnsi"/>
                <w:sz w:val="18"/>
                <w:szCs w:val="18"/>
              </w:rPr>
            </w:pPr>
            <w:r w:rsidRPr="00ED5FCD">
              <w:rPr>
                <w:rFonts w:asciiTheme="minorHAnsi" w:hAnsiTheme="minorHAnsi" w:cstheme="minorHAnsi"/>
                <w:iCs/>
                <w:sz w:val="18"/>
                <w:szCs w:val="18"/>
              </w:rPr>
              <w:t>Recall of smoking frequency, intensity and number of cigarettes in ages 14-16</w:t>
            </w:r>
            <w:r w:rsidR="004D18DA" w:rsidRPr="00ED5FCD">
              <w:rPr>
                <w:rFonts w:asciiTheme="minorHAnsi" w:hAnsiTheme="minorHAnsi" w:cstheme="minorHAnsi"/>
                <w:iCs/>
                <w:sz w:val="18"/>
                <w:szCs w:val="18"/>
              </w:rPr>
              <w:t xml:space="preserve"> </w:t>
            </w:r>
            <w:r w:rsidRPr="00ED5FCD">
              <w:rPr>
                <w:rFonts w:asciiTheme="minorHAnsi" w:hAnsiTheme="minorHAnsi" w:cstheme="minorHAnsi"/>
                <w:iCs/>
                <w:sz w:val="18"/>
                <w:szCs w:val="18"/>
              </w:rPr>
              <w:t>vs.</w:t>
            </w:r>
            <w:r w:rsidR="004D18DA" w:rsidRPr="00ED5FCD">
              <w:rPr>
                <w:rFonts w:asciiTheme="minorHAnsi" w:hAnsiTheme="minorHAnsi" w:cstheme="minorHAnsi"/>
                <w:iCs/>
                <w:sz w:val="18"/>
                <w:szCs w:val="18"/>
              </w:rPr>
              <w:t xml:space="preserve"> </w:t>
            </w:r>
            <w:r w:rsidRPr="00ED5FCD">
              <w:rPr>
                <w:rFonts w:asciiTheme="minorHAnsi" w:hAnsiTheme="minorHAnsi" w:cstheme="minorHAnsi"/>
                <w:iCs/>
                <w:sz w:val="18"/>
                <w:szCs w:val="18"/>
              </w:rPr>
              <w:t>12-13</w:t>
            </w:r>
            <w:r w:rsidR="004D18DA" w:rsidRPr="00ED5FCD">
              <w:rPr>
                <w:rFonts w:asciiTheme="minorHAnsi" w:hAnsiTheme="minorHAnsi" w:cstheme="minorHAnsi"/>
                <w:iCs/>
                <w:sz w:val="18"/>
                <w:szCs w:val="18"/>
              </w:rPr>
              <w:t xml:space="preserve"> years.</w:t>
            </w:r>
          </w:p>
          <w:p w14:paraId="5DF16955" w14:textId="77777777" w:rsidR="00DB2213" w:rsidRPr="005B1E24" w:rsidRDefault="00DB2213" w:rsidP="00F523A8">
            <w:pPr>
              <w:spacing w:afterLines="60" w:after="144"/>
              <w:rPr>
                <w:rFonts w:asciiTheme="minorHAnsi" w:hAnsiTheme="minorHAnsi" w:cstheme="minorHAnsi"/>
                <w:sz w:val="18"/>
                <w:szCs w:val="18"/>
              </w:rPr>
            </w:pPr>
            <w:r w:rsidRPr="005B1E24">
              <w:rPr>
                <w:rFonts w:asciiTheme="minorHAnsi" w:hAnsiTheme="minorHAnsi" w:cstheme="minorHAnsi"/>
                <w:sz w:val="18"/>
                <w:szCs w:val="18"/>
              </w:rPr>
              <w:t xml:space="preserve">OR initiating recalls at ages 14-16 against those at ages 12-13 = 3.9, </w:t>
            </w:r>
            <w:r>
              <w:rPr>
                <w:rFonts w:asciiTheme="minorHAnsi" w:hAnsiTheme="minorHAnsi" w:cstheme="minorHAnsi"/>
                <w:sz w:val="18"/>
                <w:szCs w:val="18"/>
              </w:rPr>
              <w:t>95% CI:</w:t>
            </w:r>
            <w:r w:rsidRPr="005B1E24">
              <w:rPr>
                <w:rFonts w:asciiTheme="minorHAnsi" w:hAnsiTheme="minorHAnsi" w:cstheme="minorHAnsi"/>
                <w:sz w:val="18"/>
                <w:szCs w:val="18"/>
              </w:rPr>
              <w:t xml:space="preserve"> 1.3-11.3 (recall of smoking frequency)</w:t>
            </w:r>
          </w:p>
          <w:p w14:paraId="1162D678" w14:textId="77777777" w:rsidR="00DB2213" w:rsidRPr="005B1E24" w:rsidRDefault="00DB2213" w:rsidP="00F523A8">
            <w:pPr>
              <w:spacing w:afterLines="60" w:after="144"/>
              <w:rPr>
                <w:rFonts w:asciiTheme="minorHAnsi" w:hAnsiTheme="minorHAnsi" w:cstheme="minorHAnsi"/>
                <w:sz w:val="18"/>
                <w:szCs w:val="18"/>
              </w:rPr>
            </w:pPr>
            <w:r w:rsidRPr="005B1E24">
              <w:rPr>
                <w:rFonts w:asciiTheme="minorHAnsi" w:hAnsiTheme="minorHAnsi" w:cstheme="minorHAnsi"/>
                <w:sz w:val="18"/>
                <w:szCs w:val="18"/>
              </w:rPr>
              <w:lastRenderedPageBreak/>
              <w:t xml:space="preserve">OR initiating recalls at ages 14-16 against those at ages 12-13 = 3.7, </w:t>
            </w:r>
            <w:r>
              <w:rPr>
                <w:rFonts w:asciiTheme="minorHAnsi" w:hAnsiTheme="minorHAnsi" w:cstheme="minorHAnsi"/>
                <w:sz w:val="18"/>
                <w:szCs w:val="18"/>
              </w:rPr>
              <w:t>95% CI:</w:t>
            </w:r>
            <w:r w:rsidRPr="005B1E24">
              <w:rPr>
                <w:rFonts w:asciiTheme="minorHAnsi" w:hAnsiTheme="minorHAnsi" w:cstheme="minorHAnsi"/>
                <w:sz w:val="18"/>
                <w:szCs w:val="18"/>
              </w:rPr>
              <w:t xml:space="preserve"> 1.2-11.2 (recall of smoking intensity)</w:t>
            </w:r>
          </w:p>
          <w:p w14:paraId="17CA8559" w14:textId="77777777" w:rsidR="00DB2213" w:rsidRPr="005B1E24" w:rsidRDefault="00DB2213" w:rsidP="00F523A8">
            <w:pPr>
              <w:spacing w:afterLines="60" w:after="144"/>
              <w:rPr>
                <w:rFonts w:asciiTheme="minorHAnsi" w:hAnsiTheme="minorHAnsi" w:cstheme="minorHAnsi"/>
                <w:sz w:val="18"/>
                <w:szCs w:val="18"/>
              </w:rPr>
            </w:pPr>
            <w:r w:rsidRPr="005B1E24">
              <w:rPr>
                <w:rFonts w:asciiTheme="minorHAnsi" w:hAnsiTheme="minorHAnsi" w:cstheme="minorHAnsi"/>
                <w:sz w:val="18"/>
                <w:szCs w:val="18"/>
              </w:rPr>
              <w:t xml:space="preserve">OR initiating recalls at ages 14-16 against those at ages 12-13 = 3.2, </w:t>
            </w:r>
            <w:r>
              <w:rPr>
                <w:rFonts w:asciiTheme="minorHAnsi" w:hAnsiTheme="minorHAnsi" w:cstheme="minorHAnsi"/>
                <w:sz w:val="18"/>
                <w:szCs w:val="18"/>
              </w:rPr>
              <w:t>95% CI:</w:t>
            </w:r>
            <w:r w:rsidRPr="005B1E24">
              <w:rPr>
                <w:rFonts w:asciiTheme="minorHAnsi" w:hAnsiTheme="minorHAnsi" w:cstheme="minorHAnsi"/>
                <w:sz w:val="18"/>
                <w:szCs w:val="18"/>
              </w:rPr>
              <w:t xml:space="preserve"> 1.1-9.8 (recall of total number of cigarettes/day)</w:t>
            </w:r>
          </w:p>
          <w:p w14:paraId="01DEC337" w14:textId="09DC9629" w:rsidR="00DB2213" w:rsidRDefault="00DB2213" w:rsidP="00F523A8">
            <w:pPr>
              <w:spacing w:after="240"/>
              <w:rPr>
                <w:rFonts w:asciiTheme="minorHAnsi" w:hAnsiTheme="minorHAnsi" w:cstheme="minorHAnsi"/>
                <w:i/>
                <w:iCs/>
                <w:sz w:val="18"/>
                <w:szCs w:val="18"/>
              </w:rPr>
            </w:pPr>
            <w:r w:rsidRPr="005B1E24">
              <w:rPr>
                <w:rFonts w:asciiTheme="minorHAnsi" w:hAnsiTheme="minorHAnsi" w:cstheme="minorHAnsi"/>
                <w:i/>
                <w:iCs/>
                <w:sz w:val="18"/>
                <w:szCs w:val="18"/>
              </w:rPr>
              <w:t>63 novice smokers in Montreal, aged 12-13 years at baseline</w:t>
            </w:r>
            <w:r w:rsidRPr="00F523A8">
              <w:rPr>
                <w:rFonts w:cstheme="minorHAnsi"/>
                <w:sz w:val="18"/>
                <w:szCs w:val="18"/>
              </w:rPr>
              <w:t>.</w:t>
            </w:r>
          </w:p>
          <w:p w14:paraId="59F3B7BF" w14:textId="3D1302D3" w:rsidR="00DB2213" w:rsidRPr="00F523A8" w:rsidRDefault="00D2134A" w:rsidP="00F523A8">
            <w:pPr>
              <w:widowControl w:val="0"/>
              <w:spacing w:before="60" w:after="120"/>
              <w:contextualSpacing/>
              <w:rPr>
                <w:rFonts w:asciiTheme="minorHAnsi" w:hAnsiTheme="minorHAnsi" w:cstheme="minorHAnsi"/>
                <w:b/>
                <w:iCs/>
                <w:sz w:val="18"/>
                <w:szCs w:val="18"/>
                <w:u w:val="single"/>
              </w:rPr>
            </w:pPr>
            <w:r>
              <w:rPr>
                <w:rFonts w:cstheme="minorHAnsi"/>
                <w:b/>
                <w:iCs/>
                <w:sz w:val="18"/>
                <w:szCs w:val="18"/>
                <w:u w:val="single"/>
              </w:rPr>
              <w:fldChar w:fldCharType="begin"/>
            </w:r>
            <w:r>
              <w:rPr>
                <w:rFonts w:cstheme="minorHAnsi"/>
                <w:b/>
                <w:iCs/>
                <w:sz w:val="18"/>
                <w:szCs w:val="18"/>
                <w:u w:val="single"/>
              </w:rPr>
              <w:instrText xml:space="preserve"> ADDIN EN.CITE &lt;EndNote&gt;&lt;Cite&gt;&lt;Author&gt;Rostron&lt;/Author&gt;&lt;Year&gt;2019&lt;/Year&gt;&lt;RecNum&gt;2848&lt;/RecNum&gt;&lt;DisplayText&gt;(45)&lt;/DisplayText&gt;&lt;record&gt;&lt;rec-number&gt;2848&lt;/rec-number&gt;&lt;foreign-keys&gt;&lt;key app="EN" db-id="a2vz2dfp8xrad6exes75zwpiw5rxwa0vwapv" timestamp="1578323820"&gt;2848&lt;/key&gt;&lt;/foreign-keys&gt;&lt;ref-type name="Journal Article"&gt;17&lt;/ref-type&gt;&lt;contributors&gt;&lt;authors&gt;&lt;author&gt;Rostron, Brian L.&lt;/author&gt;&lt;author&gt;Corey, Catherine G.&lt;/author&gt;&lt;author&gt;Chang, Joanne T.&lt;/author&gt;&lt;author&gt;van Bemmel, Dana M.&lt;/author&gt;&lt;author&gt;Miller, Mollie E.&lt;/author&gt;&lt;author&gt;Chang, Cindy M.&lt;/author&gt;&lt;/authors&gt;&lt;/contributors&gt;&lt;titles&gt;&lt;title&gt;Associations of Cigarettes Smoked Per Day with Biomarkers of Exposure Among U.S. Adult Cigarette Smokers in the Population Assessment of Tobacco and Health (PATH) Study Wave 1 (2013–2014)&lt;/title&gt;&lt;secondary-title&gt;Cancer Epidemiology Biomarkers &amp;amp;amp;amp; Prevention&lt;/secondary-title&gt;&lt;/titles&gt;&lt;periodical&gt;&lt;full-title&gt;Cancer Epidemiology Biomarkers &amp;amp;amp;amp; Prevention&lt;/full-title&gt;&lt;/periodical&gt;&lt;pages&gt;1443&lt;/pages&gt;&lt;volume&gt;28&lt;/volume&gt;&lt;number&gt;9&lt;/number&gt;&lt;dates&gt;&lt;year&gt;2019&lt;/year&gt;&lt;/dates&gt;&lt;urls&gt;&lt;related-urls&gt;&lt;url&gt;http://cebp.aacrjournals.org/content/28/9/1443.abstract&lt;/url&gt;&lt;/related-urls&gt;&lt;/urls&gt;&lt;electronic-resource-num&gt;10.1158/1055-9965.EPI-19-0013&lt;/electronic-resource-num&gt;&lt;/record&gt;&lt;/Cite&gt;&lt;/EndNote&gt;</w:instrText>
            </w:r>
            <w:r>
              <w:rPr>
                <w:rFonts w:cstheme="minorHAnsi"/>
                <w:b/>
                <w:iCs/>
                <w:sz w:val="18"/>
                <w:szCs w:val="18"/>
                <w:u w:val="single"/>
              </w:rPr>
              <w:fldChar w:fldCharType="separate"/>
            </w:r>
            <w:r>
              <w:rPr>
                <w:rFonts w:cstheme="minorHAnsi"/>
                <w:b/>
                <w:iCs/>
                <w:noProof/>
                <w:sz w:val="18"/>
                <w:szCs w:val="18"/>
                <w:u w:val="single"/>
              </w:rPr>
              <w:t>(</w:t>
            </w:r>
            <w:hyperlink w:anchor="_ENREF_45" w:tooltip="Rostron, 2019 #2848" w:history="1">
              <w:r w:rsidR="00A234A9">
                <w:rPr>
                  <w:rFonts w:cstheme="minorHAnsi"/>
                  <w:b/>
                  <w:iCs/>
                  <w:noProof/>
                  <w:sz w:val="18"/>
                  <w:szCs w:val="18"/>
                  <w:u w:val="single"/>
                </w:rPr>
                <w:t>45</w:t>
              </w:r>
            </w:hyperlink>
            <w:r>
              <w:rPr>
                <w:rFonts w:cstheme="minorHAnsi"/>
                <w:b/>
                <w:iCs/>
                <w:noProof/>
                <w:sz w:val="18"/>
                <w:szCs w:val="18"/>
                <w:u w:val="single"/>
              </w:rPr>
              <w:t>)</w:t>
            </w:r>
            <w:r>
              <w:rPr>
                <w:rFonts w:cstheme="minorHAnsi"/>
                <w:b/>
                <w:iCs/>
                <w:sz w:val="18"/>
                <w:szCs w:val="18"/>
                <w:u w:val="single"/>
              </w:rPr>
              <w:fldChar w:fldCharType="end"/>
            </w:r>
          </w:p>
          <w:p w14:paraId="75DCFF04" w14:textId="77777777" w:rsidR="00DB2213" w:rsidRPr="00ED5FCD" w:rsidRDefault="00DB2213" w:rsidP="00F523A8">
            <w:pPr>
              <w:spacing w:after="120"/>
              <w:contextualSpacing/>
              <w:rPr>
                <w:rFonts w:asciiTheme="minorHAnsi" w:hAnsiTheme="minorHAnsi" w:cstheme="minorHAnsi"/>
                <w:sz w:val="18"/>
                <w:szCs w:val="18"/>
              </w:rPr>
            </w:pPr>
            <w:r w:rsidRPr="00ED5FCD">
              <w:rPr>
                <w:rFonts w:asciiTheme="minorHAnsi" w:hAnsiTheme="minorHAnsi" w:cstheme="minorHAnsi"/>
                <w:sz w:val="18"/>
                <w:szCs w:val="18"/>
              </w:rPr>
              <w:t>Trend between self-reported CPD levels and biomarker concentrations for exclusive cigarette smokers:</w:t>
            </w:r>
          </w:p>
          <w:p w14:paraId="3A302B1F" w14:textId="77777777" w:rsidR="00DB2213" w:rsidRPr="00ED5FCD" w:rsidRDefault="00DB2213" w:rsidP="00F523A8">
            <w:pPr>
              <w:spacing w:after="120"/>
              <w:contextualSpacing/>
              <w:rPr>
                <w:rFonts w:asciiTheme="minorHAnsi" w:hAnsiTheme="minorHAnsi" w:cstheme="minorHAnsi"/>
                <w:sz w:val="18"/>
                <w:szCs w:val="18"/>
              </w:rPr>
            </w:pPr>
            <w:r w:rsidRPr="00ED5FCD">
              <w:rPr>
                <w:rFonts w:asciiTheme="minorHAnsi" w:hAnsiTheme="minorHAnsi" w:cstheme="minorHAnsi"/>
                <w:sz w:val="18"/>
                <w:szCs w:val="18"/>
              </w:rPr>
              <w:t>TNE-2 (</w:t>
            </w:r>
            <w:bookmarkStart w:id="9" w:name="_Hlk14107905"/>
            <w:r w:rsidRPr="00ED5FCD">
              <w:rPr>
                <w:rFonts w:asciiTheme="minorHAnsi" w:hAnsiTheme="minorHAnsi" w:cstheme="minorHAnsi"/>
                <w:sz w:val="18"/>
                <w:szCs w:val="18"/>
              </w:rPr>
              <w:t>µmol</w:t>
            </w:r>
            <w:bookmarkEnd w:id="9"/>
            <w:r w:rsidRPr="00ED5FCD">
              <w:rPr>
                <w:rFonts w:asciiTheme="minorHAnsi" w:hAnsiTheme="minorHAnsi" w:cstheme="minorHAnsi"/>
                <w:sz w:val="18"/>
                <w:szCs w:val="18"/>
              </w:rPr>
              <w:t>/g creatinine) GM</w:t>
            </w:r>
          </w:p>
          <w:p w14:paraId="64F3290A" w14:textId="77777777" w:rsidR="00DB2213" w:rsidRPr="00D22AE2" w:rsidRDefault="00DB2213" w:rsidP="00F523A8">
            <w:pPr>
              <w:spacing w:after="120"/>
              <w:contextualSpacing/>
              <w:rPr>
                <w:rFonts w:asciiTheme="minorHAnsi" w:hAnsiTheme="minorHAnsi" w:cstheme="minorHAnsi"/>
                <w:sz w:val="18"/>
                <w:szCs w:val="18"/>
              </w:rPr>
            </w:pPr>
            <w:r w:rsidRPr="00D22AE2">
              <w:rPr>
                <w:rFonts w:asciiTheme="minorHAnsi" w:hAnsiTheme="minorHAnsi" w:cstheme="minorHAnsi"/>
                <w:sz w:val="18"/>
                <w:szCs w:val="18"/>
              </w:rPr>
              <w:t>Never tobacco users: GM = 0.01 (95% CI: 0.01 to 0.01) (N = 1,633)</w:t>
            </w:r>
            <w:r w:rsidRPr="00D22AE2">
              <w:rPr>
                <w:rFonts w:asciiTheme="minorHAnsi" w:hAnsiTheme="minorHAnsi" w:cstheme="minorHAnsi"/>
                <w:sz w:val="18"/>
                <w:szCs w:val="18"/>
              </w:rPr>
              <w:br/>
              <w:t>0-4 CPD: GM = 9.88 (95% CI: 5.82 to 16.78) (N = 110)</w:t>
            </w:r>
            <w:r w:rsidRPr="00D22AE2">
              <w:rPr>
                <w:rFonts w:asciiTheme="minorHAnsi" w:hAnsiTheme="minorHAnsi" w:cstheme="minorHAnsi"/>
                <w:sz w:val="18"/>
                <w:szCs w:val="18"/>
              </w:rPr>
              <w:br/>
              <w:t>5-9 CPD: GM = 26.43 (95% CI: 23.23 to 30.07) (N = 305)</w:t>
            </w:r>
            <w:r w:rsidRPr="00D22AE2">
              <w:rPr>
                <w:rFonts w:asciiTheme="minorHAnsi" w:hAnsiTheme="minorHAnsi" w:cstheme="minorHAnsi"/>
                <w:sz w:val="18"/>
                <w:szCs w:val="18"/>
              </w:rPr>
              <w:br/>
              <w:t>10-14 CPD: GM = 47.98 (95% CI: 44.14 to 52.16) (N = 474)</w:t>
            </w:r>
            <w:r w:rsidRPr="00D22AE2">
              <w:rPr>
                <w:rFonts w:asciiTheme="minorHAnsi" w:hAnsiTheme="minorHAnsi" w:cstheme="minorHAnsi"/>
                <w:sz w:val="18"/>
                <w:szCs w:val="18"/>
              </w:rPr>
              <w:br/>
              <w:t>15-19 CPD: GM = 53.56 (95% CI: 47.95 to 59.83) (N = 276)</w:t>
            </w:r>
            <w:r w:rsidRPr="00D22AE2">
              <w:rPr>
                <w:rFonts w:asciiTheme="minorHAnsi" w:hAnsiTheme="minorHAnsi" w:cstheme="minorHAnsi"/>
                <w:sz w:val="18"/>
                <w:szCs w:val="18"/>
              </w:rPr>
              <w:br/>
              <w:t>20-24 CPD: GM = 62.54 (95% CI: 57.12 to 68.48) (N = 560)</w:t>
            </w:r>
            <w:r w:rsidRPr="00D22AE2">
              <w:rPr>
                <w:rFonts w:asciiTheme="minorHAnsi" w:hAnsiTheme="minorHAnsi" w:cstheme="minorHAnsi"/>
                <w:sz w:val="18"/>
                <w:szCs w:val="18"/>
              </w:rPr>
              <w:br/>
              <w:t>25-60 CPD: GM = 78.11 (95% CI: 69.12 to 88.26) (N = 226)</w:t>
            </w:r>
            <w:r w:rsidRPr="00D22AE2">
              <w:rPr>
                <w:rFonts w:asciiTheme="minorHAnsi" w:hAnsiTheme="minorHAnsi" w:cstheme="minorHAnsi"/>
                <w:sz w:val="18"/>
                <w:szCs w:val="18"/>
              </w:rPr>
              <w:br/>
              <w:t>All daily smokers: GM = 46.42 (95% CI: 43.22 to 49.85) (N = 1,951)</w:t>
            </w:r>
            <w:r w:rsidRPr="00D22AE2">
              <w:rPr>
                <w:rFonts w:asciiTheme="minorHAnsi" w:hAnsiTheme="minorHAnsi" w:cstheme="minorHAnsi"/>
                <w:sz w:val="18"/>
                <w:szCs w:val="18"/>
              </w:rPr>
              <w:br/>
              <w:t>p-value for trend&lt;0.0001</w:t>
            </w:r>
          </w:p>
          <w:p w14:paraId="5F7A4A3C" w14:textId="77777777" w:rsidR="00DB2213" w:rsidRPr="00D22AE2" w:rsidRDefault="00DB2213" w:rsidP="00F523A8">
            <w:pPr>
              <w:spacing w:after="120"/>
              <w:contextualSpacing/>
              <w:rPr>
                <w:rFonts w:asciiTheme="minorHAnsi" w:hAnsiTheme="minorHAnsi" w:cstheme="minorHAnsi"/>
                <w:i/>
                <w:sz w:val="18"/>
                <w:szCs w:val="18"/>
              </w:rPr>
            </w:pPr>
            <w:r w:rsidRPr="00D22AE2">
              <w:rPr>
                <w:rFonts w:asciiTheme="minorHAnsi" w:hAnsiTheme="minorHAnsi" w:cstheme="minorHAnsi"/>
                <w:i/>
                <w:sz w:val="18"/>
                <w:szCs w:val="18"/>
              </w:rPr>
              <w:t>NNAL (ng/g creatinine) GM</w:t>
            </w:r>
          </w:p>
          <w:p w14:paraId="717EC552" w14:textId="77777777" w:rsidR="00DB2213" w:rsidRPr="00D22AE2" w:rsidRDefault="00DB2213" w:rsidP="00F523A8">
            <w:pPr>
              <w:spacing w:after="120"/>
              <w:contextualSpacing/>
              <w:rPr>
                <w:rFonts w:asciiTheme="minorHAnsi" w:hAnsiTheme="minorHAnsi" w:cstheme="minorHAnsi"/>
                <w:sz w:val="18"/>
                <w:szCs w:val="18"/>
              </w:rPr>
            </w:pPr>
            <w:r w:rsidRPr="00D22AE2">
              <w:rPr>
                <w:rFonts w:asciiTheme="minorHAnsi" w:hAnsiTheme="minorHAnsi" w:cstheme="minorHAnsi"/>
                <w:sz w:val="18"/>
                <w:szCs w:val="18"/>
              </w:rPr>
              <w:t>Never tobacco users: GM = 0.92 (95% CI: 0.82 to 1.04) (N = 1,653)</w:t>
            </w:r>
            <w:r w:rsidRPr="00D22AE2">
              <w:rPr>
                <w:rFonts w:asciiTheme="minorHAnsi" w:hAnsiTheme="minorHAnsi" w:cstheme="minorHAnsi"/>
                <w:sz w:val="18"/>
                <w:szCs w:val="18"/>
              </w:rPr>
              <w:br/>
              <w:t>0-4 CPD: GM = 67.24 (95% CI: 45.76 to 98.80) (N = 111)</w:t>
            </w:r>
            <w:r w:rsidRPr="00D22AE2">
              <w:rPr>
                <w:rFonts w:asciiTheme="minorHAnsi" w:hAnsiTheme="minorHAnsi" w:cstheme="minorHAnsi"/>
                <w:sz w:val="18"/>
                <w:szCs w:val="18"/>
              </w:rPr>
              <w:br/>
              <w:t>5-9 CPD: GM = 155.26 (95% CI: 133.54 to 180.50) (N = 304)</w:t>
            </w:r>
            <w:r w:rsidRPr="00D22AE2">
              <w:rPr>
                <w:rFonts w:asciiTheme="minorHAnsi" w:hAnsiTheme="minorHAnsi" w:cstheme="minorHAnsi"/>
                <w:sz w:val="18"/>
                <w:szCs w:val="18"/>
              </w:rPr>
              <w:br/>
              <w:t>10-14 CPD: GM = 295.76 (95% CI: 267.15 to 327.43) (N = 474)</w:t>
            </w:r>
            <w:r w:rsidRPr="00D22AE2">
              <w:rPr>
                <w:rFonts w:asciiTheme="minorHAnsi" w:hAnsiTheme="minorHAnsi" w:cstheme="minorHAnsi"/>
                <w:sz w:val="18"/>
                <w:szCs w:val="18"/>
              </w:rPr>
              <w:br/>
              <w:t>15-19 CPD: GM = 343.03 (95% CI: 309.39 to 380.33) (N = 276)</w:t>
            </w:r>
            <w:r w:rsidRPr="00D22AE2">
              <w:rPr>
                <w:rFonts w:asciiTheme="minorHAnsi" w:hAnsiTheme="minorHAnsi" w:cstheme="minorHAnsi"/>
                <w:sz w:val="18"/>
                <w:szCs w:val="18"/>
              </w:rPr>
              <w:br/>
              <w:t>20-24 CPD: GM = 405.17 (95% CI: 372.37 to 440.85) (N = 560)</w:t>
            </w:r>
            <w:r w:rsidRPr="00D22AE2">
              <w:rPr>
                <w:rFonts w:asciiTheme="minorHAnsi" w:hAnsiTheme="minorHAnsi" w:cstheme="minorHAnsi"/>
                <w:sz w:val="18"/>
                <w:szCs w:val="18"/>
              </w:rPr>
              <w:br/>
              <w:t>25-60 CPD: GM = 582.55 (95% CI: 492.78 to 688.68) (N = 226)</w:t>
            </w:r>
            <w:r w:rsidRPr="00D22AE2">
              <w:rPr>
                <w:rFonts w:asciiTheme="minorHAnsi" w:hAnsiTheme="minorHAnsi" w:cstheme="minorHAnsi"/>
                <w:sz w:val="18"/>
                <w:szCs w:val="18"/>
              </w:rPr>
              <w:br/>
              <w:t>All daily smokers: GM = 298.01 (95% CI: 275.37 to 322.50) (N = 1,951)</w:t>
            </w:r>
            <w:r w:rsidRPr="00D22AE2">
              <w:rPr>
                <w:rFonts w:asciiTheme="minorHAnsi" w:hAnsiTheme="minorHAnsi" w:cstheme="minorHAnsi"/>
                <w:sz w:val="18"/>
                <w:szCs w:val="18"/>
              </w:rPr>
              <w:br/>
              <w:t>p-value for trend&lt;0.0001</w:t>
            </w:r>
          </w:p>
          <w:p w14:paraId="2764DFB7" w14:textId="3683B25F" w:rsidR="00DB2213" w:rsidRPr="00D22AE2" w:rsidRDefault="00DB2213" w:rsidP="00F523A8">
            <w:pPr>
              <w:tabs>
                <w:tab w:val="left" w:pos="2552"/>
              </w:tabs>
              <w:spacing w:before="60" w:after="120"/>
              <w:contextualSpacing/>
              <w:rPr>
                <w:rFonts w:asciiTheme="minorHAnsi" w:hAnsiTheme="minorHAnsi" w:cstheme="minorHAnsi"/>
                <w:i/>
                <w:sz w:val="18"/>
                <w:szCs w:val="18"/>
              </w:rPr>
            </w:pPr>
            <w:r w:rsidRPr="00D22AE2">
              <w:rPr>
                <w:rFonts w:asciiTheme="minorHAnsi" w:hAnsiTheme="minorHAnsi" w:cstheme="minorHAnsi"/>
                <w:i/>
                <w:sz w:val="18"/>
                <w:szCs w:val="18"/>
              </w:rPr>
              <w:t xml:space="preserve">Participants of PATH survey (U.S.) from </w:t>
            </w:r>
            <w:r w:rsidR="00C840DE">
              <w:rPr>
                <w:rFonts w:asciiTheme="minorHAnsi" w:hAnsiTheme="minorHAnsi" w:cstheme="minorHAnsi"/>
                <w:i/>
                <w:sz w:val="18"/>
                <w:szCs w:val="18"/>
              </w:rPr>
              <w:t>wave 1</w:t>
            </w:r>
            <w:r w:rsidRPr="00D22AE2">
              <w:rPr>
                <w:rFonts w:asciiTheme="minorHAnsi" w:hAnsiTheme="minorHAnsi" w:cstheme="minorHAnsi"/>
                <w:i/>
                <w:sz w:val="18"/>
                <w:szCs w:val="18"/>
              </w:rPr>
              <w:t xml:space="preserve"> that provided urine and blood samples for biomarker analysis.</w:t>
            </w:r>
          </w:p>
          <w:p w14:paraId="63E72BF2" w14:textId="77777777" w:rsidR="00DB2213" w:rsidRPr="005B1E24" w:rsidRDefault="00DB2213" w:rsidP="00F523A8">
            <w:pPr>
              <w:spacing w:after="240"/>
              <w:rPr>
                <w:rFonts w:asciiTheme="minorHAnsi" w:hAnsiTheme="minorHAnsi" w:cstheme="minorHAnsi"/>
                <w:i/>
                <w:iCs/>
                <w:sz w:val="18"/>
                <w:szCs w:val="18"/>
              </w:rPr>
            </w:pPr>
          </w:p>
          <w:p w14:paraId="368DD328" w14:textId="0C8B4299" w:rsidR="00DB2213" w:rsidRPr="001313E5" w:rsidRDefault="00D2134A" w:rsidP="00F523A8">
            <w:pPr>
              <w:spacing w:afterLines="60" w:after="144"/>
              <w:rPr>
                <w:rFonts w:asciiTheme="minorHAnsi" w:hAnsiTheme="minorHAnsi" w:cstheme="minorHAnsi"/>
                <w:sz w:val="18"/>
                <w:szCs w:val="18"/>
              </w:rPr>
            </w:pPr>
            <w:r>
              <w:rPr>
                <w:rFonts w:cstheme="minorHAnsi"/>
                <w:b/>
                <w:sz w:val="18"/>
                <w:szCs w:val="18"/>
                <w:u w:val="single"/>
              </w:rPr>
              <w:fldChar w:fldCharType="begin"/>
            </w:r>
            <w:r>
              <w:rPr>
                <w:rFonts w:cstheme="minorHAnsi"/>
                <w:b/>
                <w:sz w:val="18"/>
                <w:szCs w:val="18"/>
                <w:u w:val="single"/>
              </w:rPr>
              <w:instrText xml:space="preserve"> ADDIN EN.CITE &lt;EndNote&gt;&lt;Cite&gt;&lt;Author&gt;Stanton&lt;/Author&gt;&lt;Year&gt;1996&lt;/Year&gt;&lt;RecNum&gt;313&lt;/RecNum&gt;&lt;DisplayText&gt;(42)&lt;/DisplayText&gt;&lt;record&gt;&lt;rec-number&gt;313&lt;/rec-number&gt;&lt;foreign-keys&gt;&lt;key app="EN" db-id="a2vz2dfp8xrad6exes75zwpiw5rxwa0vwapv" timestamp="1541528205"&gt;313&lt;/key&gt;&lt;/foreign-keys&gt;&lt;ref-type name="Journal Article"&gt;17&lt;/ref-type&gt;&lt;contributors&gt;&lt;authors&gt;&lt;author&gt;Stanton, W. R.&lt;/author&gt;&lt;author&gt;McClelland, M.&lt;/author&gt;&lt;author&gt;Elwood, C.&lt;/author&gt;&lt;author&gt;Ferry, D.&lt;/author&gt;&lt;author&gt;Silva, P. A.&lt;/author&gt;&lt;/authors&gt;&lt;/contributors&gt;&lt;auth-address&gt;Centre for Health Promotion and Cancer Prevention Research, University of Queensland Medical School, Herston, Australia.&lt;/auth-address&gt;&lt;titles&gt;&lt;title&gt;Prevalence, reliability and bias of adolescents&amp;apos; reports of smoking and quitting&lt;/title&gt;&lt;secondary-title&gt;Addiction&lt;/secondary-title&gt;&lt;alt-title&gt;Addiction (Abingdon, England)&lt;/alt-title&gt;&lt;/titles&gt;&lt;periodical&gt;&lt;full-title&gt;Addiction&lt;/full-title&gt;&lt;/periodical&gt;&lt;alt-periodical&gt;&lt;full-title&gt;Addiction (Abingdon, England)&lt;/full-title&gt;&lt;/alt-periodical&gt;&lt;pages&gt;1705-14&lt;/pages&gt;&lt;volume&gt;91&lt;/volume&gt;&lt;number&gt;11&lt;/number&gt;&lt;edition&gt;1996/11/01&lt;/edition&gt;&lt;keywords&gt;&lt;keyword&gt;Adolescent&lt;/keyword&gt;&lt;keyword&gt;Bias&lt;/keyword&gt;&lt;keyword&gt;Cohort Studies&lt;/keyword&gt;&lt;keyword&gt;Cross-Sectional Studies&lt;/keyword&gt;&lt;keyword&gt;Female&lt;/keyword&gt;&lt;keyword&gt;Health Knowledge, Attitudes, Practice&lt;/keyword&gt;&lt;keyword&gt;Humans&lt;/keyword&gt;&lt;keyword&gt;Incidence&lt;/keyword&gt;&lt;keyword&gt;Male&lt;/keyword&gt;&lt;keyword&gt;New Zealand/epidemiology&lt;/keyword&gt;&lt;keyword&gt;*Self Disclosure&lt;/keyword&gt;&lt;keyword&gt;Smoking/*epidemiology/psychology&lt;/keyword&gt;&lt;keyword&gt;Smoking Cessation/psychology/*statistics &amp;amp; numerical data&lt;/keyword&gt;&lt;keyword&gt;Smoking Prevention&lt;/keyword&gt;&lt;/keywords&gt;&lt;dates&gt;&lt;year&gt;1996&lt;/year&gt;&lt;pub-dates&gt;&lt;date&gt;Nov&lt;/date&gt;&lt;/pub-dates&gt;&lt;/dates&gt;&lt;isbn&gt;0965-2140 (Print)&amp;#xD;0965-2140&lt;/isbn&gt;&lt;accession-num&gt;8972928&lt;/accession-num&gt;&lt;urls&gt;&lt;/urls&gt;&lt;remote-database-provider&gt;NLM&lt;/remote-database-provider&gt;&lt;language&gt;eng&lt;/language&gt;&lt;/record&gt;&lt;/Cite&gt;&lt;/EndNote&gt;</w:instrText>
            </w:r>
            <w:r>
              <w:rPr>
                <w:rFonts w:cstheme="minorHAnsi"/>
                <w:b/>
                <w:sz w:val="18"/>
                <w:szCs w:val="18"/>
                <w:u w:val="single"/>
              </w:rPr>
              <w:fldChar w:fldCharType="separate"/>
            </w:r>
            <w:r>
              <w:rPr>
                <w:rFonts w:cstheme="minorHAnsi"/>
                <w:b/>
                <w:noProof/>
                <w:sz w:val="18"/>
                <w:szCs w:val="18"/>
                <w:u w:val="single"/>
              </w:rPr>
              <w:t>(</w:t>
            </w:r>
            <w:hyperlink w:anchor="_ENREF_42" w:tooltip="Stanton, 1996 #313" w:history="1">
              <w:r w:rsidR="00A234A9">
                <w:rPr>
                  <w:rFonts w:cstheme="minorHAnsi"/>
                  <w:b/>
                  <w:noProof/>
                  <w:sz w:val="18"/>
                  <w:szCs w:val="18"/>
                  <w:u w:val="single"/>
                </w:rPr>
                <w:t>42</w:t>
              </w:r>
            </w:hyperlink>
            <w:r>
              <w:rPr>
                <w:rFonts w:cstheme="minorHAnsi"/>
                <w:b/>
                <w:noProof/>
                <w:sz w:val="18"/>
                <w:szCs w:val="18"/>
                <w:u w:val="single"/>
              </w:rPr>
              <w:t>)</w:t>
            </w:r>
            <w:r>
              <w:rPr>
                <w:rFonts w:cstheme="minorHAnsi"/>
                <w:b/>
                <w:sz w:val="18"/>
                <w:szCs w:val="18"/>
                <w:u w:val="single"/>
              </w:rPr>
              <w:fldChar w:fldCharType="end"/>
            </w:r>
            <w:r w:rsidR="00DB2213" w:rsidRPr="005B1E24">
              <w:rPr>
                <w:rFonts w:asciiTheme="minorHAnsi" w:hAnsiTheme="minorHAnsi" w:cstheme="minorHAnsi"/>
                <w:sz w:val="18"/>
                <w:szCs w:val="18"/>
              </w:rPr>
              <w:br/>
            </w:r>
            <w:r w:rsidR="00DB2213" w:rsidRPr="00ED5FCD">
              <w:rPr>
                <w:rFonts w:asciiTheme="minorHAnsi" w:hAnsiTheme="minorHAnsi" w:cstheme="minorHAnsi"/>
                <w:sz w:val="18"/>
                <w:szCs w:val="18"/>
              </w:rPr>
              <w:t>In-person interviews</w:t>
            </w:r>
            <w:r w:rsidR="00DB2213" w:rsidRPr="00ED5FCD">
              <w:rPr>
                <w:rFonts w:asciiTheme="minorHAnsi" w:hAnsiTheme="minorHAnsi" w:cstheme="minorHAnsi"/>
                <w:iCs/>
                <w:sz w:val="18"/>
                <w:szCs w:val="18"/>
              </w:rPr>
              <w:t xml:space="preserve"> and biochemical validation</w:t>
            </w:r>
          </w:p>
          <w:p w14:paraId="34B4EAB8" w14:textId="3DDF841C" w:rsidR="00DB2213" w:rsidRPr="00ED5FCD" w:rsidRDefault="00DB2213" w:rsidP="00F523A8">
            <w:pPr>
              <w:spacing w:afterLines="60" w:after="144"/>
              <w:rPr>
                <w:rFonts w:asciiTheme="minorHAnsi" w:hAnsiTheme="minorHAnsi" w:cstheme="minorHAnsi"/>
                <w:iCs/>
                <w:sz w:val="18"/>
                <w:szCs w:val="18"/>
              </w:rPr>
            </w:pPr>
            <w:r w:rsidRPr="00ED5FCD">
              <w:rPr>
                <w:rFonts w:asciiTheme="minorHAnsi" w:hAnsiTheme="minorHAnsi" w:cstheme="minorHAnsi"/>
                <w:iCs/>
                <w:sz w:val="18"/>
                <w:szCs w:val="18"/>
              </w:rPr>
              <w:t>Correlation between self-reported smoking status and cotinine levels in saliva</w:t>
            </w:r>
          </w:p>
          <w:p w14:paraId="1B9D6000" w14:textId="42DBFAC4" w:rsidR="00DB2213" w:rsidRDefault="00DB2213" w:rsidP="00F523A8">
            <w:pPr>
              <w:spacing w:afterLines="60" w:after="144"/>
              <w:rPr>
                <w:rFonts w:asciiTheme="minorHAnsi" w:hAnsiTheme="minorHAnsi" w:cstheme="minorHAnsi"/>
                <w:sz w:val="18"/>
                <w:szCs w:val="18"/>
              </w:rPr>
            </w:pPr>
            <w:r w:rsidRPr="005B1E24">
              <w:rPr>
                <w:rFonts w:asciiTheme="minorHAnsi" w:hAnsiTheme="minorHAnsi" w:cstheme="minorHAnsi"/>
                <w:i/>
                <w:iCs/>
                <w:sz w:val="18"/>
                <w:szCs w:val="18"/>
              </w:rPr>
              <w:t xml:space="preserve">r = </w:t>
            </w:r>
            <w:r w:rsidRPr="005B1E24">
              <w:rPr>
                <w:rFonts w:asciiTheme="minorHAnsi" w:hAnsiTheme="minorHAnsi" w:cstheme="minorHAnsi"/>
                <w:sz w:val="18"/>
                <w:szCs w:val="18"/>
              </w:rPr>
              <w:t>0.75, df = 859, p&lt;0.0001</w:t>
            </w:r>
          </w:p>
          <w:p w14:paraId="7F789A97" w14:textId="77777777" w:rsidR="00DB2213" w:rsidRPr="00807424" w:rsidRDefault="00DB2213" w:rsidP="00F523A8">
            <w:pPr>
              <w:spacing w:after="120"/>
              <w:contextualSpacing/>
              <w:rPr>
                <w:rFonts w:asciiTheme="minorHAnsi" w:hAnsiTheme="minorHAnsi" w:cstheme="minorHAnsi"/>
                <w:iCs/>
                <w:sz w:val="18"/>
                <w:szCs w:val="18"/>
              </w:rPr>
            </w:pPr>
            <w:r w:rsidRPr="00807424">
              <w:rPr>
                <w:rFonts w:asciiTheme="minorHAnsi" w:hAnsiTheme="minorHAnsi" w:cstheme="minorHAnsi"/>
                <w:iCs/>
                <w:sz w:val="18"/>
                <w:szCs w:val="18"/>
              </w:rPr>
              <w:t>Correlation between self-reported CPD and cotinine concentration</w:t>
            </w:r>
          </w:p>
          <w:p w14:paraId="50CF94B5" w14:textId="77777777" w:rsidR="00DB2213" w:rsidRDefault="00DB2213" w:rsidP="00F523A8">
            <w:pPr>
              <w:spacing w:after="120"/>
              <w:rPr>
                <w:rFonts w:asciiTheme="minorHAnsi" w:hAnsiTheme="minorHAnsi" w:cstheme="minorHAnsi"/>
                <w:iCs/>
                <w:sz w:val="18"/>
                <w:szCs w:val="18"/>
              </w:rPr>
            </w:pPr>
            <w:r w:rsidRPr="00D22AE2">
              <w:rPr>
                <w:rFonts w:asciiTheme="minorHAnsi" w:hAnsiTheme="minorHAnsi" w:cstheme="minorHAnsi"/>
                <w:i/>
                <w:iCs/>
                <w:sz w:val="18"/>
                <w:szCs w:val="18"/>
              </w:rPr>
              <w:t xml:space="preserve">r </w:t>
            </w:r>
            <w:r w:rsidRPr="00D22AE2">
              <w:rPr>
                <w:rFonts w:asciiTheme="minorHAnsi" w:hAnsiTheme="minorHAnsi" w:cstheme="minorHAnsi"/>
                <w:iCs/>
                <w:sz w:val="18"/>
                <w:szCs w:val="18"/>
              </w:rPr>
              <w:t>= 0.38; df = 264; p&lt;0.001 (correlation of the number of CPD by daily smokers with cotinine concentrations; self-reported number of CPD by daily smokers: coded as “0, 1-5, 6-15, and 16 plus")</w:t>
            </w:r>
          </w:p>
          <w:p w14:paraId="4688B55A" w14:textId="77777777" w:rsidR="00DB2213" w:rsidRPr="00D22AE2" w:rsidRDefault="00DB2213" w:rsidP="00F523A8">
            <w:pPr>
              <w:spacing w:after="120"/>
              <w:rPr>
                <w:rFonts w:asciiTheme="minorHAnsi" w:hAnsiTheme="minorHAnsi" w:cstheme="minorHAnsi"/>
                <w:i/>
                <w:iCs/>
                <w:sz w:val="18"/>
                <w:szCs w:val="18"/>
              </w:rPr>
            </w:pPr>
            <w:r w:rsidRPr="00D22AE2">
              <w:rPr>
                <w:rFonts w:asciiTheme="minorHAnsi" w:hAnsiTheme="minorHAnsi" w:cstheme="minorHAnsi"/>
                <w:i/>
                <w:iCs/>
                <w:sz w:val="18"/>
                <w:szCs w:val="18"/>
              </w:rPr>
              <w:t>Daily smokers in New Zealand who were part of a longitudinal study (Sample of 18-year-olds: N = 937 participants self-reporting their CPD and N = 861 participants providing saliva specimens); this study examines changes in smoking from 15–18 years.</w:t>
            </w:r>
          </w:p>
          <w:p w14:paraId="05A2101F" w14:textId="0C300DD1" w:rsidR="00DB2213" w:rsidRPr="005B1E24" w:rsidRDefault="00DB2213" w:rsidP="00F523A8">
            <w:pPr>
              <w:spacing w:afterLines="60" w:after="144"/>
              <w:rPr>
                <w:rFonts w:asciiTheme="minorHAnsi" w:hAnsiTheme="minorHAnsi" w:cstheme="minorHAnsi"/>
                <w:sz w:val="18"/>
                <w:szCs w:val="18"/>
              </w:rPr>
            </w:pPr>
          </w:p>
        </w:tc>
      </w:tr>
    </w:tbl>
    <w:p w14:paraId="04753945" w14:textId="529E8D3F" w:rsidR="00EA69AA" w:rsidRDefault="00EA69AA" w:rsidP="00EA69AA">
      <w:pPr>
        <w:spacing w:after="0" w:line="240" w:lineRule="auto"/>
        <w:rPr>
          <w:rFonts w:eastAsia="Calibri" w:cs="Times New Roman"/>
          <w:sz w:val="16"/>
          <w:szCs w:val="16"/>
        </w:rPr>
      </w:pPr>
      <w:r w:rsidRPr="007A0C60">
        <w:rPr>
          <w:rFonts w:eastAsia="Calibri" w:cs="Times New Roman"/>
          <w:sz w:val="16"/>
          <w:szCs w:val="16"/>
        </w:rPr>
        <w:lastRenderedPageBreak/>
        <w:t xml:space="preserve">Abbreviated terms: </w:t>
      </w:r>
      <w:r>
        <w:rPr>
          <w:rFonts w:eastAsia="Calibri" w:cs="Times New Roman"/>
          <w:sz w:val="16"/>
          <w:szCs w:val="16"/>
        </w:rPr>
        <w:t xml:space="preserve">CI = confidence interval; df = degree of freedom; </w:t>
      </w:r>
      <w:r w:rsidRPr="007A0C60">
        <w:rPr>
          <w:rFonts w:eastAsia="Calibri" w:cs="Times New Roman"/>
          <w:sz w:val="16"/>
          <w:szCs w:val="16"/>
        </w:rPr>
        <w:t xml:space="preserve">FTND = Fagerström Test for Nicotine Dependence; </w:t>
      </w:r>
      <w:r w:rsidRPr="007A0C60">
        <w:rPr>
          <w:rFonts w:eastAsia="Calibri" w:cs="Times"/>
          <w:sz w:val="16"/>
          <w:szCs w:val="16"/>
        </w:rPr>
        <w:t>κ</w:t>
      </w:r>
      <w:r w:rsidRPr="007A0C60">
        <w:rPr>
          <w:rFonts w:eastAsia="Calibri" w:cs="Times New Roman"/>
          <w:sz w:val="16"/>
          <w:szCs w:val="16"/>
        </w:rPr>
        <w:t xml:space="preserve"> = Cohen’s kappa; ICC = intraclass correlation coefficient; OR = odds ratio</w:t>
      </w:r>
      <w:r>
        <w:rPr>
          <w:rFonts w:eastAsia="Calibri" w:cs="Times New Roman"/>
          <w:sz w:val="16"/>
          <w:szCs w:val="16"/>
        </w:rPr>
        <w:t>; SD = standard deviation.</w:t>
      </w:r>
    </w:p>
    <w:p w14:paraId="2022B534" w14:textId="77777777" w:rsidR="00EA69AA" w:rsidRDefault="00EA69AA" w:rsidP="00EA69AA">
      <w:pPr>
        <w:spacing w:after="0" w:line="240" w:lineRule="auto"/>
        <w:rPr>
          <w:rFonts w:ascii="Times New Roman" w:eastAsia="Calibri" w:hAnsi="Times New Roman" w:cs="Times New Roman"/>
          <w:sz w:val="24"/>
          <w:u w:val="single"/>
        </w:rPr>
      </w:pPr>
    </w:p>
    <w:p w14:paraId="6E8E5B03" w14:textId="77777777" w:rsidR="00EA69AA" w:rsidRPr="00A0218A" w:rsidRDefault="00EA69AA" w:rsidP="00EA69AA">
      <w:pPr>
        <w:spacing w:after="120" w:line="240" w:lineRule="auto"/>
        <w:jc w:val="both"/>
        <w:rPr>
          <w:rFonts w:eastAsia="Calibri" w:cs="Times New Roman"/>
        </w:rPr>
      </w:pPr>
      <w:r>
        <w:rPr>
          <w:rFonts w:eastAsia="Calibri" w:cs="Times New Roman"/>
        </w:rPr>
        <w:t>According to the table above, five</w:t>
      </w:r>
      <w:r w:rsidRPr="00A0218A">
        <w:rPr>
          <w:rFonts w:eastAsia="Calibri" w:cs="Times New Roman"/>
        </w:rPr>
        <w:t xml:space="preserve"> of the seven measures had no empirical data regarding their reliability or validity, and therefore qualified as “Inconclusive.” These included regular smoking versus experimentation, time from initiation to regular/established smoking, cigarette type at initiation, switching menthol/non-menthol type, quantity/frequency of cigarettes smoked within 30 days of initiation, and progression to regular smoking/increase in smoking over time.</w:t>
      </w:r>
    </w:p>
    <w:p w14:paraId="66467B19" w14:textId="247480E6" w:rsidR="00EA69AA" w:rsidRPr="00A0218A" w:rsidRDefault="00EA69AA" w:rsidP="00EA69AA">
      <w:pPr>
        <w:spacing w:after="120" w:line="240" w:lineRule="auto"/>
        <w:jc w:val="both"/>
        <w:rPr>
          <w:rFonts w:eastAsia="Calibri" w:cs="Times New Roman"/>
        </w:rPr>
      </w:pPr>
      <w:r>
        <w:rPr>
          <w:rFonts w:eastAsia="Calibri" w:cs="Times New Roman"/>
        </w:rPr>
        <w:t>Seven</w:t>
      </w:r>
      <w:r w:rsidRPr="00A0218A">
        <w:rPr>
          <w:rFonts w:eastAsia="Calibri" w:cs="Times New Roman"/>
        </w:rPr>
        <w:t xml:space="preserve"> studies reported on temporal reliability of age at initiation through test-retest assessments</w:t>
      </w:r>
      <w:r>
        <w:rPr>
          <w:rFonts w:eastAsia="Calibri" w:cs="Times New Roman"/>
        </w:rPr>
        <w:t xml:space="preserve"> </w:t>
      </w:r>
      <w:r w:rsidR="00D2134A">
        <w:rPr>
          <w:rFonts w:eastAsia="Calibri" w:cs="Times New Roman"/>
        </w:rPr>
        <w:fldChar w:fldCharType="begin">
          <w:fldData xml:space="preserve">PEVuZE5vdGU+PENpdGU+PEF1dGhvcj5CcmVuZXI8L0F1dGhvcj48WWVhcj4yMDAyPC9ZZWFyPjxS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</w:fldData>
        </w:fldChar>
      </w:r>
      <w:r w:rsidR="00D2134A">
        <w:rPr>
          <w:rFonts w:eastAsia="Calibri" w:cs="Times New Roman"/>
        </w:rPr>
        <w:instrText xml:space="preserve"> ADDIN EN.CITE </w:instrText>
      </w:r>
      <w:r w:rsidR="00D2134A">
        <w:rPr>
          <w:rFonts w:eastAsia="Calibri" w:cs="Times New Roman"/>
        </w:rPr>
        <w:fldChar w:fldCharType="begin">
          <w:fldData xml:space="preserve">PEVuZE5vdGU+PENpdGU+PEF1dGhvcj5CcmVuZXI8L0F1dGhvcj48WWVhcj4yMDAyPC9ZZWFyPjxS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</w:fldData>
        </w:fldChar>
      </w:r>
      <w:r w:rsidR="00D2134A">
        <w:rPr>
          <w:rFonts w:eastAsia="Calibri" w:cs="Times New Roman"/>
        </w:rPr>
        <w:instrText xml:space="preserve"> ADDIN EN.CITE.DATA </w:instrText>
      </w:r>
      <w:r w:rsidR="00D2134A">
        <w:rPr>
          <w:rFonts w:eastAsia="Calibri" w:cs="Times New Roman"/>
        </w:rPr>
      </w:r>
      <w:r w:rsidR="00D2134A">
        <w:rPr>
          <w:rFonts w:eastAsia="Calibri" w:cs="Times New Roman"/>
        </w:rPr>
        <w:fldChar w:fldCharType="end"/>
      </w:r>
      <w:r w:rsidR="00D2134A">
        <w:rPr>
          <w:rFonts w:eastAsia="Calibri" w:cs="Times New Roman"/>
        </w:rPr>
        <w:fldChar w:fldCharType="separate"/>
      </w:r>
      <w:r w:rsidR="00D2134A">
        <w:rPr>
          <w:rFonts w:eastAsia="Calibri" w:cs="Times New Roman"/>
          <w:noProof/>
        </w:rPr>
        <w:t>(</w:t>
      </w:r>
      <w:hyperlink w:anchor="_ENREF_26" w:tooltip="Brigham, 2008 #309" w:history="1">
        <w:r w:rsidR="00A234A9">
          <w:rPr>
            <w:rFonts w:eastAsia="Calibri" w:cs="Times New Roman"/>
            <w:noProof/>
          </w:rPr>
          <w:t>26-28</w:t>
        </w:r>
      </w:hyperlink>
      <w:r w:rsidR="00D2134A">
        <w:rPr>
          <w:rFonts w:eastAsia="Calibri" w:cs="Times New Roman"/>
          <w:noProof/>
        </w:rPr>
        <w:t xml:space="preserve">, </w:t>
      </w:r>
      <w:hyperlink w:anchor="_ENREF_30" w:tooltip="Grant, 2003 #133" w:history="1">
        <w:r w:rsidR="00A234A9">
          <w:rPr>
            <w:rFonts w:eastAsia="Calibri" w:cs="Times New Roman"/>
            <w:noProof/>
          </w:rPr>
          <w:t>30-32</w:t>
        </w:r>
      </w:hyperlink>
      <w:r w:rsidR="00D2134A">
        <w:rPr>
          <w:rFonts w:eastAsia="Calibri" w:cs="Times New Roman"/>
          <w:noProof/>
        </w:rPr>
        <w:t xml:space="preserve">, </w:t>
      </w:r>
      <w:hyperlink w:anchor="_ENREF_37" w:tooltip="Brener, 2002 #128" w:history="1">
        <w:r w:rsidR="00A234A9">
          <w:rPr>
            <w:rFonts w:eastAsia="Calibri" w:cs="Times New Roman"/>
            <w:noProof/>
          </w:rPr>
          <w:t>37</w:t>
        </w:r>
      </w:hyperlink>
      <w:r w:rsidR="00D2134A">
        <w:rPr>
          <w:rFonts w:eastAsia="Calibri" w:cs="Times New Roman"/>
          <w:noProof/>
        </w:rPr>
        <w:t>)</w:t>
      </w:r>
      <w:r w:rsidR="00D2134A">
        <w:rPr>
          <w:rFonts w:eastAsia="Calibri" w:cs="Times New Roman"/>
        </w:rPr>
        <w:fldChar w:fldCharType="end"/>
      </w:r>
      <w:r>
        <w:rPr>
          <w:rFonts w:eastAsia="Calibri" w:cs="Times New Roman"/>
        </w:rPr>
        <w:t xml:space="preserve">. </w:t>
      </w:r>
      <w:r w:rsidRPr="00A0218A">
        <w:rPr>
          <w:rFonts w:eastAsia="Calibri" w:cs="Times New Roman"/>
        </w:rPr>
        <w:t xml:space="preserve">Test-retest intervals ranged from two weeks to four years. </w:t>
      </w:r>
      <w:r>
        <w:rPr>
          <w:rFonts w:eastAsia="Calibri" w:cs="Times New Roman"/>
        </w:rPr>
        <w:t>Five</w:t>
      </w:r>
      <w:r w:rsidRPr="00A0218A">
        <w:rPr>
          <w:rFonts w:eastAsia="Calibri" w:cs="Times New Roman"/>
        </w:rPr>
        <w:t xml:space="preserve"> of the </w:t>
      </w:r>
      <w:r>
        <w:rPr>
          <w:rFonts w:eastAsia="Calibri" w:cs="Times New Roman"/>
        </w:rPr>
        <w:t>seven</w:t>
      </w:r>
      <w:r w:rsidRPr="00A0218A">
        <w:rPr>
          <w:rFonts w:eastAsia="Calibri" w:cs="Times New Roman"/>
        </w:rPr>
        <w:t xml:space="preserve"> studies reported an intraclass correlation coefficient (ICC) above the established cut-point of 0.70</w:t>
      </w:r>
      <w:r>
        <w:rPr>
          <w:rFonts w:eastAsia="Calibri" w:cs="Times New Roman"/>
        </w:rPr>
        <w:t xml:space="preserve"> </w:t>
      </w:r>
      <w:r w:rsidR="00D2134A">
        <w:rPr>
          <w:rFonts w:eastAsia="Calibri" w:cs="Times New Roman"/>
        </w:rPr>
        <w:fldChar w:fldCharType="begin">
          <w:fldData xml:space="preserve">PEVuZE5vdGU+PENpdGU+PEF1dGhvcj5HcmFudDwvQXV0aG9yPjxZZWFyPjIwMDM8L1llYXI+PFJl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</w:fldData>
        </w:fldChar>
      </w:r>
      <w:r w:rsidR="00D2134A">
        <w:rPr>
          <w:rFonts w:eastAsia="Calibri" w:cs="Times New Roman"/>
        </w:rPr>
        <w:instrText xml:space="preserve"> ADDIN EN.CITE </w:instrText>
      </w:r>
      <w:r w:rsidR="00D2134A">
        <w:rPr>
          <w:rFonts w:eastAsia="Calibri" w:cs="Times New Roman"/>
        </w:rPr>
        <w:fldChar w:fldCharType="begin">
          <w:fldData xml:space="preserve">PEVuZE5vdGU+PENpdGU+PEF1dGhvcj5HcmFudDwvQXV0aG9yPjxZZWFyPjIwMDM8L1llYXI+PFJl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</w:fldData>
        </w:fldChar>
      </w:r>
      <w:r w:rsidR="00D2134A">
        <w:rPr>
          <w:rFonts w:eastAsia="Calibri" w:cs="Times New Roman"/>
        </w:rPr>
        <w:instrText xml:space="preserve"> ADDIN EN.CITE.DATA </w:instrText>
      </w:r>
      <w:r w:rsidR="00D2134A">
        <w:rPr>
          <w:rFonts w:eastAsia="Calibri" w:cs="Times New Roman"/>
        </w:rPr>
      </w:r>
      <w:r w:rsidR="00D2134A">
        <w:rPr>
          <w:rFonts w:eastAsia="Calibri" w:cs="Times New Roman"/>
        </w:rPr>
        <w:fldChar w:fldCharType="end"/>
      </w:r>
      <w:r w:rsidR="00D2134A">
        <w:rPr>
          <w:rFonts w:eastAsia="Calibri" w:cs="Times New Roman"/>
        </w:rPr>
        <w:fldChar w:fldCharType="separate"/>
      </w:r>
      <w:r w:rsidR="00D2134A">
        <w:rPr>
          <w:rFonts w:eastAsia="Calibri" w:cs="Times New Roman"/>
          <w:noProof/>
        </w:rPr>
        <w:t>(</w:t>
      </w:r>
      <w:hyperlink w:anchor="_ENREF_27" w:tooltip="Brigham, 2009 #143" w:history="1">
        <w:r w:rsidR="00A234A9">
          <w:rPr>
            <w:rFonts w:eastAsia="Calibri" w:cs="Times New Roman"/>
            <w:noProof/>
          </w:rPr>
          <w:t>27</w:t>
        </w:r>
      </w:hyperlink>
      <w:r w:rsidR="00D2134A">
        <w:rPr>
          <w:rFonts w:eastAsia="Calibri" w:cs="Times New Roman"/>
          <w:noProof/>
        </w:rPr>
        <w:t xml:space="preserve">, </w:t>
      </w:r>
      <w:hyperlink w:anchor="_ENREF_29" w:tooltip="Colby, 2012 #311" w:history="1">
        <w:r w:rsidR="00A234A9">
          <w:rPr>
            <w:rFonts w:eastAsia="Calibri" w:cs="Times New Roman"/>
            <w:noProof/>
          </w:rPr>
          <w:t>29-32</w:t>
        </w:r>
      </w:hyperlink>
      <w:r w:rsidR="00D2134A">
        <w:rPr>
          <w:rFonts w:eastAsia="Calibri" w:cs="Times New Roman"/>
          <w:noProof/>
        </w:rPr>
        <w:t>)</w:t>
      </w:r>
      <w:r w:rsidR="00D2134A">
        <w:rPr>
          <w:rFonts w:eastAsia="Calibri" w:cs="Times New Roman"/>
        </w:rPr>
        <w:fldChar w:fldCharType="end"/>
      </w:r>
      <w:r w:rsidRPr="00A0218A">
        <w:rPr>
          <w:rFonts w:eastAsia="Calibri" w:cs="Times New Roman"/>
        </w:rPr>
        <w:t xml:space="preserve"> one of which reported ICC values for men and women separately</w:t>
      </w:r>
      <w:r>
        <w:rPr>
          <w:rFonts w:eastAsia="Calibri" w:cs="Times New Roman"/>
        </w:rPr>
        <w:t xml:space="preserve"> </w:t>
      </w:r>
      <w:r w:rsidR="00D2134A">
        <w:rPr>
          <w:rFonts w:eastAsia="Calibri" w:cs="Times New Roman"/>
        </w:rPr>
        <w:fldChar w:fldCharType="begin"/>
      </w:r>
      <w:r w:rsidR="00D2134A">
        <w:rPr>
          <w:rFonts w:eastAsia="Calibri" w:cs="Times New Roman"/>
        </w:rPr>
        <w:instrText xml:space="preserve"> ADDIN EN.CITE &lt;EndNote&gt;&lt;Cite&gt;&lt;Author&gt;Brigham&lt;/Author&gt;&lt;Year&gt;2009&lt;/Year&gt;&lt;RecNum&gt;143&lt;/RecNum&gt;&lt;DisplayText&gt;(27)&lt;/DisplayText&gt;&lt;record&gt;&lt;rec-number&gt;143&lt;/rec-number&gt;&lt;foreign-keys&gt;&lt;key app="EN" db-id="a2vz2dfp8xrad6exes75zwpiw5rxwa0vwapv" timestamp="0"&gt;143&lt;/key&gt;&lt;/foreign-keys&gt;&lt;ref-type name="Journal Article"&gt;17&lt;/ref-type&gt;&lt;contributors&gt;&lt;authors&gt;&lt;author&gt;Brigham, J.&lt;/author&gt;&lt;author&gt;Lessov-Schlaggar, C. N.&lt;/author&gt;&lt;author&gt;Javitz, H. S.&lt;/author&gt;&lt;author&gt;Krasnow, R. E.&lt;/author&gt;&lt;author&gt;McElroy, M.&lt;/author&gt;&lt;author&gt;Swan, G. E.&lt;/author&gt;&lt;/authors&gt;&lt;/contributors&gt;&lt;auth-address&gt;Center for Health Sciences, SRI International, Menlo Park, CA, USA.&lt;/auth-address&gt;&lt;titles&gt;&lt;title&gt;Test-retest reliability of web-based retrospective self-report of tobacco exposure and risk&lt;/title&gt;&lt;secondary-title&gt;J Med Internet Res&lt;/secondary-title&gt;&lt;alt-title&gt;Journal of medical Internet research&lt;/alt-title&gt;&lt;/titles&gt;&lt;alt-periodical&gt;&lt;full-title&gt;Journal of Medical Internet Research&lt;/full-title&gt;&lt;/alt-periodical&gt;&lt;pages&gt;e35&lt;/pages&gt;&lt;volume&gt;11&lt;/volume&gt;&lt;number&gt;3&lt;/number&gt;&lt;edition&gt;2009/08/14&lt;/edition&gt;&lt;keywords&gt;&lt;keyword&gt;Adolescent&lt;/keyword&gt;&lt;keyword&gt;Adult&lt;/keyword&gt;&lt;keyword&gt;Aged&lt;/keyword&gt;&lt;keyword&gt;Alcohol Drinking&lt;/keyword&gt;&lt;keyword&gt;Humans&lt;/keyword&gt;&lt;keyword&gt;*Internet&lt;/keyword&gt;&lt;keyword&gt;Middle Aged&lt;/keyword&gt;&lt;keyword&gt;Religion&lt;/keyword&gt;&lt;keyword&gt;*Reproducibility of Results&lt;/keyword&gt;&lt;keyword&gt;Retrospective Studies&lt;/keyword&gt;&lt;keyword&gt;Risk Assessment&lt;/keyword&gt;&lt;keyword&gt;*Surveys and Questionnaires&lt;/keyword&gt;&lt;keyword&gt;Tobacco Smoke Pollution/statistics &amp;amp; numerical data&lt;/keyword&gt;&lt;keyword&gt;Tobacco Use Cessation/*statistics &amp;amp; numerical data&lt;/keyword&gt;&lt;keyword&gt;Tobacco Use Disorder/*rehabilitation&lt;/keyword&gt;&lt;keyword&gt;Young Adult&lt;/keyword&gt;&lt;/keywords&gt;&lt;dates&gt;&lt;year&gt;2009&lt;/year&gt;&lt;/dates&gt;&lt;isbn&gt;1438-8871&lt;/isbn&gt;&lt;accession-num&gt;19674962&lt;/accession-num&gt;&lt;urls&gt;&lt;/urls&gt;&lt;custom2&gt;PMC2762856&lt;/custom2&gt;&lt;electronic-resource-num&gt;10.2196/jmir.1248&lt;/electronic-resource-num&gt;&lt;remote-database-provider&gt;NLM&lt;/remote-database-provider&gt;&lt;language&gt;eng&lt;/language&gt;&lt;/record&gt;&lt;/Cite&gt;&lt;/EndNote&gt;</w:instrText>
      </w:r>
      <w:r w:rsidR="00D2134A">
        <w:rPr>
          <w:rFonts w:eastAsia="Calibri" w:cs="Times New Roman"/>
        </w:rPr>
        <w:fldChar w:fldCharType="separate"/>
      </w:r>
      <w:r w:rsidR="00D2134A">
        <w:rPr>
          <w:rFonts w:eastAsia="Calibri" w:cs="Times New Roman"/>
          <w:noProof/>
        </w:rPr>
        <w:t>(</w:t>
      </w:r>
      <w:hyperlink w:anchor="_ENREF_27" w:tooltip="Brigham, 2009 #143" w:history="1">
        <w:r w:rsidR="00A234A9">
          <w:rPr>
            <w:rFonts w:eastAsia="Calibri" w:cs="Times New Roman"/>
            <w:noProof/>
          </w:rPr>
          <w:t>27</w:t>
        </w:r>
      </w:hyperlink>
      <w:r w:rsidR="00D2134A">
        <w:rPr>
          <w:rFonts w:eastAsia="Calibri" w:cs="Times New Roman"/>
          <w:noProof/>
        </w:rPr>
        <w:t>)</w:t>
      </w:r>
      <w:r w:rsidR="00D2134A">
        <w:rPr>
          <w:rFonts w:eastAsia="Calibri" w:cs="Times New Roman"/>
        </w:rPr>
        <w:fldChar w:fldCharType="end"/>
      </w:r>
      <w:r>
        <w:rPr>
          <w:rFonts w:eastAsia="Calibri" w:cs="Times New Roman"/>
        </w:rPr>
        <w:t>.</w:t>
      </w:r>
      <w:r w:rsidRPr="00A0218A">
        <w:rPr>
          <w:rFonts w:eastAsia="Calibri" w:cs="Times New Roman"/>
        </w:rPr>
        <w:t xml:space="preserve"> This study reported on both age at first tobacco use (ICC=0.84 for women; ICC=0.78 for men) and age at onset of weekly smoking (ICC=0.79 for women; </w:t>
      </w:r>
      <w:r>
        <w:rPr>
          <w:rFonts w:eastAsia="Calibri" w:cs="Times New Roman"/>
        </w:rPr>
        <w:t xml:space="preserve">ICC=0.92 for men) </w:t>
      </w:r>
      <w:r w:rsidR="00D2134A">
        <w:rPr>
          <w:rFonts w:eastAsia="Calibri" w:cs="Times New Roman"/>
        </w:rPr>
        <w:fldChar w:fldCharType="begin"/>
      </w:r>
      <w:r w:rsidR="00D2134A">
        <w:rPr>
          <w:rFonts w:eastAsia="Calibri" w:cs="Times New Roman"/>
        </w:rPr>
        <w:instrText xml:space="preserve"> ADDIN EN.CITE &lt;EndNote&gt;&lt;Cite&gt;&lt;Author&gt;Brigham&lt;/Author&gt;&lt;Year&gt;2009&lt;/Year&gt;&lt;RecNum&gt;143&lt;/RecNum&gt;&lt;DisplayText&gt;(27)&lt;/DisplayText&gt;&lt;record&gt;&lt;rec-number&gt;143&lt;/rec-number&gt;&lt;foreign-keys&gt;&lt;key app="EN" db-id="a2vz2dfp8xrad6exes75zwpiw5rxwa0vwapv" timestamp="0"&gt;143&lt;/key&gt;&lt;/foreign-keys&gt;&lt;ref-type name="Journal Article"&gt;17&lt;/ref-type&gt;&lt;contributors&gt;&lt;authors&gt;&lt;author&gt;Brigham, J.&lt;/author&gt;&lt;author&gt;Lessov-Schlaggar, C. N.&lt;/author&gt;&lt;author&gt;Javitz, H. S.&lt;/author&gt;&lt;author&gt;Krasnow, R. E.&lt;/author&gt;&lt;author&gt;McElroy, M.&lt;/author&gt;&lt;author&gt;Swan, G. E.&lt;/author&gt;&lt;/authors&gt;&lt;/contributors&gt;&lt;auth-address&gt;Center for Health Sciences, SRI International, Menlo Park, CA, USA.&lt;/auth-address&gt;&lt;titles&gt;&lt;title&gt;Test-retest reliability of web-based retrospective self-report of tobacco exposure and risk&lt;/title&gt;&lt;secondary-title&gt;J Med Internet Res&lt;/secondary-title&gt;&lt;alt-title&gt;Journal of medical Internet research&lt;/alt-title&gt;&lt;/titles&gt;&lt;alt-periodical&gt;&lt;full-title&gt;Journal of Medical Internet Research&lt;/full-title&gt;&lt;/alt-periodical&gt;&lt;pages&gt;e35&lt;/pages&gt;&lt;volume&gt;11&lt;/volume&gt;&lt;number&gt;3&lt;/number&gt;&lt;edition&gt;2009/08/14&lt;/edition&gt;&lt;keywords&gt;&lt;keyword&gt;Adolescent&lt;/keyword&gt;&lt;keyword&gt;Adult&lt;/keyword&gt;&lt;keyword&gt;Aged&lt;/keyword&gt;&lt;keyword&gt;Alcohol Drinking&lt;/keyword&gt;&lt;keyword&gt;Humans&lt;/keyword&gt;&lt;keyword&gt;*Internet&lt;/keyword&gt;&lt;keyword&gt;Middle Aged&lt;/keyword&gt;&lt;keyword&gt;Religion&lt;/keyword&gt;&lt;keyword&gt;*Reproducibility of Results&lt;/keyword&gt;&lt;keyword&gt;Retrospective Studies&lt;/keyword&gt;&lt;keyword&gt;Risk Assessment&lt;/keyword&gt;&lt;keyword&gt;*Surveys and Questionnaires&lt;/keyword&gt;&lt;keyword&gt;Tobacco Smoke Pollution/statistics &amp;amp; numerical data&lt;/keyword&gt;&lt;keyword&gt;Tobacco Use Cessation/*statistics &amp;amp; numerical data&lt;/keyword&gt;&lt;keyword&gt;Tobacco Use Disorder/*rehabilitation&lt;/keyword&gt;&lt;keyword&gt;Young Adult&lt;/keyword&gt;&lt;/keywords&gt;&lt;dates&gt;&lt;year&gt;2009&lt;/year&gt;&lt;/dates&gt;&lt;isbn&gt;1438-8871&lt;/isbn&gt;&lt;accession-num&gt;19674962&lt;/accession-num&gt;&lt;urls&gt;&lt;/urls&gt;&lt;custom2&gt;PMC2762856&lt;/custom2&gt;&lt;electronic-resource-num&gt;10.2196/jmir.1248&lt;/electronic-resource-num&gt;&lt;remote-database-provider&gt;NLM&lt;/remote-database-provider&gt;&lt;language&gt;eng&lt;/language&gt;&lt;/record&gt;&lt;/Cite&gt;&lt;/EndNote&gt;</w:instrText>
      </w:r>
      <w:r w:rsidR="00D2134A">
        <w:rPr>
          <w:rFonts w:eastAsia="Calibri" w:cs="Times New Roman"/>
        </w:rPr>
        <w:fldChar w:fldCharType="separate"/>
      </w:r>
      <w:r w:rsidR="00D2134A">
        <w:rPr>
          <w:rFonts w:eastAsia="Calibri" w:cs="Times New Roman"/>
          <w:noProof/>
        </w:rPr>
        <w:t>(</w:t>
      </w:r>
      <w:hyperlink w:anchor="_ENREF_27" w:tooltip="Brigham, 2009 #143" w:history="1">
        <w:r w:rsidR="00A234A9">
          <w:rPr>
            <w:rFonts w:eastAsia="Calibri" w:cs="Times New Roman"/>
            <w:noProof/>
          </w:rPr>
          <w:t>27</w:t>
        </w:r>
      </w:hyperlink>
      <w:r w:rsidR="00D2134A">
        <w:rPr>
          <w:rFonts w:eastAsia="Calibri" w:cs="Times New Roman"/>
          <w:noProof/>
        </w:rPr>
        <w:t>)</w:t>
      </w:r>
      <w:r w:rsidR="00D2134A">
        <w:rPr>
          <w:rFonts w:eastAsia="Calibri" w:cs="Times New Roman"/>
        </w:rPr>
        <w:fldChar w:fldCharType="end"/>
      </w:r>
      <w:r>
        <w:rPr>
          <w:rFonts w:eastAsia="Calibri" w:cs="Times New Roman"/>
        </w:rPr>
        <w:t>.</w:t>
      </w:r>
      <w:r w:rsidRPr="00A0218A">
        <w:rPr>
          <w:rFonts w:eastAsia="Calibri" w:cs="Times New Roman"/>
        </w:rPr>
        <w:t xml:space="preserve"> </w:t>
      </w:r>
      <w:r>
        <w:rPr>
          <w:rFonts w:eastAsia="Calibri" w:cs="Times New Roman"/>
        </w:rPr>
        <w:t xml:space="preserve">Among the total seven </w:t>
      </w:r>
      <w:r w:rsidRPr="00A0218A">
        <w:rPr>
          <w:rFonts w:eastAsia="Calibri" w:cs="Times New Roman"/>
        </w:rPr>
        <w:t xml:space="preserve">studies, </w:t>
      </w:r>
      <w:r>
        <w:rPr>
          <w:rFonts w:eastAsia="Calibri" w:cs="Times New Roman"/>
        </w:rPr>
        <w:t>four</w:t>
      </w:r>
      <w:r w:rsidRPr="00A0218A">
        <w:rPr>
          <w:rFonts w:eastAsia="Calibri" w:cs="Times New Roman"/>
        </w:rPr>
        <w:t xml:space="preserve"> were in adults only</w:t>
      </w:r>
      <w:r>
        <w:rPr>
          <w:rFonts w:eastAsia="Calibri" w:cs="Times New Roman"/>
        </w:rPr>
        <w:t xml:space="preserve"> </w:t>
      </w:r>
      <w:r w:rsidR="00D2134A">
        <w:rPr>
          <w:rFonts w:eastAsia="Calibri" w:cs="Times New Roman"/>
        </w:rPr>
        <w:fldChar w:fldCharType="begin">
          <w:fldData xml:space="preserve">PEVuZE5vdGU+PENpdGU+PEF1dGhvcj5HcmFudDwvQXV0aG9yPjxZZWFyPjIwMDM8L1llYXI+PFJl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</w:fldData>
        </w:fldChar>
      </w:r>
      <w:r w:rsidR="00D2134A">
        <w:rPr>
          <w:rFonts w:eastAsia="Calibri" w:cs="Times New Roman"/>
        </w:rPr>
        <w:instrText xml:space="preserve"> ADDIN EN.CITE </w:instrText>
      </w:r>
      <w:r w:rsidR="00D2134A">
        <w:rPr>
          <w:rFonts w:eastAsia="Calibri" w:cs="Times New Roman"/>
        </w:rPr>
        <w:fldChar w:fldCharType="begin">
          <w:fldData xml:space="preserve">PEVuZE5vdGU+PENpdGU+PEF1dGhvcj5HcmFudDwvQXV0aG9yPjxZZWFyPjIwMDM8L1llYXI+PFJl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</w:fldData>
        </w:fldChar>
      </w:r>
      <w:r w:rsidR="00D2134A">
        <w:rPr>
          <w:rFonts w:eastAsia="Calibri" w:cs="Times New Roman"/>
        </w:rPr>
        <w:instrText xml:space="preserve"> ADDIN EN.CITE.DATA </w:instrText>
      </w:r>
      <w:r w:rsidR="00D2134A">
        <w:rPr>
          <w:rFonts w:eastAsia="Calibri" w:cs="Times New Roman"/>
        </w:rPr>
      </w:r>
      <w:r w:rsidR="00D2134A">
        <w:rPr>
          <w:rFonts w:eastAsia="Calibri" w:cs="Times New Roman"/>
        </w:rPr>
        <w:fldChar w:fldCharType="end"/>
      </w:r>
      <w:r w:rsidR="00D2134A">
        <w:rPr>
          <w:rFonts w:eastAsia="Calibri" w:cs="Times New Roman"/>
        </w:rPr>
        <w:fldChar w:fldCharType="separate"/>
      </w:r>
      <w:r w:rsidR="00D2134A">
        <w:rPr>
          <w:rFonts w:eastAsia="Calibri" w:cs="Times New Roman"/>
          <w:noProof/>
        </w:rPr>
        <w:t>(</w:t>
      </w:r>
      <w:hyperlink w:anchor="_ENREF_26" w:tooltip="Brigham, 2008 #309" w:history="1">
        <w:r w:rsidR="00A234A9">
          <w:rPr>
            <w:rFonts w:eastAsia="Calibri" w:cs="Times New Roman"/>
            <w:noProof/>
          </w:rPr>
          <w:t>26</w:t>
        </w:r>
      </w:hyperlink>
      <w:r w:rsidR="00D2134A">
        <w:rPr>
          <w:rFonts w:eastAsia="Calibri" w:cs="Times New Roman"/>
          <w:noProof/>
        </w:rPr>
        <w:t xml:space="preserve">, </w:t>
      </w:r>
      <w:hyperlink w:anchor="_ENREF_27" w:tooltip="Brigham, 2009 #143" w:history="1">
        <w:r w:rsidR="00A234A9">
          <w:rPr>
            <w:rFonts w:eastAsia="Calibri" w:cs="Times New Roman"/>
            <w:noProof/>
          </w:rPr>
          <w:t>27</w:t>
        </w:r>
      </w:hyperlink>
      <w:r w:rsidR="00D2134A">
        <w:rPr>
          <w:rFonts w:eastAsia="Calibri" w:cs="Times New Roman"/>
          <w:noProof/>
        </w:rPr>
        <w:t xml:space="preserve">, </w:t>
      </w:r>
      <w:hyperlink w:anchor="_ENREF_29" w:tooltip="Colby, 2012 #311" w:history="1">
        <w:r w:rsidR="00A234A9">
          <w:rPr>
            <w:rFonts w:eastAsia="Calibri" w:cs="Times New Roman"/>
            <w:noProof/>
          </w:rPr>
          <w:t>29</w:t>
        </w:r>
      </w:hyperlink>
      <w:r w:rsidR="00D2134A">
        <w:rPr>
          <w:rFonts w:eastAsia="Calibri" w:cs="Times New Roman"/>
          <w:noProof/>
        </w:rPr>
        <w:t xml:space="preserve">, </w:t>
      </w:r>
      <w:hyperlink w:anchor="_ENREF_30" w:tooltip="Grant, 2003 #133" w:history="1">
        <w:r w:rsidR="00A234A9">
          <w:rPr>
            <w:rFonts w:eastAsia="Calibri" w:cs="Times New Roman"/>
            <w:noProof/>
          </w:rPr>
          <w:t>30</w:t>
        </w:r>
      </w:hyperlink>
      <w:r w:rsidR="00D2134A">
        <w:rPr>
          <w:rFonts w:eastAsia="Calibri" w:cs="Times New Roman"/>
          <w:noProof/>
        </w:rPr>
        <w:t>)</w:t>
      </w:r>
      <w:r w:rsidR="00D2134A">
        <w:rPr>
          <w:rFonts w:eastAsia="Calibri" w:cs="Times New Roman"/>
        </w:rPr>
        <w:fldChar w:fldCharType="end"/>
      </w:r>
      <w:r w:rsidRPr="00A0218A">
        <w:rPr>
          <w:rFonts w:eastAsia="Calibri" w:cs="Times New Roman"/>
        </w:rPr>
        <w:t xml:space="preserve"> two were in youth and adults</w:t>
      </w:r>
      <w:r>
        <w:rPr>
          <w:rFonts w:eastAsia="Calibri" w:cs="Times New Roman"/>
        </w:rPr>
        <w:t xml:space="preserve"> </w:t>
      </w:r>
      <w:r w:rsidR="00D2134A">
        <w:rPr>
          <w:rFonts w:eastAsia="Calibri" w:cs="Times New Roman"/>
        </w:rPr>
        <w:fldChar w:fldCharType="begin">
          <w:fldData xml:space="preserve">PEVuZE5vdGU+PENpdGU+PEF1dGhvcj5Kb2huc29uPC9BdXRob3I+PFllYXI+MjAwMTwvWWVhcj48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</w:fldData>
        </w:fldChar>
      </w:r>
      <w:r w:rsidR="00D2134A">
        <w:rPr>
          <w:rFonts w:eastAsia="Calibri" w:cs="Times New Roman"/>
        </w:rPr>
        <w:instrText xml:space="preserve"> ADDIN EN.CITE </w:instrText>
      </w:r>
      <w:r w:rsidR="00D2134A">
        <w:rPr>
          <w:rFonts w:eastAsia="Calibri" w:cs="Times New Roman"/>
        </w:rPr>
        <w:fldChar w:fldCharType="begin">
          <w:fldData xml:space="preserve">PEVuZE5vdGU+PENpdGU+PEF1dGhvcj5Kb2huc29uPC9BdXRob3I+PFllYXI+MjAwMTwvWWVhcj48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</w:fldData>
        </w:fldChar>
      </w:r>
      <w:r w:rsidR="00D2134A">
        <w:rPr>
          <w:rFonts w:eastAsia="Calibri" w:cs="Times New Roman"/>
        </w:rPr>
        <w:instrText xml:space="preserve"> ADDIN EN.CITE.DATA </w:instrText>
      </w:r>
      <w:r w:rsidR="00D2134A">
        <w:rPr>
          <w:rFonts w:eastAsia="Calibri" w:cs="Times New Roman"/>
        </w:rPr>
      </w:r>
      <w:r w:rsidR="00D2134A">
        <w:rPr>
          <w:rFonts w:eastAsia="Calibri" w:cs="Times New Roman"/>
        </w:rPr>
        <w:fldChar w:fldCharType="end"/>
      </w:r>
      <w:r w:rsidR="00D2134A">
        <w:rPr>
          <w:rFonts w:eastAsia="Calibri" w:cs="Times New Roman"/>
        </w:rPr>
        <w:fldChar w:fldCharType="separate"/>
      </w:r>
      <w:r w:rsidR="00D2134A">
        <w:rPr>
          <w:rFonts w:eastAsia="Calibri" w:cs="Times New Roman"/>
          <w:noProof/>
        </w:rPr>
        <w:t>(</w:t>
      </w:r>
      <w:hyperlink w:anchor="_ENREF_31" w:tooltip="Johnson, 2001 #135" w:history="1">
        <w:r w:rsidR="00A234A9">
          <w:rPr>
            <w:rFonts w:eastAsia="Calibri" w:cs="Times New Roman"/>
            <w:noProof/>
          </w:rPr>
          <w:t>31</w:t>
        </w:r>
      </w:hyperlink>
      <w:r w:rsidR="00D2134A">
        <w:rPr>
          <w:rFonts w:eastAsia="Calibri" w:cs="Times New Roman"/>
          <w:noProof/>
        </w:rPr>
        <w:t xml:space="preserve">, </w:t>
      </w:r>
      <w:hyperlink w:anchor="_ENREF_32" w:tooltip="Soulakova, 2012 #141" w:history="1">
        <w:r w:rsidR="00A234A9">
          <w:rPr>
            <w:rFonts w:eastAsia="Calibri" w:cs="Times New Roman"/>
            <w:noProof/>
          </w:rPr>
          <w:t>32</w:t>
        </w:r>
      </w:hyperlink>
      <w:r w:rsidR="00D2134A">
        <w:rPr>
          <w:rFonts w:eastAsia="Calibri" w:cs="Times New Roman"/>
          <w:noProof/>
        </w:rPr>
        <w:t>)</w:t>
      </w:r>
      <w:r w:rsidR="00D2134A">
        <w:rPr>
          <w:rFonts w:eastAsia="Calibri" w:cs="Times New Roman"/>
        </w:rPr>
        <w:fldChar w:fldCharType="end"/>
      </w:r>
      <w:r w:rsidRPr="00A0218A">
        <w:rPr>
          <w:rFonts w:eastAsia="Calibri" w:cs="Times New Roman"/>
        </w:rPr>
        <w:t xml:space="preserve"> and one was in youth only</w:t>
      </w:r>
      <w:r>
        <w:rPr>
          <w:rFonts w:eastAsia="Calibri" w:cs="Times New Roman"/>
        </w:rPr>
        <w:t xml:space="preserve"> </w:t>
      </w:r>
      <w:r w:rsidR="00D2134A">
        <w:rPr>
          <w:rFonts w:eastAsia="Calibri" w:cs="Times New Roman"/>
        </w:rPr>
        <w:fldChar w:fldCharType="begin"/>
      </w:r>
      <w:r w:rsidR="00D2134A">
        <w:rPr>
          <w:rFonts w:eastAsia="Calibri" w:cs="Times New Roman"/>
        </w:rPr>
        <w:instrText xml:space="preserve"> ADDIN EN.CITE &lt;EndNote&gt;&lt;Cite&gt;&lt;Author&gt;Brigham&lt;/Author&gt;&lt;Year&gt;2010&lt;/Year&gt;&lt;RecNum&gt;310&lt;/RecNum&gt;&lt;DisplayText&gt;(28)&lt;/DisplayText&gt;&lt;record&gt;&lt;rec-number&gt;310&lt;/rec-number&gt;&lt;foreign-keys&gt;&lt;key app="EN" db-id="a2vz2dfp8xrad6exes75zwpiw5rxwa0vwapv" timestamp="1541524148"&gt;310&lt;/key&gt;&lt;/foreign-keys&gt;&lt;ref-type name="Journal Article"&gt;17&lt;/ref-type&gt;&lt;contributors&gt;&lt;authors&gt;&lt;author&gt;Brigham, Janet&lt;/author&gt;&lt;author&gt;Lessov-Schlaggar, Christina N.&lt;/author&gt;&lt;author&gt;Javitz, Harold S.&lt;/author&gt;&lt;author&gt;Krasnow, Ruth E.&lt;/author&gt;&lt;author&gt;Tildesley, Elizabeth&lt;/author&gt;&lt;author&gt;Andrews, Judy&lt;/author&gt;&lt;author&gt;Hops, Hyman&lt;/author&gt;&lt;author&gt;Cornelius, Marie D.&lt;/author&gt;&lt;author&gt;Day, Nancy L.&lt;/author&gt;&lt;author&gt;McElroy, Mary&lt;/author&gt;&lt;author&gt;Swan, Gary E.&lt;/author&gt;&lt;/authors&gt;&lt;/contributors&gt;&lt;titles&gt;&lt;title&gt;Validity of recall of tobacco use in two prospective cohorts&lt;/title&gt;&lt;secondary-title&gt;American journal of epidemiology&lt;/secondary-title&gt;&lt;/titles&gt;&lt;periodical&gt;&lt;full-title&gt;American journal of epidemiology&lt;/full-title&gt;&lt;/periodical&gt;&lt;pages&gt;828-835&lt;/pages&gt;&lt;volume&gt;172&lt;/volume&gt;&lt;number&gt;7&lt;/number&gt;&lt;edition&gt;08/18&lt;/edition&gt;&lt;dates&gt;&lt;year&gt;2010&lt;/year&gt;&lt;/dates&gt;&lt;publisher&gt;Oxford University Press&lt;/publisher&gt;&lt;isbn&gt;1476-6256&amp;#xD;0002-9262&lt;/isbn&gt;&lt;accession-num&gt;20720099&lt;/accession-num&gt;&lt;urls&gt;&lt;related-urls&gt;&lt;url&gt;https://www.ncbi.nlm.nih.gov/pubmed/20720099&lt;/url&gt;&lt;url&gt;https://www.ncbi.nlm.nih.gov/pmc/PMC2945825/&lt;/url&gt;&lt;/related-urls&gt;&lt;/urls&gt;&lt;electronic-resource-num&gt;10.1093/aje/kwq179&lt;/electronic-resource-num&gt;&lt;remote-database-name&gt;PubMed&lt;/remote-database-name&gt;&lt;/record&gt;&lt;/Cite&gt;&lt;/EndNote&gt;</w:instrText>
      </w:r>
      <w:r w:rsidR="00D2134A">
        <w:rPr>
          <w:rFonts w:eastAsia="Calibri" w:cs="Times New Roman"/>
        </w:rPr>
        <w:fldChar w:fldCharType="separate"/>
      </w:r>
      <w:r w:rsidR="00D2134A">
        <w:rPr>
          <w:rFonts w:eastAsia="Calibri" w:cs="Times New Roman"/>
          <w:noProof/>
        </w:rPr>
        <w:t>(</w:t>
      </w:r>
      <w:hyperlink w:anchor="_ENREF_28" w:tooltip="Brigham, 2010 #310" w:history="1">
        <w:r w:rsidR="00A234A9">
          <w:rPr>
            <w:rFonts w:eastAsia="Calibri" w:cs="Times New Roman"/>
            <w:noProof/>
          </w:rPr>
          <w:t>28</w:t>
        </w:r>
      </w:hyperlink>
      <w:r w:rsidR="00D2134A">
        <w:rPr>
          <w:rFonts w:eastAsia="Calibri" w:cs="Times New Roman"/>
          <w:noProof/>
        </w:rPr>
        <w:t>)</w:t>
      </w:r>
      <w:r w:rsidR="00D2134A">
        <w:rPr>
          <w:rFonts w:eastAsia="Calibri" w:cs="Times New Roman"/>
        </w:rPr>
        <w:fldChar w:fldCharType="end"/>
      </w:r>
      <w:r>
        <w:rPr>
          <w:rFonts w:eastAsia="Calibri" w:cs="Times New Roman"/>
        </w:rPr>
        <w:t>.</w:t>
      </w:r>
    </w:p>
    <w:p w14:paraId="38ED5569" w14:textId="7AD1AEB1" w:rsidR="00EA69AA" w:rsidRDefault="00EA69AA" w:rsidP="00EA69AA">
      <w:pPr>
        <w:spacing w:after="120" w:line="240" w:lineRule="auto"/>
        <w:jc w:val="both"/>
        <w:rPr>
          <w:rFonts w:eastAsia="Calibri" w:cs="Times New Roman"/>
        </w:rPr>
      </w:pPr>
      <w:r w:rsidRPr="00A0218A">
        <w:rPr>
          <w:rFonts w:eastAsia="Calibri" w:cs="Times New Roman"/>
        </w:rPr>
        <w:t>Assessments of validity</w:t>
      </w:r>
      <w:r w:rsidRPr="00A0218A">
        <w:rPr>
          <w:rFonts w:eastAsia="Calibri" w:cs="Times New Roman"/>
          <w:b/>
        </w:rPr>
        <w:t xml:space="preserve"> </w:t>
      </w:r>
      <w:r w:rsidRPr="00A0218A">
        <w:rPr>
          <w:rFonts w:eastAsia="Calibri" w:cs="Times New Roman"/>
        </w:rPr>
        <w:t xml:space="preserve">of age of initiation were found in </w:t>
      </w:r>
      <w:r>
        <w:rPr>
          <w:rFonts w:eastAsia="Calibri" w:cs="Times New Roman"/>
        </w:rPr>
        <w:t>two</w:t>
      </w:r>
      <w:r w:rsidRPr="00A0218A">
        <w:rPr>
          <w:rFonts w:eastAsia="Calibri" w:cs="Times New Roman"/>
        </w:rPr>
        <w:t xml:space="preserve"> studies</w:t>
      </w:r>
      <w:r>
        <w:rPr>
          <w:rFonts w:eastAsia="Calibri" w:cs="Times New Roman"/>
        </w:rPr>
        <w:t xml:space="preserve"> </w:t>
      </w:r>
      <w:r w:rsidR="00D2134A">
        <w:rPr>
          <w:rFonts w:eastAsia="Calibri" w:cs="Times New Roman"/>
        </w:rPr>
        <w:fldChar w:fldCharType="begin">
          <w:fldData xml:space="preserve">PEVuZE5vdGU+PENpdGU+PEF1dGhvcj5Id2FuZzwvQXV0aG9yPjxZZWFyPjIwMTQ8L1llYXI+PFJl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</w:fldData>
        </w:fldChar>
      </w:r>
      <w:r w:rsidR="00D2134A">
        <w:rPr>
          <w:rFonts w:eastAsia="Calibri" w:cs="Times New Roman"/>
        </w:rPr>
        <w:instrText xml:space="preserve"> ADDIN EN.CITE </w:instrText>
      </w:r>
      <w:r w:rsidR="00D2134A">
        <w:rPr>
          <w:rFonts w:eastAsia="Calibri" w:cs="Times New Roman"/>
        </w:rPr>
        <w:fldChar w:fldCharType="begin">
          <w:fldData xml:space="preserve">PEVuZE5vdGU+PENpdGU+PEF1dGhvcj5Id2FuZzwvQXV0aG9yPjxZZWFyPjIwMTQ8L1llYXI+PFJl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</w:fldData>
        </w:fldChar>
      </w:r>
      <w:r w:rsidR="00D2134A">
        <w:rPr>
          <w:rFonts w:eastAsia="Calibri" w:cs="Times New Roman"/>
        </w:rPr>
        <w:instrText xml:space="preserve"> ADDIN EN.CITE.DATA </w:instrText>
      </w:r>
      <w:r w:rsidR="00D2134A">
        <w:rPr>
          <w:rFonts w:eastAsia="Calibri" w:cs="Times New Roman"/>
        </w:rPr>
      </w:r>
      <w:r w:rsidR="00D2134A">
        <w:rPr>
          <w:rFonts w:eastAsia="Calibri" w:cs="Times New Roman"/>
        </w:rPr>
        <w:fldChar w:fldCharType="end"/>
      </w:r>
      <w:r w:rsidR="00D2134A">
        <w:rPr>
          <w:rFonts w:eastAsia="Calibri" w:cs="Times New Roman"/>
        </w:rPr>
        <w:fldChar w:fldCharType="separate"/>
      </w:r>
      <w:r w:rsidR="00D2134A">
        <w:rPr>
          <w:rFonts w:eastAsia="Calibri" w:cs="Times New Roman"/>
          <w:noProof/>
        </w:rPr>
        <w:t>(</w:t>
      </w:r>
      <w:hyperlink w:anchor="_ENREF_34" w:tooltip="Hwang, 2014 #315" w:history="1">
        <w:r w:rsidR="00A234A9">
          <w:rPr>
            <w:rFonts w:eastAsia="Calibri" w:cs="Times New Roman"/>
            <w:noProof/>
          </w:rPr>
          <w:t>34</w:t>
        </w:r>
      </w:hyperlink>
      <w:r w:rsidR="00D2134A">
        <w:rPr>
          <w:rFonts w:eastAsia="Calibri" w:cs="Times New Roman"/>
          <w:noProof/>
        </w:rPr>
        <w:t xml:space="preserve">, </w:t>
      </w:r>
      <w:hyperlink w:anchor="_ENREF_35" w:tooltip="Kendler, 2013 #137" w:history="1">
        <w:r w:rsidR="00A234A9">
          <w:rPr>
            <w:rFonts w:eastAsia="Calibri" w:cs="Times New Roman"/>
            <w:noProof/>
          </w:rPr>
          <w:t>35</w:t>
        </w:r>
      </w:hyperlink>
      <w:r w:rsidR="00D2134A">
        <w:rPr>
          <w:rFonts w:eastAsia="Calibri" w:cs="Times New Roman"/>
          <w:noProof/>
        </w:rPr>
        <w:t>)</w:t>
      </w:r>
      <w:r w:rsidR="00D2134A">
        <w:rPr>
          <w:rFonts w:eastAsia="Calibri" w:cs="Times New Roman"/>
        </w:rPr>
        <w:fldChar w:fldCharType="end"/>
      </w:r>
      <w:r w:rsidRPr="00A0218A">
        <w:rPr>
          <w:rFonts w:eastAsia="Calibri" w:cs="Times New Roman"/>
        </w:rPr>
        <w:t>.</w:t>
      </w:r>
      <w:r>
        <w:rPr>
          <w:rFonts w:eastAsia="Calibri" w:cs="Times New Roman"/>
        </w:rPr>
        <w:t xml:space="preserve"> A</w:t>
      </w:r>
      <w:r w:rsidRPr="00A0218A">
        <w:rPr>
          <w:rFonts w:eastAsia="Calibri" w:cs="Times New Roman"/>
        </w:rPr>
        <w:t xml:space="preserve"> study of </w:t>
      </w:r>
      <w:r>
        <w:rPr>
          <w:rFonts w:eastAsia="Calibri" w:cs="Times New Roman"/>
        </w:rPr>
        <w:t xml:space="preserve">743 </w:t>
      </w:r>
      <w:r w:rsidRPr="00A0218A">
        <w:rPr>
          <w:rFonts w:eastAsia="Calibri" w:cs="Times New Roman"/>
        </w:rPr>
        <w:t xml:space="preserve">high school students </w:t>
      </w:r>
      <w:r>
        <w:rPr>
          <w:rFonts w:eastAsia="Calibri" w:cs="Times New Roman"/>
        </w:rPr>
        <w:t xml:space="preserve">in South Korea who were current smokers found that the odds </w:t>
      </w:r>
      <w:r w:rsidRPr="00A0218A">
        <w:rPr>
          <w:rFonts w:eastAsia="Calibri" w:cs="Times New Roman"/>
        </w:rPr>
        <w:t xml:space="preserve">of </w:t>
      </w:r>
      <w:r>
        <w:rPr>
          <w:rFonts w:eastAsia="Calibri" w:cs="Times New Roman"/>
        </w:rPr>
        <w:t xml:space="preserve">subsequent frequent smoking was consistently </w:t>
      </w:r>
      <w:r w:rsidRPr="00A0218A">
        <w:rPr>
          <w:rFonts w:eastAsia="Calibri" w:cs="Times New Roman"/>
        </w:rPr>
        <w:t xml:space="preserve">significantly </w:t>
      </w:r>
      <w:r>
        <w:rPr>
          <w:rFonts w:eastAsia="Calibri" w:cs="Times New Roman"/>
        </w:rPr>
        <w:t xml:space="preserve">associated with </w:t>
      </w:r>
      <w:r w:rsidRPr="00A0218A">
        <w:rPr>
          <w:rFonts w:eastAsia="Calibri" w:cs="Times New Roman"/>
        </w:rPr>
        <w:t xml:space="preserve">higher </w:t>
      </w:r>
      <w:r>
        <w:rPr>
          <w:rFonts w:eastAsia="Calibri" w:cs="Times New Roman"/>
        </w:rPr>
        <w:t>the starting before 10</w:t>
      </w:r>
      <w:r w:rsidRPr="00743BC0">
        <w:rPr>
          <w:rFonts w:eastAsia="Calibri" w:cs="Times New Roman"/>
          <w:vertAlign w:val="superscript"/>
        </w:rPr>
        <w:t>th</w:t>
      </w:r>
      <w:r>
        <w:rPr>
          <w:rFonts w:eastAsia="Calibri" w:cs="Times New Roman"/>
        </w:rPr>
        <w:t xml:space="preserve"> grade, compared to smoking initiation in 10</w:t>
      </w:r>
      <w:r>
        <w:rPr>
          <w:rFonts w:eastAsia="Calibri" w:cs="Times New Roman"/>
          <w:vertAlign w:val="superscript"/>
        </w:rPr>
        <w:t xml:space="preserve">th </w:t>
      </w:r>
      <w:r>
        <w:rPr>
          <w:rFonts w:eastAsia="Calibri" w:cs="Times New Roman"/>
        </w:rPr>
        <w:t>or 11</w:t>
      </w:r>
      <w:r w:rsidRPr="00743BC0">
        <w:rPr>
          <w:rFonts w:eastAsia="Calibri" w:cs="Times New Roman"/>
          <w:vertAlign w:val="superscript"/>
        </w:rPr>
        <w:t>th</w:t>
      </w:r>
      <w:r>
        <w:rPr>
          <w:rFonts w:eastAsia="Calibri" w:cs="Times New Roman"/>
        </w:rPr>
        <w:t xml:space="preserve"> grade (</w:t>
      </w:r>
      <w:r w:rsidRPr="00743BC0">
        <w:rPr>
          <w:rFonts w:eastAsia="Calibri" w:cs="Times New Roman"/>
        </w:rPr>
        <w:t xml:space="preserve">Grade 9: 1.82, </w:t>
      </w:r>
      <w:r>
        <w:rPr>
          <w:rFonts w:eastAsia="Calibri" w:cs="Times New Roman"/>
        </w:rPr>
        <w:t xml:space="preserve">95% CI: 1.16 to </w:t>
      </w:r>
      <w:r w:rsidRPr="00743BC0">
        <w:rPr>
          <w:rFonts w:eastAsia="Calibri" w:cs="Times New Roman"/>
        </w:rPr>
        <w:t>2.85</w:t>
      </w:r>
      <w:r>
        <w:rPr>
          <w:rFonts w:eastAsia="Calibri" w:cs="Times New Roman"/>
        </w:rPr>
        <w:t xml:space="preserve">; </w:t>
      </w:r>
      <w:r w:rsidRPr="00743BC0">
        <w:rPr>
          <w:rFonts w:eastAsia="Calibri" w:cs="Times New Roman"/>
        </w:rPr>
        <w:t>Grade 8: 2.65, 95%</w:t>
      </w:r>
      <w:r>
        <w:rPr>
          <w:rFonts w:eastAsia="Calibri" w:cs="Times New Roman"/>
        </w:rPr>
        <w:t xml:space="preserve"> </w:t>
      </w:r>
      <w:r w:rsidRPr="00743BC0">
        <w:rPr>
          <w:rFonts w:eastAsia="Calibri" w:cs="Times New Roman"/>
        </w:rPr>
        <w:t>CI</w:t>
      </w:r>
      <w:r>
        <w:rPr>
          <w:rFonts w:eastAsia="Calibri" w:cs="Times New Roman"/>
        </w:rPr>
        <w:t xml:space="preserve">: 1.64 to </w:t>
      </w:r>
      <w:r w:rsidRPr="00743BC0">
        <w:rPr>
          <w:rFonts w:eastAsia="Calibri" w:cs="Times New Roman"/>
        </w:rPr>
        <w:t>4.29</w:t>
      </w:r>
      <w:r>
        <w:rPr>
          <w:rFonts w:eastAsia="Calibri" w:cs="Times New Roman"/>
        </w:rPr>
        <w:t xml:space="preserve">; </w:t>
      </w:r>
      <w:r w:rsidRPr="00743BC0">
        <w:rPr>
          <w:rFonts w:eastAsia="Calibri" w:cs="Times New Roman"/>
        </w:rPr>
        <w:t xml:space="preserve">Grade 7: 3.79, </w:t>
      </w:r>
      <w:r>
        <w:rPr>
          <w:rFonts w:eastAsia="Calibri" w:cs="Times New Roman"/>
        </w:rPr>
        <w:t xml:space="preserve">95% CI: 2.02 to </w:t>
      </w:r>
      <w:r w:rsidRPr="00743BC0">
        <w:rPr>
          <w:rFonts w:eastAsia="Calibri" w:cs="Times New Roman"/>
        </w:rPr>
        <w:t>7.12</w:t>
      </w:r>
      <w:r>
        <w:rPr>
          <w:rFonts w:eastAsia="Calibri" w:cs="Times New Roman"/>
        </w:rPr>
        <w:t xml:space="preserve">; Grade 1 through </w:t>
      </w:r>
      <w:r w:rsidRPr="00743BC0">
        <w:rPr>
          <w:rFonts w:eastAsia="Calibri" w:cs="Times New Roman"/>
        </w:rPr>
        <w:t xml:space="preserve">6 or before: 3.14, </w:t>
      </w:r>
      <w:r>
        <w:rPr>
          <w:rFonts w:eastAsia="Calibri" w:cs="Times New Roman"/>
        </w:rPr>
        <w:t xml:space="preserve">95% CI: 1.83 to </w:t>
      </w:r>
      <w:r w:rsidRPr="00743BC0">
        <w:rPr>
          <w:rFonts w:eastAsia="Calibri" w:cs="Times New Roman"/>
        </w:rPr>
        <w:t>5.40</w:t>
      </w:r>
      <w:r>
        <w:rPr>
          <w:rFonts w:eastAsia="Calibri" w:cs="Times New Roman"/>
        </w:rPr>
        <w:t xml:space="preserve">) </w:t>
      </w:r>
      <w:r w:rsidR="00D2134A">
        <w:rPr>
          <w:rFonts w:eastAsia="Calibri" w:cs="Times New Roman"/>
        </w:rPr>
        <w:fldChar w:fldCharType="begin"/>
      </w:r>
      <w:r w:rsidR="00D2134A">
        <w:rPr>
          <w:rFonts w:eastAsia="Calibri" w:cs="Times New Roman"/>
        </w:rPr>
        <w:instrText xml:space="preserve"> ADDIN EN.CITE &lt;EndNote&gt;&lt;Cite&gt;&lt;Author&gt;Hwang&lt;/Author&gt;&lt;Year&gt;2014&lt;/Year&gt;&lt;RecNum&gt;315&lt;/RecNum&gt;&lt;DisplayText&gt;(34)&lt;/DisplayText&gt;&lt;record&gt;&lt;rec-number&gt;315&lt;/rec-number&gt;&lt;foreign-keys&gt;&lt;key app="EN" db-id="a2vz2dfp8xrad6exes75zwpiw5rxwa0vwapv" timestamp="1541534420"&gt;315&lt;/key&gt;&lt;/foreign-keys&gt;&lt;ref-type name="Journal Article"&gt;17&lt;/ref-type&gt;&lt;contributors&gt;&lt;authors&gt;&lt;author&gt;Hwang, J.H.&lt;/author&gt;&lt;author&gt;Park, S.W.&lt;/author&gt;&lt;/authors&gt;&lt;/contributors&gt;&lt;titles&gt;&lt;title&gt;Age at smoking initiation and subsequent smoking among Korean adolescent smokers&lt;/title&gt;&lt;secondary-title&gt;Journal of preventive medicine and public health = Yebang Uihakhoe chi&lt;/secondary-title&gt;&lt;/titles&gt;&lt;periodical&gt;&lt;full-title&gt;Journal of preventive medicine and public health = Yebang Uihakhoe chi&lt;/full-title&gt;&lt;/periodical&gt;&lt;pages&gt;266-272&lt;/pages&gt;&lt;volume&gt;47&lt;/volume&gt;&lt;number&gt;5&lt;/number&gt;&lt;edition&gt;09/12&lt;/edition&gt;&lt;dates&gt;&lt;year&gt;2014&lt;/year&gt;&lt;/dates&gt;&lt;publisher&gt;Korean Society for Preventive Medicine&lt;/publisher&gt;&lt;isbn&gt;2233-4521&amp;#xD;1975-8375&lt;/isbn&gt;&lt;accession-num&gt;25284198&lt;/accession-num&gt;&lt;urls&gt;&lt;related-urls&gt;&lt;url&gt;https://www.ncbi.nlm.nih.gov/pubmed/25284198&lt;/url&gt;&lt;url&gt;https://www.ncbi.nlm.nih.gov/pmc/PMC4186550/&lt;/url&gt;&lt;/related-urls&gt;&lt;/urls&gt;&lt;electronic-resource-num&gt;10.3961/jpmph.14.032&lt;/electronic-resource-num&gt;&lt;remote-database-name&gt;PubMed&lt;/remote-database-name&gt;&lt;/record&gt;&lt;/Cite&gt;&lt;/EndNote&gt;</w:instrText>
      </w:r>
      <w:r w:rsidR="00D2134A">
        <w:rPr>
          <w:rFonts w:eastAsia="Calibri" w:cs="Times New Roman"/>
        </w:rPr>
        <w:fldChar w:fldCharType="separate"/>
      </w:r>
      <w:r w:rsidR="00D2134A">
        <w:rPr>
          <w:rFonts w:eastAsia="Calibri" w:cs="Times New Roman"/>
          <w:noProof/>
        </w:rPr>
        <w:t>(</w:t>
      </w:r>
      <w:hyperlink w:anchor="_ENREF_34" w:tooltip="Hwang, 2014 #315" w:history="1">
        <w:r w:rsidR="00A234A9">
          <w:rPr>
            <w:rFonts w:eastAsia="Calibri" w:cs="Times New Roman"/>
            <w:noProof/>
          </w:rPr>
          <w:t>34</w:t>
        </w:r>
      </w:hyperlink>
      <w:r w:rsidR="00D2134A">
        <w:rPr>
          <w:rFonts w:eastAsia="Calibri" w:cs="Times New Roman"/>
          <w:noProof/>
        </w:rPr>
        <w:t>)</w:t>
      </w:r>
      <w:r w:rsidR="00D2134A">
        <w:rPr>
          <w:rFonts w:eastAsia="Calibri" w:cs="Times New Roman"/>
        </w:rPr>
        <w:fldChar w:fldCharType="end"/>
      </w:r>
      <w:r>
        <w:rPr>
          <w:rFonts w:eastAsia="Calibri" w:cs="Times New Roman"/>
        </w:rPr>
        <w:t>. Significant associations were also reported for the association of age at initiation prior to 10</w:t>
      </w:r>
      <w:r w:rsidRPr="00743BC0">
        <w:rPr>
          <w:rFonts w:eastAsia="Calibri" w:cs="Times New Roman"/>
          <w:vertAlign w:val="superscript"/>
        </w:rPr>
        <w:t>th</w:t>
      </w:r>
      <w:r>
        <w:rPr>
          <w:rFonts w:eastAsia="Calibri" w:cs="Times New Roman"/>
        </w:rPr>
        <w:t xml:space="preserve"> grade, compared to 10</w:t>
      </w:r>
      <w:r w:rsidRPr="00743BC0">
        <w:rPr>
          <w:rFonts w:eastAsia="Calibri" w:cs="Times New Roman"/>
          <w:vertAlign w:val="superscript"/>
        </w:rPr>
        <w:t>th</w:t>
      </w:r>
      <w:r>
        <w:rPr>
          <w:rFonts w:eastAsia="Calibri" w:cs="Times New Roman"/>
        </w:rPr>
        <w:t xml:space="preserve"> or 11</w:t>
      </w:r>
      <w:r w:rsidRPr="00743BC0">
        <w:rPr>
          <w:rFonts w:eastAsia="Calibri" w:cs="Times New Roman"/>
          <w:vertAlign w:val="superscript"/>
        </w:rPr>
        <w:t>th</w:t>
      </w:r>
      <w:r>
        <w:rPr>
          <w:rFonts w:eastAsia="Calibri" w:cs="Times New Roman"/>
        </w:rPr>
        <w:t xml:space="preserve"> grade, with daily smoking except for initiation in the 9</w:t>
      </w:r>
      <w:r w:rsidRPr="001033FF">
        <w:rPr>
          <w:rFonts w:eastAsia="Calibri" w:cs="Times New Roman"/>
          <w:vertAlign w:val="superscript"/>
        </w:rPr>
        <w:t>th</w:t>
      </w:r>
      <w:r>
        <w:rPr>
          <w:rFonts w:eastAsia="Calibri" w:cs="Times New Roman"/>
        </w:rPr>
        <w:t xml:space="preserve"> grade (</w:t>
      </w:r>
      <w:r w:rsidRPr="001033FF">
        <w:rPr>
          <w:rFonts w:eastAsia="Calibri" w:cs="Times New Roman"/>
        </w:rPr>
        <w:t>Grade 9: 1.43, 95%</w:t>
      </w:r>
      <w:r>
        <w:rPr>
          <w:rFonts w:eastAsia="Calibri" w:cs="Times New Roman"/>
        </w:rPr>
        <w:t xml:space="preserve"> </w:t>
      </w:r>
      <w:r w:rsidRPr="001033FF">
        <w:rPr>
          <w:rFonts w:eastAsia="Calibri" w:cs="Times New Roman"/>
        </w:rPr>
        <w:t>CI</w:t>
      </w:r>
      <w:r>
        <w:rPr>
          <w:rFonts w:eastAsia="Calibri" w:cs="Times New Roman"/>
        </w:rPr>
        <w:t>:</w:t>
      </w:r>
      <w:r w:rsidRPr="001033FF">
        <w:rPr>
          <w:rFonts w:eastAsia="Calibri" w:cs="Times New Roman"/>
        </w:rPr>
        <w:t xml:space="preserve"> 0.92</w:t>
      </w:r>
      <w:r>
        <w:rPr>
          <w:rFonts w:eastAsia="Calibri" w:cs="Times New Roman"/>
        </w:rPr>
        <w:t xml:space="preserve"> to </w:t>
      </w:r>
      <w:r w:rsidRPr="001033FF">
        <w:rPr>
          <w:rFonts w:eastAsia="Calibri" w:cs="Times New Roman"/>
        </w:rPr>
        <w:t>2.20</w:t>
      </w:r>
      <w:r>
        <w:rPr>
          <w:rFonts w:eastAsia="Calibri" w:cs="Times New Roman"/>
        </w:rPr>
        <w:t xml:space="preserve"> </w:t>
      </w:r>
      <w:r w:rsidRPr="001033FF">
        <w:rPr>
          <w:rFonts w:eastAsia="Calibri" w:cs="Times New Roman"/>
        </w:rPr>
        <w:t xml:space="preserve">Grade 8: 2.65, </w:t>
      </w:r>
      <w:r>
        <w:rPr>
          <w:rFonts w:eastAsia="Calibri" w:cs="Times New Roman"/>
        </w:rPr>
        <w:t>95% CI:</w:t>
      </w:r>
      <w:r w:rsidRPr="001033FF">
        <w:rPr>
          <w:rFonts w:eastAsia="Calibri" w:cs="Times New Roman"/>
        </w:rPr>
        <w:t xml:space="preserve"> 1.29</w:t>
      </w:r>
      <w:r>
        <w:rPr>
          <w:rFonts w:eastAsia="Calibri" w:cs="Times New Roman"/>
        </w:rPr>
        <w:t xml:space="preserve"> to </w:t>
      </w:r>
      <w:r w:rsidRPr="001033FF">
        <w:rPr>
          <w:rFonts w:eastAsia="Calibri" w:cs="Times New Roman"/>
        </w:rPr>
        <w:t>3.21</w:t>
      </w:r>
      <w:r>
        <w:rPr>
          <w:rFonts w:eastAsia="Calibri" w:cs="Times New Roman"/>
        </w:rPr>
        <w:t xml:space="preserve">; </w:t>
      </w:r>
      <w:r w:rsidRPr="001033FF">
        <w:rPr>
          <w:rFonts w:eastAsia="Calibri" w:cs="Times New Roman"/>
        </w:rPr>
        <w:t xml:space="preserve">Grade 7: 3.30, </w:t>
      </w:r>
      <w:r>
        <w:rPr>
          <w:rFonts w:eastAsia="Calibri" w:cs="Times New Roman"/>
        </w:rPr>
        <w:t>95% CI:</w:t>
      </w:r>
      <w:r w:rsidRPr="001033FF">
        <w:rPr>
          <w:rFonts w:eastAsia="Calibri" w:cs="Times New Roman"/>
        </w:rPr>
        <w:t xml:space="preserve"> 1.85</w:t>
      </w:r>
      <w:r>
        <w:rPr>
          <w:rFonts w:eastAsia="Calibri" w:cs="Times New Roman"/>
        </w:rPr>
        <w:t xml:space="preserve"> to </w:t>
      </w:r>
      <w:r w:rsidRPr="001033FF">
        <w:rPr>
          <w:rFonts w:eastAsia="Calibri" w:cs="Times New Roman"/>
        </w:rPr>
        <w:t>5.90</w:t>
      </w:r>
      <w:r>
        <w:rPr>
          <w:rFonts w:eastAsia="Calibri" w:cs="Times New Roman"/>
        </w:rPr>
        <w:t xml:space="preserve">; </w:t>
      </w:r>
      <w:r w:rsidRPr="001033FF">
        <w:rPr>
          <w:rFonts w:eastAsia="Calibri" w:cs="Times New Roman"/>
        </w:rPr>
        <w:t>Grades 1</w:t>
      </w:r>
      <w:r>
        <w:rPr>
          <w:rFonts w:eastAsia="Calibri" w:cs="Times New Roman"/>
        </w:rPr>
        <w:t xml:space="preserve"> through </w:t>
      </w:r>
      <w:r w:rsidRPr="001033FF">
        <w:rPr>
          <w:rFonts w:eastAsia="Calibri" w:cs="Times New Roman"/>
        </w:rPr>
        <w:t xml:space="preserve">6 or before: 2.94, </w:t>
      </w:r>
      <w:r>
        <w:rPr>
          <w:rFonts w:eastAsia="Calibri" w:cs="Times New Roman"/>
        </w:rPr>
        <w:t xml:space="preserve">95% CI: 1.76 to </w:t>
      </w:r>
      <w:r w:rsidRPr="001033FF">
        <w:rPr>
          <w:rFonts w:eastAsia="Calibri" w:cs="Times New Roman"/>
        </w:rPr>
        <w:t>4.92</w:t>
      </w:r>
      <w:r>
        <w:rPr>
          <w:rFonts w:eastAsia="Calibri" w:cs="Times New Roman"/>
        </w:rPr>
        <w:t xml:space="preserve">) </w:t>
      </w:r>
      <w:r w:rsidR="00D2134A">
        <w:rPr>
          <w:rFonts w:eastAsia="Calibri" w:cs="Times New Roman"/>
        </w:rPr>
        <w:fldChar w:fldCharType="begin"/>
      </w:r>
      <w:r w:rsidR="00D2134A">
        <w:rPr>
          <w:rFonts w:eastAsia="Calibri" w:cs="Times New Roman"/>
        </w:rPr>
        <w:instrText xml:space="preserve"> ADDIN EN.CITE &lt;EndNote&gt;&lt;Cite&gt;&lt;Author&gt;Hwang&lt;/Author&gt;&lt;Year&gt;2014&lt;/Year&gt;&lt;RecNum&gt;315&lt;/RecNum&gt;&lt;DisplayText&gt;(34)&lt;/DisplayText&gt;&lt;record&gt;&lt;rec-number&gt;315&lt;/rec-number&gt;&lt;foreign-keys&gt;&lt;key app="EN" db-id="a2vz2dfp8xrad6exes75zwpiw5rxwa0vwapv" timestamp="1541534420"&gt;315&lt;/key&gt;&lt;/foreign-keys&gt;&lt;ref-type name="Journal Article"&gt;17&lt;/ref-type&gt;&lt;contributors&gt;&lt;authors&gt;&lt;author&gt;Hwang, J.H.&lt;/author&gt;&lt;author&gt;Park, S.W.&lt;/author&gt;&lt;/authors&gt;&lt;/contributors&gt;&lt;titles&gt;&lt;title&gt;Age at smoking initiation and subsequent smoking among Korean adolescent smokers&lt;/title&gt;&lt;secondary-title&gt;Journal of preventive medicine and public health = Yebang Uihakhoe chi&lt;/secondary-title&gt;&lt;/titles&gt;&lt;periodical&gt;&lt;full-title&gt;Journal of preventive medicine and public health = Yebang Uihakhoe chi&lt;/full-title&gt;&lt;/periodical&gt;&lt;pages&gt;266-272&lt;/pages&gt;&lt;volume&gt;47&lt;/volume&gt;&lt;number&gt;5&lt;/number&gt;&lt;edition&gt;09/12&lt;/edition&gt;&lt;dates&gt;&lt;year&gt;2014&lt;/year&gt;&lt;/dates&gt;&lt;publisher&gt;Korean Society for Preventive Medicine&lt;/publisher&gt;&lt;isbn&gt;2233-4521&amp;#xD;1975-8375&lt;/isbn&gt;&lt;accession-num&gt;25284198&lt;/accession-num&gt;&lt;urls&gt;&lt;related-urls&gt;&lt;url&gt;https://www.ncbi.nlm.nih.gov/pubmed/25284198&lt;/url&gt;&lt;url&gt;https://www.ncbi.nlm.nih.gov/pmc/PMC4186550/&lt;/url&gt;&lt;/related-urls&gt;&lt;/urls&gt;&lt;electronic-resource-num&gt;10.3961/jpmph.14.032&lt;/electronic-resource-num&gt;&lt;remote-database-name&gt;PubMed&lt;/remote-database-name&gt;&lt;/record&gt;&lt;/Cite&gt;&lt;/EndNote&gt;</w:instrText>
      </w:r>
      <w:r w:rsidR="00D2134A">
        <w:rPr>
          <w:rFonts w:eastAsia="Calibri" w:cs="Times New Roman"/>
        </w:rPr>
        <w:fldChar w:fldCharType="separate"/>
      </w:r>
      <w:r w:rsidR="00D2134A">
        <w:rPr>
          <w:rFonts w:eastAsia="Calibri" w:cs="Times New Roman"/>
          <w:noProof/>
        </w:rPr>
        <w:t>(</w:t>
      </w:r>
      <w:hyperlink w:anchor="_ENREF_34" w:tooltip="Hwang, 2014 #315" w:history="1">
        <w:r w:rsidR="00A234A9">
          <w:rPr>
            <w:rFonts w:eastAsia="Calibri" w:cs="Times New Roman"/>
            <w:noProof/>
          </w:rPr>
          <w:t>34</w:t>
        </w:r>
      </w:hyperlink>
      <w:r w:rsidR="00D2134A">
        <w:rPr>
          <w:rFonts w:eastAsia="Calibri" w:cs="Times New Roman"/>
          <w:noProof/>
        </w:rPr>
        <w:t>)</w:t>
      </w:r>
      <w:r w:rsidR="00D2134A">
        <w:rPr>
          <w:rFonts w:eastAsia="Calibri" w:cs="Times New Roman"/>
        </w:rPr>
        <w:fldChar w:fldCharType="end"/>
      </w:r>
      <w:r>
        <w:rPr>
          <w:rFonts w:eastAsia="Calibri" w:cs="Times New Roman"/>
        </w:rPr>
        <w:t xml:space="preserve">. Kendler et al. </w:t>
      </w:r>
      <w:r w:rsidR="00D2134A">
        <w:rPr>
          <w:rFonts w:eastAsia="Calibri" w:cs="Times New Roman"/>
        </w:rPr>
        <w:fldChar w:fldCharType="begin"/>
      </w:r>
      <w:r w:rsidR="00D2134A">
        <w:rPr>
          <w:rFonts w:eastAsia="Calibri" w:cs="Times New Roman"/>
        </w:rPr>
        <w:instrText xml:space="preserve"> ADDIN EN.CITE &lt;EndNote&gt;&lt;Cite&gt;&lt;Author&gt;Kendler&lt;/Author&gt;&lt;Year&gt;2013&lt;/Year&gt;&lt;RecNum&gt;137&lt;/RecNum&gt;&lt;DisplayText&gt;(35)&lt;/DisplayText&gt;&lt;record&gt;&lt;rec-number&gt;137&lt;/rec-number&gt;&lt;foreign-keys&gt;&lt;key app="EN" db-id="a2vz2dfp8xrad6exes75zwpiw5rxwa0vwapv" timestamp="0"&gt;137&lt;/key&gt;&lt;/foreign-keys&gt;&lt;ref-type name="Journal Article"&gt;17&lt;/ref-type&gt;&lt;contributors&gt;&lt;authors&gt;&lt;author&gt;Kendler, K. S.&lt;/author&gt;&lt;author&gt;Myers, J.&lt;/author&gt;&lt;author&gt;Damaj, M. I.&lt;/author&gt;&lt;author&gt;Chen, X.&lt;/author&gt;&lt;/authors&gt;&lt;/contributors&gt;&lt;auth-address&gt;Department of Psychiatry, Virginia Commonwealth University School of Medicine, Richmond, USA. kendler@vcu.edu&lt;/auth-address&gt;&lt;titles&gt;&lt;title&gt;Early smoking onset and risk for subsequent nicotine dependence: a monozygotic co-twin control study&lt;/title&gt;&lt;secondary-title&gt;Am J Psychiatry&lt;/secondary-title&gt;&lt;alt-title&gt;The American journal of psychiatry&lt;/alt-title&gt;&lt;/titles&gt;&lt;pages&gt;408-13&lt;/pages&gt;&lt;volume&gt;170&lt;/volume&gt;&lt;number&gt;4&lt;/number&gt;&lt;edition&gt;2013/01/16&lt;/edition&gt;&lt;keywords&gt;&lt;keyword&gt;Adult&lt;/keyword&gt;&lt;keyword&gt;Age of Onset&lt;/keyword&gt;&lt;keyword&gt;Behavior, Addictive/epidemiology&lt;/keyword&gt;&lt;keyword&gt;Female&lt;/keyword&gt;&lt;keyword&gt;Humans&lt;/keyword&gt;&lt;keyword&gt;Male&lt;/keyword&gt;&lt;keyword&gt;Risk Factors&lt;/keyword&gt;&lt;keyword&gt;Sex Characteristics&lt;/keyword&gt;&lt;keyword&gt;Smoking/*epidemiology&lt;/keyword&gt;&lt;keyword&gt;Substance-Related Disorders/epidemiology&lt;/keyword&gt;&lt;keyword&gt;Tobacco Use Disorder/*epidemiology&lt;/keyword&gt;&lt;keyword&gt;Twins, Monozygotic/*psychology&lt;/keyword&gt;&lt;keyword&gt;Virginia&lt;/keyword&gt;&lt;/keywords&gt;&lt;dates&gt;&lt;year&gt;2013&lt;/year&gt;&lt;pub-dates&gt;&lt;date&gt;Apr&lt;/date&gt;&lt;/pub-dates&gt;&lt;/dates&gt;&lt;isbn&gt;0002-953x&lt;/isbn&gt;&lt;accession-num&gt;23318372&lt;/accession-num&gt;&lt;urls&gt;&lt;/urls&gt;&lt;custom2&gt;PMC3615117&lt;/custom2&gt;&lt;custom6&gt;NIHMS440149&lt;/custom6&gt;&lt;electronic-resource-num&gt;10.1176/appi.ajp.2012.12030321&lt;/electronic-resource-num&gt;&lt;remote-database-provider&gt;NLM&lt;/remote-database-provider&gt;&lt;language&gt;eng&lt;/language&gt;&lt;/record&gt;&lt;/Cite&gt;&lt;/EndNote&gt;</w:instrText>
      </w:r>
      <w:r w:rsidR="00D2134A">
        <w:rPr>
          <w:rFonts w:eastAsia="Calibri" w:cs="Times New Roman"/>
        </w:rPr>
        <w:fldChar w:fldCharType="separate"/>
      </w:r>
      <w:r w:rsidR="00D2134A">
        <w:rPr>
          <w:rFonts w:eastAsia="Calibri" w:cs="Times New Roman"/>
          <w:noProof/>
        </w:rPr>
        <w:t>(</w:t>
      </w:r>
      <w:hyperlink w:anchor="_ENREF_35" w:tooltip="Kendler, 2013 #137" w:history="1">
        <w:r w:rsidR="00A234A9">
          <w:rPr>
            <w:rFonts w:eastAsia="Calibri" w:cs="Times New Roman"/>
            <w:noProof/>
          </w:rPr>
          <w:t>35</w:t>
        </w:r>
      </w:hyperlink>
      <w:r w:rsidR="00D2134A">
        <w:rPr>
          <w:rFonts w:eastAsia="Calibri" w:cs="Times New Roman"/>
          <w:noProof/>
        </w:rPr>
        <w:t>)</w:t>
      </w:r>
      <w:r w:rsidR="00D2134A">
        <w:rPr>
          <w:rFonts w:eastAsia="Calibri" w:cs="Times New Roman"/>
        </w:rPr>
        <w:fldChar w:fldCharType="end"/>
      </w:r>
      <w:r>
        <w:rPr>
          <w:rFonts w:eastAsia="Calibri" w:cs="Times New Roman"/>
        </w:rPr>
        <w:t xml:space="preserve"> rep</w:t>
      </w:r>
      <w:r w:rsidRPr="00A0218A">
        <w:rPr>
          <w:rFonts w:eastAsia="Calibri" w:cs="Times New Roman"/>
        </w:rPr>
        <w:t>orted on effect sizes of the association of age at initiation with the Fagerström Test for Nicotine Dependence (FTND) and smoking craving in monozygotic twin pairs of both genders. The twin with an earlier age at initiation scored significantly higher on the FTND and on a craving scale</w:t>
      </w:r>
      <w:r>
        <w:rPr>
          <w:rFonts w:eastAsia="Calibri" w:cs="Times New Roman"/>
        </w:rPr>
        <w:t xml:space="preserve"> </w:t>
      </w:r>
      <w:r w:rsidR="00D2134A">
        <w:rPr>
          <w:rFonts w:eastAsia="Calibri" w:cs="Times New Roman"/>
        </w:rPr>
        <w:fldChar w:fldCharType="begin"/>
      </w:r>
      <w:r w:rsidR="00D2134A">
        <w:rPr>
          <w:rFonts w:eastAsia="Calibri" w:cs="Times New Roman"/>
        </w:rPr>
        <w:instrText xml:space="preserve"> ADDIN EN.CITE &lt;EndNote&gt;&lt;Cite&gt;&lt;Author&gt;Kendler&lt;/Author&gt;&lt;Year&gt;2013&lt;/Year&gt;&lt;RecNum&gt;137&lt;/RecNum&gt;&lt;DisplayText&gt;(35)&lt;/DisplayText&gt;&lt;record&gt;&lt;rec-number&gt;137&lt;/rec-number&gt;&lt;foreign-keys&gt;&lt;key app="EN" db-id="a2vz2dfp8xrad6exes75zwpiw5rxwa0vwapv" timestamp="0"&gt;137&lt;/key&gt;&lt;/foreign-keys&gt;&lt;ref-type name="Journal Article"&gt;17&lt;/ref-type&gt;&lt;contributors&gt;&lt;authors&gt;&lt;author&gt;Kendler, K. S.&lt;/author&gt;&lt;author&gt;Myers, J.&lt;/author&gt;&lt;author&gt;Damaj, M. I.&lt;/author&gt;&lt;author&gt;Chen, X.&lt;/author&gt;&lt;/authors&gt;&lt;/contributors&gt;&lt;auth-address&gt;Department of Psychiatry, Virginia Commonwealth University School of Medicine, Richmond, USA. kendler@vcu.edu&lt;/auth-address&gt;&lt;titles&gt;&lt;title&gt;Early smoking onset and risk for subsequent nicotine dependence: a monozygotic co-twin control study&lt;/title&gt;&lt;secondary-title&gt;Am J Psychiatry&lt;/secondary-title&gt;&lt;alt-title&gt;The American journal of psychiatry&lt;/alt-title&gt;&lt;/titles&gt;&lt;pages&gt;408-13&lt;/pages&gt;&lt;volume&gt;170&lt;/volume&gt;&lt;number&gt;4&lt;/number&gt;&lt;edition&gt;2013/01/16&lt;/edition&gt;&lt;keywords&gt;&lt;keyword&gt;Adult&lt;/keyword&gt;&lt;keyword&gt;Age of Onset&lt;/keyword&gt;&lt;keyword&gt;Behavior, Addictive/epidemiology&lt;/keyword&gt;&lt;keyword&gt;Female&lt;/keyword&gt;&lt;keyword&gt;Humans&lt;/keyword&gt;&lt;keyword&gt;Male&lt;/keyword&gt;&lt;keyword&gt;Risk Factors&lt;/keyword&gt;&lt;keyword&gt;Sex Characteristics&lt;/keyword&gt;&lt;keyword&gt;Smoking/*epidemiology&lt;/keyword&gt;&lt;keyword&gt;Substance-Related Disorders/epidemiology&lt;/keyword&gt;&lt;keyword&gt;Tobacco Use Disorder/*epidemiology&lt;/keyword&gt;&lt;keyword&gt;Twins, Monozygotic/*psychology&lt;/keyword&gt;&lt;keyword&gt;Virginia&lt;/keyword&gt;&lt;/keywords&gt;&lt;dates&gt;&lt;year&gt;2013&lt;/year&gt;&lt;pub-dates&gt;&lt;date&gt;Apr&lt;/date&gt;&lt;/pub-dates&gt;&lt;/dates&gt;&lt;isbn&gt;0002-953x&lt;/isbn&gt;&lt;accession-num&gt;23318372&lt;/accession-num&gt;&lt;urls&gt;&lt;/urls&gt;&lt;custom2&gt;PMC3615117&lt;/custom2&gt;&lt;custom6&gt;NIHMS440149&lt;/custom6&gt;&lt;electronic-resource-num&gt;10.1176/appi.ajp.2012.12030321&lt;/electronic-resource-num&gt;&lt;remote-database-provider&gt;NLM&lt;/remote-database-provider&gt;&lt;language&gt;eng&lt;/language&gt;&lt;/record&gt;&lt;/Cite&gt;&lt;/EndNote&gt;</w:instrText>
      </w:r>
      <w:r w:rsidR="00D2134A">
        <w:rPr>
          <w:rFonts w:eastAsia="Calibri" w:cs="Times New Roman"/>
        </w:rPr>
        <w:fldChar w:fldCharType="separate"/>
      </w:r>
      <w:r w:rsidR="00D2134A">
        <w:rPr>
          <w:rFonts w:eastAsia="Calibri" w:cs="Times New Roman"/>
          <w:noProof/>
        </w:rPr>
        <w:t>(</w:t>
      </w:r>
      <w:hyperlink w:anchor="_ENREF_35" w:tooltip="Kendler, 2013 #137" w:history="1">
        <w:r w:rsidR="00A234A9">
          <w:rPr>
            <w:rFonts w:eastAsia="Calibri" w:cs="Times New Roman"/>
            <w:noProof/>
          </w:rPr>
          <w:t>35</w:t>
        </w:r>
      </w:hyperlink>
      <w:r w:rsidR="00D2134A">
        <w:rPr>
          <w:rFonts w:eastAsia="Calibri" w:cs="Times New Roman"/>
          <w:noProof/>
        </w:rPr>
        <w:t>)</w:t>
      </w:r>
      <w:r w:rsidR="00D2134A">
        <w:rPr>
          <w:rFonts w:eastAsia="Calibri" w:cs="Times New Roman"/>
        </w:rPr>
        <w:fldChar w:fldCharType="end"/>
      </w:r>
      <w:r>
        <w:rPr>
          <w:rFonts w:eastAsia="Calibri" w:cs="Times New Roman"/>
        </w:rPr>
        <w:t xml:space="preserve">. </w:t>
      </w:r>
      <w:r w:rsidRPr="00A0218A">
        <w:rPr>
          <w:rFonts w:eastAsia="Calibri" w:cs="Times New Roman"/>
        </w:rPr>
        <w:t>Overall, age at initiation of cigarette use qualified as psychometrically “Acceptable” among adults and youth, because supportive evidence was available for both reliability and validity amongst the U.S. population and the key demographic subgroups</w:t>
      </w:r>
      <w:r>
        <w:rPr>
          <w:rFonts w:eastAsia="Calibri" w:cs="Times New Roman"/>
        </w:rPr>
        <w:t>.</w:t>
      </w:r>
    </w:p>
    <w:p w14:paraId="03F26322" w14:textId="0A8A2BD3" w:rsidR="00EA69AA" w:rsidRPr="00A0218A" w:rsidRDefault="00EA69AA" w:rsidP="00EA69AA">
      <w:pPr>
        <w:spacing w:after="120" w:line="240" w:lineRule="auto"/>
        <w:jc w:val="both"/>
        <w:rPr>
          <w:rFonts w:eastAsia="Calibri" w:cs="Times New Roman"/>
        </w:rPr>
      </w:pPr>
      <w:r>
        <w:rPr>
          <w:rFonts w:eastAsia="Calibri" w:cs="Times New Roman"/>
        </w:rPr>
        <w:t>Five</w:t>
      </w:r>
      <w:r w:rsidRPr="00A0218A">
        <w:rPr>
          <w:rFonts w:eastAsia="Calibri" w:cs="Times New Roman"/>
        </w:rPr>
        <w:t xml:space="preserve"> studies reported on temporal reliability of </w:t>
      </w:r>
      <w:r>
        <w:rPr>
          <w:rFonts w:eastAsia="Calibri" w:cs="Times New Roman"/>
        </w:rPr>
        <w:t>initiation and progression to regular smoking/increase in smoking over time</w:t>
      </w:r>
      <w:r w:rsidRPr="00A0218A">
        <w:rPr>
          <w:rFonts w:eastAsia="Calibri" w:cs="Times New Roman"/>
        </w:rPr>
        <w:t xml:space="preserve"> through test-retest assessments</w:t>
      </w:r>
      <w:r>
        <w:rPr>
          <w:rFonts w:eastAsia="Calibri" w:cs="Times New Roman"/>
        </w:rPr>
        <w:t xml:space="preserve"> </w:t>
      </w:r>
      <w:r w:rsidR="00D2134A">
        <w:rPr>
          <w:rFonts w:eastAsia="Calibri" w:cs="Times New Roman"/>
        </w:rPr>
        <w:fldChar w:fldCharType="begin">
          <w:fldData xml:space="preserve">PEVuZE5vdGU+PENpdGU+PEF1dGhvcj5Db2xieTwvQXV0aG9yPjxZZWFyPjIwMTI8L1llYXI+PFJl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</w:fldData>
        </w:fldChar>
      </w:r>
      <w:r w:rsidR="00D2134A">
        <w:rPr>
          <w:rFonts w:eastAsia="Calibri" w:cs="Times New Roman"/>
        </w:rPr>
        <w:instrText xml:space="preserve"> ADDIN EN.CITE </w:instrText>
      </w:r>
      <w:r w:rsidR="00D2134A">
        <w:rPr>
          <w:rFonts w:eastAsia="Calibri" w:cs="Times New Roman"/>
        </w:rPr>
        <w:fldChar w:fldCharType="begin">
          <w:fldData xml:space="preserve">PEVuZE5vdGU+PENpdGU+PEF1dGhvcj5Db2xieTwvQXV0aG9yPjxZZWFyPjIwMTI8L1llYXI+PFJl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</w:fldData>
        </w:fldChar>
      </w:r>
      <w:r w:rsidR="00D2134A">
        <w:rPr>
          <w:rFonts w:eastAsia="Calibri" w:cs="Times New Roman"/>
        </w:rPr>
        <w:instrText xml:space="preserve"> ADDIN EN.CITE.DATA </w:instrText>
      </w:r>
      <w:r w:rsidR="00D2134A">
        <w:rPr>
          <w:rFonts w:eastAsia="Calibri" w:cs="Times New Roman"/>
        </w:rPr>
      </w:r>
      <w:r w:rsidR="00D2134A">
        <w:rPr>
          <w:rFonts w:eastAsia="Calibri" w:cs="Times New Roman"/>
        </w:rPr>
        <w:fldChar w:fldCharType="end"/>
      </w:r>
      <w:r w:rsidR="00D2134A">
        <w:rPr>
          <w:rFonts w:eastAsia="Calibri" w:cs="Times New Roman"/>
        </w:rPr>
        <w:fldChar w:fldCharType="separate"/>
      </w:r>
      <w:r w:rsidR="00D2134A">
        <w:rPr>
          <w:rFonts w:eastAsia="Calibri" w:cs="Times New Roman"/>
          <w:noProof/>
        </w:rPr>
        <w:t>(</w:t>
      </w:r>
      <w:hyperlink w:anchor="_ENREF_29" w:tooltip="Colby, 2012 #311" w:history="1">
        <w:r w:rsidR="00A234A9">
          <w:rPr>
            <w:rFonts w:eastAsia="Calibri" w:cs="Times New Roman"/>
            <w:noProof/>
          </w:rPr>
          <w:t>29</w:t>
        </w:r>
      </w:hyperlink>
      <w:r w:rsidR="00D2134A">
        <w:rPr>
          <w:rFonts w:eastAsia="Calibri" w:cs="Times New Roman"/>
          <w:noProof/>
        </w:rPr>
        <w:t xml:space="preserve">, </w:t>
      </w:r>
      <w:hyperlink w:anchor="_ENREF_30" w:tooltip="Grant, 2003 #133" w:history="1">
        <w:r w:rsidR="00A234A9">
          <w:rPr>
            <w:rFonts w:eastAsia="Calibri" w:cs="Times New Roman"/>
            <w:noProof/>
          </w:rPr>
          <w:t>30</w:t>
        </w:r>
      </w:hyperlink>
      <w:r w:rsidR="00D2134A">
        <w:rPr>
          <w:rFonts w:eastAsia="Calibri" w:cs="Times New Roman"/>
          <w:noProof/>
        </w:rPr>
        <w:t xml:space="preserve">, </w:t>
      </w:r>
      <w:hyperlink w:anchor="_ENREF_39" w:tooltip="Eppel, 2006 #312" w:history="1">
        <w:r w:rsidR="00A234A9">
          <w:rPr>
            <w:rFonts w:eastAsia="Calibri" w:cs="Times New Roman"/>
            <w:noProof/>
          </w:rPr>
          <w:t>39</w:t>
        </w:r>
      </w:hyperlink>
      <w:r w:rsidR="00D2134A">
        <w:rPr>
          <w:rFonts w:eastAsia="Calibri" w:cs="Times New Roman"/>
          <w:noProof/>
        </w:rPr>
        <w:t xml:space="preserve">, </w:t>
      </w:r>
      <w:hyperlink w:anchor="_ENREF_40" w:tooltip="Huerta, 2005 #314" w:history="1">
        <w:r w:rsidR="00A234A9">
          <w:rPr>
            <w:rFonts w:eastAsia="Calibri" w:cs="Times New Roman"/>
            <w:noProof/>
          </w:rPr>
          <w:t>40</w:t>
        </w:r>
      </w:hyperlink>
      <w:r w:rsidR="00D2134A">
        <w:rPr>
          <w:rFonts w:eastAsia="Calibri" w:cs="Times New Roman"/>
          <w:noProof/>
        </w:rPr>
        <w:t xml:space="preserve">, </w:t>
      </w:r>
      <w:hyperlink w:anchor="_ENREF_42" w:tooltip="Stanton, 1996 #313" w:history="1">
        <w:r w:rsidR="00A234A9">
          <w:rPr>
            <w:rFonts w:eastAsia="Calibri" w:cs="Times New Roman"/>
            <w:noProof/>
          </w:rPr>
          <w:t>42</w:t>
        </w:r>
      </w:hyperlink>
      <w:r w:rsidR="00D2134A">
        <w:rPr>
          <w:rFonts w:eastAsia="Calibri" w:cs="Times New Roman"/>
          <w:noProof/>
        </w:rPr>
        <w:t>)</w:t>
      </w:r>
      <w:r w:rsidR="00D2134A">
        <w:rPr>
          <w:rFonts w:eastAsia="Calibri" w:cs="Times New Roman"/>
        </w:rPr>
        <w:fldChar w:fldCharType="end"/>
      </w:r>
      <w:r>
        <w:rPr>
          <w:rFonts w:eastAsia="Calibri" w:cs="Times New Roman"/>
        </w:rPr>
        <w:t xml:space="preserve">. </w:t>
      </w:r>
      <w:r w:rsidRPr="00A0218A">
        <w:rPr>
          <w:rFonts w:eastAsia="Calibri" w:cs="Times New Roman"/>
        </w:rPr>
        <w:t xml:space="preserve">Test-retest intervals ranged from </w:t>
      </w:r>
      <w:r>
        <w:rPr>
          <w:rFonts w:eastAsia="Calibri" w:cs="Times New Roman"/>
        </w:rPr>
        <w:t>three</w:t>
      </w:r>
      <w:r w:rsidRPr="00A0218A">
        <w:rPr>
          <w:rFonts w:eastAsia="Calibri" w:cs="Times New Roman"/>
        </w:rPr>
        <w:t xml:space="preserve"> weeks to four years. </w:t>
      </w:r>
      <w:r>
        <w:rPr>
          <w:rFonts w:eastAsia="Calibri" w:cs="Times New Roman"/>
        </w:rPr>
        <w:t>Two</w:t>
      </w:r>
      <w:r w:rsidRPr="00A0218A">
        <w:rPr>
          <w:rFonts w:eastAsia="Calibri" w:cs="Times New Roman"/>
        </w:rPr>
        <w:t xml:space="preserve"> of the </w:t>
      </w:r>
      <w:r>
        <w:rPr>
          <w:rFonts w:eastAsia="Calibri" w:cs="Times New Roman"/>
        </w:rPr>
        <w:t>five</w:t>
      </w:r>
      <w:r w:rsidRPr="00A0218A">
        <w:rPr>
          <w:rFonts w:eastAsia="Calibri" w:cs="Times New Roman"/>
        </w:rPr>
        <w:t xml:space="preserve"> studies reported an intraclass correlation coefficient (ICC) above </w:t>
      </w:r>
      <w:r w:rsidRPr="00A0218A">
        <w:rPr>
          <w:rFonts w:eastAsia="Calibri" w:cs="Times New Roman"/>
        </w:rPr>
        <w:lastRenderedPageBreak/>
        <w:t>the established cut-point of 0.70</w:t>
      </w:r>
      <w:r>
        <w:rPr>
          <w:rFonts w:eastAsia="Calibri" w:cs="Times New Roman"/>
        </w:rPr>
        <w:t xml:space="preserve"> </w:t>
      </w:r>
      <w:r w:rsidR="00D2134A">
        <w:rPr>
          <w:rFonts w:eastAsia="Calibri" w:cs="Times New Roman"/>
        </w:rPr>
        <w:fldChar w:fldCharType="begin">
          <w:fldData xml:space="preserve">PEVuZE5vdGU+PENpdGU+PEF1dGhvcj5HcmFudDwvQXV0aG9yPjxZZWFyPjIwMDM8L1llYXI+PFJl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</w:fldData>
        </w:fldChar>
      </w:r>
      <w:r w:rsidR="00D2134A">
        <w:rPr>
          <w:rFonts w:eastAsia="Calibri" w:cs="Times New Roman"/>
        </w:rPr>
        <w:instrText xml:space="preserve"> ADDIN EN.CITE </w:instrText>
      </w:r>
      <w:r w:rsidR="00D2134A">
        <w:rPr>
          <w:rFonts w:eastAsia="Calibri" w:cs="Times New Roman"/>
        </w:rPr>
        <w:fldChar w:fldCharType="begin">
          <w:fldData xml:space="preserve">PEVuZE5vdGU+PENpdGU+PEF1dGhvcj5HcmFudDwvQXV0aG9yPjxZZWFyPjIwMDM8L1llYXI+PFJl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</w:fldData>
        </w:fldChar>
      </w:r>
      <w:r w:rsidR="00D2134A">
        <w:rPr>
          <w:rFonts w:eastAsia="Calibri" w:cs="Times New Roman"/>
        </w:rPr>
        <w:instrText xml:space="preserve"> ADDIN EN.CITE.DATA </w:instrText>
      </w:r>
      <w:r w:rsidR="00D2134A">
        <w:rPr>
          <w:rFonts w:eastAsia="Calibri" w:cs="Times New Roman"/>
        </w:rPr>
      </w:r>
      <w:r w:rsidR="00D2134A">
        <w:rPr>
          <w:rFonts w:eastAsia="Calibri" w:cs="Times New Roman"/>
        </w:rPr>
        <w:fldChar w:fldCharType="end"/>
      </w:r>
      <w:r w:rsidR="00D2134A">
        <w:rPr>
          <w:rFonts w:eastAsia="Calibri" w:cs="Times New Roman"/>
        </w:rPr>
        <w:fldChar w:fldCharType="separate"/>
      </w:r>
      <w:r w:rsidR="00D2134A">
        <w:rPr>
          <w:rFonts w:eastAsia="Calibri" w:cs="Times New Roman"/>
          <w:noProof/>
        </w:rPr>
        <w:t>(</w:t>
      </w:r>
      <w:hyperlink w:anchor="_ENREF_30" w:tooltip="Grant, 2003 #133" w:history="1">
        <w:r w:rsidR="00A234A9">
          <w:rPr>
            <w:rFonts w:eastAsia="Calibri" w:cs="Times New Roman"/>
            <w:noProof/>
          </w:rPr>
          <w:t>30</w:t>
        </w:r>
      </w:hyperlink>
      <w:r w:rsidR="00D2134A">
        <w:rPr>
          <w:rFonts w:eastAsia="Calibri" w:cs="Times New Roman"/>
          <w:noProof/>
        </w:rPr>
        <w:t xml:space="preserve">, </w:t>
      </w:r>
      <w:hyperlink w:anchor="_ENREF_40" w:tooltip="Huerta, 2005 #314" w:history="1">
        <w:r w:rsidR="00A234A9">
          <w:rPr>
            <w:rFonts w:eastAsia="Calibri" w:cs="Times New Roman"/>
            <w:noProof/>
          </w:rPr>
          <w:t>40</w:t>
        </w:r>
      </w:hyperlink>
      <w:r w:rsidR="00D2134A">
        <w:rPr>
          <w:rFonts w:eastAsia="Calibri" w:cs="Times New Roman"/>
          <w:noProof/>
        </w:rPr>
        <w:t>)</w:t>
      </w:r>
      <w:r w:rsidR="00D2134A">
        <w:rPr>
          <w:rFonts w:eastAsia="Calibri" w:cs="Times New Roman"/>
        </w:rPr>
        <w:fldChar w:fldCharType="end"/>
      </w:r>
      <w:r>
        <w:rPr>
          <w:rFonts w:eastAsia="Calibri" w:cs="Times New Roman"/>
        </w:rPr>
        <w:t xml:space="preserve">. Among the total five </w:t>
      </w:r>
      <w:r w:rsidRPr="00A0218A">
        <w:rPr>
          <w:rFonts w:eastAsia="Calibri" w:cs="Times New Roman"/>
        </w:rPr>
        <w:t xml:space="preserve">studies, </w:t>
      </w:r>
      <w:r>
        <w:rPr>
          <w:rFonts w:eastAsia="Calibri" w:cs="Times New Roman"/>
        </w:rPr>
        <w:t>four</w:t>
      </w:r>
      <w:r w:rsidRPr="00A0218A">
        <w:rPr>
          <w:rFonts w:eastAsia="Calibri" w:cs="Times New Roman"/>
        </w:rPr>
        <w:t xml:space="preserve"> were in adults only</w:t>
      </w:r>
      <w:r>
        <w:rPr>
          <w:rFonts w:eastAsia="Calibri" w:cs="Times New Roman"/>
        </w:rPr>
        <w:t xml:space="preserve"> </w:t>
      </w:r>
      <w:r w:rsidR="00D2134A">
        <w:rPr>
          <w:rFonts w:eastAsia="Calibri" w:cs="Times New Roman"/>
        </w:rPr>
        <w:fldChar w:fldCharType="begin">
          <w:fldData xml:space="preserve">PEVuZE5vdGU+PENpdGU+PEF1dGhvcj5Db2xieTwvQXV0aG9yPjxZZWFyPjIwMTI8L1llYXI+PFJl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=
</w:fldData>
        </w:fldChar>
      </w:r>
      <w:r w:rsidR="00D2134A">
        <w:rPr>
          <w:rFonts w:eastAsia="Calibri" w:cs="Times New Roman"/>
        </w:rPr>
        <w:instrText xml:space="preserve"> ADDIN EN.CITE </w:instrText>
      </w:r>
      <w:r w:rsidR="00D2134A">
        <w:rPr>
          <w:rFonts w:eastAsia="Calibri" w:cs="Times New Roman"/>
        </w:rPr>
        <w:fldChar w:fldCharType="begin">
          <w:fldData xml:space="preserve">PEVuZE5vdGU+PENpdGU+PEF1dGhvcj5Db2xieTwvQXV0aG9yPjxZZWFyPjIwMTI8L1llYXI+PFJl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=
</w:fldData>
        </w:fldChar>
      </w:r>
      <w:r w:rsidR="00D2134A">
        <w:rPr>
          <w:rFonts w:eastAsia="Calibri" w:cs="Times New Roman"/>
        </w:rPr>
        <w:instrText xml:space="preserve"> ADDIN EN.CITE.DATA </w:instrText>
      </w:r>
      <w:r w:rsidR="00D2134A">
        <w:rPr>
          <w:rFonts w:eastAsia="Calibri" w:cs="Times New Roman"/>
        </w:rPr>
      </w:r>
      <w:r w:rsidR="00D2134A">
        <w:rPr>
          <w:rFonts w:eastAsia="Calibri" w:cs="Times New Roman"/>
        </w:rPr>
        <w:fldChar w:fldCharType="end"/>
      </w:r>
      <w:r w:rsidR="00D2134A">
        <w:rPr>
          <w:rFonts w:eastAsia="Calibri" w:cs="Times New Roman"/>
        </w:rPr>
        <w:fldChar w:fldCharType="separate"/>
      </w:r>
      <w:r w:rsidR="00D2134A">
        <w:rPr>
          <w:rFonts w:eastAsia="Calibri" w:cs="Times New Roman"/>
          <w:noProof/>
        </w:rPr>
        <w:t>(</w:t>
      </w:r>
      <w:hyperlink w:anchor="_ENREF_29" w:tooltip="Colby, 2012 #311" w:history="1">
        <w:r w:rsidR="00A234A9">
          <w:rPr>
            <w:rFonts w:eastAsia="Calibri" w:cs="Times New Roman"/>
            <w:noProof/>
          </w:rPr>
          <w:t>29</w:t>
        </w:r>
      </w:hyperlink>
      <w:r w:rsidR="00D2134A">
        <w:rPr>
          <w:rFonts w:eastAsia="Calibri" w:cs="Times New Roman"/>
          <w:noProof/>
        </w:rPr>
        <w:t xml:space="preserve">, </w:t>
      </w:r>
      <w:hyperlink w:anchor="_ENREF_30" w:tooltip="Grant, 2003 #133" w:history="1">
        <w:r w:rsidR="00A234A9">
          <w:rPr>
            <w:rFonts w:eastAsia="Calibri" w:cs="Times New Roman"/>
            <w:noProof/>
          </w:rPr>
          <w:t>30</w:t>
        </w:r>
      </w:hyperlink>
      <w:r w:rsidR="00D2134A">
        <w:rPr>
          <w:rFonts w:eastAsia="Calibri" w:cs="Times New Roman"/>
          <w:noProof/>
        </w:rPr>
        <w:t xml:space="preserve">, </w:t>
      </w:r>
      <w:hyperlink w:anchor="_ENREF_40" w:tooltip="Huerta, 2005 #314" w:history="1">
        <w:r w:rsidR="00A234A9">
          <w:rPr>
            <w:rFonts w:eastAsia="Calibri" w:cs="Times New Roman"/>
            <w:noProof/>
          </w:rPr>
          <w:t>40</w:t>
        </w:r>
      </w:hyperlink>
      <w:r w:rsidR="00D2134A">
        <w:rPr>
          <w:rFonts w:eastAsia="Calibri" w:cs="Times New Roman"/>
          <w:noProof/>
        </w:rPr>
        <w:t xml:space="preserve">, </w:t>
      </w:r>
      <w:hyperlink w:anchor="_ENREF_42" w:tooltip="Stanton, 1996 #313" w:history="1">
        <w:r w:rsidR="00A234A9">
          <w:rPr>
            <w:rFonts w:eastAsia="Calibri" w:cs="Times New Roman"/>
            <w:noProof/>
          </w:rPr>
          <w:t>42</w:t>
        </w:r>
      </w:hyperlink>
      <w:r w:rsidR="00D2134A">
        <w:rPr>
          <w:rFonts w:eastAsia="Calibri" w:cs="Times New Roman"/>
          <w:noProof/>
        </w:rPr>
        <w:t>)</w:t>
      </w:r>
      <w:r w:rsidR="00D2134A">
        <w:rPr>
          <w:rFonts w:eastAsia="Calibri" w:cs="Times New Roman"/>
        </w:rPr>
        <w:fldChar w:fldCharType="end"/>
      </w:r>
      <w:r>
        <w:rPr>
          <w:rFonts w:eastAsia="Calibri" w:cs="Times New Roman"/>
        </w:rPr>
        <w:t xml:space="preserve"> </w:t>
      </w:r>
      <w:r w:rsidRPr="00A0218A">
        <w:rPr>
          <w:rFonts w:eastAsia="Calibri" w:cs="Times New Roman"/>
        </w:rPr>
        <w:t>and one was in youth only</w:t>
      </w:r>
      <w:r>
        <w:rPr>
          <w:rFonts w:eastAsia="Calibri" w:cs="Times New Roman"/>
        </w:rPr>
        <w:t xml:space="preserve"> </w:t>
      </w:r>
      <w:r w:rsidR="00D2134A">
        <w:rPr>
          <w:rFonts w:eastAsia="Calibri" w:cs="Times New Roman"/>
        </w:rPr>
        <w:fldChar w:fldCharType="begin"/>
      </w:r>
      <w:r w:rsidR="00D2134A">
        <w:rPr>
          <w:rFonts w:eastAsia="Calibri" w:cs="Times New Roman"/>
        </w:rPr>
        <w:instrText xml:space="preserve"> ADDIN EN.CITE &lt;EndNote&gt;&lt;Cite&gt;&lt;Author&gt;Eppel&lt;/Author&gt;&lt;Year&gt;2006&lt;/Year&gt;&lt;RecNum&gt;312&lt;/RecNum&gt;&lt;DisplayText&gt;(39)&lt;/DisplayText&gt;&lt;record&gt;&lt;rec-number&gt;312&lt;/rec-number&gt;&lt;foreign-keys&gt;&lt;key app="EN" db-id="a2vz2dfp8xrad6exes75zwpiw5rxwa0vwapv" timestamp="1541527723"&gt;312&lt;/key&gt;&lt;/foreign-keys&gt;&lt;ref-type name="Journal Article"&gt;17&lt;/ref-type&gt;&lt;contributors&gt;&lt;authors&gt;&lt;author&gt;Eppel, A.&lt;/author&gt;&lt;author&gt;O&amp;apos;Loughlin, J.&lt;/author&gt;&lt;author&gt;Paradis, G.&lt;/author&gt;&lt;author&gt;Platt, R.&lt;/author&gt;&lt;/authors&gt;&lt;/contributors&gt;&lt;auth-address&gt;McGill University, Department of Epidemiology, Biostatistics, and Occupational Health, Montreal, Quebec, Canada.&lt;/auth-address&gt;&lt;titles&gt;&lt;title&gt;Reliability of self-reports of cigarette use in novice smokers&lt;/title&gt;&lt;secondary-title&gt;Addict Behav&lt;/secondary-title&gt;&lt;alt-title&gt;Addictive behaviors&lt;/alt-title&gt;&lt;/titles&gt;&lt;periodical&gt;&lt;full-title&gt;Addict Behav&lt;/full-title&gt;&lt;/periodical&gt;&lt;alt-periodical&gt;&lt;full-title&gt;Addictive Behaviors&lt;/full-title&gt;&lt;/alt-periodical&gt;&lt;pages&gt;1700-4&lt;/pages&gt;&lt;volume&gt;31&lt;/volume&gt;&lt;number&gt;9&lt;/number&gt;&lt;edition&gt;2005/12/20&lt;/edition&gt;&lt;keywords&gt;&lt;keyword&gt;Adolescent&lt;/keyword&gt;&lt;keyword&gt;Age Factors&lt;/keyword&gt;&lt;keyword&gt;Child&lt;/keyword&gt;&lt;keyword&gt;Female&lt;/keyword&gt;&lt;keyword&gt;Follow-Up Studies&lt;/keyword&gt;&lt;keyword&gt;Humans&lt;/keyword&gt;&lt;keyword&gt;Male&lt;/keyword&gt;&lt;keyword&gt;*Mental Recall&lt;/keyword&gt;&lt;keyword&gt;Psychometrics&lt;/keyword&gt;&lt;keyword&gt;Reproducibility of Results&lt;/keyword&gt;&lt;keyword&gt;*Self Disclosure&lt;/keyword&gt;&lt;keyword&gt;Smoking/*psychology&lt;/keyword&gt;&lt;/keywords&gt;&lt;dates&gt;&lt;year&gt;2006&lt;/year&gt;&lt;pub-dates&gt;&lt;date&gt;Sep&lt;/date&gt;&lt;/pub-dates&gt;&lt;/dates&gt;&lt;isbn&gt;0306-4603 (Print)&amp;#xD;0306-4603&lt;/isbn&gt;&lt;accession-num&gt;16359824&lt;/accession-num&gt;&lt;urls&gt;&lt;/urls&gt;&lt;electronic-resource-num&gt;10.1016/j.addbeh.2005.11.006&lt;/electronic-resource-num&gt;&lt;remote-database-provider&gt;NLM&lt;/remote-database-provider&gt;&lt;language&gt;eng&lt;/language&gt;&lt;/record&gt;&lt;/Cite&gt;&lt;/EndNote&gt;</w:instrText>
      </w:r>
      <w:r w:rsidR="00D2134A">
        <w:rPr>
          <w:rFonts w:eastAsia="Calibri" w:cs="Times New Roman"/>
        </w:rPr>
        <w:fldChar w:fldCharType="separate"/>
      </w:r>
      <w:r w:rsidR="00D2134A">
        <w:rPr>
          <w:rFonts w:eastAsia="Calibri" w:cs="Times New Roman"/>
          <w:noProof/>
        </w:rPr>
        <w:t>(</w:t>
      </w:r>
      <w:hyperlink w:anchor="_ENREF_39" w:tooltip="Eppel, 2006 #312" w:history="1">
        <w:r w:rsidR="00A234A9">
          <w:rPr>
            <w:rFonts w:eastAsia="Calibri" w:cs="Times New Roman"/>
            <w:noProof/>
          </w:rPr>
          <w:t>39</w:t>
        </w:r>
      </w:hyperlink>
      <w:r w:rsidR="00D2134A">
        <w:rPr>
          <w:rFonts w:eastAsia="Calibri" w:cs="Times New Roman"/>
          <w:noProof/>
        </w:rPr>
        <w:t>)</w:t>
      </w:r>
      <w:r w:rsidR="00D2134A">
        <w:rPr>
          <w:rFonts w:eastAsia="Calibri" w:cs="Times New Roman"/>
        </w:rPr>
        <w:fldChar w:fldCharType="end"/>
      </w:r>
      <w:r>
        <w:rPr>
          <w:rFonts w:eastAsia="Calibri" w:cs="Times New Roman"/>
        </w:rPr>
        <w:t>.</w:t>
      </w:r>
    </w:p>
    <w:p w14:paraId="04D1B57E" w14:textId="220D7FFC" w:rsidR="00EA69AA" w:rsidRDefault="00EA69AA" w:rsidP="00EA69AA">
      <w:pPr>
        <w:spacing w:after="120" w:line="240" w:lineRule="auto"/>
        <w:jc w:val="both"/>
        <w:rPr>
          <w:rFonts w:eastAsia="Calibri" w:cs="Times New Roman"/>
        </w:rPr>
      </w:pPr>
      <w:r w:rsidRPr="00A0218A">
        <w:rPr>
          <w:rFonts w:eastAsia="Calibri" w:cs="Times New Roman"/>
        </w:rPr>
        <w:t>Assessments of validity</w:t>
      </w:r>
      <w:r w:rsidRPr="00A0218A">
        <w:rPr>
          <w:rFonts w:eastAsia="Calibri" w:cs="Times New Roman"/>
          <w:b/>
        </w:rPr>
        <w:t xml:space="preserve"> </w:t>
      </w:r>
      <w:r w:rsidRPr="00A0218A">
        <w:rPr>
          <w:rFonts w:eastAsia="Calibri" w:cs="Times New Roman"/>
        </w:rPr>
        <w:t xml:space="preserve">of </w:t>
      </w:r>
      <w:r>
        <w:rPr>
          <w:rFonts w:eastAsia="Calibri" w:cs="Times New Roman"/>
        </w:rPr>
        <w:t xml:space="preserve">initiation and progression to regular smoking/increase in smoking over time </w:t>
      </w:r>
      <w:r w:rsidRPr="00A0218A">
        <w:rPr>
          <w:rFonts w:eastAsia="Calibri" w:cs="Times New Roman"/>
        </w:rPr>
        <w:t xml:space="preserve">were found in </w:t>
      </w:r>
      <w:r>
        <w:rPr>
          <w:rFonts w:eastAsia="Calibri" w:cs="Times New Roman"/>
        </w:rPr>
        <w:t>two</w:t>
      </w:r>
      <w:r w:rsidRPr="00A0218A">
        <w:rPr>
          <w:rFonts w:eastAsia="Calibri" w:cs="Times New Roman"/>
        </w:rPr>
        <w:t xml:space="preserve"> studies</w:t>
      </w:r>
      <w:r>
        <w:rPr>
          <w:rFonts w:eastAsia="Calibri" w:cs="Times New Roman"/>
        </w:rPr>
        <w:t xml:space="preserve"> </w:t>
      </w:r>
      <w:r w:rsidR="00D2134A">
        <w:rPr>
          <w:rFonts w:eastAsia="Calibri" w:cs="Times New Roman"/>
        </w:rPr>
        <w:fldChar w:fldCharType="begin">
          <w:fldData xml:space="preserve">PEVuZE5vdGU+PENpdGU+PEF1dGhvcj5FcHBlbDwvQXV0aG9yPjxZZWFyPjIwMDY8L1llYXI+PFJl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=
</w:fldData>
        </w:fldChar>
      </w:r>
      <w:r w:rsidR="00D2134A">
        <w:rPr>
          <w:rFonts w:eastAsia="Calibri" w:cs="Times New Roman"/>
        </w:rPr>
        <w:instrText xml:space="preserve"> ADDIN EN.CITE </w:instrText>
      </w:r>
      <w:r w:rsidR="00D2134A">
        <w:rPr>
          <w:rFonts w:eastAsia="Calibri" w:cs="Times New Roman"/>
        </w:rPr>
        <w:fldChar w:fldCharType="begin">
          <w:fldData xml:space="preserve">PEVuZE5vdGU+PENpdGU+PEF1dGhvcj5FcHBlbDwvQXV0aG9yPjxZZWFyPjIwMDY8L1llYXI+PFJl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=
</w:fldData>
        </w:fldChar>
      </w:r>
      <w:r w:rsidR="00D2134A">
        <w:rPr>
          <w:rFonts w:eastAsia="Calibri" w:cs="Times New Roman"/>
        </w:rPr>
        <w:instrText xml:space="preserve"> ADDIN EN.CITE.DATA </w:instrText>
      </w:r>
      <w:r w:rsidR="00D2134A">
        <w:rPr>
          <w:rFonts w:eastAsia="Calibri" w:cs="Times New Roman"/>
        </w:rPr>
      </w:r>
      <w:r w:rsidR="00D2134A">
        <w:rPr>
          <w:rFonts w:eastAsia="Calibri" w:cs="Times New Roman"/>
        </w:rPr>
        <w:fldChar w:fldCharType="end"/>
      </w:r>
      <w:r w:rsidR="00D2134A">
        <w:rPr>
          <w:rFonts w:eastAsia="Calibri" w:cs="Times New Roman"/>
        </w:rPr>
        <w:fldChar w:fldCharType="separate"/>
      </w:r>
      <w:r w:rsidR="00D2134A">
        <w:rPr>
          <w:rFonts w:eastAsia="Calibri" w:cs="Times New Roman"/>
          <w:noProof/>
        </w:rPr>
        <w:t>(</w:t>
      </w:r>
      <w:hyperlink w:anchor="_ENREF_39" w:tooltip="Eppel, 2006 #312" w:history="1">
        <w:r w:rsidR="00A234A9">
          <w:rPr>
            <w:rFonts w:eastAsia="Calibri" w:cs="Times New Roman"/>
            <w:noProof/>
          </w:rPr>
          <w:t>39</w:t>
        </w:r>
      </w:hyperlink>
      <w:r w:rsidR="00D2134A">
        <w:rPr>
          <w:rFonts w:eastAsia="Calibri" w:cs="Times New Roman"/>
          <w:noProof/>
        </w:rPr>
        <w:t xml:space="preserve">, </w:t>
      </w:r>
      <w:hyperlink w:anchor="_ENREF_42" w:tooltip="Stanton, 1996 #313" w:history="1">
        <w:r w:rsidR="00A234A9">
          <w:rPr>
            <w:rFonts w:eastAsia="Calibri" w:cs="Times New Roman"/>
            <w:noProof/>
          </w:rPr>
          <w:t>42</w:t>
        </w:r>
      </w:hyperlink>
      <w:r w:rsidR="00D2134A">
        <w:rPr>
          <w:rFonts w:eastAsia="Calibri" w:cs="Times New Roman"/>
          <w:noProof/>
        </w:rPr>
        <w:t>)</w:t>
      </w:r>
      <w:r w:rsidR="00D2134A">
        <w:rPr>
          <w:rFonts w:eastAsia="Calibri" w:cs="Times New Roman"/>
        </w:rPr>
        <w:fldChar w:fldCharType="end"/>
      </w:r>
      <w:r w:rsidRPr="00A0218A">
        <w:rPr>
          <w:rFonts w:eastAsia="Calibri" w:cs="Times New Roman"/>
        </w:rPr>
        <w:t xml:space="preserve">. One study of </w:t>
      </w:r>
      <w:r>
        <w:rPr>
          <w:rFonts w:eastAsia="Calibri" w:cs="Times New Roman"/>
        </w:rPr>
        <w:t>63 novice smokers in Montreal between the ages of 12 and 13 years old at baseline tested one and three-month recall of cigarette use. The results suggested that older age was a correlate of good recall in multivariate analyses and being a more frequent smoker protected against good recall (</w:t>
      </w:r>
      <w:r w:rsidRPr="00906EF6">
        <w:rPr>
          <w:rFonts w:eastAsia="Calibri" w:cs="Times New Roman"/>
        </w:rPr>
        <w:t>O</w:t>
      </w:r>
      <w:r>
        <w:rPr>
          <w:rFonts w:eastAsia="Calibri" w:cs="Times New Roman"/>
        </w:rPr>
        <w:t xml:space="preserve">R initiating recalls at ages 14 through 16 against those at ages 12 through </w:t>
      </w:r>
      <w:r w:rsidRPr="00906EF6">
        <w:rPr>
          <w:rFonts w:eastAsia="Calibri" w:cs="Times New Roman"/>
        </w:rPr>
        <w:t xml:space="preserve">13 = 3.9, </w:t>
      </w:r>
      <w:r>
        <w:rPr>
          <w:rFonts w:eastAsia="Calibri" w:cs="Times New Roman"/>
        </w:rPr>
        <w:t xml:space="preserve">95% CI: 1.3 to </w:t>
      </w:r>
      <w:r w:rsidRPr="00906EF6">
        <w:rPr>
          <w:rFonts w:eastAsia="Calibri" w:cs="Times New Roman"/>
        </w:rPr>
        <w:t xml:space="preserve">11.3 </w:t>
      </w:r>
      <w:r>
        <w:rPr>
          <w:rFonts w:eastAsia="Calibri" w:cs="Times New Roman"/>
        </w:rPr>
        <w:t xml:space="preserve">[recall of smoking frequency]; </w:t>
      </w:r>
      <w:r w:rsidRPr="00906EF6">
        <w:rPr>
          <w:rFonts w:eastAsia="Calibri" w:cs="Times New Roman"/>
        </w:rPr>
        <w:t xml:space="preserve">OR initiating </w:t>
      </w:r>
      <w:r>
        <w:rPr>
          <w:rFonts w:eastAsia="Calibri" w:cs="Times New Roman"/>
        </w:rPr>
        <w:t xml:space="preserve">recalls at ages 14 through </w:t>
      </w:r>
      <w:r w:rsidRPr="00906EF6">
        <w:rPr>
          <w:rFonts w:eastAsia="Calibri" w:cs="Times New Roman"/>
        </w:rPr>
        <w:t>16 agains</w:t>
      </w:r>
      <w:r>
        <w:rPr>
          <w:rFonts w:eastAsia="Calibri" w:cs="Times New Roman"/>
        </w:rPr>
        <w:t xml:space="preserve">t those at ages 12 through </w:t>
      </w:r>
      <w:r w:rsidRPr="00906EF6">
        <w:rPr>
          <w:rFonts w:eastAsia="Calibri" w:cs="Times New Roman"/>
        </w:rPr>
        <w:t xml:space="preserve">13 = 3.7, </w:t>
      </w:r>
      <w:r>
        <w:rPr>
          <w:rFonts w:eastAsia="Calibri" w:cs="Times New Roman"/>
        </w:rPr>
        <w:t xml:space="preserve">95% CI: 1.2 to </w:t>
      </w:r>
      <w:r w:rsidRPr="00906EF6">
        <w:rPr>
          <w:rFonts w:eastAsia="Calibri" w:cs="Times New Roman"/>
        </w:rPr>
        <w:t>11</w:t>
      </w:r>
      <w:r>
        <w:rPr>
          <w:rFonts w:eastAsia="Calibri" w:cs="Times New Roman"/>
        </w:rPr>
        <w:t xml:space="preserve">.2 [recall of smoking intensity]; </w:t>
      </w:r>
      <w:r w:rsidRPr="00906EF6">
        <w:rPr>
          <w:rFonts w:eastAsia="Calibri" w:cs="Times New Roman"/>
        </w:rPr>
        <w:t>OR initiating recalls</w:t>
      </w:r>
      <w:r>
        <w:rPr>
          <w:rFonts w:eastAsia="Calibri" w:cs="Times New Roman"/>
        </w:rPr>
        <w:t xml:space="preserve"> at ages 14 through 16 against those at ages 12 through 13 = 3.2, 95% CI: 1.1 to 9.8 [</w:t>
      </w:r>
      <w:r w:rsidRPr="00906EF6">
        <w:rPr>
          <w:rFonts w:eastAsia="Calibri" w:cs="Times New Roman"/>
        </w:rPr>
        <w:t>recall of</w:t>
      </w:r>
      <w:r>
        <w:rPr>
          <w:rFonts w:eastAsia="Calibri" w:cs="Times New Roman"/>
        </w:rPr>
        <w:t xml:space="preserve"> total number of cigarettes/day]) </w:t>
      </w:r>
      <w:r w:rsidR="00D2134A">
        <w:rPr>
          <w:rFonts w:eastAsia="Calibri" w:cs="Times New Roman"/>
        </w:rPr>
        <w:fldChar w:fldCharType="begin"/>
      </w:r>
      <w:r w:rsidR="00D2134A">
        <w:rPr>
          <w:rFonts w:eastAsia="Calibri" w:cs="Times New Roman"/>
        </w:rPr>
        <w:instrText xml:space="preserve"> ADDIN EN.CITE &lt;EndNote&gt;&lt;Cite&gt;&lt;Author&gt;Eppel&lt;/Author&gt;&lt;Year&gt;2006&lt;/Year&gt;&lt;RecNum&gt;312&lt;/RecNum&gt;&lt;DisplayText&gt;(39)&lt;/DisplayText&gt;&lt;record&gt;&lt;rec-number&gt;312&lt;/rec-number&gt;&lt;foreign-keys&gt;&lt;key app="EN" db-id="a2vz2dfp8xrad6exes75zwpiw5rxwa0vwapv" timestamp="1541527723"&gt;312&lt;/key&gt;&lt;/foreign-keys&gt;&lt;ref-type name="Journal Article"&gt;17&lt;/ref-type&gt;&lt;contributors&gt;&lt;authors&gt;&lt;author&gt;Eppel, A.&lt;/author&gt;&lt;author&gt;O&amp;apos;Loughlin, J.&lt;/author&gt;&lt;author&gt;Paradis, G.&lt;/author&gt;&lt;author&gt;Platt, R.&lt;/author&gt;&lt;/authors&gt;&lt;/contributors&gt;&lt;auth-address&gt;McGill University, Department of Epidemiology, Biostatistics, and Occupational Health, Montreal, Quebec, Canada.&lt;/auth-address&gt;&lt;titles&gt;&lt;title&gt;Reliability of self-reports of cigarette use in novice smokers&lt;/title&gt;&lt;secondary-title&gt;Addict Behav&lt;/secondary-title&gt;&lt;alt-title&gt;Addictive behaviors&lt;/alt-title&gt;&lt;/titles&gt;&lt;periodical&gt;&lt;full-title&gt;Addict Behav&lt;/full-title&gt;&lt;/periodical&gt;&lt;alt-periodical&gt;&lt;full-title&gt;Addictive Behaviors&lt;/full-title&gt;&lt;/alt-periodical&gt;&lt;pages&gt;1700-4&lt;/pages&gt;&lt;volume&gt;31&lt;/volume&gt;&lt;number&gt;9&lt;/number&gt;&lt;edition&gt;2005/12/20&lt;/edition&gt;&lt;keywords&gt;&lt;keyword&gt;Adolescent&lt;/keyword&gt;&lt;keyword&gt;Age Factors&lt;/keyword&gt;&lt;keyword&gt;Child&lt;/keyword&gt;&lt;keyword&gt;Female&lt;/keyword&gt;&lt;keyword&gt;Follow-Up Studies&lt;/keyword&gt;&lt;keyword&gt;Humans&lt;/keyword&gt;&lt;keyword&gt;Male&lt;/keyword&gt;&lt;keyword&gt;*Mental Recall&lt;/keyword&gt;&lt;keyword&gt;Psychometrics&lt;/keyword&gt;&lt;keyword&gt;Reproducibility of Results&lt;/keyword&gt;&lt;keyword&gt;*Self Disclosure&lt;/keyword&gt;&lt;keyword&gt;Smoking/*psychology&lt;/keyword&gt;&lt;/keywords&gt;&lt;dates&gt;&lt;year&gt;2006&lt;/year&gt;&lt;pub-dates&gt;&lt;date&gt;Sep&lt;/date&gt;&lt;/pub-dates&gt;&lt;/dates&gt;&lt;isbn&gt;0306-4603 (Print)&amp;#xD;0306-4603&lt;/isbn&gt;&lt;accession-num&gt;16359824&lt;/accession-num&gt;&lt;urls&gt;&lt;/urls&gt;&lt;electronic-resource-num&gt;10.1016/j.addbeh.2005.11.006&lt;/electronic-resource-num&gt;&lt;remote-database-provider&gt;NLM&lt;/remote-database-provider&gt;&lt;language&gt;eng&lt;/language&gt;&lt;/record&gt;&lt;/Cite&gt;&lt;/EndNote&gt;</w:instrText>
      </w:r>
      <w:r w:rsidR="00D2134A">
        <w:rPr>
          <w:rFonts w:eastAsia="Calibri" w:cs="Times New Roman"/>
        </w:rPr>
        <w:fldChar w:fldCharType="separate"/>
      </w:r>
      <w:r w:rsidR="00D2134A">
        <w:rPr>
          <w:rFonts w:eastAsia="Calibri" w:cs="Times New Roman"/>
          <w:noProof/>
        </w:rPr>
        <w:t>(</w:t>
      </w:r>
      <w:hyperlink w:anchor="_ENREF_39" w:tooltip="Eppel, 2006 #312" w:history="1">
        <w:r w:rsidR="00A234A9">
          <w:rPr>
            <w:rFonts w:eastAsia="Calibri" w:cs="Times New Roman"/>
            <w:noProof/>
          </w:rPr>
          <w:t>39</w:t>
        </w:r>
      </w:hyperlink>
      <w:r w:rsidR="00D2134A">
        <w:rPr>
          <w:rFonts w:eastAsia="Calibri" w:cs="Times New Roman"/>
          <w:noProof/>
        </w:rPr>
        <w:t>)</w:t>
      </w:r>
      <w:r w:rsidR="00D2134A">
        <w:rPr>
          <w:rFonts w:eastAsia="Calibri" w:cs="Times New Roman"/>
        </w:rPr>
        <w:fldChar w:fldCharType="end"/>
      </w:r>
      <w:r>
        <w:rPr>
          <w:rFonts w:eastAsia="Calibri" w:cs="Times New Roman"/>
        </w:rPr>
        <w:t xml:space="preserve">. </w:t>
      </w:r>
      <w:r w:rsidRPr="00A0218A">
        <w:rPr>
          <w:rFonts w:eastAsia="Calibri" w:cs="Times New Roman"/>
        </w:rPr>
        <w:t xml:space="preserve">An additional study of </w:t>
      </w:r>
      <w:r>
        <w:rPr>
          <w:rFonts w:eastAsia="Calibri" w:cs="Times New Roman"/>
        </w:rPr>
        <w:t>707 participants from an Australian healthcare institution’s birth cohort reported a significant and positive trend (</w:t>
      </w:r>
      <w:r w:rsidRPr="00906EF6">
        <w:rPr>
          <w:rFonts w:eastAsia="Calibri" w:cs="Times New Roman"/>
        </w:rPr>
        <w:t>r = 0.75, df = 859, p &lt;0.0001</w:t>
      </w:r>
      <w:r>
        <w:rPr>
          <w:rFonts w:eastAsia="Calibri" w:cs="Times New Roman"/>
        </w:rPr>
        <w:t xml:space="preserve">) between self-reported smoking status and cotinine levels in saliva. </w:t>
      </w:r>
      <w:r w:rsidRPr="00A0218A">
        <w:rPr>
          <w:rFonts w:eastAsia="Calibri" w:cs="Times New Roman"/>
        </w:rPr>
        <w:t xml:space="preserve">Overall, </w:t>
      </w:r>
      <w:r>
        <w:rPr>
          <w:rFonts w:eastAsia="Calibri" w:cs="Times New Roman"/>
        </w:rPr>
        <w:t>initiation and progression to regular use/increase in smoking over time also</w:t>
      </w:r>
      <w:r w:rsidRPr="00A0218A">
        <w:rPr>
          <w:rFonts w:eastAsia="Calibri" w:cs="Times New Roman"/>
        </w:rPr>
        <w:t xml:space="preserve"> qualified as psychometrically “Acceptable” among youth</w:t>
      </w:r>
      <w:r>
        <w:rPr>
          <w:rFonts w:eastAsia="Calibri" w:cs="Times New Roman"/>
        </w:rPr>
        <w:t xml:space="preserve"> </w:t>
      </w:r>
      <w:r w:rsidRPr="00906EF6">
        <w:rPr>
          <w:rFonts w:eastAsia="Calibri" w:cs="Times New Roman"/>
          <w:i/>
        </w:rPr>
        <w:t>only</w:t>
      </w:r>
      <w:r w:rsidRPr="00A0218A">
        <w:rPr>
          <w:rFonts w:eastAsia="Calibri" w:cs="Times New Roman"/>
        </w:rPr>
        <w:t xml:space="preserve"> because supportive evidence was available for both reliability and validity amongst the U.S. </w:t>
      </w:r>
      <w:r>
        <w:rPr>
          <w:rFonts w:eastAsia="Calibri" w:cs="Times New Roman"/>
        </w:rPr>
        <w:t xml:space="preserve">youth </w:t>
      </w:r>
      <w:r w:rsidRPr="00A0218A">
        <w:rPr>
          <w:rFonts w:eastAsia="Calibri" w:cs="Times New Roman"/>
        </w:rPr>
        <w:t>population</w:t>
      </w:r>
      <w:r>
        <w:rPr>
          <w:rFonts w:eastAsia="Calibri" w:cs="Times New Roman"/>
        </w:rPr>
        <w:t>.</w:t>
      </w:r>
    </w:p>
    <w:p w14:paraId="7C2C67B4" w14:textId="77777777" w:rsidR="00EA69AA" w:rsidRDefault="00EA69AA" w:rsidP="00EA69AA">
      <w:pPr>
        <w:rPr>
          <w:rFonts w:eastAsia="Calibri" w:cs="Times New Roman"/>
        </w:rPr>
      </w:pPr>
      <w:r>
        <w:rPr>
          <w:rFonts w:eastAsia="Calibri" w:cs="Times New Roman"/>
        </w:rPr>
        <w:br w:type="page"/>
      </w:r>
    </w:p>
    <w:p w14:paraId="7670BDB6" w14:textId="77777777" w:rsidR="00EA69AA" w:rsidRDefault="00EA69AA" w:rsidP="00EA69AA">
      <w:pPr>
        <w:spacing w:after="240"/>
        <w:jc w:val="both"/>
        <w:sectPr w:rsidR="00EA69AA" w:rsidSect="00EA69AA">
          <w:pgSz w:w="12240" w:h="15840"/>
          <w:pgMar w:top="1440" w:right="1440" w:bottom="1440" w:left="1440" w:header="720" w:footer="720" w:gutter="0"/>
          <w:cols w:space="720"/>
          <w:docGrid w:linePitch="360"/>
        </w:sectPr>
      </w:pPr>
    </w:p>
    <w:p w14:paraId="5E2ADF95" w14:textId="77777777" w:rsidR="00D04C52" w:rsidRPr="00EA69AA" w:rsidRDefault="00D04C52" w:rsidP="009014AD">
      <w:pPr>
        <w:pStyle w:val="ChapterHeading"/>
        <w:spacing w:after="120"/>
        <w:rPr>
          <w:rFonts w:asciiTheme="minorHAnsi" w:hAnsiTheme="minorHAnsi"/>
          <w:sz w:val="22"/>
          <w:szCs w:val="22"/>
        </w:rPr>
      </w:pPr>
      <w:r w:rsidRPr="00EA69AA">
        <w:rPr>
          <w:rFonts w:asciiTheme="minorHAnsi" w:hAnsiTheme="minorHAnsi"/>
          <w:sz w:val="22"/>
          <w:szCs w:val="22"/>
        </w:rPr>
        <w:lastRenderedPageBreak/>
        <w:t xml:space="preserve">SUPPLEMENTAL SECTION </w:t>
      </w:r>
      <w:r w:rsidR="009014AD">
        <w:rPr>
          <w:rFonts w:asciiTheme="minorHAnsi" w:hAnsiTheme="minorHAnsi"/>
          <w:sz w:val="22"/>
          <w:szCs w:val="22"/>
        </w:rPr>
        <w:t>9</w:t>
      </w:r>
      <w:r w:rsidRPr="00EA69AA">
        <w:rPr>
          <w:rFonts w:asciiTheme="minorHAnsi" w:hAnsiTheme="minorHAnsi"/>
          <w:sz w:val="22"/>
          <w:szCs w:val="22"/>
        </w:rPr>
        <w:t>: Study, Dataset, and Sample Characteristics</w:t>
      </w:r>
    </w:p>
    <w:tbl>
      <w:tblPr>
        <w:tblStyle w:val="TableGrid"/>
        <w:tblW w:w="13320" w:type="dxa"/>
        <w:tblInd w:w="-275" w:type="dxa"/>
        <w:tblCellMar>
          <w:left w:w="115" w:type="dxa"/>
          <w:right w:w="115" w:type="dxa"/>
        </w:tblCellMar>
        <w:tblLook w:val="04A0" w:firstRow="1" w:lastRow="0" w:firstColumn="1" w:lastColumn="0" w:noHBand="0" w:noVBand="1"/>
      </w:tblPr>
      <w:tblGrid>
        <w:gridCol w:w="2030"/>
        <w:gridCol w:w="40"/>
        <w:gridCol w:w="1635"/>
        <w:gridCol w:w="3443"/>
        <w:gridCol w:w="4500"/>
        <w:gridCol w:w="1672"/>
      </w:tblGrid>
      <w:tr w:rsidR="00D04C52" w:rsidRPr="00C326D0" w14:paraId="6FD712A7" w14:textId="77777777" w:rsidTr="00B46744">
        <w:trPr>
          <w:cantSplit/>
          <w:tblHeader/>
        </w:trPr>
        <w:tc>
          <w:tcPr>
            <w:tcW w:w="2030" w:type="dxa"/>
            <w:shd w:val="clear" w:color="auto" w:fill="44546A"/>
            <w:noWrap/>
            <w:vAlign w:val="center"/>
          </w:tcPr>
          <w:p w14:paraId="2DD049B2" w14:textId="77777777" w:rsidR="00D04C52" w:rsidRPr="00AA0F7A" w:rsidRDefault="00D04C52" w:rsidP="00B46744">
            <w:pPr>
              <w:rPr>
                <w:b/>
                <w:color w:val="FFFFFF" w:themeColor="background1"/>
                <w:sz w:val="16"/>
                <w:szCs w:val="16"/>
              </w:rPr>
            </w:pPr>
            <w:r w:rsidRPr="00AA0F7A">
              <w:rPr>
                <w:b/>
                <w:color w:val="FFFFFF" w:themeColor="background1"/>
                <w:sz w:val="16"/>
                <w:szCs w:val="16"/>
              </w:rPr>
              <w:t>First Author, Year</w:t>
            </w:r>
          </w:p>
          <w:p w14:paraId="2AA80117" w14:textId="77777777" w:rsidR="00D04C52" w:rsidRPr="00AA0F7A" w:rsidRDefault="00D04C52" w:rsidP="00B46744">
            <w:pPr>
              <w:rPr>
                <w:b/>
                <w:color w:val="FFFFFF" w:themeColor="background1"/>
                <w:sz w:val="16"/>
                <w:szCs w:val="16"/>
              </w:rPr>
            </w:pPr>
            <w:r w:rsidRPr="00AA0F7A">
              <w:rPr>
                <w:b/>
                <w:color w:val="FFFFFF" w:themeColor="background1"/>
                <w:sz w:val="16"/>
                <w:szCs w:val="16"/>
              </w:rPr>
              <w:t>National survey name</w:t>
            </w:r>
          </w:p>
          <w:p w14:paraId="0A3E9784" w14:textId="77777777" w:rsidR="00D04C52" w:rsidRPr="00AA0F7A" w:rsidRDefault="00D04C52" w:rsidP="00B46744">
            <w:pPr>
              <w:rPr>
                <w:b/>
                <w:color w:val="FFFFFF" w:themeColor="background1"/>
                <w:sz w:val="16"/>
                <w:szCs w:val="16"/>
              </w:rPr>
            </w:pPr>
            <w:r w:rsidRPr="00AA0F7A">
              <w:rPr>
                <w:b/>
                <w:color w:val="FFFFFF" w:themeColor="background1"/>
                <w:sz w:val="16"/>
                <w:szCs w:val="16"/>
              </w:rPr>
              <w:t>Quality rating</w:t>
            </w:r>
          </w:p>
        </w:tc>
        <w:tc>
          <w:tcPr>
            <w:tcW w:w="1675" w:type="dxa"/>
            <w:gridSpan w:val="2"/>
            <w:shd w:val="clear" w:color="auto" w:fill="44546A"/>
            <w:noWrap/>
            <w:vAlign w:val="center"/>
          </w:tcPr>
          <w:p w14:paraId="1E47535C" w14:textId="77777777" w:rsidR="00D04C52" w:rsidRPr="00AA0F7A" w:rsidRDefault="00D04C52" w:rsidP="00B46744">
            <w:pPr>
              <w:rPr>
                <w:b/>
                <w:color w:val="FFFFFF" w:themeColor="background1"/>
                <w:sz w:val="16"/>
                <w:szCs w:val="16"/>
              </w:rPr>
            </w:pPr>
            <w:r w:rsidRPr="00AA0F7A">
              <w:rPr>
                <w:b/>
                <w:color w:val="FFFFFF" w:themeColor="background1"/>
                <w:sz w:val="16"/>
                <w:szCs w:val="16"/>
              </w:rPr>
              <w:t>Location;</w:t>
            </w:r>
          </w:p>
          <w:p w14:paraId="3155B0F0" w14:textId="77777777" w:rsidR="00D04C52" w:rsidRPr="00AA0F7A" w:rsidRDefault="00D04C52" w:rsidP="00B46744">
            <w:pPr>
              <w:rPr>
                <w:b/>
                <w:color w:val="FFFFFF" w:themeColor="background1"/>
                <w:sz w:val="16"/>
                <w:szCs w:val="16"/>
              </w:rPr>
            </w:pPr>
            <w:r w:rsidRPr="00AA0F7A">
              <w:rPr>
                <w:b/>
                <w:color w:val="FFFFFF" w:themeColor="background1"/>
                <w:sz w:val="16"/>
                <w:szCs w:val="16"/>
              </w:rPr>
              <w:t>Funding;</w:t>
            </w:r>
          </w:p>
          <w:p w14:paraId="3F71A9B9" w14:textId="77777777" w:rsidR="00D04C52" w:rsidRPr="00AA0F7A" w:rsidRDefault="00D04C52" w:rsidP="00B46744">
            <w:pPr>
              <w:rPr>
                <w:b/>
                <w:color w:val="FFFFFF" w:themeColor="background1"/>
                <w:sz w:val="16"/>
                <w:szCs w:val="16"/>
              </w:rPr>
            </w:pPr>
            <w:r w:rsidRPr="00AA0F7A">
              <w:rPr>
                <w:b/>
                <w:color w:val="FFFFFF" w:themeColor="background1"/>
                <w:sz w:val="16"/>
                <w:szCs w:val="16"/>
              </w:rPr>
              <w:t>Type of study</w:t>
            </w:r>
          </w:p>
        </w:tc>
        <w:tc>
          <w:tcPr>
            <w:tcW w:w="3443" w:type="dxa"/>
            <w:shd w:val="clear" w:color="auto" w:fill="44546A"/>
            <w:noWrap/>
            <w:vAlign w:val="center"/>
          </w:tcPr>
          <w:p w14:paraId="06890370" w14:textId="77777777" w:rsidR="00D04C52" w:rsidRPr="00AA0F7A" w:rsidRDefault="00D04C52" w:rsidP="00B46744">
            <w:pPr>
              <w:rPr>
                <w:b/>
                <w:color w:val="FFFFFF" w:themeColor="background1"/>
                <w:sz w:val="16"/>
                <w:szCs w:val="16"/>
              </w:rPr>
            </w:pPr>
            <w:r w:rsidRPr="00AA0F7A">
              <w:rPr>
                <w:b/>
                <w:color w:val="FFFFFF" w:themeColor="background1"/>
                <w:sz w:val="16"/>
                <w:szCs w:val="16"/>
              </w:rPr>
              <w:t>Sampling / recruitment strategy</w:t>
            </w:r>
            <w:r>
              <w:rPr>
                <w:b/>
                <w:color w:val="FFFFFF" w:themeColor="background1"/>
                <w:sz w:val="16"/>
                <w:szCs w:val="16"/>
              </w:rPr>
              <w:t xml:space="preserve"> </w:t>
            </w:r>
            <w:r w:rsidRPr="00AA0F7A">
              <w:rPr>
                <w:b/>
                <w:color w:val="FFFFFF" w:themeColor="background1"/>
                <w:sz w:val="16"/>
                <w:szCs w:val="16"/>
                <w:vertAlign w:val="superscript"/>
              </w:rPr>
              <w:t>a</w:t>
            </w:r>
            <w:r w:rsidRPr="00AA0F7A">
              <w:rPr>
                <w:b/>
                <w:color w:val="FFFFFF" w:themeColor="background1"/>
                <w:sz w:val="16"/>
                <w:szCs w:val="16"/>
              </w:rPr>
              <w:t>; Data collection period</w:t>
            </w:r>
          </w:p>
        </w:tc>
        <w:tc>
          <w:tcPr>
            <w:tcW w:w="4500" w:type="dxa"/>
            <w:shd w:val="clear" w:color="auto" w:fill="44546A"/>
            <w:noWrap/>
            <w:vAlign w:val="center"/>
          </w:tcPr>
          <w:p w14:paraId="5155A25F" w14:textId="77777777" w:rsidR="00D04C52" w:rsidRPr="00AA0F7A" w:rsidRDefault="00D04C52" w:rsidP="00B46744">
            <w:pPr>
              <w:rPr>
                <w:b/>
                <w:color w:val="FFFFFF" w:themeColor="background1"/>
                <w:sz w:val="16"/>
                <w:szCs w:val="16"/>
              </w:rPr>
            </w:pPr>
            <w:r w:rsidRPr="00AA0F7A">
              <w:rPr>
                <w:b/>
                <w:color w:val="FFFFFF" w:themeColor="background1"/>
                <w:sz w:val="16"/>
                <w:szCs w:val="16"/>
              </w:rPr>
              <w:t>Brief summary of inclusion criteria (including definition of “smoker”)</w:t>
            </w:r>
          </w:p>
        </w:tc>
        <w:tc>
          <w:tcPr>
            <w:tcW w:w="1672" w:type="dxa"/>
            <w:shd w:val="clear" w:color="auto" w:fill="44546A"/>
            <w:noWrap/>
            <w:vAlign w:val="center"/>
          </w:tcPr>
          <w:p w14:paraId="5D4309AD" w14:textId="77777777" w:rsidR="00D04C52" w:rsidRPr="00C326D0" w:rsidRDefault="00D04C52" w:rsidP="00B46744">
            <w:pPr>
              <w:rPr>
                <w:sz w:val="16"/>
                <w:szCs w:val="16"/>
              </w:rPr>
            </w:pPr>
            <w:r w:rsidRPr="00AA0F7A">
              <w:rPr>
                <w:b/>
                <w:color w:val="FFFFFF" w:themeColor="background1"/>
                <w:sz w:val="16"/>
                <w:szCs w:val="16"/>
              </w:rPr>
              <w:t>Special population?</w:t>
            </w:r>
          </w:p>
        </w:tc>
      </w:tr>
      <w:tr w:rsidR="000538E3" w:rsidRPr="00AA0F7A" w14:paraId="3F887ED3" w14:textId="77777777" w:rsidTr="00B46744">
        <w:tblPrEx>
          <w:tblCellMar>
            <w:left w:w="108" w:type="dxa"/>
            <w:right w:w="108" w:type="dxa"/>
          </w:tblCellMar>
        </w:tblPrEx>
        <w:trPr>
          <w:cantSplit/>
        </w:trPr>
        <w:tc>
          <w:tcPr>
            <w:tcW w:w="2070" w:type="dxa"/>
            <w:gridSpan w:val="2"/>
            <w:noWrap/>
          </w:tcPr>
          <w:p w14:paraId="28F38495" w14:textId="62D283D3" w:rsidR="000538E3" w:rsidRPr="000538E3" w:rsidRDefault="00D2134A" w:rsidP="000538E3">
            <w:pPr>
              <w:rPr>
                <w:noProof/>
                <w:sz w:val="16"/>
                <w:szCs w:val="16"/>
              </w:rPr>
            </w:pPr>
            <w:r>
              <w:rPr>
                <w:noProof/>
                <w:sz w:val="16"/>
                <w:szCs w:val="16"/>
              </w:rPr>
              <w:fldChar w:fldCharType="begin">
                <w:fldData xml:space="preserve">PEVuZE5vdGU+PENpdGU+PEF1dGhvcj5BbGV4YW5kZXI8L0F1dGhvcj48WWVhcj4yMDEwPC9ZZWFy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</w:fldData>
              </w:fldChar>
            </w:r>
            <w:r>
              <w:rPr>
                <w:noProof/>
                <w:sz w:val="16"/>
                <w:szCs w:val="16"/>
              </w:rPr>
              <w:instrText xml:space="preserve"> ADDIN EN.CITE </w:instrText>
            </w:r>
            <w:r>
              <w:rPr>
                <w:noProof/>
                <w:sz w:val="16"/>
                <w:szCs w:val="16"/>
              </w:rPr>
              <w:fldChar w:fldCharType="begin">
                <w:fldData xml:space="preserve">PEVuZE5vdGU+PENpdGU+PEF1dGhvcj5BbGV4YW5kZXI8L0F1dGhvcj48WWVhcj4yMDEwPC9ZZWFy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</w:fldData>
              </w:fldChar>
            </w:r>
            <w:r>
              <w:rPr>
                <w:noProof/>
                <w:sz w:val="16"/>
                <w:szCs w:val="16"/>
              </w:rPr>
              <w:instrText xml:space="preserve"> ADDIN EN.CITE.DATA </w:instrText>
            </w:r>
            <w:r>
              <w:rPr>
                <w:noProof/>
                <w:sz w:val="16"/>
                <w:szCs w:val="16"/>
              </w:rPr>
            </w:r>
            <w:r>
              <w:rPr>
                <w:noProof/>
                <w:sz w:val="16"/>
                <w:szCs w:val="16"/>
              </w:rPr>
              <w:fldChar w:fldCharType="end"/>
            </w:r>
            <w:r>
              <w:rPr>
                <w:noProof/>
                <w:sz w:val="16"/>
                <w:szCs w:val="16"/>
              </w:rPr>
              <w:fldChar w:fldCharType="separate"/>
            </w:r>
            <w:r>
              <w:rPr>
                <w:noProof/>
                <w:sz w:val="16"/>
                <w:szCs w:val="16"/>
              </w:rPr>
              <w:t>(</w:t>
            </w:r>
            <w:hyperlink w:anchor="_ENREF_46" w:tooltip="Alexander, 2010 #59" w:history="1">
              <w:r w:rsidR="00A234A9">
                <w:rPr>
                  <w:noProof/>
                  <w:sz w:val="16"/>
                  <w:szCs w:val="16"/>
                </w:rPr>
                <w:t>46</w:t>
              </w:r>
            </w:hyperlink>
            <w:r>
              <w:rPr>
                <w:noProof/>
                <w:sz w:val="16"/>
                <w:szCs w:val="16"/>
              </w:rPr>
              <w:t>)</w:t>
            </w:r>
            <w:r>
              <w:rPr>
                <w:noProof/>
                <w:sz w:val="16"/>
                <w:szCs w:val="16"/>
              </w:rPr>
              <w:fldChar w:fldCharType="end"/>
            </w:r>
          </w:p>
          <w:p w14:paraId="213221F8" w14:textId="77777777" w:rsidR="000538E3" w:rsidRDefault="000538E3" w:rsidP="000538E3">
            <w:pPr>
              <w:rPr>
                <w:noProof/>
                <w:sz w:val="16"/>
                <w:szCs w:val="16"/>
              </w:rPr>
            </w:pPr>
            <w:r w:rsidRPr="000538E3">
              <w:rPr>
                <w:noProof/>
                <w:sz w:val="16"/>
                <w:szCs w:val="16"/>
              </w:rPr>
              <w:t>TUS-CPS</w:t>
            </w:r>
            <w:r w:rsidRPr="000538E3">
              <w:rPr>
                <w:noProof/>
                <w:sz w:val="16"/>
                <w:szCs w:val="16"/>
              </w:rPr>
              <w:br/>
              <w:t>Good</w:t>
            </w:r>
          </w:p>
        </w:tc>
        <w:tc>
          <w:tcPr>
            <w:tcW w:w="1635" w:type="dxa"/>
            <w:noWrap/>
          </w:tcPr>
          <w:p w14:paraId="1B4DF8C5" w14:textId="77777777" w:rsidR="000538E3" w:rsidRPr="000538E3" w:rsidRDefault="000538E3" w:rsidP="000538E3">
            <w:pPr>
              <w:rPr>
                <w:noProof/>
                <w:sz w:val="16"/>
                <w:szCs w:val="16"/>
              </w:rPr>
            </w:pPr>
            <w:r w:rsidRPr="000538E3">
              <w:rPr>
                <w:noProof/>
                <w:sz w:val="16"/>
                <w:szCs w:val="16"/>
              </w:rPr>
              <w:t xml:space="preserve">National; </w:t>
            </w:r>
          </w:p>
          <w:p w14:paraId="194D5098" w14:textId="77777777" w:rsidR="000538E3" w:rsidRPr="000538E3" w:rsidRDefault="000538E3" w:rsidP="000538E3">
            <w:pPr>
              <w:rPr>
                <w:noProof/>
                <w:sz w:val="16"/>
                <w:szCs w:val="16"/>
              </w:rPr>
            </w:pPr>
            <w:r w:rsidRPr="000538E3">
              <w:rPr>
                <w:noProof/>
                <w:sz w:val="16"/>
                <w:szCs w:val="16"/>
              </w:rPr>
              <w:t xml:space="preserve">NR; </w:t>
            </w:r>
          </w:p>
          <w:p w14:paraId="4619A572" w14:textId="77777777" w:rsidR="000538E3" w:rsidRPr="00AA0F7A" w:rsidRDefault="000538E3" w:rsidP="000538E3">
            <w:pPr>
              <w:rPr>
                <w:noProof/>
                <w:sz w:val="16"/>
                <w:szCs w:val="16"/>
              </w:rPr>
            </w:pPr>
            <w:r w:rsidRPr="000538E3">
              <w:rPr>
                <w:noProof/>
                <w:sz w:val="16"/>
                <w:szCs w:val="16"/>
              </w:rPr>
              <w:t>Cross-sectional</w:t>
            </w:r>
          </w:p>
        </w:tc>
        <w:tc>
          <w:tcPr>
            <w:tcW w:w="3443" w:type="dxa"/>
            <w:noWrap/>
          </w:tcPr>
          <w:p w14:paraId="60ECD22A" w14:textId="77777777" w:rsidR="000538E3" w:rsidRPr="00AA0F7A" w:rsidRDefault="000538E3" w:rsidP="000538E3">
            <w:pPr>
              <w:rPr>
                <w:noProof/>
                <w:sz w:val="16"/>
                <w:szCs w:val="16"/>
              </w:rPr>
            </w:pPr>
            <w:r w:rsidRPr="000538E3">
              <w:rPr>
                <w:noProof/>
                <w:sz w:val="16"/>
                <w:szCs w:val="16"/>
              </w:rPr>
              <w:t>TUS-CPS; 2006-2007</w:t>
            </w:r>
          </w:p>
        </w:tc>
        <w:tc>
          <w:tcPr>
            <w:tcW w:w="4500" w:type="dxa"/>
            <w:noWrap/>
          </w:tcPr>
          <w:p w14:paraId="78478798" w14:textId="77777777" w:rsidR="000538E3" w:rsidRPr="00AA0F7A" w:rsidRDefault="000538E3" w:rsidP="000538E3">
            <w:pPr>
              <w:rPr>
                <w:noProof/>
                <w:sz w:val="16"/>
                <w:szCs w:val="16"/>
              </w:rPr>
            </w:pPr>
            <w:r w:rsidRPr="000538E3">
              <w:rPr>
                <w:noProof/>
                <w:sz w:val="16"/>
                <w:szCs w:val="16"/>
              </w:rPr>
              <w:t>Adult current smokers age ≥18.</w:t>
            </w:r>
          </w:p>
        </w:tc>
        <w:tc>
          <w:tcPr>
            <w:tcW w:w="1672" w:type="dxa"/>
            <w:noWrap/>
          </w:tcPr>
          <w:p w14:paraId="6B29D976" w14:textId="77777777" w:rsidR="000538E3" w:rsidRPr="00AA0F7A" w:rsidRDefault="000538E3" w:rsidP="000538E3">
            <w:pPr>
              <w:rPr>
                <w:noProof/>
                <w:sz w:val="16"/>
                <w:szCs w:val="16"/>
              </w:rPr>
            </w:pPr>
            <w:r w:rsidRPr="000538E3">
              <w:rPr>
                <w:noProof/>
                <w:sz w:val="16"/>
                <w:szCs w:val="16"/>
              </w:rPr>
              <w:t>None</w:t>
            </w:r>
          </w:p>
        </w:tc>
      </w:tr>
      <w:tr w:rsidR="00D04C52" w:rsidRPr="00AA0F7A" w14:paraId="57B3F902" w14:textId="77777777" w:rsidTr="00B46744">
        <w:tblPrEx>
          <w:tblCellMar>
            <w:left w:w="108" w:type="dxa"/>
            <w:right w:w="108" w:type="dxa"/>
          </w:tblCellMar>
        </w:tblPrEx>
        <w:trPr>
          <w:cantSplit/>
        </w:trPr>
        <w:tc>
          <w:tcPr>
            <w:tcW w:w="2070" w:type="dxa"/>
            <w:gridSpan w:val="2"/>
            <w:noWrap/>
          </w:tcPr>
          <w:p w14:paraId="72764156" w14:textId="0C938C50" w:rsidR="00382380" w:rsidRDefault="00D2134A" w:rsidP="00B46744">
            <w:pPr>
              <w:rPr>
                <w:sz w:val="16"/>
                <w:szCs w:val="16"/>
              </w:rPr>
            </w:pPr>
            <w:r>
              <w:rPr>
                <w:sz w:val="16"/>
                <w:szCs w:val="16"/>
              </w:rPr>
              <w:fldChar w:fldCharType="begin"/>
            </w:r>
            <w:r>
              <w:rPr>
                <w:sz w:val="16"/>
                <w:szCs w:val="16"/>
              </w:rPr>
              <w:instrText xml:space="preserve"> ADDIN EN.CITE &lt;EndNote&gt;&lt;Cite&gt;&lt;Author&gt;Allen&lt;/Author&gt;&lt;Year&gt;2007&lt;/Year&gt;&lt;RecNum&gt;76&lt;/RecNum&gt;&lt;DisplayText&gt;(47)&lt;/DisplayText&gt;&lt;record&gt;&lt;rec-number&gt;76&lt;/rec-number&gt;&lt;foreign-keys&gt;&lt;key app="EN" db-id="a2vz2dfp8xrad6exes75zwpiw5rxwa0vwapv" timestamp="0"&gt;76&lt;/key&gt;&lt;/foreign-keys&gt;&lt;ref-type name="Journal Article"&gt;17&lt;/ref-type&gt;&lt;contributors&gt;&lt;authors&gt;&lt;author&gt;Allen, B., Jr.&lt;/author&gt;&lt;author&gt;Unger, J. B.&lt;/author&gt;&lt;/authors&gt;&lt;/contributors&gt;&lt;auth-address&gt;Charles R. Drew University of Medicine and Science, Los Angeles, CA 90059, USA. brallen@cdrewu.edu&lt;/auth-address&gt;&lt;titles&gt;&lt;title&gt;Sociocultural correlates of menthol cigarette smoking among adult African Americans in Los Angeles&lt;/title&gt;&lt;secondary-title&gt;Nicotine Tob Res&lt;/secondary-title&gt;&lt;/titles&gt;&lt;periodical&gt;&lt;full-title&gt;Nicotine Tob Res&lt;/full-title&gt;&lt;/periodical&gt;&lt;pages&gt;447-51&lt;/pages&gt;&lt;volume&gt;9&lt;/volume&gt;&lt;number&gt;4&lt;/number&gt;&lt;keywords&gt;&lt;keyword&gt;Adult&lt;/keyword&gt;&lt;keyword&gt;African Americans/psychology/*statistics &amp;amp; numerical data&lt;/keyword&gt;&lt;keyword&gt;Attitude to Health/*ethnology&lt;/keyword&gt;&lt;keyword&gt;Cultural Characteristics&lt;/keyword&gt;&lt;keyword&gt;Female&lt;/keyword&gt;&lt;keyword&gt;*Flavoring Agents&lt;/keyword&gt;&lt;keyword&gt;Health Behavior/ethnology&lt;/keyword&gt;&lt;keyword&gt;Humans&lt;/keyword&gt;&lt;keyword&gt;Los Angeles/epidemiology&lt;/keyword&gt;&lt;keyword&gt;Male&lt;/keyword&gt;&lt;keyword&gt;*Menthol&lt;/keyword&gt;&lt;keyword&gt;Middle Aged&lt;/keyword&gt;&lt;keyword&gt;Smoking/*ethnology&lt;/keyword&gt;&lt;keyword&gt;Smoking Cessation/*ethnology&lt;/keyword&gt;&lt;keyword&gt;Socioeconomic Factors&lt;/keyword&gt;&lt;keyword&gt;Surveys and Questionnaires&lt;/keyword&gt;&lt;keyword&gt;Urban Population/statistics &amp;amp; numerical data&lt;/keyword&gt;&lt;/keywords&gt;&lt;dates&gt;&lt;year&gt;2007&lt;/year&gt;&lt;pub-dates&gt;&lt;date&gt;Apr&lt;/date&gt;&lt;/pub-dates&gt;&lt;/dates&gt;&lt;isbn&gt;1462-2203 (Print)&amp;#xD;1462-2203 (Linking)&lt;/isbn&gt;&lt;accession-num&gt;17454699&lt;/accession-num&gt;&lt;urls&gt;&lt;related-urls&gt;&lt;url&gt;http://www.ncbi.nlm.nih.gov/pubmed/17454699&lt;/url&gt;&lt;/related-urls&gt;&lt;/urls&gt;&lt;electronic-resource-num&gt;10.1080/14622200701239647&lt;/electronic-resource-num&gt;&lt;research-notes&gt;#377&lt;/research-notes&gt;&lt;/record&gt;&lt;/Cite&gt;&lt;/EndNote&gt;</w:instrText>
            </w:r>
            <w:r>
              <w:rPr>
                <w:sz w:val="16"/>
                <w:szCs w:val="16"/>
              </w:rPr>
              <w:fldChar w:fldCharType="separate"/>
            </w:r>
            <w:r>
              <w:rPr>
                <w:noProof/>
                <w:sz w:val="16"/>
                <w:szCs w:val="16"/>
              </w:rPr>
              <w:t>(</w:t>
            </w:r>
            <w:hyperlink w:anchor="_ENREF_47" w:tooltip="Allen, 2007 #76" w:history="1">
              <w:r w:rsidR="00A234A9">
                <w:rPr>
                  <w:noProof/>
                  <w:sz w:val="16"/>
                  <w:szCs w:val="16"/>
                </w:rPr>
                <w:t>47</w:t>
              </w:r>
            </w:hyperlink>
            <w:r>
              <w:rPr>
                <w:noProof/>
                <w:sz w:val="16"/>
                <w:szCs w:val="16"/>
              </w:rPr>
              <w:t>)</w:t>
            </w:r>
            <w:r>
              <w:rPr>
                <w:sz w:val="16"/>
                <w:szCs w:val="16"/>
              </w:rPr>
              <w:fldChar w:fldCharType="end"/>
            </w:r>
          </w:p>
          <w:p w14:paraId="3DB57488" w14:textId="77777777" w:rsidR="00D04C52" w:rsidRPr="00AA0F7A" w:rsidRDefault="00D04C52" w:rsidP="00382380">
            <w:pPr>
              <w:rPr>
                <w:sz w:val="16"/>
                <w:szCs w:val="16"/>
              </w:rPr>
            </w:pPr>
            <w:r w:rsidRPr="00AA0F7A">
              <w:rPr>
                <w:sz w:val="16"/>
                <w:szCs w:val="16"/>
              </w:rPr>
              <w:t>None</w:t>
            </w:r>
            <w:r w:rsidRPr="00AA0F7A">
              <w:rPr>
                <w:sz w:val="16"/>
                <w:szCs w:val="16"/>
              </w:rPr>
              <w:br/>
            </w:r>
            <w:r w:rsidR="00DE30A2">
              <w:rPr>
                <w:sz w:val="16"/>
                <w:szCs w:val="16"/>
              </w:rPr>
              <w:t>Fair</w:t>
            </w:r>
          </w:p>
        </w:tc>
        <w:tc>
          <w:tcPr>
            <w:tcW w:w="1635" w:type="dxa"/>
            <w:noWrap/>
          </w:tcPr>
          <w:p w14:paraId="75445BA5" w14:textId="77777777" w:rsidR="00D04C52" w:rsidRPr="00AA0F7A" w:rsidRDefault="00D04C52" w:rsidP="00B46744">
            <w:pPr>
              <w:rPr>
                <w:sz w:val="16"/>
                <w:szCs w:val="16"/>
              </w:rPr>
            </w:pPr>
            <w:r w:rsidRPr="00AA0F7A">
              <w:rPr>
                <w:sz w:val="16"/>
                <w:szCs w:val="16"/>
              </w:rPr>
              <w:t xml:space="preserve">California; </w:t>
            </w:r>
          </w:p>
          <w:p w14:paraId="5A7CCBC4" w14:textId="77777777" w:rsidR="00D04C52" w:rsidRPr="00AA0F7A" w:rsidRDefault="00D04C52" w:rsidP="00B46744">
            <w:pPr>
              <w:rPr>
                <w:sz w:val="16"/>
                <w:szCs w:val="16"/>
              </w:rPr>
            </w:pPr>
            <w:r w:rsidRPr="00AA0F7A">
              <w:rPr>
                <w:sz w:val="16"/>
                <w:szCs w:val="16"/>
              </w:rPr>
              <w:t xml:space="preserve">Govt &amp; foundation; </w:t>
            </w:r>
          </w:p>
          <w:p w14:paraId="00A1FDBE" w14:textId="77777777" w:rsidR="00D04C52" w:rsidRPr="00AA0F7A" w:rsidRDefault="00D04C52" w:rsidP="00B46744">
            <w:pPr>
              <w:rPr>
                <w:sz w:val="16"/>
                <w:szCs w:val="16"/>
              </w:rPr>
            </w:pPr>
            <w:r w:rsidRPr="00AA0F7A">
              <w:rPr>
                <w:sz w:val="16"/>
                <w:szCs w:val="16"/>
              </w:rPr>
              <w:t>Cross-sectional</w:t>
            </w:r>
          </w:p>
        </w:tc>
        <w:tc>
          <w:tcPr>
            <w:tcW w:w="3443" w:type="dxa"/>
            <w:noWrap/>
          </w:tcPr>
          <w:p w14:paraId="619005D6" w14:textId="77777777" w:rsidR="00D04C52" w:rsidRPr="00AA0F7A" w:rsidRDefault="00D04C52" w:rsidP="00B46744">
            <w:pPr>
              <w:rPr>
                <w:sz w:val="16"/>
                <w:szCs w:val="16"/>
              </w:rPr>
            </w:pPr>
            <w:r w:rsidRPr="00AA0F7A">
              <w:rPr>
                <w:sz w:val="16"/>
                <w:szCs w:val="16"/>
              </w:rPr>
              <w:t>Fliers distributed to residents of south central Los Angeles on the campus of the King/Drew Medical Center, shopping malls, and other community sites, and given to previous participants to recruit additional participants through snowball sampling; Apr 2001-Sept 2001</w:t>
            </w:r>
          </w:p>
        </w:tc>
        <w:tc>
          <w:tcPr>
            <w:tcW w:w="4500" w:type="dxa"/>
            <w:noWrap/>
          </w:tcPr>
          <w:p w14:paraId="6D3CDC33" w14:textId="77777777" w:rsidR="00D04C52" w:rsidRPr="00AA0F7A" w:rsidRDefault="00D04C52" w:rsidP="00B46744">
            <w:pPr>
              <w:rPr>
                <w:sz w:val="16"/>
                <w:szCs w:val="16"/>
              </w:rPr>
            </w:pPr>
            <w:r w:rsidRPr="00AA0F7A">
              <w:rPr>
                <w:sz w:val="16"/>
                <w:szCs w:val="16"/>
              </w:rPr>
              <w:t xml:space="preserve">Adult </w:t>
            </w:r>
            <w:r w:rsidR="00E1156E">
              <w:rPr>
                <w:sz w:val="16"/>
                <w:szCs w:val="16"/>
              </w:rPr>
              <w:t>Black</w:t>
            </w:r>
            <w:r w:rsidRPr="00AA0F7A">
              <w:rPr>
                <w:sz w:val="16"/>
                <w:szCs w:val="16"/>
              </w:rPr>
              <w:t xml:space="preserve"> smokers age ≥18 who smoked ≥5 CPD for the past year, were willing to be interviewed and give breath and saliva samples, mentally able to provide informed consent, and had exhaled CO ≥7ppm.</w:t>
            </w:r>
          </w:p>
        </w:tc>
        <w:tc>
          <w:tcPr>
            <w:tcW w:w="1672" w:type="dxa"/>
            <w:noWrap/>
          </w:tcPr>
          <w:p w14:paraId="52D886B0" w14:textId="77777777" w:rsidR="00D04C52" w:rsidRPr="00AA0F7A" w:rsidRDefault="00D04C52" w:rsidP="00B46744">
            <w:pPr>
              <w:rPr>
                <w:sz w:val="16"/>
                <w:szCs w:val="16"/>
              </w:rPr>
            </w:pPr>
            <w:r w:rsidRPr="00AA0F7A">
              <w:rPr>
                <w:sz w:val="16"/>
                <w:szCs w:val="16"/>
              </w:rPr>
              <w:t>Black</w:t>
            </w:r>
          </w:p>
        </w:tc>
      </w:tr>
      <w:tr w:rsidR="00D04C52" w:rsidRPr="00AA0F7A" w14:paraId="6865E4D1" w14:textId="77777777" w:rsidTr="00B46744">
        <w:tblPrEx>
          <w:tblCellMar>
            <w:left w:w="108" w:type="dxa"/>
            <w:right w:w="108" w:type="dxa"/>
          </w:tblCellMar>
        </w:tblPrEx>
        <w:trPr>
          <w:cantSplit/>
        </w:trPr>
        <w:tc>
          <w:tcPr>
            <w:tcW w:w="2070" w:type="dxa"/>
            <w:gridSpan w:val="2"/>
            <w:noWrap/>
          </w:tcPr>
          <w:p w14:paraId="2E64B139" w14:textId="37676BCF" w:rsidR="00713B72" w:rsidRDefault="00D2134A" w:rsidP="00B46744">
            <w:pPr>
              <w:rPr>
                <w:sz w:val="16"/>
                <w:szCs w:val="16"/>
              </w:rPr>
            </w:pPr>
            <w:r>
              <w:rPr>
                <w:sz w:val="16"/>
                <w:szCs w:val="16"/>
              </w:rPr>
              <w:fldChar w:fldCharType="begin">
                <w:fldData xml:space="preserve">PEVuZE5vdGU+PENpdGU+PEF1dGhvcj5CZW5vd2l0ejwvQXV0aG9yPjxZZWFyPjIwMTA8L1llYXI+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</w:fldData>
              </w:fldChar>
            </w:r>
            <w:r>
              <w:rPr>
                <w:sz w:val="16"/>
                <w:szCs w:val="16"/>
              </w:rPr>
              <w:instrText xml:space="preserve"> ADDIN EN.CITE </w:instrText>
            </w:r>
            <w:r>
              <w:rPr>
                <w:sz w:val="16"/>
                <w:szCs w:val="16"/>
              </w:rPr>
              <w:fldChar w:fldCharType="begin">
                <w:fldData xml:space="preserve">PEVuZE5vdGU+PENpdGU+PEF1dGhvcj5CZW5vd2l0ejwvQXV0aG9yPjxZZWFyPjIwMTA8L1llYXI+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</w:fldData>
              </w:fldChar>
            </w:r>
            <w:r>
              <w:rPr>
                <w:sz w:val="16"/>
                <w:szCs w:val="16"/>
              </w:rPr>
              <w:instrText xml:space="preserve"> ADDIN EN.CITE.DATA </w:instrText>
            </w:r>
            <w:r>
              <w:rPr>
                <w:sz w:val="16"/>
                <w:szCs w:val="16"/>
              </w:rPr>
            </w:r>
            <w:r>
              <w:rPr>
                <w:sz w:val="16"/>
                <w:szCs w:val="16"/>
              </w:rPr>
              <w:fldChar w:fldCharType="end"/>
            </w:r>
            <w:r>
              <w:rPr>
                <w:sz w:val="16"/>
                <w:szCs w:val="16"/>
              </w:rPr>
              <w:fldChar w:fldCharType="separate"/>
            </w:r>
            <w:r>
              <w:rPr>
                <w:noProof/>
                <w:sz w:val="16"/>
                <w:szCs w:val="16"/>
              </w:rPr>
              <w:t>(</w:t>
            </w:r>
            <w:hyperlink w:anchor="_ENREF_48" w:tooltip="Benowitz, 2010 #286" w:history="1">
              <w:r w:rsidR="00A234A9">
                <w:rPr>
                  <w:noProof/>
                  <w:sz w:val="16"/>
                  <w:szCs w:val="16"/>
                </w:rPr>
                <w:t>48</w:t>
              </w:r>
            </w:hyperlink>
            <w:r>
              <w:rPr>
                <w:noProof/>
                <w:sz w:val="16"/>
                <w:szCs w:val="16"/>
              </w:rPr>
              <w:t>)</w:t>
            </w:r>
            <w:r>
              <w:rPr>
                <w:sz w:val="16"/>
                <w:szCs w:val="16"/>
              </w:rPr>
              <w:fldChar w:fldCharType="end"/>
            </w:r>
          </w:p>
          <w:p w14:paraId="67EF95F8" w14:textId="77777777" w:rsidR="00D04C52" w:rsidRPr="00BF339D" w:rsidRDefault="00D04C52" w:rsidP="00B46744">
            <w:pPr>
              <w:rPr>
                <w:sz w:val="16"/>
                <w:szCs w:val="16"/>
              </w:rPr>
            </w:pPr>
            <w:r w:rsidRPr="00BF339D">
              <w:rPr>
                <w:sz w:val="16"/>
                <w:szCs w:val="16"/>
              </w:rPr>
              <w:t>None</w:t>
            </w:r>
          </w:p>
          <w:p w14:paraId="6D59491F" w14:textId="77777777" w:rsidR="00D04C52" w:rsidRPr="00BF339D" w:rsidRDefault="00D04C52" w:rsidP="00B46744">
            <w:pPr>
              <w:rPr>
                <w:sz w:val="16"/>
                <w:szCs w:val="16"/>
              </w:rPr>
            </w:pPr>
            <w:r w:rsidRPr="00BF339D">
              <w:rPr>
                <w:sz w:val="16"/>
                <w:szCs w:val="16"/>
              </w:rPr>
              <w:t>Fair</w:t>
            </w:r>
          </w:p>
        </w:tc>
        <w:tc>
          <w:tcPr>
            <w:tcW w:w="1635" w:type="dxa"/>
            <w:noWrap/>
          </w:tcPr>
          <w:p w14:paraId="15571809" w14:textId="77777777" w:rsidR="00D04C52" w:rsidRPr="00BF339D" w:rsidRDefault="00D04C52" w:rsidP="00B46744">
            <w:pPr>
              <w:rPr>
                <w:sz w:val="16"/>
                <w:szCs w:val="16"/>
              </w:rPr>
            </w:pPr>
            <w:r w:rsidRPr="00BF339D">
              <w:rPr>
                <w:sz w:val="16"/>
                <w:szCs w:val="16"/>
              </w:rPr>
              <w:t xml:space="preserve">California; </w:t>
            </w:r>
          </w:p>
          <w:p w14:paraId="4941C8CB" w14:textId="77777777" w:rsidR="00D04C52" w:rsidRPr="00BF339D" w:rsidRDefault="00D04C52" w:rsidP="00B46744">
            <w:pPr>
              <w:rPr>
                <w:sz w:val="16"/>
                <w:szCs w:val="16"/>
              </w:rPr>
            </w:pPr>
            <w:r w:rsidRPr="00BF339D">
              <w:rPr>
                <w:sz w:val="16"/>
                <w:szCs w:val="16"/>
              </w:rPr>
              <w:t xml:space="preserve">Govt; </w:t>
            </w:r>
          </w:p>
          <w:p w14:paraId="7BC0DE12" w14:textId="77777777" w:rsidR="00D04C52" w:rsidRPr="00BF339D" w:rsidRDefault="00D04C52" w:rsidP="00B46744">
            <w:pPr>
              <w:rPr>
                <w:sz w:val="16"/>
                <w:szCs w:val="16"/>
              </w:rPr>
            </w:pPr>
            <w:r w:rsidRPr="00BF339D">
              <w:rPr>
                <w:sz w:val="16"/>
                <w:szCs w:val="16"/>
              </w:rPr>
              <w:t>Cross-sectional</w:t>
            </w:r>
          </w:p>
        </w:tc>
        <w:tc>
          <w:tcPr>
            <w:tcW w:w="3443" w:type="dxa"/>
            <w:noWrap/>
          </w:tcPr>
          <w:p w14:paraId="31145FF0" w14:textId="77777777" w:rsidR="00D04C52" w:rsidRPr="00BF339D" w:rsidRDefault="00D04C52" w:rsidP="00B46744">
            <w:pPr>
              <w:rPr>
                <w:sz w:val="16"/>
                <w:szCs w:val="16"/>
              </w:rPr>
            </w:pPr>
            <w:r w:rsidRPr="00BF339D">
              <w:rPr>
                <w:sz w:val="16"/>
                <w:szCs w:val="16"/>
              </w:rPr>
              <w:t>Recruited by newspaper advertisements and notices posted in local colleges, community centers, Craigslist, and other public places; NR</w:t>
            </w:r>
          </w:p>
        </w:tc>
        <w:tc>
          <w:tcPr>
            <w:tcW w:w="4500" w:type="dxa"/>
            <w:noWrap/>
          </w:tcPr>
          <w:p w14:paraId="75B1365A" w14:textId="77777777" w:rsidR="00D04C52" w:rsidRPr="00BF339D" w:rsidRDefault="00D04C52" w:rsidP="00B46744">
            <w:pPr>
              <w:rPr>
                <w:sz w:val="16"/>
                <w:szCs w:val="16"/>
              </w:rPr>
            </w:pPr>
            <w:r w:rsidRPr="00BF339D">
              <w:rPr>
                <w:sz w:val="16"/>
                <w:szCs w:val="16"/>
              </w:rPr>
              <w:t xml:space="preserve">Healthy adults age 18-65 who smoked an average of ≥10 CPD for ≥the past year and self-identified as non-Hispanic </w:t>
            </w:r>
            <w:r w:rsidR="00E1156E">
              <w:rPr>
                <w:sz w:val="16"/>
                <w:szCs w:val="16"/>
              </w:rPr>
              <w:t>White</w:t>
            </w:r>
            <w:r w:rsidRPr="00BF339D">
              <w:rPr>
                <w:sz w:val="16"/>
                <w:szCs w:val="16"/>
              </w:rPr>
              <w:t xml:space="preserve"> or </w:t>
            </w:r>
            <w:r w:rsidR="00E1156E">
              <w:rPr>
                <w:sz w:val="16"/>
                <w:szCs w:val="16"/>
              </w:rPr>
              <w:t>Black</w:t>
            </w:r>
            <w:r w:rsidRPr="00BF339D">
              <w:rPr>
                <w:sz w:val="16"/>
                <w:szCs w:val="16"/>
              </w:rPr>
              <w:t xml:space="preserve"> with </w:t>
            </w:r>
            <w:r>
              <w:rPr>
                <w:sz w:val="16"/>
                <w:szCs w:val="16"/>
              </w:rPr>
              <w:t>4</w:t>
            </w:r>
            <w:r w:rsidRPr="00BF339D">
              <w:rPr>
                <w:sz w:val="16"/>
                <w:szCs w:val="16"/>
              </w:rPr>
              <w:t xml:space="preserve"> grandparents of the same race.</w:t>
            </w:r>
          </w:p>
        </w:tc>
        <w:tc>
          <w:tcPr>
            <w:tcW w:w="1672" w:type="dxa"/>
            <w:noWrap/>
          </w:tcPr>
          <w:p w14:paraId="2A7F156E" w14:textId="77777777" w:rsidR="00D04C52" w:rsidRPr="00BF339D" w:rsidRDefault="00D04C52" w:rsidP="00B46744">
            <w:pPr>
              <w:rPr>
                <w:sz w:val="16"/>
                <w:szCs w:val="16"/>
              </w:rPr>
            </w:pPr>
            <w:r w:rsidRPr="00BF339D">
              <w:rPr>
                <w:sz w:val="16"/>
                <w:szCs w:val="16"/>
              </w:rPr>
              <w:t>None</w:t>
            </w:r>
          </w:p>
        </w:tc>
      </w:tr>
      <w:tr w:rsidR="00D04C52" w:rsidRPr="00AA0F7A" w14:paraId="14B4ED6E" w14:textId="77777777" w:rsidTr="00B46744">
        <w:tblPrEx>
          <w:tblCellMar>
            <w:left w:w="108" w:type="dxa"/>
            <w:right w:w="108" w:type="dxa"/>
          </w:tblCellMar>
        </w:tblPrEx>
        <w:trPr>
          <w:cantSplit/>
        </w:trPr>
        <w:tc>
          <w:tcPr>
            <w:tcW w:w="2070" w:type="dxa"/>
            <w:gridSpan w:val="2"/>
            <w:noWrap/>
          </w:tcPr>
          <w:p w14:paraId="2808072F" w14:textId="1383409E" w:rsidR="00382380" w:rsidRDefault="00D2134A" w:rsidP="00B46744">
            <w:pPr>
              <w:rPr>
                <w:sz w:val="16"/>
                <w:szCs w:val="16"/>
              </w:rPr>
            </w:pPr>
            <w:r>
              <w:rPr>
                <w:sz w:val="16"/>
                <w:szCs w:val="16"/>
              </w:rPr>
              <w:fldChar w:fldCharType="begin"/>
            </w:r>
            <w:r>
              <w:rPr>
                <w:sz w:val="16"/>
                <w:szCs w:val="16"/>
              </w:rPr>
              <w:instrText xml:space="preserve"> ADDIN EN.CITE &lt;EndNote&gt;&lt;Cite&gt;&lt;Author&gt;Caraballo&lt;/Author&gt;&lt;Year&gt;2011&lt;/Year&gt;&lt;RecNum&gt;47&lt;/RecNum&gt;&lt;DisplayText&gt;(49)&lt;/DisplayText&gt;&lt;record&gt;&lt;rec-number&gt;47&lt;/rec-number&gt;&lt;foreign-keys&gt;&lt;key app="EN" db-id="a2vz2dfp8xrad6exes75zwpiw5rxwa0vwapv" timestamp="0"&gt;47&lt;/key&gt;&lt;/foreign-keys&gt;&lt;ref-type name="Journal Article"&gt;17&lt;/ref-type&gt;&lt;contributors&gt;&lt;authors&gt;&lt;author&gt;Caraballo, R. S.&lt;/author&gt;&lt;author&gt;Asman, K.&lt;/author&gt;&lt;/authors&gt;&lt;/contributors&gt;&lt;auth-address&gt;Mail Stop K-50, Office on Smoking and Health, National Center for Chronic Disease Prevention and Health Promotion, Centers for Disease Control and Prevention, 4770 Buford Highway, N,E,, Atlanta, GA, USA. rfc8@cdc.gov.&lt;/auth-address&gt;&lt;titles&gt;&lt;title&gt;Epidemiology of menthol cigarette use in the United States&lt;/title&gt;&lt;secondary-title&gt;Tob Induc Dis&lt;/secondary-title&gt;&lt;/titles&gt;&lt;periodical&gt;&lt;full-title&gt;Tob Induc Dis&lt;/full-title&gt;&lt;/periodical&gt;&lt;pages&gt;S1&lt;/pages&gt;&lt;volume&gt;9 Suppl 1&lt;/volume&gt;&lt;dates&gt;&lt;year&gt;2011&lt;/year&gt;&lt;/dates&gt;&lt;isbn&gt;1617-9625 (Electronic)&amp;#xD;1617-9625 (Linking)&lt;/isbn&gt;&lt;accession-num&gt;21624147&lt;/accession-num&gt;&lt;urls&gt;&lt;related-urls&gt;&lt;url&gt;http://www.ncbi.nlm.nih.gov/pubmed/21624147&lt;/url&gt;&lt;/related-urls&gt;&lt;/urls&gt;&lt;custom2&gt;PMC3102900&lt;/custom2&gt;&lt;electronic-resource-num&gt;10.1186/1617-9625-9-S1-S1&lt;/electronic-resource-num&gt;&lt;research-notes&gt;#247&lt;/research-notes&gt;&lt;/record&gt;&lt;/Cite&gt;&lt;/EndNote&gt;</w:instrText>
            </w:r>
            <w:r>
              <w:rPr>
                <w:sz w:val="16"/>
                <w:szCs w:val="16"/>
              </w:rPr>
              <w:fldChar w:fldCharType="separate"/>
            </w:r>
            <w:r>
              <w:rPr>
                <w:noProof/>
                <w:sz w:val="16"/>
                <w:szCs w:val="16"/>
              </w:rPr>
              <w:t>(</w:t>
            </w:r>
            <w:hyperlink w:anchor="_ENREF_49" w:tooltip="Caraballo, 2011 #47" w:history="1">
              <w:r w:rsidR="00A234A9">
                <w:rPr>
                  <w:noProof/>
                  <w:sz w:val="16"/>
                  <w:szCs w:val="16"/>
                </w:rPr>
                <w:t>49</w:t>
              </w:r>
            </w:hyperlink>
            <w:r>
              <w:rPr>
                <w:noProof/>
                <w:sz w:val="16"/>
                <w:szCs w:val="16"/>
              </w:rPr>
              <w:t>)</w:t>
            </w:r>
            <w:r>
              <w:rPr>
                <w:sz w:val="16"/>
                <w:szCs w:val="16"/>
              </w:rPr>
              <w:fldChar w:fldCharType="end"/>
            </w:r>
          </w:p>
          <w:p w14:paraId="57086712" w14:textId="77777777" w:rsidR="00D04C52" w:rsidRPr="00AA0F7A" w:rsidRDefault="00D04C52" w:rsidP="00B46744">
            <w:pPr>
              <w:rPr>
                <w:sz w:val="16"/>
                <w:szCs w:val="16"/>
              </w:rPr>
            </w:pPr>
            <w:r w:rsidRPr="00AA0F7A">
              <w:rPr>
                <w:sz w:val="16"/>
                <w:szCs w:val="16"/>
              </w:rPr>
              <w:t>NYTS</w:t>
            </w:r>
          </w:p>
          <w:p w14:paraId="786704F0" w14:textId="77777777" w:rsidR="00D04C52" w:rsidRPr="00AA0F7A" w:rsidRDefault="00D04C52" w:rsidP="00B46744">
            <w:pPr>
              <w:rPr>
                <w:sz w:val="16"/>
                <w:szCs w:val="16"/>
              </w:rPr>
            </w:pPr>
            <w:r w:rsidRPr="00AA0F7A">
              <w:rPr>
                <w:sz w:val="16"/>
                <w:szCs w:val="16"/>
              </w:rPr>
              <w:t>Fair</w:t>
            </w:r>
          </w:p>
        </w:tc>
        <w:tc>
          <w:tcPr>
            <w:tcW w:w="1635" w:type="dxa"/>
            <w:noWrap/>
          </w:tcPr>
          <w:p w14:paraId="23355E81" w14:textId="77777777" w:rsidR="00D04C52" w:rsidRPr="00AA0F7A" w:rsidRDefault="00D04C52" w:rsidP="00B46744">
            <w:pPr>
              <w:rPr>
                <w:sz w:val="16"/>
                <w:szCs w:val="16"/>
              </w:rPr>
            </w:pPr>
            <w:r w:rsidRPr="00AA0F7A">
              <w:rPr>
                <w:sz w:val="16"/>
                <w:szCs w:val="16"/>
              </w:rPr>
              <w:t>National;</w:t>
            </w:r>
          </w:p>
          <w:p w14:paraId="51774351" w14:textId="77777777" w:rsidR="00D04C52" w:rsidRPr="00AA0F7A" w:rsidRDefault="00D04C52" w:rsidP="00B46744">
            <w:pPr>
              <w:rPr>
                <w:sz w:val="16"/>
                <w:szCs w:val="16"/>
              </w:rPr>
            </w:pPr>
            <w:r w:rsidRPr="00AA0F7A">
              <w:rPr>
                <w:sz w:val="16"/>
                <w:szCs w:val="16"/>
              </w:rPr>
              <w:t>Govt;</w:t>
            </w:r>
          </w:p>
          <w:p w14:paraId="675E6D10" w14:textId="77777777" w:rsidR="00D04C52" w:rsidRPr="00AA0F7A" w:rsidRDefault="00D04C52" w:rsidP="00B46744">
            <w:pPr>
              <w:rPr>
                <w:sz w:val="16"/>
                <w:szCs w:val="16"/>
              </w:rPr>
            </w:pPr>
            <w:r w:rsidRPr="00AA0F7A">
              <w:rPr>
                <w:sz w:val="16"/>
                <w:szCs w:val="16"/>
              </w:rPr>
              <w:t>Cross-sectional</w:t>
            </w:r>
          </w:p>
        </w:tc>
        <w:tc>
          <w:tcPr>
            <w:tcW w:w="3443" w:type="dxa"/>
            <w:noWrap/>
          </w:tcPr>
          <w:p w14:paraId="2C8AFB92" w14:textId="77777777" w:rsidR="00D04C52" w:rsidRPr="00AA0F7A" w:rsidRDefault="00D04C52" w:rsidP="00B46744">
            <w:pPr>
              <w:rPr>
                <w:sz w:val="16"/>
                <w:szCs w:val="16"/>
              </w:rPr>
            </w:pPr>
            <w:r w:rsidRPr="00AA0F7A">
              <w:rPr>
                <w:sz w:val="16"/>
                <w:szCs w:val="16"/>
              </w:rPr>
              <w:t>NYTS; 2004, 2006, 2009</w:t>
            </w:r>
          </w:p>
        </w:tc>
        <w:tc>
          <w:tcPr>
            <w:tcW w:w="4500" w:type="dxa"/>
            <w:noWrap/>
          </w:tcPr>
          <w:p w14:paraId="6AE1D412" w14:textId="77777777" w:rsidR="00D04C52" w:rsidRPr="00AA0F7A" w:rsidRDefault="00D04C52" w:rsidP="00B46744">
            <w:pPr>
              <w:rPr>
                <w:sz w:val="16"/>
                <w:szCs w:val="16"/>
              </w:rPr>
            </w:pPr>
            <w:r w:rsidRPr="00AA0F7A">
              <w:rPr>
                <w:sz w:val="16"/>
                <w:szCs w:val="16"/>
              </w:rPr>
              <w:t xml:space="preserve">Middle school and high school students who smoked in the past 30 days and had a usual brand. </w:t>
            </w:r>
          </w:p>
        </w:tc>
        <w:tc>
          <w:tcPr>
            <w:tcW w:w="1672" w:type="dxa"/>
            <w:noWrap/>
          </w:tcPr>
          <w:p w14:paraId="7491B40B" w14:textId="77777777" w:rsidR="00D04C52" w:rsidRPr="00AA0F7A" w:rsidRDefault="00D04C52" w:rsidP="00B46744">
            <w:pPr>
              <w:rPr>
                <w:sz w:val="16"/>
                <w:szCs w:val="16"/>
              </w:rPr>
            </w:pPr>
            <w:r w:rsidRPr="00AA0F7A">
              <w:rPr>
                <w:sz w:val="16"/>
                <w:szCs w:val="16"/>
              </w:rPr>
              <w:t>Youth</w:t>
            </w:r>
          </w:p>
        </w:tc>
      </w:tr>
      <w:tr w:rsidR="00D04C52" w:rsidRPr="00AA0F7A" w14:paraId="47ACDE71" w14:textId="77777777" w:rsidTr="00B46744">
        <w:tblPrEx>
          <w:tblCellMar>
            <w:left w:w="108" w:type="dxa"/>
            <w:right w:w="108" w:type="dxa"/>
          </w:tblCellMar>
        </w:tblPrEx>
        <w:trPr>
          <w:cantSplit/>
        </w:trPr>
        <w:tc>
          <w:tcPr>
            <w:tcW w:w="2070" w:type="dxa"/>
            <w:gridSpan w:val="2"/>
            <w:noWrap/>
          </w:tcPr>
          <w:p w14:paraId="7C0549EF" w14:textId="3D2B4920" w:rsidR="00A01A44" w:rsidRDefault="00D2134A" w:rsidP="00B46744">
            <w:pPr>
              <w:rPr>
                <w:sz w:val="16"/>
                <w:szCs w:val="16"/>
              </w:rPr>
            </w:pPr>
            <w:r>
              <w:rPr>
                <w:sz w:val="16"/>
                <w:szCs w:val="16"/>
              </w:rPr>
              <w:fldChar w:fldCharType="begin"/>
            </w:r>
            <w:r>
              <w:rPr>
                <w:sz w:val="16"/>
                <w:szCs w:val="16"/>
              </w:rPr>
              <w:instrText xml:space="preserve"> ADDIN EN.CITE &lt;EndNote&gt;&lt;Cite&gt;&lt;Author&gt;Cubbin&lt;/Author&gt;&lt;Year&gt;2010&lt;/Year&gt;&lt;RecNum&gt;53&lt;/RecNum&gt;&lt;DisplayText&gt;(50)&lt;/DisplayText&gt;&lt;record&gt;&lt;rec-number&gt;53&lt;/rec-number&gt;&lt;foreign-keys&gt;&lt;key app="EN" db-id="a2vz2dfp8xrad6exes75zwpiw5rxwa0vwapv" timestamp="0"&gt;53&lt;/key&gt;&lt;/foreign-keys&gt;&lt;ref-type name="Journal Article"&gt;17&lt;/ref-type&gt;&lt;contributors&gt;&lt;authors&gt;&lt;author&gt;Cubbin, C.&lt;/author&gt;&lt;author&gt;Soobader, M. J.&lt;/author&gt;&lt;author&gt;LeClere, F. B.&lt;/author&gt;&lt;/authors&gt;&lt;/contributors&gt;&lt;auth-address&gt;School of Social Work, University of Texas at Austin, Austin, TX 78712-0358, USA. ccubbin@austin.utexas.edu&lt;/auth-address&gt;&lt;titles&gt;&lt;title&gt;The intersection of gender and race/ethnicity in smoking behaviors among menthol and non-menthol smokers in the United States&lt;/title&gt;&lt;secondary-title&gt;Addiction&lt;/secondary-title&gt;&lt;/titles&gt;&lt;periodical&gt;&lt;full-title&gt;Addiction&lt;/full-title&gt;&lt;/periodical&gt;&lt;pages&gt;32-8&lt;/pages&gt;&lt;volume&gt;105 Suppl 1&lt;/volume&gt;&lt;keywords&gt;&lt;keyword&gt;Adult&lt;/keyword&gt;&lt;keyword&gt;African Americans/statistics &amp;amp; numerical data&lt;/keyword&gt;&lt;keyword&gt;Age of Onset&lt;/keyword&gt;&lt;keyword&gt;Cross-Sectional Studies&lt;/keyword&gt;&lt;keyword&gt;European Continental Ancestry Group/statistics &amp;amp; numerical data&lt;/keyword&gt;&lt;keyword&gt;Female&lt;/keyword&gt;&lt;keyword&gt;Hispanic Americans/statistics &amp;amp; numerical data&lt;/keyword&gt;&lt;keyword&gt;Humans&lt;/keyword&gt;&lt;keyword&gt;Male&lt;/keyword&gt;&lt;keyword&gt;*Menthol&lt;/keyword&gt;&lt;keyword&gt;Middle Aged&lt;/keyword&gt;&lt;keyword&gt;*Population Surveillance&lt;/keyword&gt;&lt;keyword&gt;Sex Factors&lt;/keyword&gt;&lt;keyword&gt;Smoking/*epidemiology/ethnology&lt;/keyword&gt;&lt;keyword&gt;Smoking Cessation/ethnology/statistics &amp;amp; numerical data&lt;/keyword&gt;&lt;keyword&gt;Socioeconomic Factors&lt;/keyword&gt;&lt;keyword&gt;United States/epidemiology&lt;/keyword&gt;&lt;/keywords&gt;&lt;dates&gt;&lt;year&gt;2010&lt;/year&gt;&lt;pub-dates&gt;&lt;date&gt;Dec&lt;/date&gt;&lt;/pub-dates&gt;&lt;/dates&gt;&lt;isbn&gt;1360-0443 (Electronic)&amp;#xD;0965-2140 (Linking)&lt;/isbn&gt;&lt;accession-num&gt;21059134&lt;/accession-num&gt;&lt;urls&gt;&lt;related-urls&gt;&lt;url&gt;http://www.ncbi.nlm.nih.gov/pubmed/21059134&lt;/url&gt;&lt;/related-urls&gt;&lt;/urls&gt;&lt;electronic-resource-num&gt;10.1111/j.1360-0443.2010.03191.x&lt;/electronic-resource-num&gt;&lt;research-notes&gt;#281&lt;/research-notes&gt;&lt;/record&gt;&lt;/Cite&gt;&lt;/EndNote&gt;</w:instrText>
            </w:r>
            <w:r>
              <w:rPr>
                <w:sz w:val="16"/>
                <w:szCs w:val="16"/>
              </w:rPr>
              <w:fldChar w:fldCharType="separate"/>
            </w:r>
            <w:r>
              <w:rPr>
                <w:noProof/>
                <w:sz w:val="16"/>
                <w:szCs w:val="16"/>
              </w:rPr>
              <w:t>(</w:t>
            </w:r>
            <w:hyperlink w:anchor="_ENREF_50" w:tooltip="Cubbin, 2010 #53" w:history="1">
              <w:r w:rsidR="00A234A9">
                <w:rPr>
                  <w:noProof/>
                  <w:sz w:val="16"/>
                  <w:szCs w:val="16"/>
                </w:rPr>
                <w:t>50</w:t>
              </w:r>
            </w:hyperlink>
            <w:r>
              <w:rPr>
                <w:noProof/>
                <w:sz w:val="16"/>
                <w:szCs w:val="16"/>
              </w:rPr>
              <w:t>)</w:t>
            </w:r>
            <w:r>
              <w:rPr>
                <w:sz w:val="16"/>
                <w:szCs w:val="16"/>
              </w:rPr>
              <w:fldChar w:fldCharType="end"/>
            </w:r>
          </w:p>
          <w:p w14:paraId="71F23FC5" w14:textId="77777777" w:rsidR="00D04C52" w:rsidRPr="00AA0F7A" w:rsidRDefault="00D04C52" w:rsidP="00B46744">
            <w:pPr>
              <w:rPr>
                <w:sz w:val="16"/>
                <w:szCs w:val="16"/>
              </w:rPr>
            </w:pPr>
            <w:r w:rsidRPr="00AA0F7A">
              <w:rPr>
                <w:sz w:val="16"/>
                <w:szCs w:val="16"/>
              </w:rPr>
              <w:t>NHIS-CCS</w:t>
            </w:r>
          </w:p>
          <w:p w14:paraId="758562C6" w14:textId="77777777" w:rsidR="00D04C52" w:rsidRPr="00AA0F7A" w:rsidRDefault="00D04C52" w:rsidP="00B46744">
            <w:pPr>
              <w:rPr>
                <w:sz w:val="16"/>
                <w:szCs w:val="16"/>
              </w:rPr>
            </w:pPr>
            <w:r w:rsidRPr="00AA0F7A">
              <w:rPr>
                <w:sz w:val="16"/>
                <w:szCs w:val="16"/>
              </w:rPr>
              <w:t>Good</w:t>
            </w:r>
          </w:p>
        </w:tc>
        <w:tc>
          <w:tcPr>
            <w:tcW w:w="1635" w:type="dxa"/>
            <w:noWrap/>
          </w:tcPr>
          <w:p w14:paraId="192B29A9" w14:textId="77777777" w:rsidR="00D04C52" w:rsidRPr="00AA0F7A" w:rsidRDefault="00D04C52" w:rsidP="00B46744">
            <w:pPr>
              <w:rPr>
                <w:sz w:val="16"/>
                <w:szCs w:val="16"/>
              </w:rPr>
            </w:pPr>
            <w:r w:rsidRPr="00AA0F7A">
              <w:rPr>
                <w:sz w:val="16"/>
                <w:szCs w:val="16"/>
              </w:rPr>
              <w:t xml:space="preserve">National; </w:t>
            </w:r>
            <w:r w:rsidRPr="00AA0F7A">
              <w:rPr>
                <w:sz w:val="16"/>
                <w:szCs w:val="16"/>
              </w:rPr>
              <w:br/>
              <w:t xml:space="preserve">NR; </w:t>
            </w:r>
            <w:r w:rsidRPr="00AA0F7A">
              <w:rPr>
                <w:sz w:val="16"/>
                <w:szCs w:val="16"/>
              </w:rPr>
              <w:br/>
              <w:t>Cross-sectional</w:t>
            </w:r>
          </w:p>
        </w:tc>
        <w:tc>
          <w:tcPr>
            <w:tcW w:w="3443" w:type="dxa"/>
            <w:noWrap/>
          </w:tcPr>
          <w:p w14:paraId="27EA093E" w14:textId="77777777" w:rsidR="00D04C52" w:rsidRPr="00AA0F7A" w:rsidRDefault="00D04C52" w:rsidP="00B46744">
            <w:pPr>
              <w:rPr>
                <w:sz w:val="16"/>
                <w:szCs w:val="16"/>
              </w:rPr>
            </w:pPr>
            <w:r w:rsidRPr="00AA0F7A">
              <w:rPr>
                <w:sz w:val="16"/>
                <w:szCs w:val="16"/>
              </w:rPr>
              <w:t xml:space="preserve">NHIS-CCS; 2005 </w:t>
            </w:r>
          </w:p>
        </w:tc>
        <w:tc>
          <w:tcPr>
            <w:tcW w:w="4500" w:type="dxa"/>
            <w:noWrap/>
          </w:tcPr>
          <w:p w14:paraId="587168FD" w14:textId="77777777" w:rsidR="00D04C52" w:rsidRPr="00AA0F7A" w:rsidRDefault="00D04C52" w:rsidP="00B46744">
            <w:pPr>
              <w:rPr>
                <w:sz w:val="16"/>
                <w:szCs w:val="16"/>
              </w:rPr>
            </w:pPr>
            <w:r w:rsidRPr="00AA0F7A">
              <w:rPr>
                <w:sz w:val="16"/>
                <w:szCs w:val="16"/>
              </w:rPr>
              <w:t xml:space="preserve">Adults age 25-64 who self-identified as </w:t>
            </w:r>
            <w:r w:rsidR="00E1156E">
              <w:rPr>
                <w:sz w:val="16"/>
                <w:szCs w:val="16"/>
              </w:rPr>
              <w:t>Black</w:t>
            </w:r>
            <w:r w:rsidRPr="00AA0F7A">
              <w:rPr>
                <w:sz w:val="16"/>
                <w:szCs w:val="16"/>
              </w:rPr>
              <w:t xml:space="preserve">, non-Hispanic/Latino, Hispanic/Latino, or </w:t>
            </w:r>
            <w:r w:rsidR="00E1156E">
              <w:rPr>
                <w:sz w:val="16"/>
                <w:szCs w:val="16"/>
              </w:rPr>
              <w:t>White</w:t>
            </w:r>
            <w:r w:rsidRPr="00AA0F7A">
              <w:rPr>
                <w:sz w:val="16"/>
                <w:szCs w:val="16"/>
              </w:rPr>
              <w:t xml:space="preserve"> non-Hispanic, smoked ≥100 lifetime cigs and currently smoke every day (current smoker) or do not currently smoke (former smoker).</w:t>
            </w:r>
          </w:p>
        </w:tc>
        <w:tc>
          <w:tcPr>
            <w:tcW w:w="1672" w:type="dxa"/>
            <w:noWrap/>
          </w:tcPr>
          <w:p w14:paraId="11D5871B" w14:textId="77777777" w:rsidR="00D04C52" w:rsidRPr="00AA0F7A" w:rsidRDefault="00D04C52" w:rsidP="00B46744">
            <w:pPr>
              <w:rPr>
                <w:sz w:val="16"/>
                <w:szCs w:val="16"/>
              </w:rPr>
            </w:pPr>
            <w:r w:rsidRPr="00AA0F7A">
              <w:rPr>
                <w:sz w:val="16"/>
                <w:szCs w:val="16"/>
              </w:rPr>
              <w:t>None</w:t>
            </w:r>
          </w:p>
        </w:tc>
      </w:tr>
      <w:tr w:rsidR="00D04C52" w:rsidRPr="00AA0F7A" w14:paraId="7703CDEE" w14:textId="77777777" w:rsidTr="00B46744">
        <w:tblPrEx>
          <w:tblCellMar>
            <w:left w:w="108" w:type="dxa"/>
            <w:right w:w="108" w:type="dxa"/>
          </w:tblCellMar>
        </w:tblPrEx>
        <w:trPr>
          <w:cantSplit/>
        </w:trPr>
        <w:tc>
          <w:tcPr>
            <w:tcW w:w="2070" w:type="dxa"/>
            <w:gridSpan w:val="2"/>
            <w:noWrap/>
          </w:tcPr>
          <w:p w14:paraId="4DDE6167" w14:textId="40C1B4C0" w:rsidR="00D04C52" w:rsidRPr="00AA0F7A" w:rsidRDefault="00D2134A" w:rsidP="00B46744">
            <w:pPr>
              <w:rPr>
                <w:sz w:val="16"/>
                <w:szCs w:val="16"/>
              </w:rPr>
            </w:pPr>
            <w:r>
              <w:rPr>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sz w:val="16"/>
                <w:szCs w:val="16"/>
              </w:rPr>
              <w:instrText xml:space="preserve"> ADDIN EN.CITE </w:instrText>
            </w:r>
            <w:r>
              <w:rPr>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sz w:val="16"/>
                <w:szCs w:val="16"/>
              </w:rPr>
              <w:instrText xml:space="preserve"> ADDIN EN.CITE.DATA </w:instrText>
            </w:r>
            <w:r>
              <w:rPr>
                <w:sz w:val="16"/>
                <w:szCs w:val="16"/>
              </w:rPr>
            </w:r>
            <w:r>
              <w:rPr>
                <w:sz w:val="16"/>
                <w:szCs w:val="16"/>
              </w:rPr>
              <w:fldChar w:fldCharType="end"/>
            </w:r>
            <w:r>
              <w:rPr>
                <w:sz w:val="16"/>
                <w:szCs w:val="16"/>
              </w:rPr>
              <w:fldChar w:fldCharType="separate"/>
            </w:r>
            <w:r>
              <w:rPr>
                <w:noProof/>
                <w:sz w:val="16"/>
                <w:szCs w:val="16"/>
              </w:rPr>
              <w:t>(</w:t>
            </w:r>
            <w:hyperlink w:anchor="_ENREF_51" w:tooltip="Curtin, 2014 #13" w:history="1">
              <w:r w:rsidR="00A234A9">
                <w:rPr>
                  <w:noProof/>
                  <w:sz w:val="16"/>
                  <w:szCs w:val="16"/>
                </w:rPr>
                <w:t>51</w:t>
              </w:r>
            </w:hyperlink>
            <w:r>
              <w:rPr>
                <w:noProof/>
                <w:sz w:val="16"/>
                <w:szCs w:val="16"/>
              </w:rPr>
              <w:t>)</w:t>
            </w:r>
            <w:r>
              <w:rPr>
                <w:sz w:val="16"/>
                <w:szCs w:val="16"/>
              </w:rPr>
              <w:fldChar w:fldCharType="end"/>
            </w:r>
          </w:p>
          <w:p w14:paraId="674B89C7" w14:textId="77777777" w:rsidR="00D04C52" w:rsidRPr="00AA0F7A" w:rsidRDefault="00D04C52" w:rsidP="00B46744">
            <w:pPr>
              <w:rPr>
                <w:sz w:val="16"/>
                <w:szCs w:val="16"/>
              </w:rPr>
            </w:pPr>
            <w:r w:rsidRPr="00AA0F7A">
              <w:rPr>
                <w:sz w:val="16"/>
                <w:szCs w:val="16"/>
              </w:rPr>
              <w:t>NHANES, NSDUH, NHIS, TUS-CPS</w:t>
            </w:r>
          </w:p>
          <w:p w14:paraId="57F17D92" w14:textId="77777777" w:rsidR="00D04C52" w:rsidRPr="00AA0F7A" w:rsidRDefault="00D04C52" w:rsidP="00B46744">
            <w:pPr>
              <w:rPr>
                <w:sz w:val="16"/>
                <w:szCs w:val="16"/>
              </w:rPr>
            </w:pPr>
            <w:r w:rsidRPr="00AA0F7A">
              <w:rPr>
                <w:sz w:val="16"/>
                <w:szCs w:val="16"/>
              </w:rPr>
              <w:t>Good</w:t>
            </w:r>
          </w:p>
        </w:tc>
        <w:tc>
          <w:tcPr>
            <w:tcW w:w="1635" w:type="dxa"/>
            <w:noWrap/>
          </w:tcPr>
          <w:p w14:paraId="666B218E" w14:textId="77777777" w:rsidR="00D04C52" w:rsidRPr="00AA0F7A" w:rsidRDefault="00D04C52" w:rsidP="00B46744">
            <w:pPr>
              <w:rPr>
                <w:sz w:val="16"/>
                <w:szCs w:val="16"/>
              </w:rPr>
            </w:pPr>
            <w:r w:rsidRPr="00AA0F7A">
              <w:rPr>
                <w:sz w:val="16"/>
                <w:szCs w:val="16"/>
              </w:rPr>
              <w:t>National;</w:t>
            </w:r>
          </w:p>
          <w:p w14:paraId="36F3246C" w14:textId="77777777" w:rsidR="00D04C52" w:rsidRPr="00AA0F7A" w:rsidRDefault="00D04C52" w:rsidP="00B46744">
            <w:pPr>
              <w:rPr>
                <w:sz w:val="16"/>
                <w:szCs w:val="16"/>
              </w:rPr>
            </w:pPr>
            <w:r w:rsidRPr="00AA0F7A">
              <w:rPr>
                <w:sz w:val="16"/>
                <w:szCs w:val="16"/>
              </w:rPr>
              <w:t>Industry;</w:t>
            </w:r>
          </w:p>
          <w:p w14:paraId="28C902ED" w14:textId="77777777" w:rsidR="00D04C52" w:rsidRPr="00AA0F7A" w:rsidRDefault="00D04C52" w:rsidP="00B46744">
            <w:pPr>
              <w:rPr>
                <w:sz w:val="16"/>
                <w:szCs w:val="16"/>
              </w:rPr>
            </w:pPr>
            <w:r w:rsidRPr="00AA0F7A">
              <w:rPr>
                <w:sz w:val="16"/>
                <w:szCs w:val="16"/>
              </w:rPr>
              <w:t>Cross-sectional</w:t>
            </w:r>
          </w:p>
        </w:tc>
        <w:tc>
          <w:tcPr>
            <w:tcW w:w="3443" w:type="dxa"/>
            <w:noWrap/>
          </w:tcPr>
          <w:p w14:paraId="428200B6" w14:textId="77777777" w:rsidR="00D04C52" w:rsidRPr="00AA0F7A" w:rsidRDefault="00D04C52" w:rsidP="00B46744">
            <w:pPr>
              <w:rPr>
                <w:sz w:val="16"/>
                <w:szCs w:val="16"/>
              </w:rPr>
            </w:pPr>
            <w:r w:rsidRPr="00AA0F7A">
              <w:rPr>
                <w:sz w:val="16"/>
                <w:szCs w:val="16"/>
              </w:rPr>
              <w:t>NHANES; 1999-2010</w:t>
            </w:r>
          </w:p>
          <w:p w14:paraId="10620BF4" w14:textId="77777777" w:rsidR="00D04C52" w:rsidRPr="00AA0F7A" w:rsidRDefault="00D04C52" w:rsidP="00B46744">
            <w:pPr>
              <w:rPr>
                <w:sz w:val="16"/>
                <w:szCs w:val="16"/>
              </w:rPr>
            </w:pPr>
            <w:r w:rsidRPr="00AA0F7A">
              <w:rPr>
                <w:sz w:val="16"/>
                <w:szCs w:val="16"/>
              </w:rPr>
              <w:t>NSDUH; 2000-2009</w:t>
            </w:r>
          </w:p>
          <w:p w14:paraId="1C714E35" w14:textId="77777777" w:rsidR="00D04C52" w:rsidRPr="00AA0F7A" w:rsidRDefault="00D04C52" w:rsidP="00B46744">
            <w:pPr>
              <w:rPr>
                <w:sz w:val="16"/>
                <w:szCs w:val="16"/>
              </w:rPr>
            </w:pPr>
            <w:r w:rsidRPr="00AA0F7A">
              <w:rPr>
                <w:sz w:val="16"/>
                <w:szCs w:val="16"/>
              </w:rPr>
              <w:t>NHIS; 2005 and 2010</w:t>
            </w:r>
          </w:p>
          <w:p w14:paraId="41D2146E" w14:textId="77777777" w:rsidR="00D04C52" w:rsidRPr="00AA0F7A" w:rsidRDefault="00D04C52" w:rsidP="00B46744">
            <w:pPr>
              <w:rPr>
                <w:sz w:val="16"/>
                <w:szCs w:val="16"/>
              </w:rPr>
            </w:pPr>
            <w:r w:rsidRPr="00AA0F7A">
              <w:rPr>
                <w:sz w:val="16"/>
                <w:szCs w:val="16"/>
              </w:rPr>
              <w:t>TUS-CPS; 2003, 2006-2007</w:t>
            </w:r>
          </w:p>
        </w:tc>
        <w:tc>
          <w:tcPr>
            <w:tcW w:w="4500" w:type="dxa"/>
            <w:noWrap/>
          </w:tcPr>
          <w:p w14:paraId="33669D3F" w14:textId="77777777" w:rsidR="00D04C52" w:rsidRPr="00AA0F7A" w:rsidRDefault="00D04C52" w:rsidP="00B46744">
            <w:pPr>
              <w:rPr>
                <w:sz w:val="16"/>
                <w:szCs w:val="16"/>
              </w:rPr>
            </w:pPr>
            <w:r w:rsidRPr="00AA0F7A">
              <w:rPr>
                <w:sz w:val="16"/>
                <w:szCs w:val="16"/>
              </w:rPr>
              <w:t>NHANES: youth age 12-19 who ever tried cig smoking (even 1 or 2 puffs) and adults age ≥20 who smoked ≥100 lifetime cigs;</w:t>
            </w:r>
          </w:p>
          <w:p w14:paraId="02AB5933" w14:textId="77777777" w:rsidR="00D04C52" w:rsidRPr="00AA0F7A" w:rsidRDefault="00D04C52" w:rsidP="00B46744">
            <w:pPr>
              <w:rPr>
                <w:sz w:val="16"/>
                <w:szCs w:val="16"/>
              </w:rPr>
            </w:pPr>
            <w:r w:rsidRPr="00AA0F7A">
              <w:rPr>
                <w:sz w:val="16"/>
                <w:szCs w:val="16"/>
              </w:rPr>
              <w:t>NSDUH, NHIS: adults age ≥20 who ever smoked part or all of a cig; TUS-CPS: youth age 15-19 and adults ≥20 who ever smoked part or all of a cig.</w:t>
            </w:r>
          </w:p>
        </w:tc>
        <w:tc>
          <w:tcPr>
            <w:tcW w:w="1672" w:type="dxa"/>
            <w:noWrap/>
          </w:tcPr>
          <w:p w14:paraId="0289AECE" w14:textId="77777777" w:rsidR="00D04C52" w:rsidRPr="00AA0F7A" w:rsidRDefault="00D04C52" w:rsidP="00B46744">
            <w:pPr>
              <w:rPr>
                <w:sz w:val="16"/>
                <w:szCs w:val="16"/>
              </w:rPr>
            </w:pPr>
            <w:r w:rsidRPr="00AA0F7A">
              <w:rPr>
                <w:sz w:val="16"/>
                <w:szCs w:val="16"/>
              </w:rPr>
              <w:t>Some results stratified by age (youth)</w:t>
            </w:r>
          </w:p>
        </w:tc>
      </w:tr>
      <w:tr w:rsidR="000538E3" w:rsidRPr="00AA0F7A" w14:paraId="1C268712" w14:textId="77777777" w:rsidTr="00B46744">
        <w:tblPrEx>
          <w:tblCellMar>
            <w:left w:w="108" w:type="dxa"/>
            <w:right w:w="108" w:type="dxa"/>
          </w:tblCellMar>
        </w:tblPrEx>
        <w:trPr>
          <w:cantSplit/>
        </w:trPr>
        <w:tc>
          <w:tcPr>
            <w:tcW w:w="2070" w:type="dxa"/>
            <w:gridSpan w:val="2"/>
            <w:noWrap/>
          </w:tcPr>
          <w:p w14:paraId="76647FE6" w14:textId="6388FEFD" w:rsidR="009F3943" w:rsidRDefault="00D2134A" w:rsidP="000538E3">
            <w:pPr>
              <w:rPr>
                <w:noProof/>
                <w:sz w:val="16"/>
                <w:szCs w:val="16"/>
              </w:rPr>
            </w:pPr>
            <w:r>
              <w:rPr>
                <w:noProof/>
                <w:sz w:val="16"/>
                <w:szCs w:val="16"/>
              </w:rPr>
              <w:fldChar w:fldCharType="begin">
                <w:fldData xml:space="preserve">PEVuZE5vdGU+PENpdGU+PEF1dGhvcj5DdXJ0aW48L0F1dGhvcj48WWVhcj4yMDE0PC9ZZWFyPjxS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</w:fldData>
              </w:fldChar>
            </w:r>
            <w:r>
              <w:rPr>
                <w:noProof/>
                <w:sz w:val="16"/>
                <w:szCs w:val="16"/>
              </w:rPr>
              <w:instrText xml:space="preserve"> ADDIN EN.CITE </w:instrText>
            </w:r>
            <w:r>
              <w:rPr>
                <w:noProof/>
                <w:sz w:val="16"/>
                <w:szCs w:val="16"/>
              </w:rPr>
              <w:fldChar w:fldCharType="begin">
                <w:fldData xml:space="preserve">PEVuZE5vdGU+PENpdGU+PEF1dGhvcj5DdXJ0aW48L0F1dGhvcj48WWVhcj4yMDE0PC9ZZWFyPjxS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</w:fldData>
              </w:fldChar>
            </w:r>
            <w:r>
              <w:rPr>
                <w:noProof/>
                <w:sz w:val="16"/>
                <w:szCs w:val="16"/>
              </w:rPr>
              <w:instrText xml:space="preserve"> ADDIN EN.CITE.DATA </w:instrText>
            </w:r>
            <w:r>
              <w:rPr>
                <w:noProof/>
                <w:sz w:val="16"/>
                <w:szCs w:val="16"/>
              </w:rPr>
            </w:r>
            <w:r>
              <w:rPr>
                <w:noProof/>
                <w:sz w:val="16"/>
                <w:szCs w:val="16"/>
              </w:rPr>
              <w:fldChar w:fldCharType="end"/>
            </w:r>
            <w:r>
              <w:rPr>
                <w:noProof/>
                <w:sz w:val="16"/>
                <w:szCs w:val="16"/>
              </w:rPr>
              <w:fldChar w:fldCharType="separate"/>
            </w:r>
            <w:r>
              <w:rPr>
                <w:noProof/>
                <w:sz w:val="16"/>
                <w:szCs w:val="16"/>
              </w:rPr>
              <w:t>(</w:t>
            </w:r>
            <w:hyperlink w:anchor="_ENREF_52" w:tooltip="Curtin, 2014 #14" w:history="1">
              <w:r w:rsidR="00A234A9">
                <w:rPr>
                  <w:noProof/>
                  <w:sz w:val="16"/>
                  <w:szCs w:val="16"/>
                </w:rPr>
                <w:t>52</w:t>
              </w:r>
            </w:hyperlink>
            <w:r>
              <w:rPr>
                <w:noProof/>
                <w:sz w:val="16"/>
                <w:szCs w:val="16"/>
              </w:rPr>
              <w:t>)</w:t>
            </w:r>
            <w:r>
              <w:rPr>
                <w:noProof/>
                <w:sz w:val="16"/>
                <w:szCs w:val="16"/>
              </w:rPr>
              <w:fldChar w:fldCharType="end"/>
            </w:r>
          </w:p>
          <w:p w14:paraId="68002408" w14:textId="353CBE7D" w:rsidR="000538E3" w:rsidRPr="000D4861" w:rsidRDefault="000538E3" w:rsidP="000538E3">
            <w:pPr>
              <w:rPr>
                <w:noProof/>
                <w:sz w:val="16"/>
                <w:szCs w:val="16"/>
              </w:rPr>
            </w:pPr>
            <w:r w:rsidRPr="000D4861">
              <w:rPr>
                <w:noProof/>
                <w:sz w:val="16"/>
                <w:szCs w:val="16"/>
              </w:rPr>
              <w:t>NHANES, NSDUH, NHIS, TUS-CPS</w:t>
            </w:r>
          </w:p>
          <w:p w14:paraId="687333ED" w14:textId="77777777" w:rsidR="000538E3" w:rsidRDefault="000538E3" w:rsidP="000538E3">
            <w:pPr>
              <w:rPr>
                <w:noProof/>
                <w:sz w:val="16"/>
                <w:szCs w:val="16"/>
              </w:rPr>
            </w:pPr>
            <w:r w:rsidRPr="000D4861">
              <w:rPr>
                <w:noProof/>
                <w:sz w:val="16"/>
                <w:szCs w:val="16"/>
              </w:rPr>
              <w:t>Good</w:t>
            </w:r>
          </w:p>
        </w:tc>
        <w:tc>
          <w:tcPr>
            <w:tcW w:w="1635" w:type="dxa"/>
            <w:noWrap/>
          </w:tcPr>
          <w:p w14:paraId="269BEFF4" w14:textId="77777777" w:rsidR="000538E3" w:rsidRPr="00AA0F7A" w:rsidRDefault="000538E3" w:rsidP="000538E3">
            <w:pPr>
              <w:rPr>
                <w:noProof/>
                <w:sz w:val="16"/>
                <w:szCs w:val="16"/>
              </w:rPr>
            </w:pPr>
            <w:r w:rsidRPr="00AA0F7A">
              <w:rPr>
                <w:noProof/>
                <w:sz w:val="16"/>
                <w:szCs w:val="16"/>
              </w:rPr>
              <w:t>National;</w:t>
            </w:r>
          </w:p>
          <w:p w14:paraId="475129D9" w14:textId="77777777" w:rsidR="000538E3" w:rsidRPr="00AA0F7A" w:rsidRDefault="000538E3" w:rsidP="000538E3">
            <w:pPr>
              <w:rPr>
                <w:noProof/>
                <w:sz w:val="16"/>
                <w:szCs w:val="16"/>
              </w:rPr>
            </w:pPr>
            <w:r w:rsidRPr="00AA0F7A">
              <w:rPr>
                <w:noProof/>
                <w:sz w:val="16"/>
                <w:szCs w:val="16"/>
              </w:rPr>
              <w:t>Industry;</w:t>
            </w:r>
          </w:p>
          <w:p w14:paraId="0FBF4B3E" w14:textId="77777777" w:rsidR="000538E3" w:rsidRPr="00AA0F7A" w:rsidRDefault="000538E3" w:rsidP="000538E3">
            <w:pPr>
              <w:rPr>
                <w:noProof/>
                <w:sz w:val="16"/>
                <w:szCs w:val="16"/>
              </w:rPr>
            </w:pPr>
            <w:r w:rsidRPr="00AA0F7A">
              <w:rPr>
                <w:noProof/>
                <w:sz w:val="16"/>
                <w:szCs w:val="16"/>
              </w:rPr>
              <w:t>Cross-sectional</w:t>
            </w:r>
          </w:p>
        </w:tc>
        <w:tc>
          <w:tcPr>
            <w:tcW w:w="3443" w:type="dxa"/>
            <w:noWrap/>
          </w:tcPr>
          <w:p w14:paraId="38B64218" w14:textId="77777777" w:rsidR="000538E3" w:rsidRPr="00AA0F7A" w:rsidRDefault="000538E3" w:rsidP="000538E3">
            <w:pPr>
              <w:rPr>
                <w:noProof/>
                <w:sz w:val="16"/>
                <w:szCs w:val="16"/>
              </w:rPr>
            </w:pPr>
            <w:r w:rsidRPr="00AA0F7A">
              <w:rPr>
                <w:noProof/>
                <w:sz w:val="16"/>
                <w:szCs w:val="16"/>
              </w:rPr>
              <w:t>NHANES; 1999-2010</w:t>
            </w:r>
          </w:p>
          <w:p w14:paraId="431271E1" w14:textId="77777777" w:rsidR="000538E3" w:rsidRPr="00AA0F7A" w:rsidRDefault="000538E3" w:rsidP="000538E3">
            <w:pPr>
              <w:rPr>
                <w:noProof/>
                <w:sz w:val="16"/>
                <w:szCs w:val="16"/>
              </w:rPr>
            </w:pPr>
            <w:r w:rsidRPr="00AA0F7A">
              <w:rPr>
                <w:noProof/>
                <w:sz w:val="16"/>
                <w:szCs w:val="16"/>
              </w:rPr>
              <w:t>NSDUH; 2000-2009</w:t>
            </w:r>
          </w:p>
          <w:p w14:paraId="35A79271" w14:textId="77777777" w:rsidR="000538E3" w:rsidRPr="00AA0F7A" w:rsidRDefault="000538E3" w:rsidP="000538E3">
            <w:pPr>
              <w:rPr>
                <w:noProof/>
                <w:sz w:val="16"/>
                <w:szCs w:val="16"/>
              </w:rPr>
            </w:pPr>
            <w:r w:rsidRPr="00AA0F7A">
              <w:rPr>
                <w:noProof/>
                <w:sz w:val="16"/>
                <w:szCs w:val="16"/>
              </w:rPr>
              <w:t>NHIS; 2005 and 2010</w:t>
            </w:r>
          </w:p>
          <w:p w14:paraId="78A9BA63" w14:textId="77777777" w:rsidR="000538E3" w:rsidRPr="00AA0F7A" w:rsidRDefault="000538E3" w:rsidP="000538E3">
            <w:pPr>
              <w:rPr>
                <w:noProof/>
                <w:sz w:val="16"/>
                <w:szCs w:val="16"/>
              </w:rPr>
            </w:pPr>
            <w:r w:rsidRPr="00AA0F7A">
              <w:rPr>
                <w:noProof/>
                <w:sz w:val="16"/>
                <w:szCs w:val="16"/>
              </w:rPr>
              <w:t>TUS-CPS; 2003, 2006-2007</w:t>
            </w:r>
          </w:p>
        </w:tc>
        <w:tc>
          <w:tcPr>
            <w:tcW w:w="4500" w:type="dxa"/>
            <w:noWrap/>
          </w:tcPr>
          <w:p w14:paraId="226050CB" w14:textId="77777777" w:rsidR="000538E3" w:rsidRPr="00AA0F7A" w:rsidRDefault="000538E3" w:rsidP="000538E3">
            <w:pPr>
              <w:rPr>
                <w:noProof/>
                <w:sz w:val="16"/>
                <w:szCs w:val="16"/>
              </w:rPr>
            </w:pPr>
            <w:r w:rsidRPr="00AA0F7A">
              <w:rPr>
                <w:noProof/>
                <w:sz w:val="16"/>
                <w:szCs w:val="16"/>
              </w:rPr>
              <w:t>NHANES: youth age 12-19 who ever tried cig smoking (even 1 or 2 puffs) and adults age ≥20 who smoked ≥100 lifetime cigs;</w:t>
            </w:r>
          </w:p>
          <w:p w14:paraId="640833B7" w14:textId="77777777" w:rsidR="000538E3" w:rsidRPr="00AA0F7A" w:rsidRDefault="000538E3" w:rsidP="000538E3">
            <w:pPr>
              <w:rPr>
                <w:noProof/>
                <w:sz w:val="16"/>
                <w:szCs w:val="16"/>
              </w:rPr>
            </w:pPr>
            <w:r w:rsidRPr="00AA0F7A">
              <w:rPr>
                <w:noProof/>
                <w:sz w:val="16"/>
                <w:szCs w:val="16"/>
              </w:rPr>
              <w:t>NSDUH, NHIS: adults age ≥20 who ever smoked part or all of a cig; TUS-CPS: youth age 15-19 and adults ≥20 who ever smoked part or all of a cig.</w:t>
            </w:r>
          </w:p>
        </w:tc>
        <w:tc>
          <w:tcPr>
            <w:tcW w:w="1672" w:type="dxa"/>
            <w:noWrap/>
          </w:tcPr>
          <w:p w14:paraId="29B4E79F" w14:textId="77777777" w:rsidR="000538E3" w:rsidRPr="00AA0F7A" w:rsidRDefault="000538E3" w:rsidP="000538E3">
            <w:pPr>
              <w:rPr>
                <w:noProof/>
                <w:sz w:val="16"/>
                <w:szCs w:val="16"/>
              </w:rPr>
            </w:pPr>
            <w:r w:rsidRPr="00AA0F7A">
              <w:rPr>
                <w:noProof/>
                <w:sz w:val="16"/>
                <w:szCs w:val="16"/>
              </w:rPr>
              <w:t>Some results stratified by age (youth)</w:t>
            </w:r>
          </w:p>
        </w:tc>
      </w:tr>
      <w:tr w:rsidR="00D04C52" w:rsidRPr="00AA0F7A" w14:paraId="5DFF14BE" w14:textId="77777777" w:rsidTr="00B46744">
        <w:tblPrEx>
          <w:tblCellMar>
            <w:left w:w="108" w:type="dxa"/>
            <w:right w:w="108" w:type="dxa"/>
          </w:tblCellMar>
        </w:tblPrEx>
        <w:trPr>
          <w:cantSplit/>
        </w:trPr>
        <w:tc>
          <w:tcPr>
            <w:tcW w:w="2070" w:type="dxa"/>
            <w:gridSpan w:val="2"/>
            <w:noWrap/>
          </w:tcPr>
          <w:p w14:paraId="0D187BE2" w14:textId="2B7681F1" w:rsidR="00D04C52" w:rsidRPr="00AA0F7A" w:rsidRDefault="00D2134A" w:rsidP="00B46744">
            <w:pPr>
              <w:rPr>
                <w:sz w:val="16"/>
                <w:szCs w:val="16"/>
              </w:rPr>
            </w:pPr>
            <w:r>
              <w:rPr>
                <w:sz w:val="16"/>
                <w:szCs w:val="16"/>
              </w:rPr>
              <w:fldChar w:fldCharType="begin">
                <w:fldData xml:space="preserve">PEVuZE5vdGU+PENpdGU+PEF1dGhvcj5EZWxuZXZvPC9BdXRob3I+PFllYXI+MjAxNTwvWWVhcj48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</w:fldData>
              </w:fldChar>
            </w:r>
            <w:r>
              <w:rPr>
                <w:sz w:val="16"/>
                <w:szCs w:val="16"/>
              </w:rPr>
              <w:instrText xml:space="preserve"> ADDIN EN.CITE </w:instrText>
            </w:r>
            <w:r>
              <w:rPr>
                <w:sz w:val="16"/>
                <w:szCs w:val="16"/>
              </w:rPr>
              <w:fldChar w:fldCharType="begin">
                <w:fldData xml:space="preserve">PEVuZE5vdGU+PENpdGU+PEF1dGhvcj5EZWxuZXZvPC9BdXRob3I+PFllYXI+MjAxNTwvWWVhcj48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</w:fldData>
              </w:fldChar>
            </w:r>
            <w:r>
              <w:rPr>
                <w:sz w:val="16"/>
                <w:szCs w:val="16"/>
              </w:rPr>
              <w:instrText xml:space="preserve"> ADDIN EN.CITE.DATA </w:instrText>
            </w:r>
            <w:r>
              <w:rPr>
                <w:sz w:val="16"/>
                <w:szCs w:val="16"/>
              </w:rPr>
            </w:r>
            <w:r>
              <w:rPr>
                <w:sz w:val="16"/>
                <w:szCs w:val="16"/>
              </w:rPr>
              <w:fldChar w:fldCharType="end"/>
            </w:r>
            <w:r>
              <w:rPr>
                <w:sz w:val="16"/>
                <w:szCs w:val="16"/>
              </w:rPr>
              <w:fldChar w:fldCharType="separate"/>
            </w:r>
            <w:r>
              <w:rPr>
                <w:noProof/>
                <w:sz w:val="16"/>
                <w:szCs w:val="16"/>
              </w:rPr>
              <w:t>(</w:t>
            </w:r>
            <w:hyperlink w:anchor="_ENREF_53" w:tooltip="Delnevo, 2015 #1" w:history="1">
              <w:r w:rsidR="00A234A9">
                <w:rPr>
                  <w:noProof/>
                  <w:sz w:val="16"/>
                  <w:szCs w:val="16"/>
                </w:rPr>
                <w:t>53</w:t>
              </w:r>
            </w:hyperlink>
            <w:r>
              <w:rPr>
                <w:noProof/>
                <w:sz w:val="16"/>
                <w:szCs w:val="16"/>
              </w:rPr>
              <w:t>)</w:t>
            </w:r>
            <w:r>
              <w:rPr>
                <w:sz w:val="16"/>
                <w:szCs w:val="16"/>
              </w:rPr>
              <w:fldChar w:fldCharType="end"/>
            </w:r>
          </w:p>
          <w:p w14:paraId="7F55455F" w14:textId="77777777" w:rsidR="00D04C52" w:rsidRPr="00AA0F7A" w:rsidRDefault="00D04C52" w:rsidP="00B46744">
            <w:pPr>
              <w:rPr>
                <w:sz w:val="16"/>
                <w:szCs w:val="16"/>
              </w:rPr>
            </w:pPr>
            <w:r w:rsidRPr="00AA0F7A">
              <w:rPr>
                <w:sz w:val="16"/>
                <w:szCs w:val="16"/>
              </w:rPr>
              <w:t>NYAHS</w:t>
            </w:r>
          </w:p>
          <w:p w14:paraId="0553372A" w14:textId="77777777" w:rsidR="00D04C52" w:rsidRPr="00AA0F7A" w:rsidRDefault="00D04C52" w:rsidP="00B46744">
            <w:pPr>
              <w:rPr>
                <w:sz w:val="16"/>
                <w:szCs w:val="16"/>
              </w:rPr>
            </w:pPr>
            <w:r w:rsidRPr="00AA0F7A">
              <w:rPr>
                <w:sz w:val="16"/>
                <w:szCs w:val="16"/>
              </w:rPr>
              <w:t>Good</w:t>
            </w:r>
          </w:p>
        </w:tc>
        <w:tc>
          <w:tcPr>
            <w:tcW w:w="1635" w:type="dxa"/>
            <w:noWrap/>
          </w:tcPr>
          <w:p w14:paraId="6477FE3A" w14:textId="77777777" w:rsidR="00D04C52" w:rsidRPr="00AA0F7A" w:rsidRDefault="00D04C52" w:rsidP="00B46744">
            <w:pPr>
              <w:rPr>
                <w:sz w:val="16"/>
                <w:szCs w:val="16"/>
              </w:rPr>
            </w:pPr>
            <w:r w:rsidRPr="00AA0F7A">
              <w:rPr>
                <w:sz w:val="16"/>
                <w:szCs w:val="16"/>
              </w:rPr>
              <w:t>National;</w:t>
            </w:r>
          </w:p>
          <w:p w14:paraId="6A60EB35" w14:textId="77777777" w:rsidR="00D04C52" w:rsidRPr="00AA0F7A" w:rsidRDefault="00D04C52" w:rsidP="00B46744">
            <w:pPr>
              <w:rPr>
                <w:sz w:val="16"/>
                <w:szCs w:val="16"/>
              </w:rPr>
            </w:pPr>
            <w:r w:rsidRPr="00AA0F7A">
              <w:rPr>
                <w:sz w:val="16"/>
                <w:szCs w:val="16"/>
              </w:rPr>
              <w:t>Govt;</w:t>
            </w:r>
          </w:p>
          <w:p w14:paraId="232C3EED" w14:textId="77777777" w:rsidR="00D04C52" w:rsidRPr="00AA0F7A" w:rsidRDefault="00D04C52" w:rsidP="00B46744">
            <w:pPr>
              <w:rPr>
                <w:sz w:val="16"/>
                <w:szCs w:val="16"/>
              </w:rPr>
            </w:pPr>
            <w:r w:rsidRPr="00AA0F7A">
              <w:rPr>
                <w:sz w:val="16"/>
                <w:szCs w:val="16"/>
              </w:rPr>
              <w:t>Cross-sectional/ retrospective</w:t>
            </w:r>
          </w:p>
        </w:tc>
        <w:tc>
          <w:tcPr>
            <w:tcW w:w="3443" w:type="dxa"/>
            <w:noWrap/>
          </w:tcPr>
          <w:p w14:paraId="7376C86F" w14:textId="77777777" w:rsidR="00D04C52" w:rsidRPr="00AA0F7A" w:rsidRDefault="00D04C52" w:rsidP="00B46744">
            <w:pPr>
              <w:rPr>
                <w:sz w:val="16"/>
                <w:szCs w:val="16"/>
              </w:rPr>
            </w:pPr>
            <w:r w:rsidRPr="00AA0F7A">
              <w:rPr>
                <w:sz w:val="16"/>
                <w:szCs w:val="16"/>
              </w:rPr>
              <w:t>NYAHS; 2011</w:t>
            </w:r>
          </w:p>
        </w:tc>
        <w:tc>
          <w:tcPr>
            <w:tcW w:w="4500" w:type="dxa"/>
            <w:noWrap/>
          </w:tcPr>
          <w:p w14:paraId="2EF44F53" w14:textId="77777777" w:rsidR="00D04C52" w:rsidRPr="00AA0F7A" w:rsidRDefault="00D04C52" w:rsidP="00B46744">
            <w:pPr>
              <w:rPr>
                <w:sz w:val="16"/>
                <w:szCs w:val="16"/>
              </w:rPr>
            </w:pPr>
            <w:r w:rsidRPr="00AA0F7A">
              <w:rPr>
                <w:sz w:val="16"/>
                <w:szCs w:val="16"/>
              </w:rPr>
              <w:t>Subsample of young adults age 18-34 from the survey who smoked ≥100 lifetime cigs at the time of the survey.</w:t>
            </w:r>
          </w:p>
        </w:tc>
        <w:tc>
          <w:tcPr>
            <w:tcW w:w="1672" w:type="dxa"/>
            <w:noWrap/>
          </w:tcPr>
          <w:p w14:paraId="6D93E683" w14:textId="77777777" w:rsidR="00D04C52" w:rsidRPr="00AA0F7A" w:rsidRDefault="00D04C52" w:rsidP="00B46744">
            <w:pPr>
              <w:rPr>
                <w:sz w:val="16"/>
                <w:szCs w:val="16"/>
              </w:rPr>
            </w:pPr>
            <w:r w:rsidRPr="00AA0F7A">
              <w:rPr>
                <w:sz w:val="16"/>
                <w:szCs w:val="16"/>
              </w:rPr>
              <w:t>Young adults age 18-34</w:t>
            </w:r>
          </w:p>
        </w:tc>
      </w:tr>
      <w:tr w:rsidR="00D04C52" w:rsidRPr="00AA0F7A" w14:paraId="50D8A6C5" w14:textId="77777777" w:rsidTr="00B46744">
        <w:tblPrEx>
          <w:tblCellMar>
            <w:left w:w="108" w:type="dxa"/>
            <w:right w:w="108" w:type="dxa"/>
          </w:tblCellMar>
        </w:tblPrEx>
        <w:trPr>
          <w:cantSplit/>
        </w:trPr>
        <w:tc>
          <w:tcPr>
            <w:tcW w:w="2070" w:type="dxa"/>
            <w:gridSpan w:val="2"/>
            <w:noWrap/>
          </w:tcPr>
          <w:p w14:paraId="1DCB9F42" w14:textId="58CBD078" w:rsidR="00D04C52" w:rsidRPr="00AA0F7A" w:rsidRDefault="00D2134A" w:rsidP="00B46744">
            <w:pPr>
              <w:rPr>
                <w:sz w:val="16"/>
                <w:szCs w:val="16"/>
              </w:rPr>
            </w:pPr>
            <w:r>
              <w:rPr>
                <w:sz w:val="16"/>
                <w:szCs w:val="16"/>
              </w:rPr>
              <w:fldChar w:fldCharType="begin"/>
            </w:r>
            <w:r>
              <w:rPr>
                <w:sz w:val="16"/>
                <w:szCs w:val="16"/>
              </w:rPr>
              <w:instrText xml:space="preserve"> ADDIN EN.CITE &lt;EndNote&gt;&lt;Cite&gt;&lt;Author&gt;DiFranza&lt;/Author&gt;&lt;Year&gt;2004&lt;/Year&gt;&lt;RecNum&gt;83&lt;/RecNum&gt;&lt;DisplayText&gt;(54)&lt;/DisplayText&gt;&lt;record&gt;&lt;rec-number&gt;83&lt;/rec-number&gt;&lt;foreign-keys&gt;&lt;key app="EN" db-id="a2vz2dfp8xrad6exes75zwpiw5rxwa0vwapv" timestamp="0"&gt;83&lt;/key&gt;&lt;/foreign-keys&gt;&lt;ref-type name="Journal Article"&gt;17&lt;/ref-type&gt;&lt;contributors&gt;&lt;authors&gt;&lt;author&gt;DiFranza, J.R.&lt;/author&gt;&lt;author&gt;Savageau, J.A.&lt;/author&gt;&lt;author&gt;Fletcher, K.&lt;/author&gt;&lt;author&gt;Ockene, J.K.&lt;/author&gt;&lt;author&gt;Rigotti, N.A.&lt;/author&gt;&lt;author&gt;McNeill, A.D.&lt;/author&gt;&lt;author&gt;Coleman, M.&lt;/author&gt;&lt;author&gt;Wood, C.&lt;/author&gt;&lt;/authors&gt;&lt;/contributors&gt;&lt;titles&gt;&lt;title&gt;Recollections and repercussions of the first inhaled cigarette&lt;/title&gt;&lt;secondary-title&gt;Addictive Behaviors&lt;/secondary-title&gt;&lt;/titles&gt;&lt;periodical&gt;&lt;full-title&gt;Addictive Behaviors&lt;/full-title&gt;&lt;/periodical&gt;&lt;pages&gt;261-272&lt;/pages&gt;&lt;volume&gt;29&lt;/volume&gt;&lt;number&gt;2&lt;/number&gt;&lt;dates&gt;&lt;year&gt;2004&lt;/year&gt;&lt;/dates&gt;&lt;isbn&gt;03064603&lt;/isbn&gt;&lt;urls&gt;&lt;/urls&gt;&lt;electronic-resource-num&gt;10.1016/j.addbeh.2003.08.002&lt;/electronic-resource-num&gt;&lt;research-notes&gt;#413&lt;/research-notes&gt;&lt;/record&gt;&lt;/Cite&gt;&lt;/EndNote&gt;</w:instrText>
            </w:r>
            <w:r>
              <w:rPr>
                <w:sz w:val="16"/>
                <w:szCs w:val="16"/>
              </w:rPr>
              <w:fldChar w:fldCharType="separate"/>
            </w:r>
            <w:r>
              <w:rPr>
                <w:noProof/>
                <w:sz w:val="16"/>
                <w:szCs w:val="16"/>
              </w:rPr>
              <w:t>(</w:t>
            </w:r>
            <w:hyperlink w:anchor="_ENREF_54" w:tooltip="DiFranza, 2004 #83" w:history="1">
              <w:r w:rsidR="00A234A9">
                <w:rPr>
                  <w:noProof/>
                  <w:sz w:val="16"/>
                  <w:szCs w:val="16"/>
                </w:rPr>
                <w:t>54</w:t>
              </w:r>
            </w:hyperlink>
            <w:r>
              <w:rPr>
                <w:noProof/>
                <w:sz w:val="16"/>
                <w:szCs w:val="16"/>
              </w:rPr>
              <w:t>)</w:t>
            </w:r>
            <w:r>
              <w:rPr>
                <w:sz w:val="16"/>
                <w:szCs w:val="16"/>
              </w:rPr>
              <w:fldChar w:fldCharType="end"/>
            </w:r>
          </w:p>
          <w:p w14:paraId="27A95F79" w14:textId="77777777" w:rsidR="00D04C52" w:rsidRPr="00AA0F7A" w:rsidRDefault="00D04C52" w:rsidP="00B46744">
            <w:pPr>
              <w:rPr>
                <w:sz w:val="16"/>
                <w:szCs w:val="16"/>
              </w:rPr>
            </w:pPr>
            <w:r w:rsidRPr="00AA0F7A">
              <w:rPr>
                <w:sz w:val="16"/>
                <w:szCs w:val="16"/>
              </w:rPr>
              <w:t>DANDY</w:t>
            </w:r>
            <w:r w:rsidRPr="00AA0F7A">
              <w:rPr>
                <w:sz w:val="16"/>
                <w:szCs w:val="16"/>
              </w:rPr>
              <w:br/>
              <w:t>Fair</w:t>
            </w:r>
          </w:p>
        </w:tc>
        <w:tc>
          <w:tcPr>
            <w:tcW w:w="1635" w:type="dxa"/>
            <w:noWrap/>
          </w:tcPr>
          <w:p w14:paraId="27C07D26" w14:textId="77777777" w:rsidR="00D04C52" w:rsidRPr="00AA0F7A" w:rsidRDefault="00D04C52" w:rsidP="00B46744">
            <w:pPr>
              <w:rPr>
                <w:sz w:val="16"/>
                <w:szCs w:val="16"/>
              </w:rPr>
            </w:pPr>
            <w:r w:rsidRPr="00AA0F7A">
              <w:rPr>
                <w:sz w:val="16"/>
                <w:szCs w:val="16"/>
              </w:rPr>
              <w:t xml:space="preserve">Massachusetts; </w:t>
            </w:r>
          </w:p>
          <w:p w14:paraId="1E8DECA1" w14:textId="77777777" w:rsidR="00D04C52" w:rsidRPr="00AA0F7A" w:rsidRDefault="00D04C52" w:rsidP="00B46744">
            <w:pPr>
              <w:rPr>
                <w:sz w:val="16"/>
                <w:szCs w:val="16"/>
              </w:rPr>
            </w:pPr>
            <w:r w:rsidRPr="00AA0F7A">
              <w:rPr>
                <w:sz w:val="16"/>
                <w:szCs w:val="16"/>
              </w:rPr>
              <w:t xml:space="preserve">Govt; </w:t>
            </w:r>
          </w:p>
          <w:p w14:paraId="45BB9D73" w14:textId="77777777" w:rsidR="00D04C52" w:rsidRPr="00AA0F7A" w:rsidRDefault="00D04C52" w:rsidP="00B46744">
            <w:pPr>
              <w:rPr>
                <w:sz w:val="16"/>
                <w:szCs w:val="16"/>
              </w:rPr>
            </w:pPr>
            <w:r w:rsidRPr="00AA0F7A">
              <w:rPr>
                <w:sz w:val="16"/>
                <w:szCs w:val="16"/>
              </w:rPr>
              <w:t>Cross-sectional</w:t>
            </w:r>
          </w:p>
        </w:tc>
        <w:tc>
          <w:tcPr>
            <w:tcW w:w="3443" w:type="dxa"/>
            <w:noWrap/>
          </w:tcPr>
          <w:p w14:paraId="49943120" w14:textId="77777777" w:rsidR="00D04C52" w:rsidRPr="00AA0F7A" w:rsidRDefault="00D04C52" w:rsidP="00B46744">
            <w:pPr>
              <w:rPr>
                <w:sz w:val="16"/>
                <w:szCs w:val="16"/>
              </w:rPr>
            </w:pPr>
            <w:r w:rsidRPr="00AA0F7A">
              <w:rPr>
                <w:sz w:val="16"/>
                <w:szCs w:val="16"/>
              </w:rPr>
              <w:t>DANDY; Jan 1998-June 2000</w:t>
            </w:r>
          </w:p>
        </w:tc>
        <w:tc>
          <w:tcPr>
            <w:tcW w:w="4500" w:type="dxa"/>
            <w:noWrap/>
          </w:tcPr>
          <w:p w14:paraId="552D6520" w14:textId="77777777" w:rsidR="00D04C52" w:rsidRPr="00AA0F7A" w:rsidRDefault="00D04C52" w:rsidP="00B46744">
            <w:pPr>
              <w:rPr>
                <w:sz w:val="16"/>
                <w:szCs w:val="16"/>
              </w:rPr>
            </w:pPr>
            <w:r w:rsidRPr="00AA0F7A">
              <w:rPr>
                <w:sz w:val="16"/>
                <w:szCs w:val="16"/>
              </w:rPr>
              <w:t>7</w:t>
            </w:r>
            <w:r w:rsidRPr="00AA0F7A">
              <w:rPr>
                <w:sz w:val="16"/>
                <w:szCs w:val="16"/>
                <w:vertAlign w:val="superscript"/>
              </w:rPr>
              <w:t>th</w:t>
            </w:r>
            <w:r w:rsidRPr="00AA0F7A">
              <w:rPr>
                <w:sz w:val="16"/>
                <w:szCs w:val="16"/>
              </w:rPr>
              <w:t xml:space="preserve"> grade youth who had ever inhaled a cig before or after the start of the study.</w:t>
            </w:r>
          </w:p>
        </w:tc>
        <w:tc>
          <w:tcPr>
            <w:tcW w:w="1672" w:type="dxa"/>
            <w:noWrap/>
          </w:tcPr>
          <w:p w14:paraId="498D67EC" w14:textId="77777777" w:rsidR="00D04C52" w:rsidRPr="00AA0F7A" w:rsidRDefault="00D04C52" w:rsidP="00B46744">
            <w:pPr>
              <w:rPr>
                <w:sz w:val="16"/>
                <w:szCs w:val="16"/>
              </w:rPr>
            </w:pPr>
            <w:r w:rsidRPr="00AA0F7A">
              <w:rPr>
                <w:sz w:val="16"/>
                <w:szCs w:val="16"/>
              </w:rPr>
              <w:t>Youth age 12-15 at start of study</w:t>
            </w:r>
          </w:p>
        </w:tc>
      </w:tr>
      <w:tr w:rsidR="00D04C52" w:rsidRPr="00AA0F7A" w14:paraId="2C00ACBC" w14:textId="77777777" w:rsidTr="00B46744">
        <w:tblPrEx>
          <w:tblCellMar>
            <w:left w:w="108" w:type="dxa"/>
            <w:right w:w="108" w:type="dxa"/>
          </w:tblCellMar>
        </w:tblPrEx>
        <w:trPr>
          <w:cantSplit/>
        </w:trPr>
        <w:tc>
          <w:tcPr>
            <w:tcW w:w="2070" w:type="dxa"/>
            <w:gridSpan w:val="2"/>
            <w:noWrap/>
          </w:tcPr>
          <w:p w14:paraId="2282ABD6" w14:textId="381387E7" w:rsidR="00D04C52" w:rsidRPr="00AA0F7A" w:rsidRDefault="00D2134A" w:rsidP="00B46744">
            <w:pPr>
              <w:rPr>
                <w:sz w:val="16"/>
                <w:szCs w:val="16"/>
              </w:rPr>
            </w:pPr>
            <w:r>
              <w:rPr>
                <w:sz w:val="16"/>
                <w:szCs w:val="16"/>
              </w:rPr>
              <w:fldChar w:fldCharType="begin">
                <w:fldData xml:space="preserve">PEVuZE5vdGU+PENpdGU+PEF1dGhvcj5GYWdhbjwvQXV0aG9yPjxZZWFyPjIwMTU8L1llYXI+PFJl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</w:fldData>
              </w:fldChar>
            </w:r>
            <w:r>
              <w:rPr>
                <w:sz w:val="16"/>
                <w:szCs w:val="16"/>
              </w:rPr>
              <w:instrText xml:space="preserve"> ADDIN EN.CITE </w:instrText>
            </w:r>
            <w:r>
              <w:rPr>
                <w:sz w:val="16"/>
                <w:szCs w:val="16"/>
              </w:rPr>
              <w:fldChar w:fldCharType="begin">
                <w:fldData xml:space="preserve">PEVuZE5vdGU+PENpdGU+PEF1dGhvcj5GYWdhbjwvQXV0aG9yPjxZZWFyPjIwMTU8L1llYXI+PFJl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</w:fldData>
              </w:fldChar>
            </w:r>
            <w:r>
              <w:rPr>
                <w:sz w:val="16"/>
                <w:szCs w:val="16"/>
              </w:rPr>
              <w:instrText xml:space="preserve"> ADDIN EN.CITE.DATA </w:instrText>
            </w:r>
            <w:r>
              <w:rPr>
                <w:sz w:val="16"/>
                <w:szCs w:val="16"/>
              </w:rPr>
            </w:r>
            <w:r>
              <w:rPr>
                <w:sz w:val="16"/>
                <w:szCs w:val="16"/>
              </w:rPr>
              <w:fldChar w:fldCharType="end"/>
            </w:r>
            <w:r>
              <w:rPr>
                <w:sz w:val="16"/>
                <w:szCs w:val="16"/>
              </w:rPr>
              <w:fldChar w:fldCharType="separate"/>
            </w:r>
            <w:r>
              <w:rPr>
                <w:noProof/>
                <w:sz w:val="16"/>
                <w:szCs w:val="16"/>
              </w:rPr>
              <w:t>(</w:t>
            </w:r>
            <w:hyperlink w:anchor="_ENREF_55" w:tooltip="Fagan, 2015 #5" w:history="1">
              <w:r w:rsidR="00A234A9">
                <w:rPr>
                  <w:noProof/>
                  <w:sz w:val="16"/>
                  <w:szCs w:val="16"/>
                </w:rPr>
                <w:t>55</w:t>
              </w:r>
            </w:hyperlink>
            <w:r>
              <w:rPr>
                <w:noProof/>
                <w:sz w:val="16"/>
                <w:szCs w:val="16"/>
              </w:rPr>
              <w:t xml:space="preserve">, </w:t>
            </w:r>
            <w:hyperlink w:anchor="_ENREF_56" w:tooltip="Fagan, 2016 #4" w:history="1">
              <w:r w:rsidR="00A234A9">
                <w:rPr>
                  <w:noProof/>
                  <w:sz w:val="16"/>
                  <w:szCs w:val="16"/>
                </w:rPr>
                <w:t>56</w:t>
              </w:r>
            </w:hyperlink>
            <w:r>
              <w:rPr>
                <w:noProof/>
                <w:sz w:val="16"/>
                <w:szCs w:val="16"/>
              </w:rPr>
              <w:t>)</w:t>
            </w:r>
            <w:r>
              <w:rPr>
                <w:sz w:val="16"/>
                <w:szCs w:val="16"/>
              </w:rPr>
              <w:fldChar w:fldCharType="end"/>
            </w:r>
            <w:r w:rsidR="00961850" w:rsidRPr="00382374">
              <w:rPr>
                <w:sz w:val="16"/>
                <w:szCs w:val="16"/>
                <w:vertAlign w:val="superscript"/>
              </w:rPr>
              <w:t>b</w:t>
            </w:r>
          </w:p>
          <w:p w14:paraId="0A06E32C" w14:textId="77777777" w:rsidR="00D04C52" w:rsidRPr="00AA0F7A" w:rsidRDefault="00D04C52" w:rsidP="00B46744">
            <w:pPr>
              <w:rPr>
                <w:sz w:val="16"/>
                <w:szCs w:val="16"/>
              </w:rPr>
            </w:pPr>
            <w:r w:rsidRPr="00AA0F7A">
              <w:rPr>
                <w:sz w:val="16"/>
                <w:szCs w:val="16"/>
              </w:rPr>
              <w:t>None</w:t>
            </w:r>
          </w:p>
          <w:p w14:paraId="4545CBD3" w14:textId="77777777" w:rsidR="00D04C52" w:rsidRPr="00AA0F7A" w:rsidRDefault="00D04C52" w:rsidP="00B46744">
            <w:pPr>
              <w:rPr>
                <w:sz w:val="16"/>
                <w:szCs w:val="16"/>
              </w:rPr>
            </w:pPr>
            <w:r w:rsidRPr="00AA0F7A">
              <w:rPr>
                <w:sz w:val="16"/>
                <w:szCs w:val="16"/>
              </w:rPr>
              <w:t>Fair</w:t>
            </w:r>
          </w:p>
        </w:tc>
        <w:tc>
          <w:tcPr>
            <w:tcW w:w="1635" w:type="dxa"/>
            <w:noWrap/>
          </w:tcPr>
          <w:p w14:paraId="21A94A60" w14:textId="77777777" w:rsidR="00D04C52" w:rsidRPr="00AA0F7A" w:rsidRDefault="00D04C52" w:rsidP="00B46744">
            <w:pPr>
              <w:rPr>
                <w:sz w:val="16"/>
                <w:szCs w:val="16"/>
              </w:rPr>
            </w:pPr>
            <w:r w:rsidRPr="00AA0F7A">
              <w:rPr>
                <w:sz w:val="16"/>
                <w:szCs w:val="16"/>
              </w:rPr>
              <w:t>Hawaii;</w:t>
            </w:r>
          </w:p>
          <w:p w14:paraId="76970DDA" w14:textId="77777777" w:rsidR="00D04C52" w:rsidRPr="00AA0F7A" w:rsidRDefault="00D04C52" w:rsidP="00B46744">
            <w:pPr>
              <w:rPr>
                <w:sz w:val="16"/>
                <w:szCs w:val="16"/>
              </w:rPr>
            </w:pPr>
            <w:r w:rsidRPr="00AA0F7A">
              <w:rPr>
                <w:sz w:val="16"/>
                <w:szCs w:val="16"/>
              </w:rPr>
              <w:t>Academia &amp; foundation;</w:t>
            </w:r>
          </w:p>
          <w:p w14:paraId="1BFB6141" w14:textId="77777777" w:rsidR="00D04C52" w:rsidRPr="00AA0F7A" w:rsidRDefault="00D04C52" w:rsidP="00B46744">
            <w:pPr>
              <w:rPr>
                <w:sz w:val="16"/>
                <w:szCs w:val="16"/>
              </w:rPr>
            </w:pPr>
            <w:r w:rsidRPr="00AA0F7A">
              <w:rPr>
                <w:sz w:val="16"/>
                <w:szCs w:val="16"/>
              </w:rPr>
              <w:t>Cross-sectional</w:t>
            </w:r>
          </w:p>
        </w:tc>
        <w:tc>
          <w:tcPr>
            <w:tcW w:w="3443" w:type="dxa"/>
            <w:noWrap/>
          </w:tcPr>
          <w:p w14:paraId="15CEB43C" w14:textId="77777777" w:rsidR="00D04C52" w:rsidRPr="00AA0F7A" w:rsidRDefault="00D04C52" w:rsidP="00B46744">
            <w:pPr>
              <w:rPr>
                <w:sz w:val="16"/>
                <w:szCs w:val="16"/>
              </w:rPr>
            </w:pPr>
            <w:r w:rsidRPr="00AA0F7A">
              <w:rPr>
                <w:sz w:val="16"/>
                <w:szCs w:val="16"/>
              </w:rPr>
              <w:t>Community recruitment via advertising and peer referrals; 2013</w:t>
            </w:r>
          </w:p>
          <w:p w14:paraId="35E52F6C" w14:textId="77777777" w:rsidR="00D04C52" w:rsidRPr="00AA0F7A" w:rsidRDefault="00D04C52" w:rsidP="00B46744">
            <w:pPr>
              <w:rPr>
                <w:sz w:val="16"/>
                <w:szCs w:val="16"/>
              </w:rPr>
            </w:pPr>
          </w:p>
        </w:tc>
        <w:tc>
          <w:tcPr>
            <w:tcW w:w="4500" w:type="dxa"/>
            <w:noWrap/>
          </w:tcPr>
          <w:p w14:paraId="345922F8" w14:textId="77777777" w:rsidR="00D04C52" w:rsidRPr="00AA0F7A" w:rsidRDefault="00D04C52" w:rsidP="00B46744">
            <w:pPr>
              <w:rPr>
                <w:sz w:val="16"/>
                <w:szCs w:val="16"/>
              </w:rPr>
            </w:pPr>
            <w:r w:rsidRPr="00AA0F7A">
              <w:rPr>
                <w:sz w:val="16"/>
                <w:szCs w:val="16"/>
              </w:rPr>
              <w:t xml:space="preserve">Adults age 18-35 who self-identiﬁed as Native Hawaiian, Filipino, or </w:t>
            </w:r>
            <w:r w:rsidR="00E1156E">
              <w:rPr>
                <w:sz w:val="16"/>
                <w:szCs w:val="16"/>
              </w:rPr>
              <w:t>White</w:t>
            </w:r>
            <w:r w:rsidRPr="00AA0F7A">
              <w:rPr>
                <w:sz w:val="16"/>
                <w:szCs w:val="16"/>
              </w:rPr>
              <w:t xml:space="preserve"> and smoked ≥5 CPD. </w:t>
            </w:r>
          </w:p>
        </w:tc>
        <w:tc>
          <w:tcPr>
            <w:tcW w:w="1672" w:type="dxa"/>
            <w:noWrap/>
          </w:tcPr>
          <w:p w14:paraId="5A9F4AAD" w14:textId="77777777" w:rsidR="00D04C52" w:rsidRPr="00AA0F7A" w:rsidRDefault="00D04C52" w:rsidP="00B46744">
            <w:pPr>
              <w:rPr>
                <w:sz w:val="16"/>
                <w:szCs w:val="16"/>
              </w:rPr>
            </w:pPr>
            <w:r w:rsidRPr="00AA0F7A">
              <w:rPr>
                <w:sz w:val="16"/>
                <w:szCs w:val="16"/>
              </w:rPr>
              <w:t>Young adults age 18-35</w:t>
            </w:r>
          </w:p>
        </w:tc>
      </w:tr>
      <w:tr w:rsidR="00D04C52" w:rsidRPr="00AA0F7A" w14:paraId="0DF36E1A" w14:textId="77777777" w:rsidTr="00B46744">
        <w:tblPrEx>
          <w:tblCellMar>
            <w:left w:w="108" w:type="dxa"/>
            <w:right w:w="108" w:type="dxa"/>
          </w:tblCellMar>
        </w:tblPrEx>
        <w:trPr>
          <w:cantSplit/>
        </w:trPr>
        <w:tc>
          <w:tcPr>
            <w:tcW w:w="2070" w:type="dxa"/>
            <w:gridSpan w:val="2"/>
            <w:noWrap/>
          </w:tcPr>
          <w:p w14:paraId="30EF72A1" w14:textId="2B4B2A67" w:rsidR="00D04C52" w:rsidRPr="00AA0F7A" w:rsidRDefault="00D2134A" w:rsidP="00173F0A">
            <w:pPr>
              <w:rPr>
                <w:sz w:val="16"/>
                <w:szCs w:val="16"/>
              </w:rPr>
            </w:pPr>
            <w:r>
              <w:rPr>
                <w:sz w:val="16"/>
                <w:szCs w:val="16"/>
              </w:rPr>
              <w:lastRenderedPageBreak/>
              <w:fldChar w:fldCharType="begin">
                <w:fldData xml:space="preserve">PEVuZE5vdGU+PENpdGU+PEF1dGhvcj5GYWdhbjwvQXV0aG9yPjxZZWFyPjIwMTA8L1llYXI+PFJl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</w:fldData>
              </w:fldChar>
            </w:r>
            <w:r>
              <w:rPr>
                <w:sz w:val="16"/>
                <w:szCs w:val="16"/>
              </w:rPr>
              <w:instrText xml:space="preserve"> ADDIN EN.CITE </w:instrText>
            </w:r>
            <w:r>
              <w:rPr>
                <w:sz w:val="16"/>
                <w:szCs w:val="16"/>
              </w:rPr>
              <w:fldChar w:fldCharType="begin">
                <w:fldData xml:space="preserve">PEVuZE5vdGU+PENpdGU+PEF1dGhvcj5GYWdhbjwvQXV0aG9yPjxZZWFyPjIwMTA8L1llYXI+PFJl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</w:fldData>
              </w:fldChar>
            </w:r>
            <w:r>
              <w:rPr>
                <w:sz w:val="16"/>
                <w:szCs w:val="16"/>
              </w:rPr>
              <w:instrText xml:space="preserve"> ADDIN EN.CITE.DATA </w:instrText>
            </w:r>
            <w:r>
              <w:rPr>
                <w:sz w:val="16"/>
                <w:szCs w:val="16"/>
              </w:rPr>
            </w:r>
            <w:r>
              <w:rPr>
                <w:sz w:val="16"/>
                <w:szCs w:val="16"/>
              </w:rPr>
              <w:fldChar w:fldCharType="end"/>
            </w:r>
            <w:r>
              <w:rPr>
                <w:sz w:val="16"/>
                <w:szCs w:val="16"/>
              </w:rPr>
              <w:fldChar w:fldCharType="separate"/>
            </w:r>
            <w:r>
              <w:rPr>
                <w:noProof/>
                <w:sz w:val="16"/>
                <w:szCs w:val="16"/>
              </w:rPr>
              <w:t>(</w:t>
            </w:r>
            <w:hyperlink w:anchor="_ENREF_57" w:tooltip="Fagan, 2010 #56" w:history="1">
              <w:r w:rsidR="00A234A9">
                <w:rPr>
                  <w:noProof/>
                  <w:sz w:val="16"/>
                  <w:szCs w:val="16"/>
                </w:rPr>
                <w:t>57</w:t>
              </w:r>
            </w:hyperlink>
            <w:r>
              <w:rPr>
                <w:noProof/>
                <w:sz w:val="16"/>
                <w:szCs w:val="16"/>
              </w:rPr>
              <w:t>)</w:t>
            </w:r>
            <w:r>
              <w:rPr>
                <w:sz w:val="16"/>
                <w:szCs w:val="16"/>
              </w:rPr>
              <w:fldChar w:fldCharType="end"/>
            </w:r>
            <w:r w:rsidR="00A01A44" w:rsidRPr="00AA0F7A">
              <w:rPr>
                <w:sz w:val="16"/>
                <w:szCs w:val="16"/>
              </w:rPr>
              <w:t xml:space="preserve"> </w:t>
            </w:r>
            <w:r w:rsidR="00D04C52" w:rsidRPr="00AA0F7A">
              <w:rPr>
                <w:sz w:val="16"/>
                <w:szCs w:val="16"/>
              </w:rPr>
              <w:br/>
              <w:t>TUS-CPS</w:t>
            </w:r>
            <w:r w:rsidR="00D04C52" w:rsidRPr="00AA0F7A">
              <w:rPr>
                <w:sz w:val="16"/>
                <w:szCs w:val="16"/>
              </w:rPr>
              <w:br/>
              <w:t>Fair</w:t>
            </w:r>
          </w:p>
        </w:tc>
        <w:tc>
          <w:tcPr>
            <w:tcW w:w="1635" w:type="dxa"/>
            <w:noWrap/>
          </w:tcPr>
          <w:p w14:paraId="6D0D4528" w14:textId="77777777" w:rsidR="00D04C52" w:rsidRPr="00AA0F7A" w:rsidRDefault="00D04C52" w:rsidP="00B46744">
            <w:pPr>
              <w:rPr>
                <w:sz w:val="16"/>
                <w:szCs w:val="16"/>
              </w:rPr>
            </w:pPr>
            <w:r w:rsidRPr="00AA0F7A">
              <w:rPr>
                <w:sz w:val="16"/>
                <w:szCs w:val="16"/>
              </w:rPr>
              <w:t>National;</w:t>
            </w:r>
          </w:p>
          <w:p w14:paraId="3122F1FD" w14:textId="77777777" w:rsidR="00D04C52" w:rsidRPr="00AA0F7A" w:rsidRDefault="00D04C52" w:rsidP="00B46744">
            <w:pPr>
              <w:rPr>
                <w:sz w:val="16"/>
                <w:szCs w:val="16"/>
              </w:rPr>
            </w:pPr>
            <w:r w:rsidRPr="00AA0F7A">
              <w:rPr>
                <w:sz w:val="16"/>
                <w:szCs w:val="16"/>
              </w:rPr>
              <w:t>Govt;</w:t>
            </w:r>
            <w:r w:rsidRPr="00AA0F7A">
              <w:rPr>
                <w:sz w:val="16"/>
                <w:szCs w:val="16"/>
              </w:rPr>
              <w:br/>
              <w:t xml:space="preserve">Cross-sectional </w:t>
            </w:r>
          </w:p>
        </w:tc>
        <w:tc>
          <w:tcPr>
            <w:tcW w:w="3443" w:type="dxa"/>
            <w:noWrap/>
          </w:tcPr>
          <w:p w14:paraId="24AA4477" w14:textId="77777777" w:rsidR="00D04C52" w:rsidRPr="00AA0F7A" w:rsidRDefault="00D04C52" w:rsidP="00B46744">
            <w:pPr>
              <w:rPr>
                <w:sz w:val="16"/>
                <w:szCs w:val="16"/>
              </w:rPr>
            </w:pPr>
            <w:r w:rsidRPr="00AA0F7A">
              <w:rPr>
                <w:sz w:val="16"/>
                <w:szCs w:val="16"/>
              </w:rPr>
              <w:t>TUS-CPS; 2003, 2006-2007</w:t>
            </w:r>
          </w:p>
        </w:tc>
        <w:tc>
          <w:tcPr>
            <w:tcW w:w="4500" w:type="dxa"/>
            <w:noWrap/>
          </w:tcPr>
          <w:p w14:paraId="33113CA2" w14:textId="77777777" w:rsidR="00D04C52" w:rsidRPr="00AA0F7A" w:rsidRDefault="00D04C52" w:rsidP="00B46744">
            <w:pPr>
              <w:rPr>
                <w:sz w:val="16"/>
                <w:szCs w:val="16"/>
              </w:rPr>
            </w:pPr>
            <w:r w:rsidRPr="00AA0F7A">
              <w:rPr>
                <w:sz w:val="16"/>
                <w:szCs w:val="16"/>
              </w:rPr>
              <w:t>Adult daily smokers (≥100 lifetime cigs) age ≥18.</w:t>
            </w:r>
          </w:p>
        </w:tc>
        <w:tc>
          <w:tcPr>
            <w:tcW w:w="1672" w:type="dxa"/>
            <w:noWrap/>
          </w:tcPr>
          <w:p w14:paraId="374FDD8E" w14:textId="77777777" w:rsidR="00D04C52" w:rsidRPr="00AA0F7A" w:rsidRDefault="00D04C52" w:rsidP="00B46744">
            <w:pPr>
              <w:rPr>
                <w:sz w:val="16"/>
                <w:szCs w:val="16"/>
              </w:rPr>
            </w:pPr>
            <w:r w:rsidRPr="00AA0F7A">
              <w:rPr>
                <w:sz w:val="16"/>
                <w:szCs w:val="16"/>
              </w:rPr>
              <w:t>None</w:t>
            </w:r>
          </w:p>
        </w:tc>
      </w:tr>
      <w:tr w:rsidR="00D04C52" w:rsidRPr="00AA0F7A" w14:paraId="46AC4937" w14:textId="77777777" w:rsidTr="00B46744">
        <w:tblPrEx>
          <w:tblCellMar>
            <w:left w:w="108" w:type="dxa"/>
            <w:right w:w="108" w:type="dxa"/>
          </w:tblCellMar>
        </w:tblPrEx>
        <w:trPr>
          <w:cantSplit/>
        </w:trPr>
        <w:tc>
          <w:tcPr>
            <w:tcW w:w="2070" w:type="dxa"/>
            <w:gridSpan w:val="2"/>
            <w:noWrap/>
          </w:tcPr>
          <w:p w14:paraId="4ED382EF" w14:textId="4D9077E1" w:rsidR="00961850" w:rsidRPr="00382374" w:rsidRDefault="00D2134A" w:rsidP="00961850">
            <w:pPr>
              <w:rPr>
                <w:sz w:val="16"/>
                <w:szCs w:val="16"/>
                <w:vertAlign w:val="superscript"/>
              </w:rPr>
            </w:pPr>
            <w:r>
              <w:rPr>
                <w:sz w:val="16"/>
                <w:szCs w:val="16"/>
              </w:rPr>
              <w:fldChar w:fldCharType="begin">
                <w:fldData xml:space="preserve">PEVuZE5vdGU+PENpdGU+PEF1dGhvcj5GYXNlcnU8L0F1dGhvcj48WWVhcj4yMDExPC9ZZWFyPjxS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</w:fldData>
              </w:fldChar>
            </w:r>
            <w:r>
              <w:rPr>
                <w:sz w:val="16"/>
                <w:szCs w:val="16"/>
              </w:rPr>
              <w:instrText xml:space="preserve"> ADDIN EN.CITE </w:instrText>
            </w:r>
            <w:r>
              <w:rPr>
                <w:sz w:val="16"/>
                <w:szCs w:val="16"/>
              </w:rPr>
              <w:fldChar w:fldCharType="begin">
                <w:fldData xml:space="preserve">PEVuZE5vdGU+PENpdGU+PEF1dGhvcj5GYXNlcnU8L0F1dGhvcj48WWVhcj4yMDExPC9ZZWFyPjxS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</w:fldData>
              </w:fldChar>
            </w:r>
            <w:r>
              <w:rPr>
                <w:sz w:val="16"/>
                <w:szCs w:val="16"/>
              </w:rPr>
              <w:instrText xml:space="preserve"> ADDIN EN.CITE.DATA </w:instrText>
            </w:r>
            <w:r>
              <w:rPr>
                <w:sz w:val="16"/>
                <w:szCs w:val="16"/>
              </w:rPr>
            </w:r>
            <w:r>
              <w:rPr>
                <w:sz w:val="16"/>
                <w:szCs w:val="16"/>
              </w:rPr>
              <w:fldChar w:fldCharType="end"/>
            </w:r>
            <w:r>
              <w:rPr>
                <w:sz w:val="16"/>
                <w:szCs w:val="16"/>
              </w:rPr>
              <w:fldChar w:fldCharType="separate"/>
            </w:r>
            <w:r>
              <w:rPr>
                <w:noProof/>
                <w:sz w:val="16"/>
                <w:szCs w:val="16"/>
              </w:rPr>
              <w:t>(</w:t>
            </w:r>
            <w:hyperlink w:anchor="_ENREF_58" w:tooltip="Faseru, 2011 #40" w:history="1">
              <w:r w:rsidR="00A234A9">
                <w:rPr>
                  <w:noProof/>
                  <w:sz w:val="16"/>
                  <w:szCs w:val="16"/>
                </w:rPr>
                <w:t>58</w:t>
              </w:r>
            </w:hyperlink>
            <w:r>
              <w:rPr>
                <w:noProof/>
                <w:sz w:val="16"/>
                <w:szCs w:val="16"/>
              </w:rPr>
              <w:t xml:space="preserve">, </w:t>
            </w:r>
            <w:hyperlink w:anchor="_ENREF_59" w:tooltip="Faseru, 2013 #29" w:history="1">
              <w:r w:rsidR="00A234A9">
                <w:rPr>
                  <w:noProof/>
                  <w:sz w:val="16"/>
                  <w:szCs w:val="16"/>
                </w:rPr>
                <w:t>59</w:t>
              </w:r>
            </w:hyperlink>
            <w:r>
              <w:rPr>
                <w:noProof/>
                <w:sz w:val="16"/>
                <w:szCs w:val="16"/>
              </w:rPr>
              <w:t>)</w:t>
            </w:r>
            <w:r>
              <w:rPr>
                <w:sz w:val="16"/>
                <w:szCs w:val="16"/>
              </w:rPr>
              <w:fldChar w:fldCharType="end"/>
            </w:r>
            <w:r w:rsidR="00961850">
              <w:rPr>
                <w:sz w:val="16"/>
                <w:szCs w:val="16"/>
                <w:vertAlign w:val="superscript"/>
              </w:rPr>
              <w:t>b</w:t>
            </w:r>
          </w:p>
          <w:p w14:paraId="2352DA1A" w14:textId="77777777" w:rsidR="00D04C52" w:rsidRPr="00AA0F7A" w:rsidRDefault="00D04C52" w:rsidP="00B46744">
            <w:pPr>
              <w:rPr>
                <w:sz w:val="16"/>
                <w:szCs w:val="16"/>
              </w:rPr>
            </w:pPr>
            <w:r w:rsidRPr="00AA0F7A">
              <w:rPr>
                <w:sz w:val="16"/>
                <w:szCs w:val="16"/>
              </w:rPr>
              <w:t>None</w:t>
            </w:r>
          </w:p>
          <w:p w14:paraId="3C85D1AA" w14:textId="77777777" w:rsidR="00D04C52" w:rsidRPr="00AA0F7A" w:rsidRDefault="00D04C52" w:rsidP="00B46744">
            <w:pPr>
              <w:rPr>
                <w:sz w:val="16"/>
                <w:szCs w:val="16"/>
              </w:rPr>
            </w:pPr>
            <w:r w:rsidRPr="00AA0F7A">
              <w:rPr>
                <w:sz w:val="16"/>
                <w:szCs w:val="16"/>
              </w:rPr>
              <w:t>Good</w:t>
            </w:r>
          </w:p>
        </w:tc>
        <w:tc>
          <w:tcPr>
            <w:tcW w:w="1635" w:type="dxa"/>
            <w:noWrap/>
          </w:tcPr>
          <w:p w14:paraId="74C945C4" w14:textId="77777777" w:rsidR="00D04C52" w:rsidRPr="00AA0F7A" w:rsidRDefault="00D04C52" w:rsidP="00B46744">
            <w:pPr>
              <w:rPr>
                <w:sz w:val="16"/>
                <w:szCs w:val="16"/>
              </w:rPr>
            </w:pPr>
            <w:r w:rsidRPr="00AA0F7A">
              <w:rPr>
                <w:sz w:val="16"/>
                <w:szCs w:val="16"/>
              </w:rPr>
              <w:t>Kansas;</w:t>
            </w:r>
          </w:p>
          <w:p w14:paraId="68865654" w14:textId="77777777" w:rsidR="00D04C52" w:rsidRPr="00AA0F7A" w:rsidRDefault="00D04C52" w:rsidP="00B46744">
            <w:pPr>
              <w:rPr>
                <w:sz w:val="16"/>
                <w:szCs w:val="16"/>
              </w:rPr>
            </w:pPr>
            <w:r w:rsidRPr="00AA0F7A">
              <w:rPr>
                <w:sz w:val="16"/>
                <w:szCs w:val="16"/>
              </w:rPr>
              <w:t>Govt;</w:t>
            </w:r>
          </w:p>
          <w:p w14:paraId="04AAC48A" w14:textId="77777777" w:rsidR="00D04C52" w:rsidRPr="00AA0F7A" w:rsidRDefault="00D04C52" w:rsidP="00B46744">
            <w:pPr>
              <w:rPr>
                <w:sz w:val="16"/>
                <w:szCs w:val="16"/>
              </w:rPr>
            </w:pPr>
            <w:r w:rsidRPr="00AA0F7A">
              <w:rPr>
                <w:sz w:val="16"/>
                <w:szCs w:val="16"/>
              </w:rPr>
              <w:t xml:space="preserve">Prospective cohort </w:t>
            </w:r>
          </w:p>
        </w:tc>
        <w:tc>
          <w:tcPr>
            <w:tcW w:w="3443" w:type="dxa"/>
            <w:noWrap/>
          </w:tcPr>
          <w:p w14:paraId="26428474" w14:textId="77777777" w:rsidR="00D04C52" w:rsidRPr="00AA0F7A" w:rsidRDefault="00D04C52" w:rsidP="00B46744">
            <w:pPr>
              <w:rPr>
                <w:sz w:val="16"/>
                <w:szCs w:val="16"/>
              </w:rPr>
            </w:pPr>
            <w:r w:rsidRPr="00AA0F7A">
              <w:rPr>
                <w:sz w:val="16"/>
                <w:szCs w:val="16"/>
              </w:rPr>
              <w:t xml:space="preserve">Kick it at Swope-III (KIS-III trial), recruited at a community-based clinic serving a predominantly </w:t>
            </w:r>
            <w:r w:rsidR="00E1156E">
              <w:rPr>
                <w:sz w:val="16"/>
                <w:szCs w:val="16"/>
              </w:rPr>
              <w:t>Black</w:t>
            </w:r>
            <w:r w:rsidRPr="00AA0F7A">
              <w:rPr>
                <w:sz w:val="16"/>
                <w:szCs w:val="16"/>
              </w:rPr>
              <w:t xml:space="preserve"> population; NR</w:t>
            </w:r>
          </w:p>
        </w:tc>
        <w:tc>
          <w:tcPr>
            <w:tcW w:w="4500" w:type="dxa"/>
            <w:noWrap/>
          </w:tcPr>
          <w:p w14:paraId="60E010F5" w14:textId="77777777" w:rsidR="00D04C52" w:rsidRPr="00AA0F7A" w:rsidRDefault="00D04C52" w:rsidP="00B46744">
            <w:pPr>
              <w:rPr>
                <w:sz w:val="16"/>
                <w:szCs w:val="16"/>
              </w:rPr>
            </w:pPr>
            <w:r w:rsidRPr="00AA0F7A">
              <w:rPr>
                <w:sz w:val="16"/>
                <w:szCs w:val="16"/>
              </w:rPr>
              <w:t>Black adult (≥18 years) "light smokers" (≤10 CPD) for ≥2 years who smoked on ≥25 days in the month prior to enrollment and were interested in quitting.</w:t>
            </w:r>
          </w:p>
        </w:tc>
        <w:tc>
          <w:tcPr>
            <w:tcW w:w="1672" w:type="dxa"/>
            <w:noWrap/>
          </w:tcPr>
          <w:p w14:paraId="0EF77766" w14:textId="77777777" w:rsidR="00D04C52" w:rsidRPr="00AA0F7A" w:rsidRDefault="00D04C52" w:rsidP="00B46744">
            <w:pPr>
              <w:rPr>
                <w:sz w:val="16"/>
                <w:szCs w:val="16"/>
              </w:rPr>
            </w:pPr>
            <w:r w:rsidRPr="00AA0F7A">
              <w:rPr>
                <w:sz w:val="16"/>
                <w:szCs w:val="16"/>
              </w:rPr>
              <w:t xml:space="preserve">Black light smokers (≤10 CPD) </w:t>
            </w:r>
          </w:p>
        </w:tc>
      </w:tr>
      <w:tr w:rsidR="00D04C52" w:rsidRPr="00AA0F7A" w14:paraId="308EF8DA" w14:textId="77777777" w:rsidTr="00B46744">
        <w:tblPrEx>
          <w:tblCellMar>
            <w:left w:w="108" w:type="dxa"/>
            <w:right w:w="108" w:type="dxa"/>
          </w:tblCellMar>
        </w:tblPrEx>
        <w:trPr>
          <w:cantSplit/>
        </w:trPr>
        <w:tc>
          <w:tcPr>
            <w:tcW w:w="2070" w:type="dxa"/>
            <w:gridSpan w:val="2"/>
            <w:noWrap/>
          </w:tcPr>
          <w:p w14:paraId="5A818F8E" w14:textId="0795F27A" w:rsidR="00D04C52" w:rsidRPr="00AA0F7A" w:rsidRDefault="00D2134A" w:rsidP="00173F0A">
            <w:pPr>
              <w:rPr>
                <w:sz w:val="16"/>
                <w:szCs w:val="16"/>
              </w:rPr>
            </w:pPr>
            <w:r>
              <w:rPr>
                <w:sz w:val="16"/>
                <w:szCs w:val="16"/>
              </w:rPr>
              <w:fldChar w:fldCharType="begin">
                <w:fldData xml:space="preserve">PEVuZE5vdGU+PENpdGU+PEF1dGhvcj5GZXJuYW5kZXI8L0F1dGhvcj48WWVhcj4yMDEwPC9ZZWFy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</w:fldData>
              </w:fldChar>
            </w:r>
            <w:r>
              <w:rPr>
                <w:sz w:val="16"/>
                <w:szCs w:val="16"/>
              </w:rPr>
              <w:instrText xml:space="preserve"> ADDIN EN.CITE </w:instrText>
            </w:r>
            <w:r>
              <w:rPr>
                <w:sz w:val="16"/>
                <w:szCs w:val="16"/>
              </w:rPr>
              <w:fldChar w:fldCharType="begin">
                <w:fldData xml:space="preserve">PEVuZE5vdGU+PENpdGU+PEF1dGhvcj5GZXJuYW5kZXI8L0F1dGhvcj48WWVhcj4yMDEwPC9ZZWFy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</w:fldData>
              </w:fldChar>
            </w:r>
            <w:r>
              <w:rPr>
                <w:sz w:val="16"/>
                <w:szCs w:val="16"/>
              </w:rPr>
              <w:instrText xml:space="preserve"> ADDIN EN.CITE.DATA </w:instrText>
            </w:r>
            <w:r>
              <w:rPr>
                <w:sz w:val="16"/>
                <w:szCs w:val="16"/>
              </w:rPr>
            </w:r>
            <w:r>
              <w:rPr>
                <w:sz w:val="16"/>
                <w:szCs w:val="16"/>
              </w:rPr>
              <w:fldChar w:fldCharType="end"/>
            </w:r>
            <w:r>
              <w:rPr>
                <w:sz w:val="16"/>
                <w:szCs w:val="16"/>
              </w:rPr>
              <w:fldChar w:fldCharType="separate"/>
            </w:r>
            <w:r>
              <w:rPr>
                <w:noProof/>
                <w:sz w:val="16"/>
                <w:szCs w:val="16"/>
              </w:rPr>
              <w:t>(</w:t>
            </w:r>
            <w:hyperlink w:anchor="_ENREF_60" w:tooltip="Fernander, 2010 #54" w:history="1">
              <w:r w:rsidR="00A234A9">
                <w:rPr>
                  <w:noProof/>
                  <w:sz w:val="16"/>
                  <w:szCs w:val="16"/>
                </w:rPr>
                <w:t>60</w:t>
              </w:r>
            </w:hyperlink>
            <w:r>
              <w:rPr>
                <w:noProof/>
                <w:sz w:val="16"/>
                <w:szCs w:val="16"/>
              </w:rPr>
              <w:t>)</w:t>
            </w:r>
            <w:r>
              <w:rPr>
                <w:sz w:val="16"/>
                <w:szCs w:val="16"/>
              </w:rPr>
              <w:fldChar w:fldCharType="end"/>
            </w:r>
            <w:r w:rsidR="00A01A44" w:rsidRPr="00AA0F7A">
              <w:rPr>
                <w:sz w:val="16"/>
                <w:szCs w:val="16"/>
              </w:rPr>
              <w:t xml:space="preserve"> </w:t>
            </w:r>
            <w:r w:rsidR="00D04C52" w:rsidRPr="00AA0F7A">
              <w:rPr>
                <w:sz w:val="16"/>
                <w:szCs w:val="16"/>
              </w:rPr>
              <w:br/>
              <w:t>TUS-CPS</w:t>
            </w:r>
            <w:r w:rsidR="00D04C52" w:rsidRPr="00AA0F7A">
              <w:rPr>
                <w:sz w:val="16"/>
                <w:szCs w:val="16"/>
              </w:rPr>
              <w:br/>
              <w:t>Fair</w:t>
            </w:r>
          </w:p>
        </w:tc>
        <w:tc>
          <w:tcPr>
            <w:tcW w:w="1635" w:type="dxa"/>
            <w:noWrap/>
          </w:tcPr>
          <w:p w14:paraId="376D2CDA" w14:textId="77777777" w:rsidR="00D04C52" w:rsidRPr="00AA0F7A" w:rsidRDefault="00D04C52" w:rsidP="00B46744">
            <w:pPr>
              <w:rPr>
                <w:sz w:val="16"/>
                <w:szCs w:val="16"/>
              </w:rPr>
            </w:pPr>
            <w:r w:rsidRPr="00AA0F7A">
              <w:rPr>
                <w:sz w:val="16"/>
                <w:szCs w:val="16"/>
              </w:rPr>
              <w:t xml:space="preserve">National; </w:t>
            </w:r>
            <w:r w:rsidRPr="00AA0F7A">
              <w:rPr>
                <w:sz w:val="16"/>
                <w:szCs w:val="16"/>
              </w:rPr>
              <w:br/>
              <w:t>NR;</w:t>
            </w:r>
            <w:r w:rsidRPr="00AA0F7A">
              <w:rPr>
                <w:sz w:val="16"/>
                <w:szCs w:val="16"/>
              </w:rPr>
              <w:br/>
              <w:t xml:space="preserve">Cross-sectional </w:t>
            </w:r>
          </w:p>
        </w:tc>
        <w:tc>
          <w:tcPr>
            <w:tcW w:w="3443" w:type="dxa"/>
            <w:noWrap/>
          </w:tcPr>
          <w:p w14:paraId="725E811B" w14:textId="77777777" w:rsidR="00D04C52" w:rsidRPr="00AA0F7A" w:rsidRDefault="00D04C52" w:rsidP="00B46744">
            <w:pPr>
              <w:rPr>
                <w:sz w:val="16"/>
                <w:szCs w:val="16"/>
              </w:rPr>
            </w:pPr>
            <w:r w:rsidRPr="00AA0F7A">
              <w:rPr>
                <w:sz w:val="16"/>
                <w:szCs w:val="16"/>
              </w:rPr>
              <w:t>TUS-CPS; 2003, 2006-2007</w:t>
            </w:r>
          </w:p>
        </w:tc>
        <w:tc>
          <w:tcPr>
            <w:tcW w:w="4500" w:type="dxa"/>
            <w:noWrap/>
          </w:tcPr>
          <w:p w14:paraId="2E8BE7D0" w14:textId="77777777" w:rsidR="00D04C52" w:rsidRPr="00AA0F7A" w:rsidRDefault="00D04C52" w:rsidP="00B46744">
            <w:pPr>
              <w:rPr>
                <w:sz w:val="16"/>
                <w:szCs w:val="16"/>
              </w:rPr>
            </w:pPr>
            <w:r w:rsidRPr="00AA0F7A">
              <w:rPr>
                <w:sz w:val="16"/>
                <w:szCs w:val="16"/>
              </w:rPr>
              <w:t>Adult current smokers age ≥18 (≥100 lifetime cigs who were currently smoking every day or some days and ≥once in the last 30 days).</w:t>
            </w:r>
          </w:p>
        </w:tc>
        <w:tc>
          <w:tcPr>
            <w:tcW w:w="1672" w:type="dxa"/>
            <w:noWrap/>
          </w:tcPr>
          <w:p w14:paraId="4848EBE8" w14:textId="77777777" w:rsidR="00D04C52" w:rsidRPr="00AA0F7A" w:rsidRDefault="00D04C52" w:rsidP="00B46744">
            <w:pPr>
              <w:rPr>
                <w:sz w:val="16"/>
                <w:szCs w:val="16"/>
              </w:rPr>
            </w:pPr>
            <w:r w:rsidRPr="00AA0F7A">
              <w:rPr>
                <w:sz w:val="16"/>
                <w:szCs w:val="16"/>
              </w:rPr>
              <w:t>None</w:t>
            </w:r>
          </w:p>
        </w:tc>
      </w:tr>
      <w:tr w:rsidR="00D04C52" w:rsidRPr="00AA0F7A" w14:paraId="3BDDB107" w14:textId="77777777" w:rsidTr="00B46744">
        <w:tblPrEx>
          <w:tblCellMar>
            <w:left w:w="108" w:type="dxa"/>
            <w:right w:w="108" w:type="dxa"/>
          </w:tblCellMar>
        </w:tblPrEx>
        <w:trPr>
          <w:cantSplit/>
        </w:trPr>
        <w:tc>
          <w:tcPr>
            <w:tcW w:w="2070" w:type="dxa"/>
            <w:gridSpan w:val="2"/>
            <w:noWrap/>
          </w:tcPr>
          <w:p w14:paraId="77ED874D" w14:textId="042C4834" w:rsidR="00A01A44" w:rsidRDefault="00D2134A" w:rsidP="00A01A44">
            <w:pPr>
              <w:rPr>
                <w:sz w:val="16"/>
                <w:szCs w:val="16"/>
              </w:rPr>
            </w:pPr>
            <w:r>
              <w:rPr>
                <w:sz w:val="16"/>
                <w:szCs w:val="16"/>
              </w:rPr>
              <w:fldChar w:fldCharType="begin"/>
            </w:r>
            <w:r>
              <w:rPr>
                <w:sz w:val="16"/>
                <w:szCs w:val="16"/>
              </w:rPr>
              <w:instrText xml:space="preserve"> ADDIN EN.CITE &lt;EndNote&gt;&lt;Cite&gt;&lt;Author&gt;Gandhi&lt;/Author&gt;&lt;Year&gt;2009&lt;/Year&gt;&lt;RecNum&gt;67&lt;/RecNum&gt;&lt;DisplayText&gt;(61)&lt;/DisplayText&gt;&lt;record&gt;&lt;rec-number&gt;67&lt;/rec-number&gt;&lt;foreign-keys&gt;&lt;key app="EN" db-id="a2vz2dfp8xrad6exes75zwpiw5rxwa0vwapv" timestamp="0"&gt;67&lt;/key&gt;&lt;/foreign-keys&gt;&lt;ref-type name="Journal Article"&gt;17&lt;/ref-type&gt;&lt;contributors&gt;&lt;authors&gt;&lt;author&gt;Gandhi, K. K.&lt;/author&gt;&lt;author&gt;Foulds, J.&lt;/author&gt;&lt;author&gt;Steinberg, M. B.&lt;/author&gt;&lt;author&gt;Lu, S. E.&lt;/author&gt;&lt;author&gt;Williams, J. M.&lt;/author&gt;&lt;/authors&gt;&lt;/contributors&gt;&lt;auth-address&gt;Division of Addiction Psychiatry, UMDNJ-Robert Wood Johnson Medical School, New Brunswick, NJ 08901, USA. kunal.gandhi@umdnj.edu&lt;/auth-address&gt;&lt;titles&gt;&lt;title&gt;Lower quit rates among African American and Latino menthol cigarette smokers at a tobacco treatment clinic&lt;/title&gt;&lt;secondary-title&gt;Int J Clin Pract&lt;/secondary-title&gt;&lt;/titles&gt;&lt;pages&gt;360-7&lt;/pages&gt;&lt;volume&gt;63&lt;/volume&gt;&lt;number&gt;3&lt;/number&gt;&lt;keywords&gt;&lt;keyword&gt;Adult&lt;/keyword&gt;&lt;keyword&gt;African Americans/*statistics &amp;amp; numerical data&lt;/keyword&gt;&lt;keyword&gt;Cohort Studies&lt;/keyword&gt;&lt;keyword&gt;Educational Status&lt;/keyword&gt;&lt;keyword&gt;European Continental Ancestry Group/statistics &amp;amp; numerical data&lt;/keyword&gt;&lt;keyword&gt;Female&lt;/keyword&gt;&lt;keyword&gt;Hispanic Americans/*statistics &amp;amp; numerical data&lt;/keyword&gt;&lt;keyword&gt;Humans&lt;/keyword&gt;&lt;keyword&gt;Male&lt;/keyword&gt;&lt;keyword&gt;Menthol&lt;/keyword&gt;&lt;keyword&gt;New Jersey&lt;/keyword&gt;&lt;keyword&gt;Retrospective Studies&lt;/keyword&gt;&lt;keyword&gt;Smoking/ethnology/*prevention &amp;amp; control&lt;/keyword&gt;&lt;keyword&gt;Smoking Cessation/*ethnology/statistics &amp;amp; numerical data&lt;/keyword&gt;&lt;keyword&gt;Socioeconomic Factors&lt;/keyword&gt;&lt;keyword&gt;Treatment Outcome&lt;/keyword&gt;&lt;/keywords&gt;&lt;dates&gt;&lt;year&gt;2009&lt;/year&gt;&lt;pub-dates&gt;&lt;date&gt;Mar&lt;/date&gt;&lt;/pub-dates&gt;&lt;/dates&gt;&lt;isbn&gt;1742-1241 (Electronic)&amp;#xD;1368-5031 (Linking)&lt;/isbn&gt;&lt;accession-num&gt;19222622&lt;/accession-num&gt;&lt;urls&gt;&lt;related-urls&gt;&lt;url&gt;http://www.ncbi.nlm.nih.gov/pubmed/19222622&lt;/url&gt;&lt;/related-urls&gt;&lt;/urls&gt;&lt;electronic-resource-num&gt;10.1111/j.1742-1241.2008.01969.x&lt;/electronic-resource-num&gt;&lt;research-notes&gt;#335&lt;/research-notes&gt;&lt;/record&gt;&lt;/Cite&gt;&lt;/EndNote&gt;</w:instrText>
            </w:r>
            <w:r>
              <w:rPr>
                <w:sz w:val="16"/>
                <w:szCs w:val="16"/>
              </w:rPr>
              <w:fldChar w:fldCharType="separate"/>
            </w:r>
            <w:r>
              <w:rPr>
                <w:noProof/>
                <w:sz w:val="16"/>
                <w:szCs w:val="16"/>
              </w:rPr>
              <w:t>(</w:t>
            </w:r>
            <w:hyperlink w:anchor="_ENREF_61" w:tooltip="Gandhi, 2009 #67" w:history="1">
              <w:r w:rsidR="00A234A9">
                <w:rPr>
                  <w:noProof/>
                  <w:sz w:val="16"/>
                  <w:szCs w:val="16"/>
                </w:rPr>
                <w:t>61</w:t>
              </w:r>
            </w:hyperlink>
            <w:r>
              <w:rPr>
                <w:noProof/>
                <w:sz w:val="16"/>
                <w:szCs w:val="16"/>
              </w:rPr>
              <w:t>)</w:t>
            </w:r>
            <w:r>
              <w:rPr>
                <w:sz w:val="16"/>
                <w:szCs w:val="16"/>
              </w:rPr>
              <w:fldChar w:fldCharType="end"/>
            </w:r>
          </w:p>
          <w:p w14:paraId="6E6C9972" w14:textId="77777777" w:rsidR="00D04C52" w:rsidRPr="00AA0F7A" w:rsidRDefault="00D04C52" w:rsidP="00A01A44">
            <w:pPr>
              <w:rPr>
                <w:sz w:val="16"/>
                <w:szCs w:val="16"/>
              </w:rPr>
            </w:pPr>
            <w:r w:rsidRPr="00AA0F7A">
              <w:rPr>
                <w:sz w:val="16"/>
                <w:szCs w:val="16"/>
              </w:rPr>
              <w:t>None</w:t>
            </w:r>
            <w:r w:rsidRPr="00AA0F7A">
              <w:rPr>
                <w:sz w:val="16"/>
                <w:szCs w:val="16"/>
              </w:rPr>
              <w:br/>
              <w:t>Fair</w:t>
            </w:r>
          </w:p>
        </w:tc>
        <w:tc>
          <w:tcPr>
            <w:tcW w:w="1635" w:type="dxa"/>
            <w:noWrap/>
          </w:tcPr>
          <w:p w14:paraId="574789A6" w14:textId="77777777" w:rsidR="00D04C52" w:rsidRPr="00AA0F7A" w:rsidRDefault="00D04C52" w:rsidP="00B46744">
            <w:pPr>
              <w:rPr>
                <w:sz w:val="16"/>
                <w:szCs w:val="16"/>
              </w:rPr>
            </w:pPr>
            <w:r w:rsidRPr="00AA0F7A">
              <w:rPr>
                <w:sz w:val="16"/>
                <w:szCs w:val="16"/>
              </w:rPr>
              <w:t xml:space="preserve">New Jersey; </w:t>
            </w:r>
          </w:p>
          <w:p w14:paraId="6E787A0C" w14:textId="77777777" w:rsidR="00D04C52" w:rsidRPr="00AA0F7A" w:rsidRDefault="00D04C52" w:rsidP="00B46744">
            <w:pPr>
              <w:rPr>
                <w:sz w:val="16"/>
                <w:szCs w:val="16"/>
              </w:rPr>
            </w:pPr>
            <w:r w:rsidRPr="00AA0F7A">
              <w:rPr>
                <w:sz w:val="16"/>
                <w:szCs w:val="16"/>
              </w:rPr>
              <w:t xml:space="preserve">Govt &amp; foundation; </w:t>
            </w:r>
          </w:p>
          <w:p w14:paraId="1EEF08E9" w14:textId="77777777" w:rsidR="00D04C52" w:rsidRPr="00AA0F7A" w:rsidRDefault="00D04C52" w:rsidP="00B46744">
            <w:pPr>
              <w:rPr>
                <w:sz w:val="16"/>
                <w:szCs w:val="16"/>
              </w:rPr>
            </w:pPr>
            <w:r w:rsidRPr="00AA0F7A">
              <w:rPr>
                <w:sz w:val="16"/>
                <w:szCs w:val="16"/>
              </w:rPr>
              <w:t>Retrospective cohort</w:t>
            </w:r>
          </w:p>
        </w:tc>
        <w:tc>
          <w:tcPr>
            <w:tcW w:w="3443" w:type="dxa"/>
            <w:noWrap/>
          </w:tcPr>
          <w:p w14:paraId="53359182" w14:textId="77777777" w:rsidR="00D04C52" w:rsidRPr="00AA0F7A" w:rsidRDefault="00D04C52" w:rsidP="00B46744">
            <w:pPr>
              <w:rPr>
                <w:sz w:val="16"/>
                <w:szCs w:val="16"/>
              </w:rPr>
            </w:pPr>
            <w:r w:rsidRPr="00AA0F7A">
              <w:rPr>
                <w:sz w:val="16"/>
                <w:szCs w:val="16"/>
              </w:rPr>
              <w:t>Consecutive patients at a specialist tobacco treatment outpatient clinic; January 2001-June 2005</w:t>
            </w:r>
          </w:p>
        </w:tc>
        <w:tc>
          <w:tcPr>
            <w:tcW w:w="4500" w:type="dxa"/>
            <w:noWrap/>
          </w:tcPr>
          <w:p w14:paraId="491C1147" w14:textId="77777777" w:rsidR="00D04C52" w:rsidRPr="00AA0F7A" w:rsidRDefault="00D04C52" w:rsidP="00B46744">
            <w:pPr>
              <w:rPr>
                <w:sz w:val="16"/>
                <w:szCs w:val="16"/>
              </w:rPr>
            </w:pPr>
            <w:r w:rsidRPr="00AA0F7A">
              <w:rPr>
                <w:sz w:val="16"/>
                <w:szCs w:val="16"/>
              </w:rPr>
              <w:t>Current smokers age 15-80 who set a quit date and</w:t>
            </w:r>
            <w:r>
              <w:rPr>
                <w:sz w:val="16"/>
                <w:szCs w:val="16"/>
              </w:rPr>
              <w:t xml:space="preserve"> </w:t>
            </w:r>
            <w:r w:rsidRPr="00AA0F7A">
              <w:rPr>
                <w:sz w:val="16"/>
                <w:szCs w:val="16"/>
              </w:rPr>
              <w:t>attempted to quit smoking.</w:t>
            </w:r>
          </w:p>
        </w:tc>
        <w:tc>
          <w:tcPr>
            <w:tcW w:w="1672" w:type="dxa"/>
            <w:noWrap/>
          </w:tcPr>
          <w:p w14:paraId="54CF9D98" w14:textId="77777777" w:rsidR="00D04C52" w:rsidRPr="00AA0F7A" w:rsidRDefault="00D04C52" w:rsidP="00B46744">
            <w:pPr>
              <w:rPr>
                <w:sz w:val="16"/>
                <w:szCs w:val="16"/>
              </w:rPr>
            </w:pPr>
            <w:r w:rsidRPr="00AA0F7A">
              <w:rPr>
                <w:sz w:val="16"/>
                <w:szCs w:val="16"/>
              </w:rPr>
              <w:t>None, but included age ≥15</w:t>
            </w:r>
          </w:p>
        </w:tc>
      </w:tr>
      <w:tr w:rsidR="000538E3" w:rsidRPr="00AA0F7A" w14:paraId="42899D8F" w14:textId="77777777" w:rsidTr="00B46744">
        <w:tblPrEx>
          <w:tblCellMar>
            <w:left w:w="108" w:type="dxa"/>
            <w:right w:w="108" w:type="dxa"/>
          </w:tblCellMar>
        </w:tblPrEx>
        <w:trPr>
          <w:cantSplit/>
        </w:trPr>
        <w:tc>
          <w:tcPr>
            <w:tcW w:w="2070" w:type="dxa"/>
            <w:gridSpan w:val="2"/>
            <w:noWrap/>
          </w:tcPr>
          <w:p w14:paraId="42DD2718" w14:textId="70121604" w:rsidR="000538E3" w:rsidRPr="000538E3" w:rsidRDefault="00D2134A" w:rsidP="000538E3">
            <w:pPr>
              <w:rPr>
                <w:noProof/>
                <w:sz w:val="16"/>
                <w:szCs w:val="16"/>
              </w:rPr>
            </w:pPr>
            <w:r>
              <w:rPr>
                <w:noProof/>
                <w:sz w:val="16"/>
                <w:szCs w:val="16"/>
              </w:rPr>
              <w:fldChar w:fldCharType="begin">
                <w:fldData xml:space="preserve">PEVuZE5vdGU+PENpdGU+PEF1dGhvcj5HaW92aW5vPC9BdXRob3I+PFllYXI+MjAxNTwvWWVhcj48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</w:fldData>
              </w:fldChar>
            </w:r>
            <w:r>
              <w:rPr>
                <w:noProof/>
                <w:sz w:val="16"/>
                <w:szCs w:val="16"/>
              </w:rPr>
              <w:instrText xml:space="preserve"> ADDIN EN.CITE </w:instrText>
            </w:r>
            <w:r>
              <w:rPr>
                <w:noProof/>
                <w:sz w:val="16"/>
                <w:szCs w:val="16"/>
              </w:rPr>
              <w:fldChar w:fldCharType="begin">
                <w:fldData xml:space="preserve">PEVuZE5vdGU+PENpdGU+PEF1dGhvcj5HaW92aW5vPC9BdXRob3I+PFllYXI+MjAxNTwvWWVhcj48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</w:fldData>
              </w:fldChar>
            </w:r>
            <w:r>
              <w:rPr>
                <w:noProof/>
                <w:sz w:val="16"/>
                <w:szCs w:val="16"/>
              </w:rPr>
              <w:instrText xml:space="preserve"> ADDIN EN.CITE.DATA </w:instrText>
            </w:r>
            <w:r>
              <w:rPr>
                <w:noProof/>
                <w:sz w:val="16"/>
                <w:szCs w:val="16"/>
              </w:rPr>
            </w:r>
            <w:r>
              <w:rPr>
                <w:noProof/>
                <w:sz w:val="16"/>
                <w:szCs w:val="16"/>
              </w:rPr>
              <w:fldChar w:fldCharType="end"/>
            </w:r>
            <w:r>
              <w:rPr>
                <w:noProof/>
                <w:sz w:val="16"/>
                <w:szCs w:val="16"/>
              </w:rPr>
              <w:fldChar w:fldCharType="separate"/>
            </w:r>
            <w:r>
              <w:rPr>
                <w:noProof/>
                <w:sz w:val="16"/>
                <w:szCs w:val="16"/>
              </w:rPr>
              <w:t>(</w:t>
            </w:r>
            <w:hyperlink w:anchor="_ENREF_62" w:tooltip="Giovino, 2015 #10" w:history="1">
              <w:r w:rsidR="00A234A9">
                <w:rPr>
                  <w:noProof/>
                  <w:sz w:val="16"/>
                  <w:szCs w:val="16"/>
                </w:rPr>
                <w:t>62</w:t>
              </w:r>
            </w:hyperlink>
            <w:r>
              <w:rPr>
                <w:noProof/>
                <w:sz w:val="16"/>
                <w:szCs w:val="16"/>
              </w:rPr>
              <w:t>)</w:t>
            </w:r>
            <w:r>
              <w:rPr>
                <w:noProof/>
                <w:sz w:val="16"/>
                <w:szCs w:val="16"/>
              </w:rPr>
              <w:fldChar w:fldCharType="end"/>
            </w:r>
          </w:p>
          <w:p w14:paraId="39319D7C" w14:textId="77777777" w:rsidR="000538E3" w:rsidRPr="000538E3" w:rsidRDefault="000538E3" w:rsidP="000538E3">
            <w:pPr>
              <w:rPr>
                <w:noProof/>
                <w:sz w:val="16"/>
                <w:szCs w:val="16"/>
              </w:rPr>
            </w:pPr>
            <w:r w:rsidRPr="000538E3">
              <w:rPr>
                <w:noProof/>
                <w:sz w:val="16"/>
                <w:szCs w:val="16"/>
              </w:rPr>
              <w:t>NSDUH</w:t>
            </w:r>
          </w:p>
          <w:p w14:paraId="3F7368C0" w14:textId="77777777" w:rsidR="000538E3" w:rsidRDefault="000538E3" w:rsidP="000538E3">
            <w:pPr>
              <w:rPr>
                <w:noProof/>
                <w:sz w:val="16"/>
                <w:szCs w:val="16"/>
              </w:rPr>
            </w:pPr>
            <w:r w:rsidRPr="000538E3">
              <w:rPr>
                <w:noProof/>
                <w:sz w:val="16"/>
                <w:szCs w:val="16"/>
              </w:rPr>
              <w:t>Good</w:t>
            </w:r>
          </w:p>
        </w:tc>
        <w:tc>
          <w:tcPr>
            <w:tcW w:w="1635" w:type="dxa"/>
            <w:noWrap/>
          </w:tcPr>
          <w:p w14:paraId="49866B43" w14:textId="77777777" w:rsidR="000538E3" w:rsidRPr="000538E3" w:rsidRDefault="000538E3" w:rsidP="000538E3">
            <w:pPr>
              <w:rPr>
                <w:noProof/>
                <w:sz w:val="16"/>
                <w:szCs w:val="16"/>
              </w:rPr>
            </w:pPr>
            <w:r w:rsidRPr="000538E3">
              <w:rPr>
                <w:noProof/>
                <w:sz w:val="16"/>
                <w:szCs w:val="16"/>
              </w:rPr>
              <w:t xml:space="preserve">National; </w:t>
            </w:r>
          </w:p>
          <w:p w14:paraId="44CDB731" w14:textId="77777777" w:rsidR="000538E3" w:rsidRPr="000538E3" w:rsidRDefault="000538E3" w:rsidP="000538E3">
            <w:pPr>
              <w:rPr>
                <w:noProof/>
                <w:sz w:val="16"/>
                <w:szCs w:val="16"/>
              </w:rPr>
            </w:pPr>
            <w:r w:rsidRPr="000538E3">
              <w:rPr>
                <w:noProof/>
                <w:sz w:val="16"/>
                <w:szCs w:val="16"/>
              </w:rPr>
              <w:t xml:space="preserve">Foundation; </w:t>
            </w:r>
          </w:p>
          <w:p w14:paraId="22F9A214" w14:textId="77777777" w:rsidR="000538E3" w:rsidRPr="00AA0F7A" w:rsidRDefault="000538E3" w:rsidP="000538E3">
            <w:pPr>
              <w:rPr>
                <w:noProof/>
                <w:sz w:val="16"/>
                <w:szCs w:val="16"/>
              </w:rPr>
            </w:pPr>
            <w:r w:rsidRPr="000538E3">
              <w:rPr>
                <w:noProof/>
                <w:sz w:val="16"/>
                <w:szCs w:val="16"/>
              </w:rPr>
              <w:t>Cross-sectional</w:t>
            </w:r>
          </w:p>
        </w:tc>
        <w:tc>
          <w:tcPr>
            <w:tcW w:w="3443" w:type="dxa"/>
            <w:noWrap/>
          </w:tcPr>
          <w:p w14:paraId="5DCB937C" w14:textId="77777777" w:rsidR="000538E3" w:rsidRPr="00AA0F7A" w:rsidRDefault="000538E3" w:rsidP="000538E3">
            <w:pPr>
              <w:rPr>
                <w:noProof/>
                <w:sz w:val="16"/>
                <w:szCs w:val="16"/>
              </w:rPr>
            </w:pPr>
            <w:r w:rsidRPr="000538E3">
              <w:rPr>
                <w:noProof/>
                <w:sz w:val="16"/>
                <w:szCs w:val="16"/>
              </w:rPr>
              <w:t>NSDUH; 2008-2010</w:t>
            </w:r>
          </w:p>
        </w:tc>
        <w:tc>
          <w:tcPr>
            <w:tcW w:w="4500" w:type="dxa"/>
            <w:noWrap/>
          </w:tcPr>
          <w:p w14:paraId="65E5DB0E" w14:textId="77777777" w:rsidR="000538E3" w:rsidRPr="00AA0F7A" w:rsidRDefault="000538E3" w:rsidP="000538E3">
            <w:pPr>
              <w:rPr>
                <w:noProof/>
                <w:sz w:val="16"/>
                <w:szCs w:val="16"/>
              </w:rPr>
            </w:pPr>
            <w:r w:rsidRPr="000538E3">
              <w:rPr>
                <w:noProof/>
                <w:sz w:val="16"/>
                <w:szCs w:val="16"/>
              </w:rPr>
              <w:t>U.S. civilian non-institutionalized smokers (smoked all or part of a cig in the past 30 days) age ≥12 years old.</w:t>
            </w:r>
          </w:p>
        </w:tc>
        <w:tc>
          <w:tcPr>
            <w:tcW w:w="1672" w:type="dxa"/>
            <w:noWrap/>
          </w:tcPr>
          <w:p w14:paraId="3E118E37" w14:textId="77777777" w:rsidR="000538E3" w:rsidRPr="00AA0F7A" w:rsidRDefault="000538E3" w:rsidP="000538E3">
            <w:pPr>
              <w:rPr>
                <w:noProof/>
                <w:sz w:val="16"/>
                <w:szCs w:val="16"/>
              </w:rPr>
            </w:pPr>
            <w:r w:rsidRPr="000538E3">
              <w:rPr>
                <w:noProof/>
                <w:sz w:val="16"/>
                <w:szCs w:val="16"/>
              </w:rPr>
              <w:t>None, but included age ≥12</w:t>
            </w:r>
          </w:p>
        </w:tc>
      </w:tr>
      <w:tr w:rsidR="000667CA" w:rsidRPr="00AA0F7A" w14:paraId="08DE63F9" w14:textId="77777777" w:rsidTr="00B46744">
        <w:tblPrEx>
          <w:tblCellMar>
            <w:left w:w="108" w:type="dxa"/>
            <w:right w:w="108" w:type="dxa"/>
          </w:tblCellMar>
        </w:tblPrEx>
        <w:trPr>
          <w:cantSplit/>
        </w:trPr>
        <w:tc>
          <w:tcPr>
            <w:tcW w:w="2070" w:type="dxa"/>
            <w:gridSpan w:val="2"/>
            <w:noWrap/>
          </w:tcPr>
          <w:p w14:paraId="346E5F07" w14:textId="4B80627E" w:rsidR="000667CA" w:rsidRPr="003F2E76" w:rsidRDefault="00D2134A" w:rsidP="000667CA">
            <w:pPr>
              <w:rPr>
                <w:noProof/>
                <w:sz w:val="16"/>
                <w:szCs w:val="16"/>
              </w:rPr>
            </w:pPr>
            <w:r>
              <w:rPr>
                <w:noProof/>
                <w:sz w:val="16"/>
                <w:szCs w:val="16"/>
              </w:rPr>
              <w:fldChar w:fldCharType="begin"/>
            </w:r>
            <w:r>
              <w:rPr>
                <w:noProof/>
                <w:sz w:val="16"/>
                <w:szCs w:val="16"/>
              </w:rPr>
              <w:instrText xml:space="preserve"> ADDIN EN.CITE &lt;EndNote&gt;&lt;Cite&gt;&lt;Author&gt;Hersey&lt;/Author&gt;&lt;Year&gt;2010&lt;/Year&gt;&lt;RecNum&gt;103&lt;/RecNum&gt;&lt;DisplayText&gt;(63)&lt;/DisplayText&gt;&lt;record&gt;&lt;rec-number&gt;103&lt;/rec-number&gt;&lt;foreign-keys&gt;&lt;key app="EN" db-id="a2vz2dfp8xrad6exes75zwpiw5rxwa0vwapv" timestamp="0"&gt;103&lt;/key&gt;&lt;/foreign-keys&gt;&lt;ref-type name="Journal Article"&gt;17&lt;/ref-type&gt;&lt;contributors&gt;&lt;authors&gt;&lt;author&gt;Hersey, J. C.&lt;/author&gt;&lt;author&gt;Nonnemaker, J.&lt;/author&gt;&lt;author&gt;Homsi, G.&lt;/author&gt;&lt;author&gt;Allen, J.&lt;/author&gt;&lt;/authors&gt;&lt;/contributors&gt;&lt;titles&gt;&lt;title&gt;Menthol cigarettes, saliva cotinine, and nicotine dependence in adolescents&lt;/title&gt;&lt;/titles&gt;&lt;dates&gt;&lt;year&gt;2010&lt;/year&gt;&lt;/dates&gt;&lt;publisher&gt;RTI International&lt;/publisher&gt;&lt;urls&gt;&lt;/urls&gt;&lt;research-notes&gt;#827&lt;/research-notes&gt;&lt;/record&gt;&lt;/Cite&gt;&lt;/EndNote&gt;</w:instrText>
            </w:r>
            <w:r>
              <w:rPr>
                <w:noProof/>
                <w:sz w:val="16"/>
                <w:szCs w:val="16"/>
              </w:rPr>
              <w:fldChar w:fldCharType="separate"/>
            </w:r>
            <w:r>
              <w:rPr>
                <w:noProof/>
                <w:sz w:val="16"/>
                <w:szCs w:val="16"/>
              </w:rPr>
              <w:t>(</w:t>
            </w:r>
            <w:hyperlink w:anchor="_ENREF_63" w:tooltip="Hersey, 2010 #103" w:history="1">
              <w:r w:rsidR="00A234A9">
                <w:rPr>
                  <w:noProof/>
                  <w:sz w:val="16"/>
                  <w:szCs w:val="16"/>
                </w:rPr>
                <w:t>63</w:t>
              </w:r>
            </w:hyperlink>
            <w:r>
              <w:rPr>
                <w:noProof/>
                <w:sz w:val="16"/>
                <w:szCs w:val="16"/>
              </w:rPr>
              <w:t>)</w:t>
            </w:r>
            <w:r>
              <w:rPr>
                <w:noProof/>
                <w:sz w:val="16"/>
                <w:szCs w:val="16"/>
              </w:rPr>
              <w:fldChar w:fldCharType="end"/>
            </w:r>
          </w:p>
          <w:p w14:paraId="09404E7D" w14:textId="77777777" w:rsidR="000667CA" w:rsidRPr="003F2E76" w:rsidRDefault="000667CA" w:rsidP="000667CA">
            <w:pPr>
              <w:rPr>
                <w:noProof/>
                <w:sz w:val="16"/>
                <w:szCs w:val="16"/>
              </w:rPr>
            </w:pPr>
            <w:r w:rsidRPr="003F2E76">
              <w:rPr>
                <w:noProof/>
                <w:sz w:val="16"/>
                <w:szCs w:val="16"/>
              </w:rPr>
              <w:t>NBVS</w:t>
            </w:r>
          </w:p>
          <w:p w14:paraId="030FB4B5" w14:textId="77777777" w:rsidR="000667CA" w:rsidRPr="000538E3" w:rsidDel="000667CA" w:rsidRDefault="000667CA" w:rsidP="000667CA">
            <w:pPr>
              <w:rPr>
                <w:noProof/>
                <w:sz w:val="16"/>
                <w:szCs w:val="16"/>
              </w:rPr>
            </w:pPr>
            <w:r w:rsidRPr="003F2E76">
              <w:rPr>
                <w:noProof/>
                <w:sz w:val="16"/>
                <w:szCs w:val="16"/>
              </w:rPr>
              <w:t>Good</w:t>
            </w:r>
          </w:p>
        </w:tc>
        <w:tc>
          <w:tcPr>
            <w:tcW w:w="1635" w:type="dxa"/>
            <w:noWrap/>
          </w:tcPr>
          <w:p w14:paraId="0C942613" w14:textId="77777777" w:rsidR="000667CA" w:rsidRPr="003F2E76" w:rsidRDefault="000667CA" w:rsidP="000667CA">
            <w:pPr>
              <w:rPr>
                <w:noProof/>
                <w:sz w:val="16"/>
                <w:szCs w:val="16"/>
              </w:rPr>
            </w:pPr>
            <w:r w:rsidRPr="003F2E76">
              <w:rPr>
                <w:noProof/>
                <w:sz w:val="16"/>
                <w:szCs w:val="16"/>
              </w:rPr>
              <w:t xml:space="preserve">National; </w:t>
            </w:r>
          </w:p>
          <w:p w14:paraId="2A8561BA" w14:textId="77777777" w:rsidR="000667CA" w:rsidRPr="003F2E76" w:rsidRDefault="000667CA" w:rsidP="000667CA">
            <w:pPr>
              <w:rPr>
                <w:noProof/>
                <w:sz w:val="16"/>
                <w:szCs w:val="16"/>
              </w:rPr>
            </w:pPr>
            <w:r w:rsidRPr="003F2E76">
              <w:rPr>
                <w:noProof/>
                <w:sz w:val="16"/>
                <w:szCs w:val="16"/>
              </w:rPr>
              <w:t xml:space="preserve">Foundation; </w:t>
            </w:r>
          </w:p>
          <w:p w14:paraId="5A02D73B" w14:textId="77777777" w:rsidR="000667CA" w:rsidRPr="000667CA" w:rsidRDefault="000667CA" w:rsidP="000667CA">
            <w:pPr>
              <w:rPr>
                <w:noProof/>
                <w:sz w:val="16"/>
                <w:szCs w:val="16"/>
              </w:rPr>
            </w:pPr>
            <w:r w:rsidRPr="003F2E76">
              <w:rPr>
                <w:noProof/>
                <w:sz w:val="16"/>
                <w:szCs w:val="16"/>
              </w:rPr>
              <w:t>Cross-sectional</w:t>
            </w:r>
          </w:p>
        </w:tc>
        <w:tc>
          <w:tcPr>
            <w:tcW w:w="3443" w:type="dxa"/>
            <w:noWrap/>
          </w:tcPr>
          <w:p w14:paraId="3A07C5A4" w14:textId="77777777" w:rsidR="000667CA" w:rsidRPr="000667CA" w:rsidRDefault="000667CA" w:rsidP="000667CA">
            <w:pPr>
              <w:rPr>
                <w:noProof/>
                <w:sz w:val="16"/>
                <w:szCs w:val="16"/>
              </w:rPr>
            </w:pPr>
            <w:r w:rsidRPr="003F2E76">
              <w:rPr>
                <w:noProof/>
                <w:sz w:val="16"/>
                <w:szCs w:val="16"/>
              </w:rPr>
              <w:t>NBVS; 2002</w:t>
            </w:r>
          </w:p>
        </w:tc>
        <w:tc>
          <w:tcPr>
            <w:tcW w:w="4500" w:type="dxa"/>
            <w:noWrap/>
          </w:tcPr>
          <w:p w14:paraId="57360695" w14:textId="77777777" w:rsidR="000667CA" w:rsidRPr="000667CA" w:rsidRDefault="000667CA" w:rsidP="000667CA">
            <w:pPr>
              <w:rPr>
                <w:noProof/>
                <w:sz w:val="16"/>
                <w:szCs w:val="16"/>
              </w:rPr>
            </w:pPr>
            <w:r w:rsidRPr="003F2E76">
              <w:rPr>
                <w:noProof/>
                <w:sz w:val="16"/>
                <w:szCs w:val="16"/>
              </w:rPr>
              <w:t>Smoked cigs in the past 3 days salivary cotinine ≥5ng/ml.</w:t>
            </w:r>
          </w:p>
        </w:tc>
        <w:tc>
          <w:tcPr>
            <w:tcW w:w="1672" w:type="dxa"/>
            <w:noWrap/>
          </w:tcPr>
          <w:p w14:paraId="4EA77272" w14:textId="77777777" w:rsidR="000667CA" w:rsidRPr="000667CA" w:rsidRDefault="000667CA" w:rsidP="000667CA">
            <w:pPr>
              <w:rPr>
                <w:noProof/>
                <w:sz w:val="16"/>
                <w:szCs w:val="16"/>
              </w:rPr>
            </w:pPr>
            <w:r w:rsidRPr="003F2E76">
              <w:rPr>
                <w:noProof/>
                <w:sz w:val="16"/>
                <w:szCs w:val="16"/>
              </w:rPr>
              <w:t>Youth</w:t>
            </w:r>
          </w:p>
        </w:tc>
      </w:tr>
      <w:tr w:rsidR="000538E3" w:rsidRPr="00AA0F7A" w14:paraId="4F00B966" w14:textId="77777777" w:rsidTr="00B46744">
        <w:tblPrEx>
          <w:tblCellMar>
            <w:left w:w="108" w:type="dxa"/>
            <w:right w:w="108" w:type="dxa"/>
          </w:tblCellMar>
        </w:tblPrEx>
        <w:trPr>
          <w:cantSplit/>
        </w:trPr>
        <w:tc>
          <w:tcPr>
            <w:tcW w:w="2070" w:type="dxa"/>
            <w:gridSpan w:val="2"/>
            <w:noWrap/>
          </w:tcPr>
          <w:p w14:paraId="56ADF1CA" w14:textId="3FF4E11A" w:rsidR="000538E3" w:rsidRPr="000538E3" w:rsidRDefault="00D2134A" w:rsidP="000538E3">
            <w:pPr>
              <w:rPr>
                <w:noProof/>
                <w:sz w:val="16"/>
                <w:szCs w:val="16"/>
              </w:rPr>
            </w:pPr>
            <w:r>
              <w:rPr>
                <w:noProof/>
                <w:sz w:val="16"/>
                <w:szCs w:val="16"/>
              </w:rPr>
              <w:fldChar w:fldCharType="begin"/>
            </w:r>
            <w:r>
              <w:rPr>
                <w:noProof/>
                <w:sz w:val="16"/>
                <w:szCs w:val="16"/>
              </w:rPr>
              <w:instrText xml:space="preserve"> ADDIN EN.CITE &lt;EndNote&gt;&lt;Cite&gt;&lt;Author&gt;Hersey&lt;/Author&gt;&lt;Year&gt;2006&lt;/Year&gt;&lt;RecNum&gt;80&lt;/RecNum&gt;&lt;DisplayText&gt;(64)&lt;/DisplayText&gt;&lt;record&gt;&lt;rec-number&gt;80&lt;/rec-number&gt;&lt;foreign-keys&gt;&lt;key app="EN" db-id="a2vz2dfp8xrad6exes75zwpiw5rxwa0vwapv" timestamp="0"&gt;80&lt;/key&gt;&lt;/foreign-keys&gt;&lt;ref-type name="Journal Article"&gt;17&lt;/ref-type&gt;&lt;contributors&gt;&lt;authors&gt;&lt;author&gt;Hersey, J. C.&lt;/author&gt;&lt;author&gt;Ng, S. W.&lt;/author&gt;&lt;author&gt;Nonnemaker, J. M.&lt;/author&gt;&lt;author&gt;Mowery, P.&lt;/author&gt;&lt;author&gt;Thomas, K. Y.&lt;/author&gt;&lt;author&gt;Vilsaint, M. C.&lt;/author&gt;&lt;author&gt;Allen, J. A.&lt;/author&gt;&lt;author&gt;Haviland, M. L.&lt;/author&gt;&lt;/authors&gt;&lt;/contributors&gt;&lt;auth-address&gt;RTI International, Washington, DC 20036, USA. hersey@rti.org&lt;/auth-address&gt;&lt;titles&gt;&lt;title&gt;Are menthol cigarettes a starter product for youth?&lt;/title&gt;&lt;secondary-title&gt;Nicotine Tob Res&lt;/secondary-title&gt;&lt;/titles&gt;&lt;periodical&gt;&lt;full-title&gt;Nicotine Tob Res&lt;/full-title&gt;&lt;/periodical&gt;&lt;pages&gt;403-13&lt;/pages&gt;&lt;volume&gt;8&lt;/volume&gt;&lt;number&gt;3&lt;/number&gt;&lt;keywords&gt;&lt;keyword&gt;Adolescent&lt;/keyword&gt;&lt;keyword&gt;Adolescent Behavior&lt;/keyword&gt;&lt;keyword&gt;Behavior, Addictive/*epidemiology&lt;/keyword&gt;&lt;keyword&gt;Causality&lt;/keyword&gt;&lt;keyword&gt;Comorbidity&lt;/keyword&gt;&lt;keyword&gt;Female&lt;/keyword&gt;&lt;keyword&gt;Flavoring Agents/administration &amp;amp; dosage&lt;/keyword&gt;&lt;keyword&gt;Humans&lt;/keyword&gt;&lt;keyword&gt;Male&lt;/keyword&gt;&lt;keyword&gt;Menthol/*administration &amp;amp; dosage&lt;/keyword&gt;&lt;keyword&gt;Population Surveillance&lt;/keyword&gt;&lt;keyword&gt;Smoking/*epidemiology/psychology&lt;/keyword&gt;&lt;keyword&gt;*Tobacco Industry&lt;/keyword&gt;&lt;keyword&gt;Tobacco Use Disorder/*epidemiology&lt;/keyword&gt;&lt;keyword&gt;United States/epidemiology&lt;/keyword&gt;&lt;/keywords&gt;&lt;dates&gt;&lt;year&gt;2006&lt;/year&gt;&lt;pub-dates&gt;&lt;date&gt;Jun&lt;/date&gt;&lt;/pub-dates&gt;&lt;/dates&gt;&lt;isbn&gt;1462-2203 (Print)&amp;#xD;1462-2203 (Linking)&lt;/isbn&gt;&lt;accession-num&gt;16801298&lt;/accession-num&gt;&lt;urls&gt;&lt;related-urls&gt;&lt;url&gt;http://www.ncbi.nlm.nih.gov/pubmed/16801298&lt;/url&gt;&lt;/related-urls&gt;&lt;/urls&gt;&lt;electronic-resource-num&gt;10.1080/14622200600670389&lt;/electronic-resource-num&gt;&lt;research-notes&gt;#389&lt;/research-notes&gt;&lt;/record&gt;&lt;/Cite&gt;&lt;/EndNote&gt;</w:instrText>
            </w:r>
            <w:r>
              <w:rPr>
                <w:noProof/>
                <w:sz w:val="16"/>
                <w:szCs w:val="16"/>
              </w:rPr>
              <w:fldChar w:fldCharType="separate"/>
            </w:r>
            <w:r>
              <w:rPr>
                <w:noProof/>
                <w:sz w:val="16"/>
                <w:szCs w:val="16"/>
              </w:rPr>
              <w:t>(</w:t>
            </w:r>
            <w:hyperlink w:anchor="_ENREF_64" w:tooltip="Hersey, 2006 #80" w:history="1">
              <w:r w:rsidR="00A234A9">
                <w:rPr>
                  <w:noProof/>
                  <w:sz w:val="16"/>
                  <w:szCs w:val="16"/>
                </w:rPr>
                <w:t>64</w:t>
              </w:r>
            </w:hyperlink>
            <w:r>
              <w:rPr>
                <w:noProof/>
                <w:sz w:val="16"/>
                <w:szCs w:val="16"/>
              </w:rPr>
              <w:t>)</w:t>
            </w:r>
            <w:r>
              <w:rPr>
                <w:noProof/>
                <w:sz w:val="16"/>
                <w:szCs w:val="16"/>
              </w:rPr>
              <w:fldChar w:fldCharType="end"/>
            </w:r>
          </w:p>
          <w:p w14:paraId="6A21C446" w14:textId="77777777" w:rsidR="000538E3" w:rsidRDefault="000538E3" w:rsidP="000538E3">
            <w:pPr>
              <w:rPr>
                <w:noProof/>
                <w:sz w:val="16"/>
                <w:szCs w:val="16"/>
              </w:rPr>
            </w:pPr>
            <w:r w:rsidRPr="000538E3">
              <w:rPr>
                <w:noProof/>
                <w:sz w:val="16"/>
                <w:szCs w:val="16"/>
              </w:rPr>
              <w:t>NYTS</w:t>
            </w:r>
            <w:r w:rsidRPr="000538E3">
              <w:rPr>
                <w:noProof/>
                <w:sz w:val="16"/>
                <w:szCs w:val="16"/>
              </w:rPr>
              <w:br/>
              <w:t>Good</w:t>
            </w:r>
          </w:p>
        </w:tc>
        <w:tc>
          <w:tcPr>
            <w:tcW w:w="1635" w:type="dxa"/>
            <w:noWrap/>
          </w:tcPr>
          <w:p w14:paraId="2C738EDE" w14:textId="77777777" w:rsidR="000538E3" w:rsidRPr="000538E3" w:rsidRDefault="000538E3" w:rsidP="000538E3">
            <w:pPr>
              <w:rPr>
                <w:noProof/>
                <w:sz w:val="16"/>
                <w:szCs w:val="16"/>
              </w:rPr>
            </w:pPr>
            <w:r w:rsidRPr="000538E3">
              <w:rPr>
                <w:noProof/>
                <w:sz w:val="16"/>
                <w:szCs w:val="16"/>
              </w:rPr>
              <w:t xml:space="preserve">National; </w:t>
            </w:r>
          </w:p>
          <w:p w14:paraId="683CA187" w14:textId="77777777" w:rsidR="000538E3" w:rsidRPr="000538E3" w:rsidRDefault="000538E3" w:rsidP="000538E3">
            <w:pPr>
              <w:rPr>
                <w:noProof/>
                <w:sz w:val="16"/>
                <w:szCs w:val="16"/>
              </w:rPr>
            </w:pPr>
            <w:r w:rsidRPr="000538E3">
              <w:rPr>
                <w:noProof/>
                <w:sz w:val="16"/>
                <w:szCs w:val="16"/>
              </w:rPr>
              <w:t xml:space="preserve">Foundation; </w:t>
            </w:r>
          </w:p>
          <w:p w14:paraId="790DB1CC" w14:textId="77777777" w:rsidR="000538E3" w:rsidRPr="003F2E76" w:rsidRDefault="000538E3" w:rsidP="000538E3">
            <w:pPr>
              <w:rPr>
                <w:noProof/>
                <w:sz w:val="16"/>
                <w:szCs w:val="16"/>
              </w:rPr>
            </w:pPr>
            <w:r w:rsidRPr="000538E3">
              <w:rPr>
                <w:noProof/>
                <w:sz w:val="16"/>
                <w:szCs w:val="16"/>
              </w:rPr>
              <w:t>Cross-sectional</w:t>
            </w:r>
          </w:p>
        </w:tc>
        <w:tc>
          <w:tcPr>
            <w:tcW w:w="3443" w:type="dxa"/>
            <w:noWrap/>
          </w:tcPr>
          <w:p w14:paraId="1D6AE5AF" w14:textId="77777777" w:rsidR="000538E3" w:rsidRPr="003F2E76" w:rsidRDefault="000538E3" w:rsidP="000538E3">
            <w:pPr>
              <w:rPr>
                <w:noProof/>
                <w:sz w:val="16"/>
                <w:szCs w:val="16"/>
              </w:rPr>
            </w:pPr>
            <w:r w:rsidRPr="000538E3">
              <w:rPr>
                <w:noProof/>
                <w:sz w:val="16"/>
                <w:szCs w:val="16"/>
              </w:rPr>
              <w:t>NYTS; Spring 2000, Spring 2002</w:t>
            </w:r>
          </w:p>
        </w:tc>
        <w:tc>
          <w:tcPr>
            <w:tcW w:w="4500" w:type="dxa"/>
            <w:noWrap/>
          </w:tcPr>
          <w:p w14:paraId="28FA26BE" w14:textId="77777777" w:rsidR="000538E3" w:rsidRPr="003F2E76" w:rsidRDefault="000538E3" w:rsidP="000538E3">
            <w:pPr>
              <w:rPr>
                <w:noProof/>
                <w:sz w:val="16"/>
                <w:szCs w:val="16"/>
              </w:rPr>
            </w:pPr>
            <w:r w:rsidRPr="000538E3">
              <w:rPr>
                <w:noProof/>
                <w:sz w:val="16"/>
                <w:szCs w:val="16"/>
              </w:rPr>
              <w:t>6th-12th grade students who were current smokers (≥1cig in the past 30 days).</w:t>
            </w:r>
          </w:p>
        </w:tc>
        <w:tc>
          <w:tcPr>
            <w:tcW w:w="1672" w:type="dxa"/>
            <w:noWrap/>
          </w:tcPr>
          <w:p w14:paraId="1FAD1B65" w14:textId="77777777" w:rsidR="000538E3" w:rsidRPr="003F2E76" w:rsidRDefault="000538E3" w:rsidP="000538E3">
            <w:pPr>
              <w:rPr>
                <w:noProof/>
                <w:sz w:val="16"/>
                <w:szCs w:val="16"/>
              </w:rPr>
            </w:pPr>
            <w:r w:rsidRPr="000538E3">
              <w:rPr>
                <w:noProof/>
                <w:sz w:val="16"/>
                <w:szCs w:val="16"/>
              </w:rPr>
              <w:t xml:space="preserve">Youth </w:t>
            </w:r>
          </w:p>
        </w:tc>
      </w:tr>
      <w:tr w:rsidR="000667CA" w:rsidRPr="00AA0F7A" w14:paraId="75EF5947" w14:textId="77777777" w:rsidTr="00B46744">
        <w:tblPrEx>
          <w:tblCellMar>
            <w:left w:w="108" w:type="dxa"/>
            <w:right w:w="108" w:type="dxa"/>
          </w:tblCellMar>
        </w:tblPrEx>
        <w:trPr>
          <w:cantSplit/>
        </w:trPr>
        <w:tc>
          <w:tcPr>
            <w:tcW w:w="2070" w:type="dxa"/>
            <w:gridSpan w:val="2"/>
            <w:noWrap/>
          </w:tcPr>
          <w:p w14:paraId="69D5515F" w14:textId="02BC901F" w:rsidR="000667CA" w:rsidRPr="00AA0F7A" w:rsidRDefault="00D2134A" w:rsidP="000667CA">
            <w:pPr>
              <w:rPr>
                <w:noProof/>
                <w:sz w:val="16"/>
                <w:szCs w:val="16"/>
              </w:rPr>
            </w:pPr>
            <w:r>
              <w:rPr>
                <w:noProof/>
                <w:sz w:val="16"/>
                <w:szCs w:val="16"/>
              </w:rPr>
              <w:fldChar w:fldCharType="begin"/>
            </w:r>
            <w:r>
              <w:rPr>
                <w:noProof/>
                <w:sz w:val="16"/>
                <w:szCs w:val="16"/>
              </w:rPr>
              <w:instrText xml:space="preserve"> ADDIN EN.CITE &lt;EndNote&gt;&lt;Cite&gt;&lt;Author&gt;Hyland&lt;/Author&gt;&lt;Year&gt;2002&lt;/Year&gt;&lt;RecNum&gt;87&lt;/RecNum&gt;&lt;DisplayText&gt;(65, 66)&lt;/DisplayText&gt;&lt;record&gt;&lt;rec-number&gt;87&lt;/rec-number&gt;&lt;foreign-keys&gt;&lt;key app="EN" db-id="a2vz2dfp8xrad6exes75zwpiw5rxwa0vwapv" timestamp="0"&gt;87&lt;/key&gt;&lt;/foreign-keys&gt;&lt;ref-type name="Journal Article"&gt;17&lt;/ref-type&gt;&lt;contributors&gt;&lt;authors&gt;&lt;author&gt;Hyland, A. &lt;/author&gt;&lt;author&gt;Garten, S. &lt;/author&gt;&lt;author&gt;Giovino, G. A.&lt;/author&gt;&lt;author&gt;Cummings, K. M.&lt;/author&gt;&lt;/authors&gt;&lt;/contributors&gt;&lt;titles&gt;&lt;title&gt;Mentholated cigarettes and smoking cessation: Findings from COMMIT&lt;/title&gt;&lt;secondary-title&gt;Tob Control&lt;/secondary-title&gt;&lt;/titles&gt;&lt;periodical&gt;&lt;full-title&gt;Tob Control&lt;/full-title&gt;&lt;/periodical&gt;&lt;pages&gt;135-139&lt;/pages&gt;&lt;volume&gt;11&lt;/volume&gt;&lt;section&gt;135&lt;/section&gt;&lt;dates&gt;&lt;year&gt;2002&lt;/year&gt;&lt;/dates&gt;&lt;urls&gt;&lt;/urls&gt;&lt;research-notes&gt;#442&lt;/research-notes&gt;&lt;/record&gt;&lt;/Cite&gt;&lt;Cite&gt;&lt;Author&gt;Hyland&lt;/Author&gt;&lt;Year&gt;2010&lt;/Year&gt;&lt;RecNum&gt;100&lt;/RecNum&gt;&lt;record&gt;&lt;rec-number&gt;100&lt;/rec-number&gt;&lt;foreign-keys&gt;&lt;key app="EN" db-id="a2vz2dfp8xrad6exes75zwpiw5rxwa0vwapv" timestamp="0"&gt;100&lt;/key&gt;&lt;/foreign-keys&gt;&lt;ref-type name="Report"&gt;27&lt;/ref-type&gt;&lt;contributors&gt;&lt;authors&gt;&lt;author&gt;Hyland, A.&lt;/author&gt;&lt;author&gt;Rivard, C.&lt;/author&gt;&lt;/authors&gt;&lt;/contributors&gt;&lt;titles&gt;&lt;title&gt;Analysis of mentholated cigarettes using the COMMIT data -- summary&lt;/title&gt;&lt;/titles&gt;&lt;dates&gt;&lt;year&gt;2010&lt;/year&gt;&lt;/dates&gt;&lt;publisher&gt;Department of Health Behavior, Roswell Park Cancer Institute&lt;/publisher&gt;&lt;urls&gt;&lt;/urls&gt;&lt;research-notes&gt;#818&lt;/research-notes&gt;&lt;/record&gt;&lt;/Cite&gt;&lt;/EndNote&gt;</w:instrText>
            </w:r>
            <w:r>
              <w:rPr>
                <w:noProof/>
                <w:sz w:val="16"/>
                <w:szCs w:val="16"/>
              </w:rPr>
              <w:fldChar w:fldCharType="separate"/>
            </w:r>
            <w:r>
              <w:rPr>
                <w:noProof/>
                <w:sz w:val="16"/>
                <w:szCs w:val="16"/>
              </w:rPr>
              <w:t>(</w:t>
            </w:r>
            <w:hyperlink w:anchor="_ENREF_65" w:tooltip="Hyland, 2002 #87" w:history="1">
              <w:r w:rsidR="00A234A9">
                <w:rPr>
                  <w:noProof/>
                  <w:sz w:val="16"/>
                  <w:szCs w:val="16"/>
                </w:rPr>
                <w:t>65</w:t>
              </w:r>
            </w:hyperlink>
            <w:r>
              <w:rPr>
                <w:noProof/>
                <w:sz w:val="16"/>
                <w:szCs w:val="16"/>
              </w:rPr>
              <w:t xml:space="preserve">, </w:t>
            </w:r>
            <w:hyperlink w:anchor="_ENREF_66" w:tooltip="Hyland, 2010 #100" w:history="1">
              <w:r w:rsidR="00A234A9">
                <w:rPr>
                  <w:noProof/>
                  <w:sz w:val="16"/>
                  <w:szCs w:val="16"/>
                </w:rPr>
                <w:t>66</w:t>
              </w:r>
            </w:hyperlink>
            <w:r>
              <w:rPr>
                <w:noProof/>
                <w:sz w:val="16"/>
                <w:szCs w:val="16"/>
              </w:rPr>
              <w:t>)</w:t>
            </w:r>
            <w:r>
              <w:rPr>
                <w:noProof/>
                <w:sz w:val="16"/>
                <w:szCs w:val="16"/>
              </w:rPr>
              <w:fldChar w:fldCharType="end"/>
            </w:r>
            <w:r w:rsidR="000667CA" w:rsidRPr="00382374">
              <w:rPr>
                <w:noProof/>
                <w:sz w:val="16"/>
                <w:szCs w:val="16"/>
                <w:vertAlign w:val="superscript"/>
              </w:rPr>
              <w:t>b</w:t>
            </w:r>
          </w:p>
          <w:p w14:paraId="379FA91E" w14:textId="77777777" w:rsidR="000667CA" w:rsidRPr="00AA0F7A" w:rsidRDefault="000667CA" w:rsidP="000667CA">
            <w:pPr>
              <w:rPr>
                <w:noProof/>
                <w:sz w:val="16"/>
                <w:szCs w:val="16"/>
              </w:rPr>
            </w:pPr>
            <w:r w:rsidRPr="00AA0F7A">
              <w:rPr>
                <w:noProof/>
                <w:sz w:val="16"/>
                <w:szCs w:val="16"/>
              </w:rPr>
              <w:t>None</w:t>
            </w:r>
            <w:r w:rsidRPr="00AA0F7A">
              <w:rPr>
                <w:noProof/>
                <w:sz w:val="16"/>
                <w:szCs w:val="16"/>
              </w:rPr>
              <w:br/>
              <w:t>Good</w:t>
            </w:r>
          </w:p>
        </w:tc>
        <w:tc>
          <w:tcPr>
            <w:tcW w:w="1635" w:type="dxa"/>
            <w:noWrap/>
          </w:tcPr>
          <w:p w14:paraId="0327A431" w14:textId="77777777" w:rsidR="000667CA" w:rsidRPr="00AA0F7A" w:rsidRDefault="000667CA" w:rsidP="000667CA">
            <w:pPr>
              <w:rPr>
                <w:noProof/>
                <w:sz w:val="16"/>
                <w:szCs w:val="16"/>
              </w:rPr>
            </w:pPr>
            <w:r w:rsidRPr="00AA0F7A">
              <w:rPr>
                <w:noProof/>
                <w:sz w:val="16"/>
                <w:szCs w:val="16"/>
              </w:rPr>
              <w:t xml:space="preserve">2 sites in each of: New Jersey, California, New Mexico, New York, North Carolina, Canada; </w:t>
            </w:r>
          </w:p>
          <w:p w14:paraId="22D2996F" w14:textId="77777777" w:rsidR="000667CA" w:rsidRPr="00AA0F7A" w:rsidRDefault="000667CA" w:rsidP="000667CA">
            <w:pPr>
              <w:rPr>
                <w:noProof/>
                <w:sz w:val="16"/>
                <w:szCs w:val="16"/>
              </w:rPr>
            </w:pPr>
            <w:r w:rsidRPr="00AA0F7A">
              <w:rPr>
                <w:noProof/>
                <w:sz w:val="16"/>
                <w:szCs w:val="16"/>
              </w:rPr>
              <w:t xml:space="preserve">Govt; </w:t>
            </w:r>
          </w:p>
          <w:p w14:paraId="0455028F" w14:textId="77777777" w:rsidR="000667CA" w:rsidRPr="00AA0F7A" w:rsidRDefault="000667CA" w:rsidP="000667CA">
            <w:pPr>
              <w:rPr>
                <w:noProof/>
                <w:sz w:val="16"/>
                <w:szCs w:val="16"/>
              </w:rPr>
            </w:pPr>
            <w:r w:rsidRPr="00AA0F7A">
              <w:rPr>
                <w:noProof/>
                <w:sz w:val="16"/>
                <w:szCs w:val="16"/>
              </w:rPr>
              <w:t>Prospective cohort</w:t>
            </w:r>
          </w:p>
        </w:tc>
        <w:tc>
          <w:tcPr>
            <w:tcW w:w="3443" w:type="dxa"/>
            <w:noWrap/>
          </w:tcPr>
          <w:p w14:paraId="4C4FDA27" w14:textId="77777777" w:rsidR="000667CA" w:rsidRPr="00AA0F7A" w:rsidRDefault="000667CA" w:rsidP="000667CA">
            <w:pPr>
              <w:rPr>
                <w:noProof/>
                <w:sz w:val="16"/>
                <w:szCs w:val="16"/>
              </w:rPr>
            </w:pPr>
            <w:r w:rsidRPr="00AA0F7A">
              <w:rPr>
                <w:noProof/>
                <w:sz w:val="16"/>
                <w:szCs w:val="16"/>
              </w:rPr>
              <w:t>COMMIT cessation trial; modified random-digit-dial method and geographic boundary screening used for the baseline prevalence survey to obtain representative samples of approximately 5,400 HHs. Focused on communities with the highest prevalence of non-</w:t>
            </w:r>
            <w:r w:rsidR="00E1156E">
              <w:rPr>
                <w:noProof/>
                <w:sz w:val="16"/>
                <w:szCs w:val="16"/>
              </w:rPr>
              <w:t>White</w:t>
            </w:r>
            <w:r w:rsidRPr="00AA0F7A">
              <w:rPr>
                <w:noProof/>
                <w:sz w:val="16"/>
                <w:szCs w:val="16"/>
              </w:rPr>
              <w:t xml:space="preserve">s; 1988-1993 </w:t>
            </w:r>
          </w:p>
        </w:tc>
        <w:tc>
          <w:tcPr>
            <w:tcW w:w="4500" w:type="dxa"/>
            <w:noWrap/>
          </w:tcPr>
          <w:p w14:paraId="2E70D878" w14:textId="77777777" w:rsidR="000667CA" w:rsidRPr="00AA0F7A" w:rsidRDefault="000667CA" w:rsidP="000667CA">
            <w:pPr>
              <w:rPr>
                <w:noProof/>
                <w:sz w:val="16"/>
                <w:szCs w:val="16"/>
              </w:rPr>
            </w:pPr>
            <w:r w:rsidRPr="00AA0F7A">
              <w:rPr>
                <w:noProof/>
                <w:sz w:val="16"/>
                <w:szCs w:val="16"/>
              </w:rPr>
              <w:t xml:space="preserve">Adult current smokers age 25-64 who reported whether their current brand was mentholated or not in </w:t>
            </w:r>
            <w:r w:rsidR="00105536" w:rsidRPr="00AA0F7A">
              <w:rPr>
                <w:noProof/>
                <w:sz w:val="16"/>
                <w:szCs w:val="16"/>
              </w:rPr>
              <w:t>1988 and</w:t>
            </w:r>
            <w:r w:rsidRPr="00AA0F7A">
              <w:rPr>
                <w:noProof/>
                <w:sz w:val="16"/>
                <w:szCs w:val="16"/>
              </w:rPr>
              <w:t xml:space="preserve"> had a known smoking status in 1993. </w:t>
            </w:r>
          </w:p>
        </w:tc>
        <w:tc>
          <w:tcPr>
            <w:tcW w:w="1672" w:type="dxa"/>
            <w:noWrap/>
          </w:tcPr>
          <w:p w14:paraId="3A2D4651" w14:textId="77777777" w:rsidR="000667CA" w:rsidRPr="00AA0F7A" w:rsidRDefault="000667CA" w:rsidP="000667CA">
            <w:pPr>
              <w:rPr>
                <w:noProof/>
                <w:sz w:val="16"/>
                <w:szCs w:val="16"/>
              </w:rPr>
            </w:pPr>
            <w:r w:rsidRPr="00AA0F7A">
              <w:rPr>
                <w:noProof/>
                <w:sz w:val="16"/>
                <w:szCs w:val="16"/>
              </w:rPr>
              <w:t>None</w:t>
            </w:r>
          </w:p>
        </w:tc>
      </w:tr>
      <w:tr w:rsidR="000667CA" w:rsidRPr="00AA0F7A" w14:paraId="06ADDCC7" w14:textId="77777777" w:rsidTr="00B46744">
        <w:tblPrEx>
          <w:tblCellMar>
            <w:left w:w="108" w:type="dxa"/>
            <w:right w:w="108" w:type="dxa"/>
          </w:tblCellMar>
        </w:tblPrEx>
        <w:trPr>
          <w:cantSplit/>
        </w:trPr>
        <w:tc>
          <w:tcPr>
            <w:tcW w:w="2070" w:type="dxa"/>
            <w:gridSpan w:val="2"/>
            <w:noWrap/>
          </w:tcPr>
          <w:p w14:paraId="7A410069" w14:textId="0339B106" w:rsidR="000667CA" w:rsidRPr="00AA0F7A" w:rsidRDefault="00D2134A" w:rsidP="000667CA">
            <w:pPr>
              <w:rPr>
                <w:sz w:val="16"/>
                <w:szCs w:val="16"/>
              </w:rPr>
            </w:pPr>
            <w:r>
              <w:rPr>
                <w:sz w:val="16"/>
                <w:szCs w:val="16"/>
              </w:rPr>
              <w:fldChar w:fldCharType="begin"/>
            </w:r>
            <w:r>
              <w:rPr>
                <w:sz w:val="16"/>
                <w:szCs w:val="16"/>
              </w:rPr>
              <w:instrText xml:space="preserve"> ADDIN EN.CITE &lt;EndNote&gt;&lt;Cite&gt;&lt;Author&gt;Jain&lt;/Author&gt;&lt;Year&gt;2014&lt;/Year&gt;&lt;RecNum&gt;21&lt;/RecNum&gt;&lt;DisplayText&gt;(67)&lt;/DisplayText&gt;&lt;record&gt;&lt;rec-number&gt;21&lt;/rec-number&gt;&lt;foreign-keys&gt;&lt;key app="EN" db-id="a2vz2dfp8xrad6exes75zwpiw5rxwa0vwapv" timestamp="0"&gt;21&lt;/key&gt;&lt;/foreign-keys&gt;&lt;ref-type name="Journal Article"&gt;17&lt;/ref-type&gt;&lt;contributors&gt;&lt;authors&gt;&lt;author&gt;Jain, R. B.&lt;/author&gt;&lt;/authors&gt;&lt;/contributors&gt;&lt;auth-address&gt;Lawrenceville, GA 30044, United States. Electronic address: Jain.ram.b@gmail.com.&lt;/auth-address&gt;&lt;titles&gt;&lt;title&gt;Trends in serum cotinine concentrations among daily cigarette smokers: data from NHANES 1999-2010&lt;/title&gt;&lt;secondary-title&gt;Sci Total Environ&lt;/secondary-title&gt;&lt;/titles&gt;&lt;pages&gt;72-7&lt;/pages&gt;&lt;volume&gt;472&lt;/volume&gt;&lt;keywords&gt;&lt;keyword&gt;Adult&lt;/keyword&gt;&lt;keyword&gt;Cotinine/*blood&lt;/keyword&gt;&lt;keyword&gt;Female&lt;/keyword&gt;&lt;keyword&gt;Humans&lt;/keyword&gt;&lt;keyword&gt;Male&lt;/keyword&gt;&lt;keyword&gt;*Nutrition Surveys&lt;/keyword&gt;&lt;keyword&gt;Smoking/*blood/epidemiology&lt;/keyword&gt;&lt;keyword&gt;Tobacco Smoke Pollution/statistics &amp;amp; numerical data&lt;/keyword&gt;&lt;keyword&gt;Nicotine&lt;/keyword&gt;&lt;keyword&gt;Serum cotinine&lt;/keyword&gt;&lt;keyword&gt;Smoking&lt;/keyword&gt;&lt;/keywords&gt;&lt;dates&gt;&lt;year&gt;2014&lt;/year&gt;&lt;pub-dates&gt;&lt;date&gt;Feb 15&lt;/date&gt;&lt;/pub-dates&gt;&lt;/dates&gt;&lt;isbn&gt;1879-1026 (Electronic)&amp;#xD;0048-9697 (Linking)&lt;/isbn&gt;&lt;accession-num&gt;24291557&lt;/accession-num&gt;&lt;urls&gt;&lt;related-urls&gt;&lt;url&gt;http://www.ncbi.nlm.nih.gov/pubmed/24291557&lt;/url&gt;&lt;/related-urls&gt;&lt;/urls&gt;&lt;electronic-resource-num&gt;10.1016/j.scitotenv.2013.11.002&lt;/electronic-resource-num&gt;&lt;research-notes&gt;#110&lt;/research-notes&gt;&lt;/record&gt;&lt;/Cite&gt;&lt;/EndNote&gt;</w:instrText>
            </w:r>
            <w:r>
              <w:rPr>
                <w:sz w:val="16"/>
                <w:szCs w:val="16"/>
              </w:rPr>
              <w:fldChar w:fldCharType="separate"/>
            </w:r>
            <w:r>
              <w:rPr>
                <w:noProof/>
                <w:sz w:val="16"/>
                <w:szCs w:val="16"/>
              </w:rPr>
              <w:t>(</w:t>
            </w:r>
            <w:hyperlink w:anchor="_ENREF_67" w:tooltip="Jain, 2014 #21" w:history="1">
              <w:r w:rsidR="00A234A9">
                <w:rPr>
                  <w:noProof/>
                  <w:sz w:val="16"/>
                  <w:szCs w:val="16"/>
                </w:rPr>
                <w:t>67</w:t>
              </w:r>
            </w:hyperlink>
            <w:r>
              <w:rPr>
                <w:noProof/>
                <w:sz w:val="16"/>
                <w:szCs w:val="16"/>
              </w:rPr>
              <w:t>)</w:t>
            </w:r>
            <w:r>
              <w:rPr>
                <w:sz w:val="16"/>
                <w:szCs w:val="16"/>
              </w:rPr>
              <w:fldChar w:fldCharType="end"/>
            </w:r>
          </w:p>
          <w:p w14:paraId="2AB9B3A8" w14:textId="77777777" w:rsidR="000667CA" w:rsidRPr="00AA0F7A" w:rsidRDefault="000667CA" w:rsidP="000667CA">
            <w:pPr>
              <w:rPr>
                <w:sz w:val="16"/>
                <w:szCs w:val="16"/>
              </w:rPr>
            </w:pPr>
            <w:r w:rsidRPr="00AA0F7A">
              <w:rPr>
                <w:sz w:val="16"/>
                <w:szCs w:val="16"/>
              </w:rPr>
              <w:t>NHANES</w:t>
            </w:r>
          </w:p>
          <w:p w14:paraId="312E0315" w14:textId="77777777" w:rsidR="000667CA" w:rsidRPr="00AA0F7A" w:rsidRDefault="000667CA" w:rsidP="000667CA">
            <w:pPr>
              <w:rPr>
                <w:sz w:val="16"/>
                <w:szCs w:val="16"/>
              </w:rPr>
            </w:pPr>
            <w:r w:rsidRPr="00AA0F7A">
              <w:rPr>
                <w:sz w:val="16"/>
                <w:szCs w:val="16"/>
              </w:rPr>
              <w:t>Fair</w:t>
            </w:r>
          </w:p>
        </w:tc>
        <w:tc>
          <w:tcPr>
            <w:tcW w:w="1635" w:type="dxa"/>
            <w:noWrap/>
          </w:tcPr>
          <w:p w14:paraId="4D39084E" w14:textId="77777777" w:rsidR="000667CA" w:rsidRPr="00AA0F7A" w:rsidRDefault="000667CA" w:rsidP="000667CA">
            <w:pPr>
              <w:rPr>
                <w:sz w:val="16"/>
                <w:szCs w:val="16"/>
              </w:rPr>
            </w:pPr>
            <w:r w:rsidRPr="00AA0F7A">
              <w:rPr>
                <w:sz w:val="16"/>
                <w:szCs w:val="16"/>
              </w:rPr>
              <w:t>National;</w:t>
            </w:r>
          </w:p>
          <w:p w14:paraId="200083B6" w14:textId="77777777" w:rsidR="000667CA" w:rsidRPr="00AA0F7A" w:rsidRDefault="000667CA" w:rsidP="000667CA">
            <w:pPr>
              <w:rPr>
                <w:sz w:val="16"/>
                <w:szCs w:val="16"/>
              </w:rPr>
            </w:pPr>
            <w:r w:rsidRPr="00AA0F7A">
              <w:rPr>
                <w:sz w:val="16"/>
                <w:szCs w:val="16"/>
              </w:rPr>
              <w:t>NR;</w:t>
            </w:r>
          </w:p>
          <w:p w14:paraId="4EC99BC2" w14:textId="77777777" w:rsidR="000667CA" w:rsidRPr="00AA0F7A" w:rsidRDefault="000667CA" w:rsidP="000667CA">
            <w:pPr>
              <w:rPr>
                <w:sz w:val="16"/>
                <w:szCs w:val="16"/>
              </w:rPr>
            </w:pPr>
            <w:r w:rsidRPr="00AA0F7A">
              <w:rPr>
                <w:sz w:val="16"/>
                <w:szCs w:val="16"/>
              </w:rPr>
              <w:t>Cross-sectional</w:t>
            </w:r>
          </w:p>
        </w:tc>
        <w:tc>
          <w:tcPr>
            <w:tcW w:w="3443" w:type="dxa"/>
            <w:noWrap/>
          </w:tcPr>
          <w:p w14:paraId="2769359F" w14:textId="77777777" w:rsidR="000667CA" w:rsidRPr="00AA0F7A" w:rsidRDefault="000667CA" w:rsidP="000667CA">
            <w:pPr>
              <w:rPr>
                <w:sz w:val="16"/>
                <w:szCs w:val="16"/>
              </w:rPr>
            </w:pPr>
            <w:r w:rsidRPr="00AA0F7A">
              <w:rPr>
                <w:sz w:val="16"/>
                <w:szCs w:val="16"/>
              </w:rPr>
              <w:t>NHANES; 1999-2010</w:t>
            </w:r>
          </w:p>
        </w:tc>
        <w:tc>
          <w:tcPr>
            <w:tcW w:w="4500" w:type="dxa"/>
            <w:noWrap/>
          </w:tcPr>
          <w:p w14:paraId="0A3AEDEE" w14:textId="77777777" w:rsidR="000667CA" w:rsidRPr="00AA0F7A" w:rsidRDefault="000667CA" w:rsidP="000667CA">
            <w:pPr>
              <w:rPr>
                <w:sz w:val="16"/>
                <w:szCs w:val="16"/>
              </w:rPr>
            </w:pPr>
            <w:r w:rsidRPr="00AA0F7A">
              <w:rPr>
                <w:sz w:val="16"/>
                <w:szCs w:val="16"/>
              </w:rPr>
              <w:t>Daily cig smokers age ≥20 with no current non-cig tobacco use.</w:t>
            </w:r>
          </w:p>
        </w:tc>
        <w:tc>
          <w:tcPr>
            <w:tcW w:w="1672" w:type="dxa"/>
            <w:noWrap/>
          </w:tcPr>
          <w:p w14:paraId="11C67CC9" w14:textId="77777777" w:rsidR="000667CA" w:rsidRPr="00AA0F7A" w:rsidRDefault="000667CA" w:rsidP="000667CA">
            <w:pPr>
              <w:rPr>
                <w:sz w:val="16"/>
                <w:szCs w:val="16"/>
              </w:rPr>
            </w:pPr>
            <w:r w:rsidRPr="00AA0F7A">
              <w:rPr>
                <w:sz w:val="16"/>
                <w:szCs w:val="16"/>
              </w:rPr>
              <w:t>None</w:t>
            </w:r>
          </w:p>
        </w:tc>
      </w:tr>
      <w:tr w:rsidR="000667CA" w:rsidRPr="00AA0F7A" w14:paraId="02F11ACA" w14:textId="77777777" w:rsidTr="00B46744">
        <w:tblPrEx>
          <w:tblCellMar>
            <w:left w:w="108" w:type="dxa"/>
            <w:right w:w="108" w:type="dxa"/>
          </w:tblCellMar>
        </w:tblPrEx>
        <w:trPr>
          <w:cantSplit/>
        </w:trPr>
        <w:tc>
          <w:tcPr>
            <w:tcW w:w="2070" w:type="dxa"/>
            <w:gridSpan w:val="2"/>
            <w:noWrap/>
          </w:tcPr>
          <w:p w14:paraId="56FB62C8" w14:textId="75A10B18" w:rsidR="000667CA" w:rsidRPr="00AA0F7A" w:rsidRDefault="00D2134A" w:rsidP="000667CA">
            <w:pPr>
              <w:rPr>
                <w:sz w:val="16"/>
                <w:szCs w:val="16"/>
              </w:rPr>
            </w:pPr>
            <w:r>
              <w:rPr>
                <w:sz w:val="16"/>
                <w:szCs w:val="16"/>
              </w:rPr>
              <w:fldChar w:fldCharType="begin">
                <w:fldData xml:space="preserve">PEVuZE5vdGU+PENpdGU+PEF1dGhvcj5Kb25lczwvQXV0aG9yPjxZZWFyPjIwMTM8L1llYXI+PFJl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</w:fldData>
              </w:fldChar>
            </w:r>
            <w:r>
              <w:rPr>
                <w:sz w:val="16"/>
                <w:szCs w:val="16"/>
              </w:rPr>
              <w:instrText xml:space="preserve"> ADDIN EN.CITE </w:instrText>
            </w:r>
            <w:r>
              <w:rPr>
                <w:sz w:val="16"/>
                <w:szCs w:val="16"/>
              </w:rPr>
              <w:fldChar w:fldCharType="begin">
                <w:fldData xml:space="preserve">PEVuZE5vdGU+PENpdGU+PEF1dGhvcj5Kb25lczwvQXV0aG9yPjxZZWFyPjIwMTM8L1llYXI+PFJl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</w:fldData>
              </w:fldChar>
            </w:r>
            <w:r>
              <w:rPr>
                <w:sz w:val="16"/>
                <w:szCs w:val="16"/>
              </w:rPr>
              <w:instrText xml:space="preserve"> ADDIN EN.CITE.DATA </w:instrText>
            </w:r>
            <w:r>
              <w:rPr>
                <w:sz w:val="16"/>
                <w:szCs w:val="16"/>
              </w:rPr>
            </w:r>
            <w:r>
              <w:rPr>
                <w:sz w:val="16"/>
                <w:szCs w:val="16"/>
              </w:rPr>
              <w:fldChar w:fldCharType="end"/>
            </w:r>
            <w:r>
              <w:rPr>
                <w:sz w:val="16"/>
                <w:szCs w:val="16"/>
              </w:rPr>
              <w:fldChar w:fldCharType="separate"/>
            </w:r>
            <w:r>
              <w:rPr>
                <w:noProof/>
                <w:sz w:val="16"/>
                <w:szCs w:val="16"/>
              </w:rPr>
              <w:t>(</w:t>
            </w:r>
            <w:hyperlink w:anchor="_ENREF_68" w:tooltip="Jones, 2013 #30" w:history="1">
              <w:r w:rsidR="00A234A9">
                <w:rPr>
                  <w:noProof/>
                  <w:sz w:val="16"/>
                  <w:szCs w:val="16"/>
                </w:rPr>
                <w:t>68</w:t>
              </w:r>
            </w:hyperlink>
            <w:r>
              <w:rPr>
                <w:noProof/>
                <w:sz w:val="16"/>
                <w:szCs w:val="16"/>
              </w:rPr>
              <w:t>)</w:t>
            </w:r>
            <w:r>
              <w:rPr>
                <w:sz w:val="16"/>
                <w:szCs w:val="16"/>
              </w:rPr>
              <w:fldChar w:fldCharType="end"/>
            </w:r>
          </w:p>
          <w:p w14:paraId="05097E1B" w14:textId="77777777" w:rsidR="000667CA" w:rsidRPr="00AA0F7A" w:rsidRDefault="000667CA" w:rsidP="000667CA">
            <w:pPr>
              <w:rPr>
                <w:sz w:val="16"/>
                <w:szCs w:val="16"/>
              </w:rPr>
            </w:pPr>
            <w:r w:rsidRPr="00AA0F7A">
              <w:rPr>
                <w:sz w:val="16"/>
                <w:szCs w:val="16"/>
              </w:rPr>
              <w:t>NHANES</w:t>
            </w:r>
          </w:p>
          <w:p w14:paraId="5837976A" w14:textId="77777777" w:rsidR="000667CA" w:rsidRPr="00AA0F7A" w:rsidRDefault="000667CA" w:rsidP="000667CA">
            <w:pPr>
              <w:rPr>
                <w:sz w:val="16"/>
                <w:szCs w:val="16"/>
              </w:rPr>
            </w:pPr>
            <w:r w:rsidRPr="00AA0F7A">
              <w:rPr>
                <w:sz w:val="16"/>
                <w:szCs w:val="16"/>
              </w:rPr>
              <w:t>Good</w:t>
            </w:r>
          </w:p>
        </w:tc>
        <w:tc>
          <w:tcPr>
            <w:tcW w:w="1635" w:type="dxa"/>
            <w:noWrap/>
          </w:tcPr>
          <w:p w14:paraId="67B8B3E4" w14:textId="77777777" w:rsidR="000667CA" w:rsidRPr="00AA0F7A" w:rsidRDefault="000667CA" w:rsidP="000667CA">
            <w:pPr>
              <w:rPr>
                <w:sz w:val="16"/>
                <w:szCs w:val="16"/>
              </w:rPr>
            </w:pPr>
            <w:r w:rsidRPr="00AA0F7A">
              <w:rPr>
                <w:sz w:val="16"/>
                <w:szCs w:val="16"/>
              </w:rPr>
              <w:t>National;</w:t>
            </w:r>
          </w:p>
          <w:p w14:paraId="33DA31BB" w14:textId="77777777" w:rsidR="000667CA" w:rsidRPr="00AA0F7A" w:rsidRDefault="000667CA" w:rsidP="000667CA">
            <w:pPr>
              <w:rPr>
                <w:sz w:val="16"/>
                <w:szCs w:val="16"/>
              </w:rPr>
            </w:pPr>
            <w:r w:rsidRPr="00AA0F7A">
              <w:rPr>
                <w:sz w:val="16"/>
                <w:szCs w:val="16"/>
              </w:rPr>
              <w:t>Govt;</w:t>
            </w:r>
          </w:p>
          <w:p w14:paraId="54B2AF18" w14:textId="77777777" w:rsidR="000667CA" w:rsidRPr="00AA0F7A" w:rsidRDefault="000667CA" w:rsidP="000667CA">
            <w:pPr>
              <w:rPr>
                <w:sz w:val="16"/>
                <w:szCs w:val="16"/>
              </w:rPr>
            </w:pPr>
            <w:r w:rsidRPr="00AA0F7A">
              <w:rPr>
                <w:sz w:val="16"/>
                <w:szCs w:val="16"/>
              </w:rPr>
              <w:t>Cross-sectional</w:t>
            </w:r>
          </w:p>
        </w:tc>
        <w:tc>
          <w:tcPr>
            <w:tcW w:w="3443" w:type="dxa"/>
            <w:noWrap/>
          </w:tcPr>
          <w:p w14:paraId="65F41597" w14:textId="77777777" w:rsidR="000667CA" w:rsidRPr="00AA0F7A" w:rsidRDefault="000667CA" w:rsidP="000667CA">
            <w:pPr>
              <w:rPr>
                <w:sz w:val="16"/>
                <w:szCs w:val="16"/>
              </w:rPr>
            </w:pPr>
            <w:r w:rsidRPr="00AA0F7A">
              <w:rPr>
                <w:sz w:val="16"/>
                <w:szCs w:val="16"/>
              </w:rPr>
              <w:t>NHANES; 1999-2010</w:t>
            </w:r>
          </w:p>
        </w:tc>
        <w:tc>
          <w:tcPr>
            <w:tcW w:w="4500" w:type="dxa"/>
            <w:noWrap/>
          </w:tcPr>
          <w:p w14:paraId="5FED34F2" w14:textId="77777777" w:rsidR="000667CA" w:rsidRPr="00AA0F7A" w:rsidRDefault="000667CA" w:rsidP="000667CA">
            <w:pPr>
              <w:rPr>
                <w:sz w:val="16"/>
                <w:szCs w:val="16"/>
              </w:rPr>
            </w:pPr>
            <w:r w:rsidRPr="00AA0F7A">
              <w:rPr>
                <w:sz w:val="16"/>
                <w:szCs w:val="16"/>
              </w:rPr>
              <w:t xml:space="preserve">Adult current smokers age ≥20 years who were </w:t>
            </w:r>
            <w:r w:rsidR="00E1156E">
              <w:rPr>
                <w:sz w:val="16"/>
                <w:szCs w:val="16"/>
              </w:rPr>
              <w:t>White</w:t>
            </w:r>
            <w:r w:rsidRPr="00AA0F7A">
              <w:rPr>
                <w:sz w:val="16"/>
                <w:szCs w:val="16"/>
              </w:rPr>
              <w:t xml:space="preserve">, </w:t>
            </w:r>
            <w:r w:rsidR="00E1156E">
              <w:rPr>
                <w:sz w:val="16"/>
                <w:szCs w:val="16"/>
              </w:rPr>
              <w:t>Black</w:t>
            </w:r>
            <w:r w:rsidRPr="00AA0F7A">
              <w:rPr>
                <w:sz w:val="16"/>
                <w:szCs w:val="16"/>
              </w:rPr>
              <w:t xml:space="preserve">, or Mexican-American, not pregnant, and did not use smokeless tobacco (snuff or chewing tobacco). </w:t>
            </w:r>
          </w:p>
        </w:tc>
        <w:tc>
          <w:tcPr>
            <w:tcW w:w="1672" w:type="dxa"/>
            <w:noWrap/>
          </w:tcPr>
          <w:p w14:paraId="2A1501C1" w14:textId="77777777" w:rsidR="000667CA" w:rsidRPr="00AA0F7A" w:rsidRDefault="000667CA" w:rsidP="000667CA">
            <w:pPr>
              <w:rPr>
                <w:sz w:val="16"/>
                <w:szCs w:val="16"/>
              </w:rPr>
            </w:pPr>
            <w:r w:rsidRPr="00AA0F7A">
              <w:rPr>
                <w:sz w:val="16"/>
                <w:szCs w:val="16"/>
              </w:rPr>
              <w:t>None</w:t>
            </w:r>
          </w:p>
        </w:tc>
      </w:tr>
      <w:tr w:rsidR="000667CA" w:rsidRPr="00AA0F7A" w14:paraId="47383AEE" w14:textId="77777777" w:rsidTr="00B46744">
        <w:tblPrEx>
          <w:tblCellMar>
            <w:left w:w="108" w:type="dxa"/>
            <w:right w:w="108" w:type="dxa"/>
          </w:tblCellMar>
        </w:tblPrEx>
        <w:trPr>
          <w:cantSplit/>
        </w:trPr>
        <w:tc>
          <w:tcPr>
            <w:tcW w:w="2070" w:type="dxa"/>
            <w:gridSpan w:val="2"/>
            <w:noWrap/>
          </w:tcPr>
          <w:p w14:paraId="769D6A68" w14:textId="78E32155" w:rsidR="000667CA" w:rsidRPr="00AA0F7A" w:rsidRDefault="00D2134A" w:rsidP="000667CA">
            <w:pPr>
              <w:rPr>
                <w:sz w:val="16"/>
                <w:szCs w:val="16"/>
              </w:rPr>
            </w:pPr>
            <w:r>
              <w:rPr>
                <w:sz w:val="16"/>
                <w:szCs w:val="16"/>
              </w:rPr>
              <w:fldChar w:fldCharType="begin">
                <w:fldData xml:space="preserve">PEVuZE5vdGU+PENpdGU+PEF1dGhvcj5LYXN6YTwvQXV0aG9yPjxZZWFyPjIwMTQ8L1llYXI+PFJl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</w:fldData>
              </w:fldChar>
            </w:r>
            <w:r>
              <w:rPr>
                <w:sz w:val="16"/>
                <w:szCs w:val="16"/>
              </w:rPr>
              <w:instrText xml:space="preserve"> ADDIN EN.CITE </w:instrText>
            </w:r>
            <w:r>
              <w:rPr>
                <w:sz w:val="16"/>
                <w:szCs w:val="16"/>
              </w:rPr>
              <w:fldChar w:fldCharType="begin">
                <w:fldData xml:space="preserve">PEVuZE5vdGU+PENpdGU+PEF1dGhvcj5LYXN6YTwvQXV0aG9yPjxZZWFyPjIwMTQ8L1llYXI+PFJl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</w:fldData>
              </w:fldChar>
            </w:r>
            <w:r>
              <w:rPr>
                <w:sz w:val="16"/>
                <w:szCs w:val="16"/>
              </w:rPr>
              <w:instrText xml:space="preserve"> ADDIN EN.CITE.DATA </w:instrText>
            </w:r>
            <w:r>
              <w:rPr>
                <w:sz w:val="16"/>
                <w:szCs w:val="16"/>
              </w:rPr>
            </w:r>
            <w:r>
              <w:rPr>
                <w:sz w:val="16"/>
                <w:szCs w:val="16"/>
              </w:rPr>
              <w:fldChar w:fldCharType="end"/>
            </w:r>
            <w:r>
              <w:rPr>
                <w:sz w:val="16"/>
                <w:szCs w:val="16"/>
              </w:rPr>
              <w:fldChar w:fldCharType="separate"/>
            </w:r>
            <w:r>
              <w:rPr>
                <w:noProof/>
                <w:sz w:val="16"/>
                <w:szCs w:val="16"/>
              </w:rPr>
              <w:t>(</w:t>
            </w:r>
            <w:hyperlink w:anchor="_ENREF_69" w:tooltip="Kasza, 2014 #16" w:history="1">
              <w:r w:rsidR="00A234A9">
                <w:rPr>
                  <w:noProof/>
                  <w:sz w:val="16"/>
                  <w:szCs w:val="16"/>
                </w:rPr>
                <w:t>69</w:t>
              </w:r>
            </w:hyperlink>
            <w:r>
              <w:rPr>
                <w:noProof/>
                <w:sz w:val="16"/>
                <w:szCs w:val="16"/>
              </w:rPr>
              <w:t>)</w:t>
            </w:r>
            <w:r>
              <w:rPr>
                <w:sz w:val="16"/>
                <w:szCs w:val="16"/>
              </w:rPr>
              <w:fldChar w:fldCharType="end"/>
            </w:r>
          </w:p>
          <w:p w14:paraId="10080C60" w14:textId="77777777" w:rsidR="000667CA" w:rsidRPr="00AA0F7A" w:rsidRDefault="000667CA" w:rsidP="000667CA">
            <w:pPr>
              <w:rPr>
                <w:sz w:val="16"/>
                <w:szCs w:val="16"/>
              </w:rPr>
            </w:pPr>
            <w:r w:rsidRPr="00AA0F7A">
              <w:rPr>
                <w:sz w:val="16"/>
                <w:szCs w:val="16"/>
              </w:rPr>
              <w:t>ITC-4 (U.S. data only)</w:t>
            </w:r>
          </w:p>
          <w:p w14:paraId="1FCF7B58" w14:textId="77777777" w:rsidR="000667CA" w:rsidRPr="00AA0F7A" w:rsidRDefault="000667CA" w:rsidP="000667CA">
            <w:pPr>
              <w:rPr>
                <w:sz w:val="16"/>
                <w:szCs w:val="16"/>
              </w:rPr>
            </w:pPr>
            <w:r w:rsidRPr="00AA0F7A">
              <w:rPr>
                <w:sz w:val="16"/>
                <w:szCs w:val="16"/>
              </w:rPr>
              <w:t>Fair</w:t>
            </w:r>
          </w:p>
        </w:tc>
        <w:tc>
          <w:tcPr>
            <w:tcW w:w="1635" w:type="dxa"/>
            <w:noWrap/>
          </w:tcPr>
          <w:p w14:paraId="75BBA8D8" w14:textId="77777777" w:rsidR="000667CA" w:rsidRPr="00AA0F7A" w:rsidRDefault="000667CA" w:rsidP="000667CA">
            <w:pPr>
              <w:rPr>
                <w:sz w:val="16"/>
                <w:szCs w:val="16"/>
              </w:rPr>
            </w:pPr>
            <w:r w:rsidRPr="00AA0F7A">
              <w:rPr>
                <w:sz w:val="16"/>
                <w:szCs w:val="16"/>
              </w:rPr>
              <w:t>National;</w:t>
            </w:r>
          </w:p>
          <w:p w14:paraId="3B496A6B" w14:textId="77777777" w:rsidR="000667CA" w:rsidRPr="00AA0F7A" w:rsidRDefault="000667CA" w:rsidP="000667CA">
            <w:pPr>
              <w:rPr>
                <w:sz w:val="16"/>
                <w:szCs w:val="16"/>
              </w:rPr>
            </w:pPr>
            <w:r w:rsidRPr="00AA0F7A">
              <w:rPr>
                <w:sz w:val="16"/>
                <w:szCs w:val="16"/>
              </w:rPr>
              <w:t>Foundation &amp; Govt;</w:t>
            </w:r>
          </w:p>
          <w:p w14:paraId="0A845FC5" w14:textId="77777777" w:rsidR="000667CA" w:rsidRPr="00AA0F7A" w:rsidRDefault="000667CA" w:rsidP="000667CA">
            <w:pPr>
              <w:rPr>
                <w:sz w:val="16"/>
                <w:szCs w:val="16"/>
              </w:rPr>
            </w:pPr>
            <w:r w:rsidRPr="00AA0F7A">
              <w:rPr>
                <w:sz w:val="16"/>
                <w:szCs w:val="16"/>
              </w:rPr>
              <w:t>Prospective cohort</w:t>
            </w:r>
          </w:p>
        </w:tc>
        <w:tc>
          <w:tcPr>
            <w:tcW w:w="3443" w:type="dxa"/>
            <w:noWrap/>
          </w:tcPr>
          <w:p w14:paraId="135AB454" w14:textId="77777777" w:rsidR="000667CA" w:rsidRPr="00AA0F7A" w:rsidRDefault="000667CA" w:rsidP="000667CA">
            <w:pPr>
              <w:rPr>
                <w:sz w:val="16"/>
                <w:szCs w:val="16"/>
              </w:rPr>
            </w:pPr>
            <w:r w:rsidRPr="00AA0F7A">
              <w:rPr>
                <w:sz w:val="16"/>
                <w:szCs w:val="16"/>
              </w:rPr>
              <w:t>ITC-4 (U.S. data only); 2002-2011</w:t>
            </w:r>
          </w:p>
        </w:tc>
        <w:tc>
          <w:tcPr>
            <w:tcW w:w="4500" w:type="dxa"/>
            <w:noWrap/>
          </w:tcPr>
          <w:p w14:paraId="19C4B0FE" w14:textId="77777777" w:rsidR="000667CA" w:rsidRPr="00AA0F7A" w:rsidRDefault="000667CA" w:rsidP="000667CA">
            <w:pPr>
              <w:rPr>
                <w:sz w:val="16"/>
                <w:szCs w:val="16"/>
              </w:rPr>
            </w:pPr>
            <w:r w:rsidRPr="00AA0F7A">
              <w:rPr>
                <w:sz w:val="16"/>
                <w:szCs w:val="16"/>
              </w:rPr>
              <w:t>Adult smokers (≥100 lifetime cigs and smoked ≥once in past 30 days).</w:t>
            </w:r>
          </w:p>
        </w:tc>
        <w:tc>
          <w:tcPr>
            <w:tcW w:w="1672" w:type="dxa"/>
            <w:noWrap/>
          </w:tcPr>
          <w:p w14:paraId="29C6B5C6" w14:textId="77777777" w:rsidR="000667CA" w:rsidRPr="00AA0F7A" w:rsidRDefault="000667CA" w:rsidP="000667CA">
            <w:pPr>
              <w:rPr>
                <w:sz w:val="16"/>
                <w:szCs w:val="16"/>
              </w:rPr>
            </w:pPr>
            <w:r w:rsidRPr="00AA0F7A">
              <w:rPr>
                <w:sz w:val="16"/>
                <w:szCs w:val="16"/>
              </w:rPr>
              <w:t>None</w:t>
            </w:r>
          </w:p>
        </w:tc>
      </w:tr>
      <w:tr w:rsidR="000667CA" w:rsidRPr="00AA0F7A" w14:paraId="242C61AB" w14:textId="77777777" w:rsidTr="00B46744">
        <w:tblPrEx>
          <w:tblCellMar>
            <w:left w:w="108" w:type="dxa"/>
            <w:right w:w="108" w:type="dxa"/>
          </w:tblCellMar>
        </w:tblPrEx>
        <w:trPr>
          <w:cantSplit/>
        </w:trPr>
        <w:tc>
          <w:tcPr>
            <w:tcW w:w="2070" w:type="dxa"/>
            <w:gridSpan w:val="2"/>
            <w:noWrap/>
          </w:tcPr>
          <w:p w14:paraId="533999AC" w14:textId="7A46EED5" w:rsidR="000667CA" w:rsidRPr="00AA0F7A" w:rsidRDefault="00D2134A" w:rsidP="000667CA">
            <w:pPr>
              <w:rPr>
                <w:noProof/>
                <w:sz w:val="16"/>
                <w:szCs w:val="16"/>
              </w:rPr>
            </w:pPr>
            <w:r>
              <w:rPr>
                <w:noProof/>
                <w:sz w:val="16"/>
                <w:szCs w:val="16"/>
              </w:rPr>
              <w:fldChar w:fldCharType="begin">
                <w:fldData xml:space="preserve">PEVuZE5vdGU+PENpdGU+PEF1dGhvcj5MYXdyZW5jZTwvQXV0aG9yPjxZZWFyPjIwMTA8L1llYXI+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</w:fldData>
              </w:fldChar>
            </w:r>
            <w:r>
              <w:rPr>
                <w:noProof/>
                <w:sz w:val="16"/>
                <w:szCs w:val="16"/>
              </w:rPr>
              <w:instrText xml:space="preserve"> ADDIN EN.CITE </w:instrText>
            </w:r>
            <w:r>
              <w:rPr>
                <w:noProof/>
                <w:sz w:val="16"/>
                <w:szCs w:val="16"/>
              </w:rPr>
              <w:fldChar w:fldCharType="begin">
                <w:fldData xml:space="preserve">PEVuZE5vdGU+PENpdGU+PEF1dGhvcj5MYXdyZW5jZTwvQXV0aG9yPjxZZWFyPjIwMTA8L1llYXI+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</w:fldData>
              </w:fldChar>
            </w:r>
            <w:r>
              <w:rPr>
                <w:noProof/>
                <w:sz w:val="16"/>
                <w:szCs w:val="16"/>
              </w:rPr>
              <w:instrText xml:space="preserve"> ADDIN EN.CITE.DATA </w:instrText>
            </w:r>
            <w:r>
              <w:rPr>
                <w:noProof/>
                <w:sz w:val="16"/>
                <w:szCs w:val="16"/>
              </w:rPr>
            </w:r>
            <w:r>
              <w:rPr>
                <w:noProof/>
                <w:sz w:val="16"/>
                <w:szCs w:val="16"/>
              </w:rPr>
              <w:fldChar w:fldCharType="end"/>
            </w:r>
            <w:r>
              <w:rPr>
                <w:noProof/>
                <w:sz w:val="16"/>
                <w:szCs w:val="16"/>
              </w:rPr>
              <w:fldChar w:fldCharType="separate"/>
            </w:r>
            <w:r>
              <w:rPr>
                <w:noProof/>
                <w:sz w:val="16"/>
                <w:szCs w:val="16"/>
              </w:rPr>
              <w:t>(</w:t>
            </w:r>
            <w:hyperlink w:anchor="_ENREF_70" w:tooltip="Lawrence, 2010 #52" w:history="1">
              <w:r w:rsidR="00A234A9">
                <w:rPr>
                  <w:noProof/>
                  <w:sz w:val="16"/>
                  <w:szCs w:val="16"/>
                </w:rPr>
                <w:t>70</w:t>
              </w:r>
            </w:hyperlink>
            <w:r>
              <w:rPr>
                <w:noProof/>
                <w:sz w:val="16"/>
                <w:szCs w:val="16"/>
              </w:rPr>
              <w:t>)</w:t>
            </w:r>
            <w:r>
              <w:rPr>
                <w:noProof/>
                <w:sz w:val="16"/>
                <w:szCs w:val="16"/>
              </w:rPr>
              <w:fldChar w:fldCharType="end"/>
            </w:r>
          </w:p>
          <w:p w14:paraId="63C933D3" w14:textId="77777777" w:rsidR="000667CA" w:rsidRPr="00AA0F7A" w:rsidRDefault="000667CA" w:rsidP="000667CA">
            <w:pPr>
              <w:rPr>
                <w:noProof/>
                <w:sz w:val="16"/>
                <w:szCs w:val="16"/>
              </w:rPr>
            </w:pPr>
            <w:r w:rsidRPr="00AA0F7A">
              <w:rPr>
                <w:noProof/>
                <w:sz w:val="16"/>
                <w:szCs w:val="16"/>
              </w:rPr>
              <w:t>TUS-CPS</w:t>
            </w:r>
          </w:p>
          <w:p w14:paraId="38D60569" w14:textId="77777777" w:rsidR="000667CA" w:rsidRPr="00AA0F7A" w:rsidRDefault="000667CA" w:rsidP="000667CA">
            <w:pPr>
              <w:rPr>
                <w:noProof/>
                <w:sz w:val="16"/>
                <w:szCs w:val="16"/>
              </w:rPr>
            </w:pPr>
            <w:r w:rsidRPr="00AA0F7A">
              <w:rPr>
                <w:noProof/>
                <w:sz w:val="16"/>
                <w:szCs w:val="16"/>
              </w:rPr>
              <w:t>Good</w:t>
            </w:r>
          </w:p>
        </w:tc>
        <w:tc>
          <w:tcPr>
            <w:tcW w:w="1635" w:type="dxa"/>
            <w:noWrap/>
          </w:tcPr>
          <w:p w14:paraId="059A6C3C" w14:textId="77777777" w:rsidR="000667CA" w:rsidRPr="00AA0F7A" w:rsidRDefault="000667CA" w:rsidP="000667CA">
            <w:pPr>
              <w:rPr>
                <w:noProof/>
                <w:sz w:val="16"/>
                <w:szCs w:val="16"/>
              </w:rPr>
            </w:pPr>
            <w:r w:rsidRPr="00AA0F7A">
              <w:rPr>
                <w:noProof/>
                <w:sz w:val="16"/>
                <w:szCs w:val="16"/>
              </w:rPr>
              <w:t>National;</w:t>
            </w:r>
          </w:p>
          <w:p w14:paraId="1036DA2B" w14:textId="77777777" w:rsidR="000667CA" w:rsidRPr="00AA0F7A" w:rsidRDefault="000667CA" w:rsidP="000667CA">
            <w:pPr>
              <w:rPr>
                <w:noProof/>
                <w:sz w:val="16"/>
                <w:szCs w:val="16"/>
              </w:rPr>
            </w:pPr>
            <w:r w:rsidRPr="00AA0F7A">
              <w:rPr>
                <w:noProof/>
                <w:sz w:val="16"/>
                <w:szCs w:val="16"/>
              </w:rPr>
              <w:t>Govt;</w:t>
            </w:r>
          </w:p>
          <w:p w14:paraId="235C6915" w14:textId="77777777" w:rsidR="000667CA" w:rsidRPr="00AA0F7A" w:rsidRDefault="000667CA" w:rsidP="000667CA">
            <w:pPr>
              <w:rPr>
                <w:noProof/>
                <w:sz w:val="16"/>
                <w:szCs w:val="16"/>
              </w:rPr>
            </w:pPr>
            <w:r w:rsidRPr="00AA0F7A">
              <w:rPr>
                <w:noProof/>
                <w:sz w:val="16"/>
                <w:szCs w:val="16"/>
              </w:rPr>
              <w:t>Cross-sectional</w:t>
            </w:r>
          </w:p>
        </w:tc>
        <w:tc>
          <w:tcPr>
            <w:tcW w:w="3443" w:type="dxa"/>
            <w:noWrap/>
          </w:tcPr>
          <w:p w14:paraId="2B380CB8" w14:textId="77777777" w:rsidR="000667CA" w:rsidRPr="00AA0F7A" w:rsidRDefault="000667CA" w:rsidP="000667CA">
            <w:pPr>
              <w:rPr>
                <w:noProof/>
                <w:sz w:val="16"/>
                <w:szCs w:val="16"/>
              </w:rPr>
            </w:pPr>
            <w:r w:rsidRPr="00AA0F7A">
              <w:rPr>
                <w:noProof/>
                <w:sz w:val="16"/>
                <w:szCs w:val="16"/>
              </w:rPr>
              <w:t>TUS-CPS; 2003, 2006-2007</w:t>
            </w:r>
          </w:p>
        </w:tc>
        <w:tc>
          <w:tcPr>
            <w:tcW w:w="4500" w:type="dxa"/>
            <w:noWrap/>
          </w:tcPr>
          <w:p w14:paraId="204CAA44" w14:textId="77777777" w:rsidR="000667CA" w:rsidRPr="00AA0F7A" w:rsidRDefault="000667CA" w:rsidP="000667CA">
            <w:pPr>
              <w:rPr>
                <w:noProof/>
                <w:sz w:val="16"/>
                <w:szCs w:val="16"/>
              </w:rPr>
            </w:pPr>
            <w:r w:rsidRPr="00AA0F7A">
              <w:rPr>
                <w:noProof/>
                <w:sz w:val="16"/>
                <w:szCs w:val="16"/>
              </w:rPr>
              <w:t>Adult current smokers age ≥18.</w:t>
            </w:r>
          </w:p>
        </w:tc>
        <w:tc>
          <w:tcPr>
            <w:tcW w:w="1672" w:type="dxa"/>
            <w:noWrap/>
          </w:tcPr>
          <w:p w14:paraId="382CA7C1" w14:textId="77777777" w:rsidR="000667CA" w:rsidRPr="00AA0F7A" w:rsidRDefault="000667CA" w:rsidP="000667CA">
            <w:pPr>
              <w:rPr>
                <w:noProof/>
                <w:sz w:val="16"/>
                <w:szCs w:val="16"/>
              </w:rPr>
            </w:pPr>
            <w:r w:rsidRPr="00AA0F7A">
              <w:rPr>
                <w:noProof/>
                <w:sz w:val="16"/>
                <w:szCs w:val="16"/>
              </w:rPr>
              <w:t>None</w:t>
            </w:r>
          </w:p>
        </w:tc>
      </w:tr>
      <w:tr w:rsidR="000538E3" w:rsidRPr="00AA0F7A" w14:paraId="220A4DAA" w14:textId="77777777" w:rsidTr="00B46744">
        <w:tblPrEx>
          <w:tblCellMar>
            <w:left w:w="108" w:type="dxa"/>
            <w:right w:w="108" w:type="dxa"/>
          </w:tblCellMar>
        </w:tblPrEx>
        <w:trPr>
          <w:cantSplit/>
        </w:trPr>
        <w:tc>
          <w:tcPr>
            <w:tcW w:w="2070" w:type="dxa"/>
            <w:gridSpan w:val="2"/>
            <w:noWrap/>
          </w:tcPr>
          <w:p w14:paraId="55ABACB2" w14:textId="3D044D2A" w:rsidR="000538E3" w:rsidRPr="000538E3" w:rsidRDefault="00D2134A" w:rsidP="000538E3">
            <w:pPr>
              <w:rPr>
                <w:noProof/>
                <w:sz w:val="16"/>
                <w:szCs w:val="16"/>
              </w:rPr>
            </w:pPr>
            <w:r>
              <w:rPr>
                <w:noProof/>
                <w:sz w:val="16"/>
                <w:szCs w:val="16"/>
              </w:rPr>
              <w:lastRenderedPageBreak/>
              <w:fldChar w:fldCharType="begin"/>
            </w:r>
            <w:r>
              <w:rPr>
                <w:noProof/>
                <w:sz w:val="16"/>
                <w:szCs w:val="16"/>
              </w:rPr>
              <w:instrText xml:space="preserve"> ADDIN EN.CITE &lt;EndNote&gt;&lt;Cite&gt;&lt;Author&gt;Muilenburg&lt;/Author&gt;&lt;Year&gt;2008&lt;/Year&gt;&lt;RecNum&gt;71&lt;/RecNum&gt;&lt;DisplayText&gt;(71)&lt;/DisplayText&gt;&lt;record&gt;&lt;rec-number&gt;71&lt;/rec-number&gt;&lt;foreign-keys&gt;&lt;key app="EN" db-id="a2vz2dfp8xrad6exes75zwpiw5rxwa0vwapv" timestamp="0"&gt;71&lt;/key&gt;&lt;/foreign-keys&gt;&lt;ref-type name="Journal Article"&gt;17&lt;/ref-type&gt;&lt;contributors&gt;&lt;authors&gt;&lt;author&gt;Muilenburg, J. L.&lt;/author&gt;&lt;author&gt;Legge, J. S., Jr.&lt;/author&gt;&lt;/authors&gt;&lt;/contributors&gt;&lt;auth-address&gt;Department of Health Promotion and Behavior, College of Public Health, University of Georgia, Athens, Georgia 30602, USA.&lt;/auth-address&gt;&lt;titles&gt;&lt;title&gt;African American adolescents and menthol cigarettes: smoking behavior among secondary school students&lt;/title&gt;&lt;secondary-title&gt;J Adolesc Health&lt;/secondary-title&gt;&lt;/titles&gt;&lt;pages&gt;570-5&lt;/pages&gt;&lt;volume&gt;43&lt;/volume&gt;&lt;number&gt;6&lt;/number&gt;&lt;keywords&gt;&lt;keyword&gt;Adolescent&lt;/keyword&gt;&lt;keyword&gt;Adolescent Behavior/*ethnology&lt;/keyword&gt;&lt;keyword&gt;African Americans/*statistics &amp;amp; numerical data&lt;/keyword&gt;&lt;keyword&gt;Age Distribution&lt;/keyword&gt;&lt;keyword&gt;Case-Control Studies&lt;/keyword&gt;&lt;keyword&gt;Child&lt;/keyword&gt;&lt;keyword&gt;European Continental Ancestry Group/statistics &amp;amp; numerical data&lt;/keyword&gt;&lt;keyword&gt;Female&lt;/keyword&gt;&lt;keyword&gt;Health Behavior/ethnology&lt;/keyword&gt;&lt;keyword&gt;Health Surveys&lt;/keyword&gt;&lt;keyword&gt;Humans&lt;/keyword&gt;&lt;keyword&gt;Male&lt;/keyword&gt;&lt;keyword&gt;Menthol&lt;/keyword&gt;&lt;keyword&gt;Sex Distribution&lt;/keyword&gt;&lt;keyword&gt;Smoking/*ethnology&lt;/keyword&gt;&lt;keyword&gt;Social Environment&lt;/keyword&gt;&lt;keyword&gt;Southeastern United States/epidemiology&lt;/keyword&gt;&lt;keyword&gt;Students/*statistics &amp;amp; numerical data&lt;/keyword&gt;&lt;keyword&gt;Young Adult&lt;/keyword&gt;&lt;/keywords&gt;&lt;dates&gt;&lt;year&gt;2008&lt;/year&gt;&lt;pub-dates&gt;&lt;date&gt;Dec&lt;/date&gt;&lt;/pub-dates&gt;&lt;/dates&gt;&lt;isbn&gt;1879-1972 (Electronic)&amp;#xD;1054-139X (Linking)&lt;/isbn&gt;&lt;accession-num&gt;19027645&lt;/accession-num&gt;&lt;urls&gt;&lt;related-urls&gt;&lt;url&gt;http://www.ncbi.nlm.nih.gov/pubmed/19027645&lt;/url&gt;&lt;/related-urls&gt;&lt;/urls&gt;&lt;electronic-resource-num&gt;10.1016/j.jadohealth.2008.08.017&lt;/electronic-resource-num&gt;&lt;research-notes&gt;#343&lt;/research-notes&gt;&lt;/record&gt;&lt;/Cite&gt;&lt;/EndNote&gt;</w:instrText>
            </w:r>
            <w:r>
              <w:rPr>
                <w:noProof/>
                <w:sz w:val="16"/>
                <w:szCs w:val="16"/>
              </w:rPr>
              <w:fldChar w:fldCharType="separate"/>
            </w:r>
            <w:r>
              <w:rPr>
                <w:noProof/>
                <w:sz w:val="16"/>
                <w:szCs w:val="16"/>
              </w:rPr>
              <w:t>(</w:t>
            </w:r>
            <w:hyperlink w:anchor="_ENREF_71" w:tooltip="Muilenburg, 2008 #71" w:history="1">
              <w:r w:rsidR="00A234A9">
                <w:rPr>
                  <w:noProof/>
                  <w:sz w:val="16"/>
                  <w:szCs w:val="16"/>
                </w:rPr>
                <w:t>71</w:t>
              </w:r>
            </w:hyperlink>
            <w:r>
              <w:rPr>
                <w:noProof/>
                <w:sz w:val="16"/>
                <w:szCs w:val="16"/>
              </w:rPr>
              <w:t>)</w:t>
            </w:r>
            <w:r>
              <w:rPr>
                <w:noProof/>
                <w:sz w:val="16"/>
                <w:szCs w:val="16"/>
              </w:rPr>
              <w:fldChar w:fldCharType="end"/>
            </w:r>
          </w:p>
          <w:p w14:paraId="360CFEC2" w14:textId="77777777" w:rsidR="000538E3" w:rsidRPr="000538E3" w:rsidRDefault="000538E3" w:rsidP="000538E3">
            <w:pPr>
              <w:rPr>
                <w:noProof/>
                <w:sz w:val="16"/>
                <w:szCs w:val="16"/>
              </w:rPr>
            </w:pPr>
            <w:r w:rsidRPr="000538E3">
              <w:rPr>
                <w:noProof/>
                <w:sz w:val="16"/>
                <w:szCs w:val="16"/>
              </w:rPr>
              <w:t>NYTS</w:t>
            </w:r>
          </w:p>
          <w:p w14:paraId="2B962701" w14:textId="77777777" w:rsidR="000538E3" w:rsidRDefault="000538E3" w:rsidP="000538E3">
            <w:pPr>
              <w:rPr>
                <w:noProof/>
                <w:sz w:val="16"/>
                <w:szCs w:val="16"/>
              </w:rPr>
            </w:pPr>
            <w:r w:rsidRPr="000538E3">
              <w:rPr>
                <w:noProof/>
                <w:sz w:val="16"/>
                <w:szCs w:val="16"/>
              </w:rPr>
              <w:t>Fair</w:t>
            </w:r>
          </w:p>
        </w:tc>
        <w:tc>
          <w:tcPr>
            <w:tcW w:w="1635" w:type="dxa"/>
            <w:noWrap/>
          </w:tcPr>
          <w:p w14:paraId="3A6312A0" w14:textId="77777777" w:rsidR="000538E3" w:rsidRPr="000538E3" w:rsidRDefault="000538E3" w:rsidP="000538E3">
            <w:pPr>
              <w:rPr>
                <w:noProof/>
                <w:sz w:val="16"/>
                <w:szCs w:val="16"/>
              </w:rPr>
            </w:pPr>
            <w:r w:rsidRPr="000538E3">
              <w:rPr>
                <w:noProof/>
                <w:sz w:val="16"/>
                <w:szCs w:val="16"/>
              </w:rPr>
              <w:t xml:space="preserve">Major south-eastern U.S. city; </w:t>
            </w:r>
          </w:p>
          <w:p w14:paraId="05CE65FC" w14:textId="77777777" w:rsidR="000538E3" w:rsidRPr="000538E3" w:rsidRDefault="000538E3" w:rsidP="000538E3">
            <w:pPr>
              <w:rPr>
                <w:noProof/>
                <w:sz w:val="16"/>
                <w:szCs w:val="16"/>
              </w:rPr>
            </w:pPr>
            <w:r w:rsidRPr="000538E3">
              <w:rPr>
                <w:noProof/>
                <w:sz w:val="16"/>
                <w:szCs w:val="16"/>
              </w:rPr>
              <w:t xml:space="preserve">NR; </w:t>
            </w:r>
          </w:p>
          <w:p w14:paraId="5A2B3090" w14:textId="77777777" w:rsidR="000538E3" w:rsidRPr="00AA0F7A" w:rsidRDefault="000538E3" w:rsidP="000538E3">
            <w:pPr>
              <w:rPr>
                <w:noProof/>
                <w:sz w:val="16"/>
                <w:szCs w:val="16"/>
              </w:rPr>
            </w:pPr>
            <w:r w:rsidRPr="000538E3">
              <w:rPr>
                <w:noProof/>
                <w:sz w:val="16"/>
                <w:szCs w:val="16"/>
              </w:rPr>
              <w:t>Cross-sectional</w:t>
            </w:r>
          </w:p>
        </w:tc>
        <w:tc>
          <w:tcPr>
            <w:tcW w:w="3443" w:type="dxa"/>
            <w:noWrap/>
          </w:tcPr>
          <w:p w14:paraId="45F2F11C" w14:textId="77777777" w:rsidR="000538E3" w:rsidRPr="00AA0F7A" w:rsidRDefault="000538E3" w:rsidP="000538E3">
            <w:pPr>
              <w:rPr>
                <w:noProof/>
                <w:sz w:val="16"/>
                <w:szCs w:val="16"/>
              </w:rPr>
            </w:pPr>
            <w:r w:rsidRPr="000538E3">
              <w:rPr>
                <w:noProof/>
                <w:sz w:val="16"/>
                <w:szCs w:val="16"/>
              </w:rPr>
              <w:t>NYTS; 2006</w:t>
            </w:r>
          </w:p>
        </w:tc>
        <w:tc>
          <w:tcPr>
            <w:tcW w:w="4500" w:type="dxa"/>
            <w:noWrap/>
          </w:tcPr>
          <w:p w14:paraId="14188F20" w14:textId="77777777" w:rsidR="000538E3" w:rsidRPr="00AA0F7A" w:rsidRDefault="000538E3" w:rsidP="000538E3">
            <w:pPr>
              <w:rPr>
                <w:noProof/>
                <w:sz w:val="16"/>
                <w:szCs w:val="16"/>
              </w:rPr>
            </w:pPr>
            <w:r w:rsidRPr="000538E3">
              <w:rPr>
                <w:noProof/>
                <w:sz w:val="16"/>
                <w:szCs w:val="16"/>
              </w:rPr>
              <w:t xml:space="preserve">Middle and high school students who were </w:t>
            </w:r>
            <w:r w:rsidR="00667B57">
              <w:rPr>
                <w:noProof/>
                <w:sz w:val="16"/>
                <w:szCs w:val="16"/>
              </w:rPr>
              <w:t>B</w:t>
            </w:r>
            <w:r w:rsidR="00667B57" w:rsidRPr="000538E3">
              <w:rPr>
                <w:noProof/>
                <w:sz w:val="16"/>
                <w:szCs w:val="16"/>
              </w:rPr>
              <w:t xml:space="preserve">lack </w:t>
            </w:r>
            <w:r w:rsidRPr="000538E3">
              <w:rPr>
                <w:noProof/>
                <w:sz w:val="16"/>
                <w:szCs w:val="16"/>
              </w:rPr>
              <w:t xml:space="preserve">or </w:t>
            </w:r>
            <w:r w:rsidR="00667B57">
              <w:rPr>
                <w:noProof/>
                <w:sz w:val="16"/>
                <w:szCs w:val="16"/>
              </w:rPr>
              <w:t>W</w:t>
            </w:r>
            <w:r w:rsidR="00667B57" w:rsidRPr="000538E3">
              <w:rPr>
                <w:noProof/>
                <w:sz w:val="16"/>
                <w:szCs w:val="16"/>
              </w:rPr>
              <w:t xml:space="preserve">hite </w:t>
            </w:r>
            <w:r w:rsidRPr="000538E3">
              <w:rPr>
                <w:noProof/>
                <w:sz w:val="16"/>
                <w:szCs w:val="16"/>
              </w:rPr>
              <w:t>and had taken ≥1 puff of a cigarette.</w:t>
            </w:r>
          </w:p>
        </w:tc>
        <w:tc>
          <w:tcPr>
            <w:tcW w:w="1672" w:type="dxa"/>
            <w:noWrap/>
          </w:tcPr>
          <w:p w14:paraId="0D376AD6" w14:textId="77777777" w:rsidR="000538E3" w:rsidRPr="00AA0F7A" w:rsidRDefault="000538E3" w:rsidP="000538E3">
            <w:pPr>
              <w:rPr>
                <w:noProof/>
                <w:sz w:val="16"/>
                <w:szCs w:val="16"/>
              </w:rPr>
            </w:pPr>
            <w:r w:rsidRPr="000538E3">
              <w:rPr>
                <w:noProof/>
                <w:sz w:val="16"/>
                <w:szCs w:val="16"/>
              </w:rPr>
              <w:t>Youth</w:t>
            </w:r>
          </w:p>
        </w:tc>
      </w:tr>
      <w:tr w:rsidR="000538E3" w:rsidRPr="00AA0F7A" w14:paraId="28EAEFE6" w14:textId="77777777" w:rsidTr="00B46744">
        <w:tblPrEx>
          <w:tblCellMar>
            <w:left w:w="108" w:type="dxa"/>
            <w:right w:w="108" w:type="dxa"/>
          </w:tblCellMar>
        </w:tblPrEx>
        <w:trPr>
          <w:cantSplit/>
        </w:trPr>
        <w:tc>
          <w:tcPr>
            <w:tcW w:w="2070" w:type="dxa"/>
            <w:gridSpan w:val="2"/>
            <w:noWrap/>
          </w:tcPr>
          <w:p w14:paraId="005235E6" w14:textId="6C956241" w:rsidR="000538E3" w:rsidRPr="00AA0F7A" w:rsidRDefault="00D2134A" w:rsidP="000538E3">
            <w:pPr>
              <w:rPr>
                <w:noProof/>
                <w:sz w:val="16"/>
                <w:szCs w:val="16"/>
              </w:rPr>
            </w:pPr>
            <w:r>
              <w:rPr>
                <w:noProof/>
                <w:sz w:val="16"/>
                <w:szCs w:val="16"/>
              </w:rPr>
              <w:fldChar w:fldCharType="begin"/>
            </w:r>
            <w:r>
              <w:rPr>
                <w:noProof/>
                <w:sz w:val="16"/>
                <w:szCs w:val="16"/>
              </w:rPr>
              <w:instrText xml:space="preserve"> ADDIN EN.CITE &lt;EndNote&gt;&lt;Cite&gt;&lt;Author&gt;Nonnemaker&lt;/Author&gt;&lt;Year&gt;2012&lt;/Year&gt;&lt;RecNum&gt;31&lt;/RecNum&gt;&lt;DisplayText&gt;(72)&lt;/DisplayText&gt;&lt;record&gt;&lt;rec-number&gt;31&lt;/rec-number&gt;&lt;foreign-keys&gt;&lt;key app="EN" db-id="a2vz2dfp8xrad6exes75zwpiw5rxwa0vwapv" timestamp="0"&gt;31&lt;/key&gt;&lt;/foreign-keys&gt;&lt;ref-type name="Journal Article"&gt;17&lt;/ref-type&gt;&lt;contributors&gt;&lt;authors&gt;&lt;author&gt;Nonnemaker, J.&lt;/author&gt;&lt;author&gt;Hersey, J.&lt;/author&gt;&lt;author&gt;Homsi, G.&lt;/author&gt;&lt;author&gt;Busey, A.&lt;/author&gt;&lt;author&gt;Allen, J.&lt;/author&gt;&lt;author&gt;Vallone, D.&lt;/author&gt;&lt;/authors&gt;&lt;/contributors&gt;&lt;auth-address&gt;RTI International, Research Triangle Park, NC 27709-2194, USA. jnonnemaker@rti.org&lt;/auth-address&gt;&lt;titles&gt;&lt;title&gt;Initiation with menthol cigarettes and youth smoking uptake&lt;/title&gt;&lt;secondary-title&gt;Addiction&lt;/secondary-title&gt;&lt;/titles&gt;&lt;periodical&gt;&lt;full-title&gt;Addiction&lt;/full-title&gt;&lt;/periodical&gt;&lt;pages&gt;171-8&lt;/pages&gt;&lt;volume&gt;108&lt;/volume&gt;&lt;number&gt;1&lt;/number&gt;&lt;keywords&gt;&lt;keyword&gt;Adolescent&lt;/keyword&gt;&lt;keyword&gt;Age Distribution&lt;/keyword&gt;&lt;keyword&gt;Child&lt;/keyword&gt;&lt;keyword&gt;Female&lt;/keyword&gt;&lt;keyword&gt;Flavoring Agents/*adverse effects&lt;/keyword&gt;&lt;keyword&gt;Humans&lt;/keyword&gt;&lt;keyword&gt;Longitudinal Studies&lt;/keyword&gt;&lt;keyword&gt;Male&lt;/keyword&gt;&lt;keyword&gt;Menthol/*adverse effects&lt;/keyword&gt;&lt;keyword&gt;Risk Factors&lt;/keyword&gt;&lt;keyword&gt;Sex Distribution&lt;/keyword&gt;&lt;keyword&gt;Smoking/*adverse effects&lt;/keyword&gt;&lt;keyword&gt;Smoking Cessation/psychology/statistics &amp;amp; numerical data&lt;/keyword&gt;&lt;keyword&gt;Tobacco Products/*adverse effects&lt;/keyword&gt;&lt;keyword&gt;Tobacco Use Disorder/*etiology&lt;/keyword&gt;&lt;keyword&gt;United States&lt;/keyword&gt;&lt;/keywords&gt;&lt;dates&gt;&lt;year&gt;2012&lt;/year&gt;&lt;pub-dates&gt;&lt;date&gt;Jan&lt;/date&gt;&lt;/pub-dates&gt;&lt;/dates&gt;&lt;isbn&gt;1360-0443 (Electronic)&amp;#xD;0965-2140 (Linking)&lt;/isbn&gt;&lt;accession-num&gt;22862154&lt;/accession-num&gt;&lt;urls&gt;&lt;related-urls&gt;&lt;url&gt;http://www.ncbi.nlm.nih.gov/pubmed/22862154&lt;/url&gt;&lt;/related-urls&gt;&lt;/urls&gt;&lt;electronic-resource-num&gt;10.1111/j.1360-0443.2012.04045.x&lt;/electronic-resource-num&gt;&lt;research-notes&gt;#160&lt;/research-notes&gt;&lt;/record&gt;&lt;/Cite&gt;&lt;/EndNote&gt;</w:instrText>
            </w:r>
            <w:r>
              <w:rPr>
                <w:noProof/>
                <w:sz w:val="16"/>
                <w:szCs w:val="16"/>
              </w:rPr>
              <w:fldChar w:fldCharType="separate"/>
            </w:r>
            <w:r>
              <w:rPr>
                <w:noProof/>
                <w:sz w:val="16"/>
                <w:szCs w:val="16"/>
              </w:rPr>
              <w:t>(</w:t>
            </w:r>
            <w:hyperlink w:anchor="_ENREF_72" w:tooltip="Nonnemaker, 2012 #31" w:history="1">
              <w:r w:rsidR="00A234A9">
                <w:rPr>
                  <w:noProof/>
                  <w:sz w:val="16"/>
                  <w:szCs w:val="16"/>
                </w:rPr>
                <w:t>72</w:t>
              </w:r>
            </w:hyperlink>
            <w:r>
              <w:rPr>
                <w:noProof/>
                <w:sz w:val="16"/>
                <w:szCs w:val="16"/>
              </w:rPr>
              <w:t>)</w:t>
            </w:r>
            <w:r>
              <w:rPr>
                <w:noProof/>
                <w:sz w:val="16"/>
                <w:szCs w:val="16"/>
              </w:rPr>
              <w:fldChar w:fldCharType="end"/>
            </w:r>
          </w:p>
          <w:p w14:paraId="6CEA6270" w14:textId="77777777" w:rsidR="000538E3" w:rsidRPr="00AA0F7A" w:rsidRDefault="000538E3" w:rsidP="000538E3">
            <w:pPr>
              <w:rPr>
                <w:noProof/>
                <w:sz w:val="16"/>
                <w:szCs w:val="16"/>
              </w:rPr>
            </w:pPr>
            <w:r>
              <w:rPr>
                <w:noProof/>
                <w:sz w:val="16"/>
                <w:szCs w:val="16"/>
              </w:rPr>
              <w:t>None</w:t>
            </w:r>
          </w:p>
          <w:p w14:paraId="76CF5121" w14:textId="77777777" w:rsidR="000538E3" w:rsidRPr="00AA0F7A" w:rsidRDefault="000538E3" w:rsidP="000538E3">
            <w:pPr>
              <w:rPr>
                <w:noProof/>
                <w:sz w:val="16"/>
                <w:szCs w:val="16"/>
              </w:rPr>
            </w:pPr>
            <w:r w:rsidRPr="00AA0F7A">
              <w:rPr>
                <w:noProof/>
                <w:sz w:val="16"/>
                <w:szCs w:val="16"/>
              </w:rPr>
              <w:t>Good</w:t>
            </w:r>
          </w:p>
        </w:tc>
        <w:tc>
          <w:tcPr>
            <w:tcW w:w="1635" w:type="dxa"/>
            <w:noWrap/>
          </w:tcPr>
          <w:p w14:paraId="0A68638A" w14:textId="77777777" w:rsidR="000538E3" w:rsidRPr="00AA0F7A" w:rsidRDefault="000538E3" w:rsidP="000538E3">
            <w:pPr>
              <w:rPr>
                <w:noProof/>
                <w:sz w:val="16"/>
                <w:szCs w:val="16"/>
              </w:rPr>
            </w:pPr>
            <w:r w:rsidRPr="00AA0F7A">
              <w:rPr>
                <w:noProof/>
                <w:sz w:val="16"/>
                <w:szCs w:val="16"/>
              </w:rPr>
              <w:t>7 communities in 5 states;</w:t>
            </w:r>
          </w:p>
          <w:p w14:paraId="61BF650B" w14:textId="77777777" w:rsidR="000538E3" w:rsidRPr="00AA0F7A" w:rsidRDefault="000538E3" w:rsidP="000538E3">
            <w:pPr>
              <w:rPr>
                <w:noProof/>
                <w:sz w:val="16"/>
                <w:szCs w:val="16"/>
              </w:rPr>
            </w:pPr>
            <w:r w:rsidRPr="00AA0F7A">
              <w:rPr>
                <w:noProof/>
                <w:sz w:val="16"/>
                <w:szCs w:val="16"/>
              </w:rPr>
              <w:t>Govt;</w:t>
            </w:r>
          </w:p>
          <w:p w14:paraId="069454E1" w14:textId="77777777" w:rsidR="000538E3" w:rsidRPr="00AA0F7A" w:rsidRDefault="000538E3" w:rsidP="000538E3">
            <w:pPr>
              <w:rPr>
                <w:noProof/>
                <w:sz w:val="16"/>
                <w:szCs w:val="16"/>
              </w:rPr>
            </w:pPr>
            <w:r w:rsidRPr="00AA0F7A">
              <w:rPr>
                <w:noProof/>
                <w:sz w:val="16"/>
                <w:szCs w:val="16"/>
              </w:rPr>
              <w:t>Prospective cohort</w:t>
            </w:r>
          </w:p>
        </w:tc>
        <w:tc>
          <w:tcPr>
            <w:tcW w:w="3443" w:type="dxa"/>
            <w:noWrap/>
          </w:tcPr>
          <w:p w14:paraId="0388F536" w14:textId="77777777" w:rsidR="000538E3" w:rsidRPr="00AA0F7A" w:rsidRDefault="000538E3" w:rsidP="000538E3">
            <w:pPr>
              <w:rPr>
                <w:noProof/>
                <w:sz w:val="16"/>
                <w:szCs w:val="16"/>
              </w:rPr>
            </w:pPr>
            <w:r w:rsidRPr="00AA0F7A">
              <w:rPr>
                <w:noProof/>
                <w:sz w:val="16"/>
                <w:szCs w:val="16"/>
              </w:rPr>
              <w:t>ALLTURS: School-based survey of middle and high school youth conducted in three waves in 83 schools in 7 communities in 5 states, initially selected for a quasi-experiment that included matched communities; 2000-2002</w:t>
            </w:r>
          </w:p>
        </w:tc>
        <w:tc>
          <w:tcPr>
            <w:tcW w:w="4500" w:type="dxa"/>
            <w:noWrap/>
          </w:tcPr>
          <w:p w14:paraId="3833D84F" w14:textId="77777777" w:rsidR="000538E3" w:rsidRPr="00AA0F7A" w:rsidRDefault="000538E3" w:rsidP="000538E3">
            <w:pPr>
              <w:rPr>
                <w:noProof/>
                <w:sz w:val="16"/>
                <w:szCs w:val="16"/>
              </w:rPr>
            </w:pPr>
            <w:r w:rsidRPr="00AA0F7A">
              <w:rPr>
                <w:noProof/>
                <w:sz w:val="16"/>
                <w:szCs w:val="16"/>
              </w:rPr>
              <w:t>Youth age &lt;18 years who initiated smoking after baseline and before wave 3 and completed all 3 annual waves of the study.</w:t>
            </w:r>
          </w:p>
        </w:tc>
        <w:tc>
          <w:tcPr>
            <w:tcW w:w="1672" w:type="dxa"/>
            <w:noWrap/>
          </w:tcPr>
          <w:p w14:paraId="37FE1150" w14:textId="77777777" w:rsidR="000538E3" w:rsidRPr="00AA0F7A" w:rsidRDefault="000538E3" w:rsidP="000538E3">
            <w:pPr>
              <w:rPr>
                <w:noProof/>
                <w:sz w:val="16"/>
                <w:szCs w:val="16"/>
              </w:rPr>
            </w:pPr>
            <w:r w:rsidRPr="00AA0F7A">
              <w:rPr>
                <w:noProof/>
                <w:sz w:val="16"/>
                <w:szCs w:val="16"/>
              </w:rPr>
              <w:t>Youth</w:t>
            </w:r>
          </w:p>
        </w:tc>
      </w:tr>
      <w:tr w:rsidR="000538E3" w:rsidRPr="00AA0F7A" w14:paraId="495654F1" w14:textId="77777777" w:rsidTr="00B46744">
        <w:tblPrEx>
          <w:tblCellMar>
            <w:left w:w="108" w:type="dxa"/>
            <w:right w:w="108" w:type="dxa"/>
          </w:tblCellMar>
        </w:tblPrEx>
        <w:trPr>
          <w:cantSplit/>
        </w:trPr>
        <w:tc>
          <w:tcPr>
            <w:tcW w:w="2070" w:type="dxa"/>
            <w:gridSpan w:val="2"/>
            <w:noWrap/>
          </w:tcPr>
          <w:p w14:paraId="5802091E" w14:textId="4DBD8A6C" w:rsidR="000538E3" w:rsidRPr="00AA0F7A" w:rsidRDefault="00D2134A" w:rsidP="000538E3">
            <w:pPr>
              <w:rPr>
                <w:noProof/>
                <w:sz w:val="16"/>
                <w:szCs w:val="16"/>
              </w:rPr>
            </w:pPr>
            <w:r>
              <w:rPr>
                <w:noProof/>
                <w:sz w:val="16"/>
                <w:szCs w:val="16"/>
              </w:rPr>
              <w:fldChar w:fldCharType="begin"/>
            </w:r>
            <w:r>
              <w:rPr>
                <w:noProof/>
                <w:sz w:val="16"/>
                <w:szCs w:val="16"/>
              </w:rPr>
              <w:instrText xml:space="preserve"> ADDIN EN.CITE &lt;EndNote&gt;&lt;Cite&gt;&lt;Author&gt;Nonnemaker&lt;/Author&gt;&lt;Year&gt;2010&lt;/Year&gt;&lt;RecNum&gt;97&lt;/RecNum&gt;&lt;DisplayText&gt;(73)&lt;/DisplayText&gt;&lt;record&gt;&lt;rec-number&gt;97&lt;/rec-number&gt;&lt;foreign-keys&gt;&lt;key app="EN" db-id="a2vz2dfp8xrad6exes75zwpiw5rxwa0vwapv" timestamp="0"&gt;97&lt;/key&gt;&lt;/foreign-keys&gt;&lt;ref-type name="Report"&gt;27&lt;/ref-type&gt;&lt;contributors&gt;&lt;authors&gt;&lt;author&gt;Nonnemaker, J.&lt;/author&gt;&lt;author&gt;Hersey, J.&lt;/author&gt;&lt;author&gt;Homsi, G.&lt;/author&gt;&lt;author&gt;Busey, A.&lt;/author&gt;&lt;/authors&gt;&lt;/contributors&gt;&lt;titles&gt;&lt;title&gt;Menthol cigarettes and youth smoking updake&lt;/title&gt;&lt;/titles&gt;&lt;dates&gt;&lt;year&gt;2010&lt;/year&gt;&lt;/dates&gt;&lt;pub-location&gt;RTI International&lt;/pub-location&gt;&lt;urls&gt;&lt;/urls&gt;&lt;research-notes&gt;#812&lt;/research-notes&gt;&lt;/record&gt;&lt;/Cite&gt;&lt;/EndNote&gt;</w:instrText>
            </w:r>
            <w:r>
              <w:rPr>
                <w:noProof/>
                <w:sz w:val="16"/>
                <w:szCs w:val="16"/>
              </w:rPr>
              <w:fldChar w:fldCharType="separate"/>
            </w:r>
            <w:r>
              <w:rPr>
                <w:noProof/>
                <w:sz w:val="16"/>
                <w:szCs w:val="16"/>
              </w:rPr>
              <w:t>(</w:t>
            </w:r>
            <w:hyperlink w:anchor="_ENREF_73" w:tooltip="Nonnemaker, 2010 #97" w:history="1">
              <w:r w:rsidR="00A234A9">
                <w:rPr>
                  <w:noProof/>
                  <w:sz w:val="16"/>
                  <w:szCs w:val="16"/>
                </w:rPr>
                <w:t>73</w:t>
              </w:r>
            </w:hyperlink>
            <w:r>
              <w:rPr>
                <w:noProof/>
                <w:sz w:val="16"/>
                <w:szCs w:val="16"/>
              </w:rPr>
              <w:t>)</w:t>
            </w:r>
            <w:r>
              <w:rPr>
                <w:noProof/>
                <w:sz w:val="16"/>
                <w:szCs w:val="16"/>
              </w:rPr>
              <w:fldChar w:fldCharType="end"/>
            </w:r>
          </w:p>
          <w:p w14:paraId="6124B770" w14:textId="77777777" w:rsidR="000538E3" w:rsidRPr="00AA0F7A" w:rsidRDefault="000538E3" w:rsidP="000538E3">
            <w:pPr>
              <w:rPr>
                <w:noProof/>
                <w:sz w:val="16"/>
                <w:szCs w:val="16"/>
              </w:rPr>
            </w:pPr>
            <w:r>
              <w:rPr>
                <w:noProof/>
                <w:sz w:val="16"/>
                <w:szCs w:val="16"/>
              </w:rPr>
              <w:t>None</w:t>
            </w:r>
          </w:p>
          <w:p w14:paraId="589E20F9" w14:textId="77777777" w:rsidR="000538E3" w:rsidRPr="00AA0F7A" w:rsidRDefault="000538E3" w:rsidP="000538E3">
            <w:pPr>
              <w:rPr>
                <w:noProof/>
                <w:sz w:val="16"/>
                <w:szCs w:val="16"/>
              </w:rPr>
            </w:pPr>
            <w:r w:rsidRPr="00AA0F7A">
              <w:rPr>
                <w:noProof/>
                <w:sz w:val="16"/>
                <w:szCs w:val="16"/>
              </w:rPr>
              <w:t>Good</w:t>
            </w:r>
          </w:p>
        </w:tc>
        <w:tc>
          <w:tcPr>
            <w:tcW w:w="1635" w:type="dxa"/>
            <w:noWrap/>
          </w:tcPr>
          <w:p w14:paraId="4563CFC4" w14:textId="77777777" w:rsidR="000538E3" w:rsidRPr="00AA0F7A" w:rsidRDefault="000538E3" w:rsidP="000538E3">
            <w:pPr>
              <w:rPr>
                <w:noProof/>
                <w:sz w:val="16"/>
                <w:szCs w:val="16"/>
              </w:rPr>
            </w:pPr>
            <w:r w:rsidRPr="00AA0F7A">
              <w:rPr>
                <w:noProof/>
                <w:sz w:val="16"/>
                <w:szCs w:val="16"/>
              </w:rPr>
              <w:t>7 communities in 5 states;</w:t>
            </w:r>
          </w:p>
          <w:p w14:paraId="21266DD8" w14:textId="77777777" w:rsidR="000538E3" w:rsidRPr="00AA0F7A" w:rsidRDefault="000538E3" w:rsidP="000538E3">
            <w:pPr>
              <w:rPr>
                <w:noProof/>
                <w:sz w:val="16"/>
                <w:szCs w:val="16"/>
              </w:rPr>
            </w:pPr>
            <w:r w:rsidRPr="00AA0F7A">
              <w:rPr>
                <w:noProof/>
                <w:sz w:val="16"/>
                <w:szCs w:val="16"/>
              </w:rPr>
              <w:t>Govt;</w:t>
            </w:r>
          </w:p>
          <w:p w14:paraId="5A50B090" w14:textId="77777777" w:rsidR="000538E3" w:rsidRPr="00AA0F7A" w:rsidRDefault="000538E3" w:rsidP="000538E3">
            <w:pPr>
              <w:rPr>
                <w:noProof/>
                <w:sz w:val="16"/>
                <w:szCs w:val="16"/>
              </w:rPr>
            </w:pPr>
            <w:r w:rsidRPr="00AA0F7A">
              <w:rPr>
                <w:noProof/>
                <w:sz w:val="16"/>
                <w:szCs w:val="16"/>
              </w:rPr>
              <w:t>Prospective cohort</w:t>
            </w:r>
          </w:p>
        </w:tc>
        <w:tc>
          <w:tcPr>
            <w:tcW w:w="3443" w:type="dxa"/>
            <w:noWrap/>
          </w:tcPr>
          <w:p w14:paraId="64926DE2" w14:textId="77777777" w:rsidR="000538E3" w:rsidRPr="00AA0F7A" w:rsidRDefault="000538E3" w:rsidP="000538E3">
            <w:pPr>
              <w:rPr>
                <w:noProof/>
                <w:sz w:val="16"/>
                <w:szCs w:val="16"/>
              </w:rPr>
            </w:pPr>
            <w:r w:rsidRPr="00AA0F7A">
              <w:rPr>
                <w:noProof/>
                <w:sz w:val="16"/>
                <w:szCs w:val="16"/>
              </w:rPr>
              <w:t>ALLTURS: School-based survey of middle and high school youth conducted in three waves in 83 schools in 7 communities in 5 states, initially selected for a quasi-experiment that included matched communities; 2000-2002</w:t>
            </w:r>
          </w:p>
        </w:tc>
        <w:tc>
          <w:tcPr>
            <w:tcW w:w="4500" w:type="dxa"/>
            <w:noWrap/>
          </w:tcPr>
          <w:p w14:paraId="608E74AE" w14:textId="77777777" w:rsidR="000538E3" w:rsidRPr="00AA0F7A" w:rsidRDefault="000538E3" w:rsidP="000538E3">
            <w:pPr>
              <w:rPr>
                <w:noProof/>
                <w:sz w:val="16"/>
                <w:szCs w:val="16"/>
              </w:rPr>
            </w:pPr>
            <w:r w:rsidRPr="00AA0F7A">
              <w:rPr>
                <w:noProof/>
                <w:sz w:val="16"/>
                <w:szCs w:val="16"/>
              </w:rPr>
              <w:t>Youth age &lt;18 who initiated smoking after baseline and before wave 3 and completed all 3 annual waves of the study.</w:t>
            </w:r>
          </w:p>
        </w:tc>
        <w:tc>
          <w:tcPr>
            <w:tcW w:w="1672" w:type="dxa"/>
            <w:noWrap/>
          </w:tcPr>
          <w:p w14:paraId="541F2189" w14:textId="77777777" w:rsidR="000538E3" w:rsidRPr="00AA0F7A" w:rsidRDefault="000538E3" w:rsidP="000538E3">
            <w:pPr>
              <w:rPr>
                <w:noProof/>
                <w:sz w:val="16"/>
                <w:szCs w:val="16"/>
              </w:rPr>
            </w:pPr>
            <w:r w:rsidRPr="00AA0F7A">
              <w:rPr>
                <w:noProof/>
                <w:sz w:val="16"/>
                <w:szCs w:val="16"/>
              </w:rPr>
              <w:t>Youth</w:t>
            </w:r>
          </w:p>
        </w:tc>
      </w:tr>
      <w:tr w:rsidR="000538E3" w:rsidRPr="00AA0F7A" w14:paraId="756BFD76" w14:textId="77777777" w:rsidTr="00B46744">
        <w:tblPrEx>
          <w:tblCellMar>
            <w:left w:w="108" w:type="dxa"/>
            <w:right w:w="108" w:type="dxa"/>
          </w:tblCellMar>
        </w:tblPrEx>
        <w:trPr>
          <w:cantSplit/>
        </w:trPr>
        <w:tc>
          <w:tcPr>
            <w:tcW w:w="2070" w:type="dxa"/>
            <w:gridSpan w:val="2"/>
            <w:noWrap/>
          </w:tcPr>
          <w:p w14:paraId="10058908" w14:textId="7FE75EFB" w:rsidR="000538E3" w:rsidRDefault="00D2134A" w:rsidP="000538E3">
            <w:pPr>
              <w:rPr>
                <w:noProof/>
                <w:sz w:val="16"/>
                <w:szCs w:val="16"/>
              </w:rPr>
            </w:pPr>
            <w:r>
              <w:rPr>
                <w:noProof/>
                <w:sz w:val="16"/>
                <w:szCs w:val="16"/>
              </w:rPr>
              <w:fldChar w:fldCharType="begin"/>
            </w:r>
            <w:r>
              <w:rPr>
                <w:noProof/>
                <w:sz w:val="16"/>
                <w:szCs w:val="16"/>
              </w:rPr>
              <w:instrText xml:space="preserve"> ADDIN EN.CITE &lt;EndNote&gt;&lt;Cite&gt;&lt;Author&gt;Okuyemi&lt;/Author&gt;&lt;Year&gt;2007&lt;/Year&gt;&lt;RecNum&gt;74&lt;/RecNum&gt;&lt;DisplayText&gt;(74)&lt;/DisplayText&gt;&lt;record&gt;&lt;rec-number&gt;74&lt;/rec-number&gt;&lt;foreign-keys&gt;&lt;key app="EN" db-id="a2vz2dfp8xrad6exes75zwpiw5rxwa0vwapv" timestamp="0"&gt;74&lt;/key&gt;&lt;/foreign-keys&gt;&lt;ref-type name="Journal Article"&gt;17&lt;/ref-type&gt;&lt;contributors&gt;&lt;authors&gt;&lt;author&gt;Okuyemi, K. S.&lt;/author&gt;&lt;author&gt;Faseru, B.&lt;/author&gt;&lt;author&gt;Sanderson Cox, L.&lt;/author&gt;&lt;author&gt;Bronars, C. A.&lt;/author&gt;&lt;author&gt;Ahluwalia, J. S.&lt;/author&gt;&lt;/authors&gt;&lt;/contributors&gt;&lt;auth-address&gt;Program in Health Disparities Research, University of Minnesota Medical School, Minneapolis, MN 55455, USA. kokuyemi@umn.edu&lt;/auth-address&gt;&lt;titles&gt;&lt;title&gt;Relationship between menthol cigarettes and smoking cessation among African American light smokers&lt;/title&gt;&lt;secondary-title&gt;Addiction&lt;/secondary-title&gt;&lt;/titles&gt;&lt;periodical&gt;&lt;full-title&gt;Addiction&lt;/full-title&gt;&lt;/periodical&gt;&lt;pages&gt;1979-86&lt;/pages&gt;&lt;volume&gt;102&lt;/volume&gt;&lt;number&gt;12&lt;/number&gt;&lt;keywords&gt;&lt;keyword&gt;Adult&lt;/keyword&gt;&lt;keyword&gt;African Americans/*ethnology/psychology&lt;/keyword&gt;&lt;keyword&gt;Age Factors&lt;/keyword&gt;&lt;keyword&gt;Female&lt;/keyword&gt;&lt;keyword&gt;Health Education&lt;/keyword&gt;&lt;keyword&gt;Humans&lt;/keyword&gt;&lt;keyword&gt;Male&lt;/keyword&gt;&lt;keyword&gt;*Menthol&lt;/keyword&gt;&lt;keyword&gt;Middle Aged&lt;/keyword&gt;&lt;keyword&gt;Regression Analysis&lt;/keyword&gt;&lt;keyword&gt;Smoking/*adverse effects&lt;/keyword&gt;&lt;keyword&gt;Smoking Cessation/*ethnology/psychology/statistics &amp;amp; numerical data&lt;/keyword&gt;&lt;keyword&gt;Tobacco/*adverse effects&lt;/keyword&gt;&lt;/keywords&gt;&lt;dates&gt;&lt;year&gt;2007&lt;/year&gt;&lt;pub-dates&gt;&lt;date&gt;Dec&lt;/date&gt;&lt;/pub-dates&gt;&lt;/dates&gt;&lt;isbn&gt;0965-2140 (Print)&amp;#xD;0965-2140 (Linking)&lt;/isbn&gt;&lt;accession-num&gt;17916223&lt;/accession-num&gt;&lt;urls&gt;&lt;related-urls&gt;&lt;url&gt;http://www.ncbi.nlm.nih.gov/pubmed/17916223&lt;/url&gt;&lt;/related-urls&gt;&lt;/urls&gt;&lt;electronic-resource-num&gt;10.1111/j.1360-0443.2007.02010.x&lt;/electronic-resource-num&gt;&lt;research-notes&gt;#367&lt;/research-notes&gt;&lt;/record&gt;&lt;/Cite&gt;&lt;/EndNote&gt;</w:instrText>
            </w:r>
            <w:r>
              <w:rPr>
                <w:noProof/>
                <w:sz w:val="16"/>
                <w:szCs w:val="16"/>
              </w:rPr>
              <w:fldChar w:fldCharType="separate"/>
            </w:r>
            <w:r>
              <w:rPr>
                <w:noProof/>
                <w:sz w:val="16"/>
                <w:szCs w:val="16"/>
              </w:rPr>
              <w:t>(</w:t>
            </w:r>
            <w:hyperlink w:anchor="_ENREF_74" w:tooltip="Okuyemi, 2007 #74" w:history="1">
              <w:r w:rsidR="00A234A9">
                <w:rPr>
                  <w:noProof/>
                  <w:sz w:val="16"/>
                  <w:szCs w:val="16"/>
                </w:rPr>
                <w:t>74</w:t>
              </w:r>
            </w:hyperlink>
            <w:r>
              <w:rPr>
                <w:noProof/>
                <w:sz w:val="16"/>
                <w:szCs w:val="16"/>
              </w:rPr>
              <w:t>)</w:t>
            </w:r>
            <w:r>
              <w:rPr>
                <w:noProof/>
                <w:sz w:val="16"/>
                <w:szCs w:val="16"/>
              </w:rPr>
              <w:fldChar w:fldCharType="end"/>
            </w:r>
            <w:r w:rsidR="000538E3">
              <w:rPr>
                <w:noProof/>
                <w:sz w:val="16"/>
                <w:szCs w:val="16"/>
              </w:rPr>
              <w:t xml:space="preserve"> </w:t>
            </w:r>
          </w:p>
          <w:p w14:paraId="3F66A577" w14:textId="77777777" w:rsidR="000538E3" w:rsidRPr="00AA0F7A" w:rsidRDefault="000538E3" w:rsidP="000538E3">
            <w:pPr>
              <w:rPr>
                <w:noProof/>
                <w:sz w:val="16"/>
                <w:szCs w:val="16"/>
              </w:rPr>
            </w:pPr>
            <w:r w:rsidRPr="00AA0F7A">
              <w:rPr>
                <w:noProof/>
                <w:sz w:val="16"/>
                <w:szCs w:val="16"/>
              </w:rPr>
              <w:t>None</w:t>
            </w:r>
            <w:r w:rsidRPr="00AA0F7A">
              <w:rPr>
                <w:noProof/>
                <w:sz w:val="16"/>
                <w:szCs w:val="16"/>
              </w:rPr>
              <w:br/>
              <w:t>Good</w:t>
            </w:r>
          </w:p>
        </w:tc>
        <w:tc>
          <w:tcPr>
            <w:tcW w:w="1635" w:type="dxa"/>
            <w:noWrap/>
          </w:tcPr>
          <w:p w14:paraId="5FE68A7D" w14:textId="77777777" w:rsidR="000538E3" w:rsidRPr="00AA0F7A" w:rsidRDefault="000538E3" w:rsidP="000538E3">
            <w:pPr>
              <w:rPr>
                <w:noProof/>
                <w:sz w:val="16"/>
                <w:szCs w:val="16"/>
              </w:rPr>
            </w:pPr>
            <w:r w:rsidRPr="00AA0F7A">
              <w:rPr>
                <w:noProof/>
                <w:sz w:val="16"/>
                <w:szCs w:val="16"/>
              </w:rPr>
              <w:t xml:space="preserve">Kansas; </w:t>
            </w:r>
          </w:p>
          <w:p w14:paraId="2A5BC975" w14:textId="77777777" w:rsidR="000538E3" w:rsidRPr="00AA0F7A" w:rsidRDefault="000538E3" w:rsidP="000538E3">
            <w:pPr>
              <w:rPr>
                <w:noProof/>
                <w:sz w:val="16"/>
                <w:szCs w:val="16"/>
              </w:rPr>
            </w:pPr>
            <w:r w:rsidRPr="00AA0F7A">
              <w:rPr>
                <w:noProof/>
                <w:sz w:val="16"/>
                <w:szCs w:val="16"/>
              </w:rPr>
              <w:t xml:space="preserve">Govt; </w:t>
            </w:r>
          </w:p>
          <w:p w14:paraId="1E4C647F" w14:textId="77777777" w:rsidR="000538E3" w:rsidRPr="00AA0F7A" w:rsidRDefault="000538E3" w:rsidP="000538E3">
            <w:pPr>
              <w:rPr>
                <w:noProof/>
                <w:sz w:val="16"/>
                <w:szCs w:val="16"/>
              </w:rPr>
            </w:pPr>
            <w:r w:rsidRPr="00AA0F7A">
              <w:rPr>
                <w:noProof/>
                <w:sz w:val="16"/>
                <w:szCs w:val="16"/>
              </w:rPr>
              <w:t>Prospective cohort</w:t>
            </w:r>
          </w:p>
        </w:tc>
        <w:tc>
          <w:tcPr>
            <w:tcW w:w="3443" w:type="dxa"/>
            <w:noWrap/>
          </w:tcPr>
          <w:p w14:paraId="73B8318D" w14:textId="77777777" w:rsidR="000538E3" w:rsidRPr="00AA0F7A" w:rsidRDefault="000538E3" w:rsidP="000538E3">
            <w:pPr>
              <w:rPr>
                <w:noProof/>
                <w:sz w:val="16"/>
                <w:szCs w:val="16"/>
              </w:rPr>
            </w:pPr>
            <w:r w:rsidRPr="00AA0F7A">
              <w:rPr>
                <w:noProof/>
                <w:sz w:val="16"/>
                <w:szCs w:val="16"/>
              </w:rPr>
              <w:t xml:space="preserve">Kick it at Swope trial (KIS), inner-city health center mostly serving a low-income </w:t>
            </w:r>
            <w:r>
              <w:rPr>
                <w:noProof/>
                <w:sz w:val="16"/>
                <w:szCs w:val="16"/>
              </w:rPr>
              <w:t>Black</w:t>
            </w:r>
            <w:r w:rsidRPr="00AA0F7A">
              <w:rPr>
                <w:noProof/>
                <w:sz w:val="16"/>
                <w:szCs w:val="16"/>
              </w:rPr>
              <w:t xml:space="preserve"> population. Patients were invited to participate in a study on smoking among inner-city residents, not associated with a cessation program; March 2003-June 2004</w:t>
            </w:r>
          </w:p>
        </w:tc>
        <w:tc>
          <w:tcPr>
            <w:tcW w:w="4500" w:type="dxa"/>
            <w:noWrap/>
          </w:tcPr>
          <w:p w14:paraId="7C51F11E" w14:textId="77777777" w:rsidR="000538E3" w:rsidRPr="00AA0F7A" w:rsidRDefault="000538E3" w:rsidP="000538E3">
            <w:pPr>
              <w:rPr>
                <w:noProof/>
                <w:sz w:val="16"/>
                <w:szCs w:val="16"/>
              </w:rPr>
            </w:pPr>
            <w:r w:rsidRPr="00AA0F7A">
              <w:rPr>
                <w:noProof/>
                <w:sz w:val="16"/>
                <w:szCs w:val="16"/>
              </w:rPr>
              <w:t>Black adult (≥18 years) light smokers (≤10 CPD for ≥6 months and smoking on ≥25 of last 30 days) who were interested in setting a quit date within 14 days.</w:t>
            </w:r>
          </w:p>
        </w:tc>
        <w:tc>
          <w:tcPr>
            <w:tcW w:w="1672" w:type="dxa"/>
            <w:noWrap/>
          </w:tcPr>
          <w:p w14:paraId="6E9C18B0" w14:textId="77777777" w:rsidR="000538E3" w:rsidRPr="00AA0F7A" w:rsidRDefault="000538E3" w:rsidP="000538E3">
            <w:pPr>
              <w:rPr>
                <w:noProof/>
                <w:sz w:val="16"/>
                <w:szCs w:val="16"/>
              </w:rPr>
            </w:pPr>
            <w:r w:rsidRPr="00AA0F7A">
              <w:rPr>
                <w:noProof/>
                <w:sz w:val="16"/>
                <w:szCs w:val="16"/>
              </w:rPr>
              <w:t>Black light smokers (&lt;10 CPD)</w:t>
            </w:r>
          </w:p>
        </w:tc>
      </w:tr>
      <w:tr w:rsidR="000538E3" w:rsidRPr="00AA0F7A" w14:paraId="550FE5FA" w14:textId="77777777" w:rsidTr="00B46744">
        <w:tblPrEx>
          <w:tblCellMar>
            <w:left w:w="108" w:type="dxa"/>
            <w:right w:w="108" w:type="dxa"/>
          </w:tblCellMar>
        </w:tblPrEx>
        <w:trPr>
          <w:cantSplit/>
        </w:trPr>
        <w:tc>
          <w:tcPr>
            <w:tcW w:w="2070" w:type="dxa"/>
            <w:gridSpan w:val="2"/>
            <w:noWrap/>
          </w:tcPr>
          <w:p w14:paraId="4AE79CDD" w14:textId="246A489F" w:rsidR="000538E3" w:rsidRPr="00AA0F7A" w:rsidRDefault="00D2134A" w:rsidP="000538E3">
            <w:pPr>
              <w:rPr>
                <w:sz w:val="16"/>
                <w:szCs w:val="16"/>
              </w:rPr>
            </w:pPr>
            <w:r>
              <w:rPr>
                <w:sz w:val="16"/>
                <w:szCs w:val="16"/>
              </w:rPr>
              <w:fldChar w:fldCharType="begin"/>
            </w:r>
            <w:r>
              <w:rPr>
                <w:sz w:val="16"/>
                <w:szCs w:val="16"/>
              </w:rPr>
              <w:instrText xml:space="preserve"> ADDIN EN.CITE &lt;EndNote&gt;&lt;Cite&gt;&lt;Author&gt;Okuyemi&lt;/Author&gt;&lt;Year&gt;2004&lt;/Year&gt;&lt;RecNum&gt;81&lt;/RecNum&gt;&lt;DisplayText&gt;(75)&lt;/DisplayText&gt;&lt;record&gt;&lt;rec-number&gt;81&lt;/rec-number&gt;&lt;foreign-keys&gt;&lt;key app="EN" db-id="a2vz2dfp8xrad6exes75zwpiw5rxwa0vwapv" timestamp="0"&gt;81&lt;/key&gt;&lt;/foreign-keys&gt;&lt;ref-type name="Journal Article"&gt;17&lt;/ref-type&gt;&lt;contributors&gt;&lt;authors&gt;&lt;author&gt;Okuyemi, K. S.&lt;/author&gt;&lt;author&gt;Ebersole-Robinson, M. &lt;/author&gt;&lt;author&gt;Nazir, N. &lt;/author&gt;&lt;author&gt;Ahluwalia, J. S.&lt;/author&gt;&lt;/authors&gt;&lt;/contributors&gt;&lt;titles&gt;&lt;title&gt;African-American menthol and nonmenthol smokers: Differences in smoking and cessation experiences&lt;/title&gt;&lt;secondary-title&gt;J Natl Med Assoc&lt;/secondary-title&gt;&lt;/titles&gt;&lt;pages&gt;1208-1211&lt;/pages&gt;&lt;volume&gt;96&lt;/volume&gt;&lt;number&gt;9&lt;/number&gt;&lt;section&gt;1208&lt;/section&gt;&lt;dates&gt;&lt;year&gt;2004&lt;/year&gt;&lt;/dates&gt;&lt;urls&gt;&lt;/urls&gt;&lt;research-notes&gt;#405&lt;/research-notes&gt;&lt;/record&gt;&lt;/Cite&gt;&lt;/EndNote&gt;</w:instrText>
            </w:r>
            <w:r>
              <w:rPr>
                <w:sz w:val="16"/>
                <w:szCs w:val="16"/>
              </w:rPr>
              <w:fldChar w:fldCharType="separate"/>
            </w:r>
            <w:r>
              <w:rPr>
                <w:noProof/>
                <w:sz w:val="16"/>
                <w:szCs w:val="16"/>
              </w:rPr>
              <w:t>(</w:t>
            </w:r>
            <w:hyperlink w:anchor="_ENREF_75" w:tooltip="Okuyemi, 2004 #81" w:history="1">
              <w:r w:rsidR="00A234A9">
                <w:rPr>
                  <w:noProof/>
                  <w:sz w:val="16"/>
                  <w:szCs w:val="16"/>
                </w:rPr>
                <w:t>75</w:t>
              </w:r>
            </w:hyperlink>
            <w:r>
              <w:rPr>
                <w:noProof/>
                <w:sz w:val="16"/>
                <w:szCs w:val="16"/>
              </w:rPr>
              <w:t>)</w:t>
            </w:r>
            <w:r>
              <w:rPr>
                <w:sz w:val="16"/>
                <w:szCs w:val="16"/>
              </w:rPr>
              <w:fldChar w:fldCharType="end"/>
            </w:r>
          </w:p>
          <w:p w14:paraId="3279B403" w14:textId="77777777" w:rsidR="000538E3" w:rsidRPr="00AA0F7A" w:rsidRDefault="000538E3" w:rsidP="000538E3">
            <w:pPr>
              <w:rPr>
                <w:sz w:val="16"/>
                <w:szCs w:val="16"/>
              </w:rPr>
            </w:pPr>
            <w:r w:rsidRPr="00AA0F7A">
              <w:rPr>
                <w:sz w:val="16"/>
                <w:szCs w:val="16"/>
              </w:rPr>
              <w:t>None</w:t>
            </w:r>
          </w:p>
          <w:p w14:paraId="01FB95E2" w14:textId="77777777" w:rsidR="000538E3" w:rsidRPr="00AA0F7A" w:rsidRDefault="000538E3" w:rsidP="000538E3">
            <w:pPr>
              <w:rPr>
                <w:sz w:val="16"/>
                <w:szCs w:val="16"/>
              </w:rPr>
            </w:pPr>
            <w:r w:rsidRPr="00AA0F7A">
              <w:rPr>
                <w:sz w:val="16"/>
                <w:szCs w:val="16"/>
              </w:rPr>
              <w:t>Good</w:t>
            </w:r>
          </w:p>
        </w:tc>
        <w:tc>
          <w:tcPr>
            <w:tcW w:w="1635" w:type="dxa"/>
            <w:noWrap/>
          </w:tcPr>
          <w:p w14:paraId="2BB1BAD2" w14:textId="77777777" w:rsidR="000538E3" w:rsidRPr="00AA0F7A" w:rsidRDefault="000538E3" w:rsidP="000538E3">
            <w:pPr>
              <w:rPr>
                <w:sz w:val="16"/>
                <w:szCs w:val="16"/>
              </w:rPr>
            </w:pPr>
            <w:r w:rsidRPr="00AA0F7A">
              <w:rPr>
                <w:sz w:val="16"/>
                <w:szCs w:val="16"/>
              </w:rPr>
              <w:t xml:space="preserve">Kansas; </w:t>
            </w:r>
          </w:p>
          <w:p w14:paraId="5C58DB36" w14:textId="77777777" w:rsidR="000538E3" w:rsidRPr="00AA0F7A" w:rsidRDefault="000538E3" w:rsidP="000538E3">
            <w:pPr>
              <w:rPr>
                <w:sz w:val="16"/>
                <w:szCs w:val="16"/>
              </w:rPr>
            </w:pPr>
            <w:r w:rsidRPr="00AA0F7A">
              <w:rPr>
                <w:sz w:val="16"/>
                <w:szCs w:val="16"/>
              </w:rPr>
              <w:t xml:space="preserve">Govt; </w:t>
            </w:r>
            <w:r w:rsidRPr="00AA0F7A">
              <w:rPr>
                <w:sz w:val="16"/>
                <w:szCs w:val="16"/>
              </w:rPr>
              <w:br/>
              <w:t>Cross-sectional</w:t>
            </w:r>
          </w:p>
        </w:tc>
        <w:tc>
          <w:tcPr>
            <w:tcW w:w="3443" w:type="dxa"/>
            <w:noWrap/>
          </w:tcPr>
          <w:p w14:paraId="57DE9E0D" w14:textId="77777777" w:rsidR="000538E3" w:rsidRPr="00AA0F7A" w:rsidRDefault="000538E3" w:rsidP="000538E3">
            <w:pPr>
              <w:rPr>
                <w:sz w:val="16"/>
                <w:szCs w:val="16"/>
              </w:rPr>
            </w:pPr>
            <w:r w:rsidRPr="00AA0F7A">
              <w:rPr>
                <w:sz w:val="16"/>
                <w:szCs w:val="16"/>
              </w:rPr>
              <w:t xml:space="preserve">Kick it at Swope trial (KIS), inner-city health center mostly serving a low-income </w:t>
            </w:r>
            <w:r>
              <w:rPr>
                <w:sz w:val="16"/>
                <w:szCs w:val="16"/>
              </w:rPr>
              <w:t>Black</w:t>
            </w:r>
            <w:r w:rsidRPr="00AA0F7A">
              <w:rPr>
                <w:sz w:val="16"/>
                <w:szCs w:val="16"/>
              </w:rPr>
              <w:t xml:space="preserve"> population. Patients were invited to participate in a study on smoking among inner-city residents, not associated with a cessation program; August 2000-November 2000.</w:t>
            </w:r>
          </w:p>
        </w:tc>
        <w:tc>
          <w:tcPr>
            <w:tcW w:w="4500" w:type="dxa"/>
            <w:noWrap/>
          </w:tcPr>
          <w:p w14:paraId="12624718" w14:textId="77777777" w:rsidR="000538E3" w:rsidRPr="00AA0F7A" w:rsidRDefault="000538E3" w:rsidP="000538E3">
            <w:pPr>
              <w:rPr>
                <w:sz w:val="16"/>
                <w:szCs w:val="16"/>
              </w:rPr>
            </w:pPr>
            <w:r>
              <w:rPr>
                <w:sz w:val="16"/>
                <w:szCs w:val="16"/>
              </w:rPr>
              <w:t>Adult current smokers (≥10 CPD</w:t>
            </w:r>
            <w:r w:rsidRPr="00AA0F7A">
              <w:rPr>
                <w:sz w:val="16"/>
                <w:szCs w:val="16"/>
              </w:rPr>
              <w:t xml:space="preserve">) age ≥18 who were </w:t>
            </w:r>
            <w:r>
              <w:rPr>
                <w:sz w:val="16"/>
                <w:szCs w:val="16"/>
              </w:rPr>
              <w:t>Black</w:t>
            </w:r>
            <w:r w:rsidRPr="00AA0F7A">
              <w:rPr>
                <w:sz w:val="16"/>
                <w:szCs w:val="16"/>
              </w:rPr>
              <w:t>, spoke English, had a home address with a working telephone, and were interested in quitting in the next 30 days.</w:t>
            </w:r>
          </w:p>
        </w:tc>
        <w:tc>
          <w:tcPr>
            <w:tcW w:w="1672" w:type="dxa"/>
            <w:noWrap/>
          </w:tcPr>
          <w:p w14:paraId="5F4E2C8C" w14:textId="77777777" w:rsidR="000538E3" w:rsidRPr="00AA0F7A" w:rsidRDefault="000538E3" w:rsidP="000538E3">
            <w:pPr>
              <w:rPr>
                <w:sz w:val="16"/>
                <w:szCs w:val="16"/>
              </w:rPr>
            </w:pPr>
            <w:r w:rsidRPr="00AA0F7A">
              <w:rPr>
                <w:sz w:val="16"/>
                <w:szCs w:val="16"/>
              </w:rPr>
              <w:t>Blacks</w:t>
            </w:r>
          </w:p>
        </w:tc>
      </w:tr>
      <w:tr w:rsidR="000538E3" w:rsidRPr="00AA0F7A" w14:paraId="065DC3CA" w14:textId="77777777" w:rsidTr="00B46744">
        <w:tblPrEx>
          <w:tblCellMar>
            <w:left w:w="108" w:type="dxa"/>
            <w:right w:w="108" w:type="dxa"/>
          </w:tblCellMar>
        </w:tblPrEx>
        <w:trPr>
          <w:cantSplit/>
        </w:trPr>
        <w:tc>
          <w:tcPr>
            <w:tcW w:w="2070" w:type="dxa"/>
            <w:gridSpan w:val="2"/>
            <w:noWrap/>
          </w:tcPr>
          <w:p w14:paraId="5DF68FF8" w14:textId="6A1C90F2" w:rsidR="000538E3" w:rsidRPr="00AA0F7A" w:rsidRDefault="00D2134A" w:rsidP="000538E3">
            <w:pPr>
              <w:rPr>
                <w:sz w:val="16"/>
                <w:szCs w:val="16"/>
              </w:rPr>
            </w:pPr>
            <w:r>
              <w:rPr>
                <w:sz w:val="16"/>
                <w:szCs w:val="16"/>
              </w:rPr>
              <w:fldChar w:fldCharType="begin">
                <w:fldData xml:space="preserve">PEVuZE5vdGU+PENpdGU+PEF1dGhvcj5PbmNrZW48L0F1dGhvcj48WWVhcj4yMDE1PC9ZZWFyPjxS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</w:fldData>
              </w:fldChar>
            </w:r>
            <w:r>
              <w:rPr>
                <w:sz w:val="16"/>
                <w:szCs w:val="16"/>
              </w:rPr>
              <w:instrText xml:space="preserve"> ADDIN EN.CITE </w:instrText>
            </w:r>
            <w:r>
              <w:rPr>
                <w:sz w:val="16"/>
                <w:szCs w:val="16"/>
              </w:rPr>
              <w:fldChar w:fldCharType="begin">
                <w:fldData xml:space="preserve">PEVuZE5vdGU+PENpdGU+PEF1dGhvcj5PbmNrZW48L0F1dGhvcj48WWVhcj4yMDE1PC9ZZWFyPjxS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</w:fldData>
              </w:fldChar>
            </w:r>
            <w:r>
              <w:rPr>
                <w:sz w:val="16"/>
                <w:szCs w:val="16"/>
              </w:rPr>
              <w:instrText xml:space="preserve"> ADDIN EN.CITE.DATA </w:instrText>
            </w:r>
            <w:r>
              <w:rPr>
                <w:sz w:val="16"/>
                <w:szCs w:val="16"/>
              </w:rPr>
            </w:r>
            <w:r>
              <w:rPr>
                <w:sz w:val="16"/>
                <w:szCs w:val="16"/>
              </w:rPr>
              <w:fldChar w:fldCharType="end"/>
            </w:r>
            <w:r>
              <w:rPr>
                <w:sz w:val="16"/>
                <w:szCs w:val="16"/>
              </w:rPr>
              <w:fldChar w:fldCharType="separate"/>
            </w:r>
            <w:r>
              <w:rPr>
                <w:noProof/>
                <w:sz w:val="16"/>
                <w:szCs w:val="16"/>
              </w:rPr>
              <w:t>(</w:t>
            </w:r>
            <w:hyperlink w:anchor="_ENREF_76" w:tooltip="Oncken, 2015 #6" w:history="1">
              <w:r w:rsidR="00A234A9">
                <w:rPr>
                  <w:noProof/>
                  <w:sz w:val="16"/>
                  <w:szCs w:val="16"/>
                </w:rPr>
                <w:t>76</w:t>
              </w:r>
            </w:hyperlink>
            <w:r>
              <w:rPr>
                <w:noProof/>
                <w:sz w:val="16"/>
                <w:szCs w:val="16"/>
              </w:rPr>
              <w:t>)</w:t>
            </w:r>
            <w:r>
              <w:rPr>
                <w:sz w:val="16"/>
                <w:szCs w:val="16"/>
              </w:rPr>
              <w:fldChar w:fldCharType="end"/>
            </w:r>
          </w:p>
          <w:p w14:paraId="56FE095D" w14:textId="77777777" w:rsidR="000538E3" w:rsidRPr="00AA0F7A" w:rsidRDefault="000538E3" w:rsidP="000538E3">
            <w:pPr>
              <w:rPr>
                <w:sz w:val="16"/>
                <w:szCs w:val="16"/>
              </w:rPr>
            </w:pPr>
            <w:r w:rsidRPr="00AA0F7A">
              <w:rPr>
                <w:sz w:val="16"/>
                <w:szCs w:val="16"/>
              </w:rPr>
              <w:t>None</w:t>
            </w:r>
          </w:p>
          <w:p w14:paraId="6ABA20AE" w14:textId="77777777" w:rsidR="000538E3" w:rsidRPr="00AA0F7A" w:rsidRDefault="000538E3" w:rsidP="000538E3">
            <w:pPr>
              <w:rPr>
                <w:sz w:val="16"/>
                <w:szCs w:val="16"/>
              </w:rPr>
            </w:pPr>
            <w:r w:rsidRPr="00AA0F7A">
              <w:rPr>
                <w:sz w:val="16"/>
                <w:szCs w:val="16"/>
              </w:rPr>
              <w:t>Fair</w:t>
            </w:r>
          </w:p>
        </w:tc>
        <w:tc>
          <w:tcPr>
            <w:tcW w:w="1635" w:type="dxa"/>
            <w:noWrap/>
          </w:tcPr>
          <w:p w14:paraId="0184A2A2" w14:textId="77777777" w:rsidR="000538E3" w:rsidRPr="00AA0F7A" w:rsidRDefault="000538E3" w:rsidP="000538E3">
            <w:pPr>
              <w:rPr>
                <w:sz w:val="16"/>
                <w:szCs w:val="16"/>
              </w:rPr>
            </w:pPr>
            <w:r w:rsidRPr="00AA0F7A">
              <w:rPr>
                <w:sz w:val="16"/>
                <w:szCs w:val="16"/>
              </w:rPr>
              <w:t>Connecticut and Massachusetts;</w:t>
            </w:r>
          </w:p>
          <w:p w14:paraId="585FD826" w14:textId="77777777" w:rsidR="000538E3" w:rsidRPr="00AA0F7A" w:rsidRDefault="000538E3" w:rsidP="000538E3">
            <w:pPr>
              <w:rPr>
                <w:sz w:val="16"/>
                <w:szCs w:val="16"/>
              </w:rPr>
            </w:pPr>
            <w:r w:rsidRPr="00AA0F7A">
              <w:rPr>
                <w:sz w:val="16"/>
                <w:szCs w:val="16"/>
              </w:rPr>
              <w:t>Academia &amp; Foundation;</w:t>
            </w:r>
          </w:p>
          <w:p w14:paraId="6FF40597" w14:textId="77777777" w:rsidR="000538E3" w:rsidRPr="00AA0F7A" w:rsidRDefault="000538E3" w:rsidP="000538E3">
            <w:pPr>
              <w:rPr>
                <w:sz w:val="16"/>
                <w:szCs w:val="16"/>
              </w:rPr>
            </w:pPr>
            <w:r w:rsidRPr="00AA0F7A">
              <w:rPr>
                <w:sz w:val="16"/>
                <w:szCs w:val="16"/>
              </w:rPr>
              <w:t>Cross-sectional</w:t>
            </w:r>
          </w:p>
        </w:tc>
        <w:tc>
          <w:tcPr>
            <w:tcW w:w="3443" w:type="dxa"/>
            <w:noWrap/>
          </w:tcPr>
          <w:p w14:paraId="7F876AB6" w14:textId="77777777" w:rsidR="000538E3" w:rsidRPr="00AA0F7A" w:rsidRDefault="000538E3" w:rsidP="000538E3">
            <w:pPr>
              <w:rPr>
                <w:sz w:val="16"/>
                <w:szCs w:val="16"/>
              </w:rPr>
            </w:pPr>
            <w:r w:rsidRPr="00AA0F7A">
              <w:rPr>
                <w:sz w:val="16"/>
                <w:szCs w:val="16"/>
              </w:rPr>
              <w:t>NR</w:t>
            </w:r>
          </w:p>
        </w:tc>
        <w:tc>
          <w:tcPr>
            <w:tcW w:w="4500" w:type="dxa"/>
            <w:noWrap/>
          </w:tcPr>
          <w:p w14:paraId="0915C7E0" w14:textId="77777777" w:rsidR="000538E3" w:rsidRPr="00AA0F7A" w:rsidRDefault="000538E3" w:rsidP="000538E3">
            <w:pPr>
              <w:rPr>
                <w:sz w:val="16"/>
                <w:szCs w:val="16"/>
              </w:rPr>
            </w:pPr>
            <w:r w:rsidRPr="00AA0F7A">
              <w:rPr>
                <w:sz w:val="16"/>
                <w:szCs w:val="16"/>
              </w:rPr>
              <w:t>Pregnant smokers age ≥16 participating in 1) a clinical trial of nicotine gum for smoking cessation or 2) a study of the relationship among maternal genetics, cig smoking, and birth weight.</w:t>
            </w:r>
          </w:p>
        </w:tc>
        <w:tc>
          <w:tcPr>
            <w:tcW w:w="1672" w:type="dxa"/>
            <w:noWrap/>
          </w:tcPr>
          <w:p w14:paraId="23A18450" w14:textId="77777777" w:rsidR="000538E3" w:rsidRPr="00AA0F7A" w:rsidRDefault="000538E3" w:rsidP="000538E3">
            <w:pPr>
              <w:rPr>
                <w:sz w:val="16"/>
                <w:szCs w:val="16"/>
              </w:rPr>
            </w:pPr>
            <w:r w:rsidRPr="00AA0F7A">
              <w:rPr>
                <w:sz w:val="16"/>
                <w:szCs w:val="16"/>
              </w:rPr>
              <w:t xml:space="preserve">Pregnant (Hispanic or non-Hispanic) </w:t>
            </w:r>
            <w:r>
              <w:rPr>
                <w:sz w:val="16"/>
                <w:szCs w:val="16"/>
              </w:rPr>
              <w:t>White</w:t>
            </w:r>
            <w:r w:rsidRPr="00AA0F7A">
              <w:rPr>
                <w:sz w:val="16"/>
                <w:szCs w:val="16"/>
              </w:rPr>
              <w:t xml:space="preserve"> women age ≥16</w:t>
            </w:r>
          </w:p>
        </w:tc>
      </w:tr>
      <w:tr w:rsidR="000538E3" w:rsidRPr="00AA0F7A" w14:paraId="0ECEC101" w14:textId="77777777" w:rsidTr="00B46744">
        <w:tblPrEx>
          <w:tblCellMar>
            <w:left w:w="108" w:type="dxa"/>
            <w:right w:w="108" w:type="dxa"/>
          </w:tblCellMar>
        </w:tblPrEx>
        <w:trPr>
          <w:cantSplit/>
        </w:trPr>
        <w:tc>
          <w:tcPr>
            <w:tcW w:w="2070" w:type="dxa"/>
            <w:gridSpan w:val="2"/>
            <w:noWrap/>
          </w:tcPr>
          <w:p w14:paraId="562CBDE0" w14:textId="1AA1B307" w:rsidR="000538E3" w:rsidRPr="00AA0F7A" w:rsidRDefault="00D2134A" w:rsidP="000538E3">
            <w:pPr>
              <w:rPr>
                <w:sz w:val="16"/>
                <w:szCs w:val="16"/>
              </w:rPr>
            </w:pPr>
            <w:r>
              <w:rPr>
                <w:sz w:val="16"/>
                <w:szCs w:val="16"/>
              </w:rPr>
              <w:fldChar w:fldCharType="begin">
                <w:fldData xml:space="preserve">PEVuZE5vdGU+PENpdGU+PEF1dGhvcj5QYXJrPC9BdXRob3I+PFllYXI+MjAxNTwvWWVhcj48UmVj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</w:fldData>
              </w:fldChar>
            </w:r>
            <w:r>
              <w:rPr>
                <w:sz w:val="16"/>
                <w:szCs w:val="16"/>
              </w:rPr>
              <w:instrText xml:space="preserve"> ADDIN EN.CITE </w:instrText>
            </w:r>
            <w:r>
              <w:rPr>
                <w:sz w:val="16"/>
                <w:szCs w:val="16"/>
              </w:rPr>
              <w:fldChar w:fldCharType="begin">
                <w:fldData xml:space="preserve">PEVuZE5vdGU+PENpdGU+PEF1dGhvcj5QYXJrPC9BdXRob3I+PFllYXI+MjAxNTwvWWVhcj48UmVj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</w:fldData>
              </w:fldChar>
            </w:r>
            <w:r>
              <w:rPr>
                <w:sz w:val="16"/>
                <w:szCs w:val="16"/>
              </w:rPr>
              <w:instrText xml:space="preserve"> ADDIN EN.CITE.DATA </w:instrText>
            </w:r>
            <w:r>
              <w:rPr>
                <w:sz w:val="16"/>
                <w:szCs w:val="16"/>
              </w:rPr>
            </w:r>
            <w:r>
              <w:rPr>
                <w:sz w:val="16"/>
                <w:szCs w:val="16"/>
              </w:rPr>
              <w:fldChar w:fldCharType="end"/>
            </w:r>
            <w:r>
              <w:rPr>
                <w:sz w:val="16"/>
                <w:szCs w:val="16"/>
              </w:rPr>
              <w:fldChar w:fldCharType="separate"/>
            </w:r>
            <w:r>
              <w:rPr>
                <w:noProof/>
                <w:sz w:val="16"/>
                <w:szCs w:val="16"/>
              </w:rPr>
              <w:t>(</w:t>
            </w:r>
            <w:hyperlink w:anchor="_ENREF_77" w:tooltip="Park, 2015 #9" w:history="1">
              <w:r w:rsidR="00A234A9">
                <w:rPr>
                  <w:noProof/>
                  <w:sz w:val="16"/>
                  <w:szCs w:val="16"/>
                </w:rPr>
                <w:t>77</w:t>
              </w:r>
            </w:hyperlink>
            <w:r>
              <w:rPr>
                <w:noProof/>
                <w:sz w:val="16"/>
                <w:szCs w:val="16"/>
              </w:rPr>
              <w:t>)</w:t>
            </w:r>
            <w:r>
              <w:rPr>
                <w:sz w:val="16"/>
                <w:szCs w:val="16"/>
              </w:rPr>
              <w:fldChar w:fldCharType="end"/>
            </w:r>
          </w:p>
          <w:p w14:paraId="0D7D1BA3" w14:textId="77777777" w:rsidR="000538E3" w:rsidRPr="00AA0F7A" w:rsidRDefault="000538E3" w:rsidP="000538E3">
            <w:pPr>
              <w:rPr>
                <w:sz w:val="16"/>
                <w:szCs w:val="16"/>
              </w:rPr>
            </w:pPr>
            <w:r w:rsidRPr="00AA0F7A">
              <w:rPr>
                <w:sz w:val="16"/>
                <w:szCs w:val="16"/>
              </w:rPr>
              <w:t>None</w:t>
            </w:r>
          </w:p>
          <w:p w14:paraId="1399E6DA" w14:textId="77777777" w:rsidR="000538E3" w:rsidRPr="00AA0F7A" w:rsidRDefault="000538E3" w:rsidP="000538E3">
            <w:pPr>
              <w:rPr>
                <w:sz w:val="16"/>
                <w:szCs w:val="16"/>
              </w:rPr>
            </w:pPr>
            <w:r w:rsidRPr="00AA0F7A">
              <w:rPr>
                <w:sz w:val="16"/>
                <w:szCs w:val="16"/>
              </w:rPr>
              <w:t>Fair</w:t>
            </w:r>
          </w:p>
        </w:tc>
        <w:tc>
          <w:tcPr>
            <w:tcW w:w="1635" w:type="dxa"/>
            <w:noWrap/>
          </w:tcPr>
          <w:p w14:paraId="1239FA3C" w14:textId="77777777" w:rsidR="000538E3" w:rsidRPr="00AA0F7A" w:rsidRDefault="000538E3" w:rsidP="000538E3">
            <w:pPr>
              <w:rPr>
                <w:sz w:val="16"/>
                <w:szCs w:val="16"/>
              </w:rPr>
            </w:pPr>
            <w:r w:rsidRPr="00AA0F7A">
              <w:rPr>
                <w:sz w:val="16"/>
                <w:szCs w:val="16"/>
              </w:rPr>
              <w:t>21 centers in the U.S.;</w:t>
            </w:r>
          </w:p>
          <w:p w14:paraId="55419CBF" w14:textId="77777777" w:rsidR="000538E3" w:rsidRPr="00AA0F7A" w:rsidRDefault="000538E3" w:rsidP="000538E3">
            <w:pPr>
              <w:rPr>
                <w:sz w:val="16"/>
                <w:szCs w:val="16"/>
              </w:rPr>
            </w:pPr>
            <w:r w:rsidRPr="00AA0F7A">
              <w:rPr>
                <w:sz w:val="16"/>
                <w:szCs w:val="16"/>
              </w:rPr>
              <w:t>Academia;</w:t>
            </w:r>
          </w:p>
          <w:p w14:paraId="51273A21" w14:textId="77777777" w:rsidR="000538E3" w:rsidRPr="00AA0F7A" w:rsidRDefault="000538E3" w:rsidP="000538E3">
            <w:pPr>
              <w:rPr>
                <w:sz w:val="16"/>
                <w:szCs w:val="16"/>
              </w:rPr>
            </w:pPr>
            <w:r w:rsidRPr="00AA0F7A">
              <w:rPr>
                <w:sz w:val="16"/>
                <w:szCs w:val="16"/>
              </w:rPr>
              <w:t>Cross-sectional (data from a prospective cohort study)</w:t>
            </w:r>
          </w:p>
        </w:tc>
        <w:tc>
          <w:tcPr>
            <w:tcW w:w="3443" w:type="dxa"/>
            <w:noWrap/>
          </w:tcPr>
          <w:p w14:paraId="68EDEFA8" w14:textId="77777777" w:rsidR="000538E3" w:rsidRPr="00AA0F7A" w:rsidRDefault="000538E3" w:rsidP="000538E3">
            <w:pPr>
              <w:rPr>
                <w:sz w:val="16"/>
                <w:szCs w:val="16"/>
              </w:rPr>
            </w:pPr>
            <w:r w:rsidRPr="00AA0F7A">
              <w:rPr>
                <w:sz w:val="16"/>
                <w:szCs w:val="16"/>
              </w:rPr>
              <w:t>COPDGene™ study, recruited from 21 clinical study centers; NR</w:t>
            </w:r>
          </w:p>
        </w:tc>
        <w:tc>
          <w:tcPr>
            <w:tcW w:w="4500" w:type="dxa"/>
            <w:noWrap/>
          </w:tcPr>
          <w:p w14:paraId="0B1000E9" w14:textId="77777777" w:rsidR="000538E3" w:rsidRPr="00AA0F7A" w:rsidRDefault="000538E3" w:rsidP="000538E3">
            <w:pPr>
              <w:rPr>
                <w:sz w:val="16"/>
                <w:szCs w:val="16"/>
              </w:rPr>
            </w:pPr>
            <w:r w:rsidRPr="00AA0F7A">
              <w:rPr>
                <w:sz w:val="16"/>
                <w:szCs w:val="16"/>
              </w:rPr>
              <w:t xml:space="preserve">Non-Hispanic </w:t>
            </w:r>
            <w:r>
              <w:rPr>
                <w:sz w:val="16"/>
                <w:szCs w:val="16"/>
              </w:rPr>
              <w:t>White</w:t>
            </w:r>
            <w:r w:rsidRPr="00AA0F7A">
              <w:rPr>
                <w:sz w:val="16"/>
                <w:szCs w:val="16"/>
              </w:rPr>
              <w:t xml:space="preserve"> or </w:t>
            </w:r>
            <w:r>
              <w:rPr>
                <w:sz w:val="16"/>
                <w:szCs w:val="16"/>
              </w:rPr>
              <w:t>Black</w:t>
            </w:r>
            <w:r w:rsidRPr="00AA0F7A">
              <w:rPr>
                <w:sz w:val="16"/>
                <w:szCs w:val="16"/>
              </w:rPr>
              <w:t xml:space="preserve"> adults age 45-80 with ≥10 pack-year history of cig smoking.</w:t>
            </w:r>
          </w:p>
        </w:tc>
        <w:tc>
          <w:tcPr>
            <w:tcW w:w="1672" w:type="dxa"/>
            <w:noWrap/>
          </w:tcPr>
          <w:p w14:paraId="7FFFAE4D" w14:textId="77777777" w:rsidR="000538E3" w:rsidRPr="00AA0F7A" w:rsidRDefault="000538E3" w:rsidP="000538E3">
            <w:pPr>
              <w:rPr>
                <w:sz w:val="16"/>
                <w:szCs w:val="16"/>
              </w:rPr>
            </w:pPr>
            <w:r w:rsidRPr="00AA0F7A">
              <w:rPr>
                <w:sz w:val="16"/>
                <w:szCs w:val="16"/>
              </w:rPr>
              <w:t>Age 45-80</w:t>
            </w:r>
          </w:p>
        </w:tc>
      </w:tr>
      <w:tr w:rsidR="000538E3" w:rsidRPr="00AA0F7A" w14:paraId="4F077779" w14:textId="77777777" w:rsidTr="00B46744">
        <w:tblPrEx>
          <w:tblCellMar>
            <w:left w:w="108" w:type="dxa"/>
            <w:right w:w="108" w:type="dxa"/>
          </w:tblCellMar>
        </w:tblPrEx>
        <w:trPr>
          <w:cantSplit/>
        </w:trPr>
        <w:tc>
          <w:tcPr>
            <w:tcW w:w="2070" w:type="dxa"/>
            <w:gridSpan w:val="2"/>
            <w:noWrap/>
          </w:tcPr>
          <w:p w14:paraId="2CCEEEC0" w14:textId="1DA65B39" w:rsidR="000538E3" w:rsidRDefault="00D2134A" w:rsidP="000538E3">
            <w:pPr>
              <w:rPr>
                <w:sz w:val="16"/>
                <w:szCs w:val="16"/>
              </w:rPr>
            </w:pPr>
            <w:r>
              <w:rPr>
                <w:sz w:val="16"/>
                <w:szCs w:val="16"/>
              </w:rPr>
              <w:fldChar w:fldCharType="begin"/>
            </w:r>
            <w:r>
              <w:rPr>
                <w:sz w:val="16"/>
                <w:szCs w:val="16"/>
              </w:rPr>
              <w:instrText xml:space="preserve"> ADDIN EN.CITE &lt;EndNote&gt;&lt;Cite&gt;&lt;Author&gt;Pletcher&lt;/Author&gt;&lt;Year&gt;2006&lt;/Year&gt;&lt;RecNum&gt;78&lt;/RecNum&gt;&lt;DisplayText&gt;(78)&lt;/DisplayText&gt;&lt;record&gt;&lt;rec-number&gt;78&lt;/rec-number&gt;&lt;foreign-keys&gt;&lt;key app="EN" db-id="a2vz2dfp8xrad6exes75zwpiw5rxwa0vwapv" timestamp="0"&gt;78&lt;/key&gt;&lt;/foreign-keys&gt;&lt;ref-type name="Journal Article"&gt;17&lt;/ref-type&gt;&lt;contributors&gt;&lt;authors&gt;&lt;author&gt;Pletcher, M. J. &lt;/author&gt;&lt;author&gt;Hulley, B. J.&lt;/author&gt;&lt;author&gt;Houston, T.&lt;/author&gt;&lt;author&gt;Kiefe, C. I.&lt;/author&gt;&lt;author&gt;Benowitz, N. &lt;/author&gt;&lt;author&gt;Sidney, S.&lt;/author&gt;&lt;/authors&gt;&lt;/contributors&gt;&lt;titles&gt;&lt;title&gt;Menthol cigarettes, smoking cessation, atherosclerosis, and pulmonary function&lt;/title&gt;&lt;secondary-title&gt;Arch Intern Med&lt;/secondary-title&gt;&lt;/titles&gt;&lt;pages&gt;1915-1922&lt;/pages&gt;&lt;volume&gt;166&lt;/volume&gt;&lt;section&gt;1915&lt;/section&gt;&lt;dates&gt;&lt;year&gt;2006&lt;/year&gt;&lt;/dates&gt;&lt;urls&gt;&lt;/urls&gt;&lt;research-notes&gt;#385&lt;/research-notes&gt;&lt;/record&gt;&lt;/Cite&gt;&lt;/EndNote&gt;</w:instrText>
            </w:r>
            <w:r>
              <w:rPr>
                <w:sz w:val="16"/>
                <w:szCs w:val="16"/>
              </w:rPr>
              <w:fldChar w:fldCharType="separate"/>
            </w:r>
            <w:r>
              <w:rPr>
                <w:noProof/>
                <w:sz w:val="16"/>
                <w:szCs w:val="16"/>
              </w:rPr>
              <w:t>(</w:t>
            </w:r>
            <w:hyperlink w:anchor="_ENREF_78" w:tooltip="Pletcher, 2006 #78" w:history="1">
              <w:r w:rsidR="00A234A9">
                <w:rPr>
                  <w:noProof/>
                  <w:sz w:val="16"/>
                  <w:szCs w:val="16"/>
                </w:rPr>
                <w:t>78</w:t>
              </w:r>
            </w:hyperlink>
            <w:r>
              <w:rPr>
                <w:noProof/>
                <w:sz w:val="16"/>
                <w:szCs w:val="16"/>
              </w:rPr>
              <w:t>)</w:t>
            </w:r>
            <w:r>
              <w:rPr>
                <w:sz w:val="16"/>
                <w:szCs w:val="16"/>
              </w:rPr>
              <w:fldChar w:fldCharType="end"/>
            </w:r>
          </w:p>
          <w:p w14:paraId="19A9F5BF" w14:textId="77777777" w:rsidR="000538E3" w:rsidRPr="00AA0F7A" w:rsidRDefault="000538E3" w:rsidP="000538E3">
            <w:pPr>
              <w:rPr>
                <w:sz w:val="16"/>
                <w:szCs w:val="16"/>
              </w:rPr>
            </w:pPr>
            <w:r w:rsidRPr="00AA0F7A">
              <w:rPr>
                <w:sz w:val="16"/>
                <w:szCs w:val="16"/>
              </w:rPr>
              <w:t>None</w:t>
            </w:r>
            <w:r w:rsidRPr="00AA0F7A">
              <w:rPr>
                <w:sz w:val="16"/>
                <w:szCs w:val="16"/>
              </w:rPr>
              <w:br/>
              <w:t>Good</w:t>
            </w:r>
          </w:p>
        </w:tc>
        <w:tc>
          <w:tcPr>
            <w:tcW w:w="1635" w:type="dxa"/>
            <w:noWrap/>
          </w:tcPr>
          <w:p w14:paraId="28456A7E" w14:textId="77777777" w:rsidR="000538E3" w:rsidRPr="00AA0F7A" w:rsidRDefault="000538E3" w:rsidP="000538E3">
            <w:pPr>
              <w:rPr>
                <w:sz w:val="16"/>
                <w:szCs w:val="16"/>
              </w:rPr>
            </w:pPr>
            <w:r w:rsidRPr="00AA0F7A">
              <w:rPr>
                <w:sz w:val="16"/>
                <w:szCs w:val="16"/>
              </w:rPr>
              <w:t xml:space="preserve">A major city in each of: Alabama, Illinois, Minnesota, California; </w:t>
            </w:r>
          </w:p>
          <w:p w14:paraId="0A132FE7" w14:textId="77777777" w:rsidR="000538E3" w:rsidRPr="00AA0F7A" w:rsidRDefault="000538E3" w:rsidP="000538E3">
            <w:pPr>
              <w:rPr>
                <w:sz w:val="16"/>
                <w:szCs w:val="16"/>
              </w:rPr>
            </w:pPr>
            <w:r w:rsidRPr="00AA0F7A">
              <w:rPr>
                <w:sz w:val="16"/>
                <w:szCs w:val="16"/>
              </w:rPr>
              <w:t xml:space="preserve">Govt; </w:t>
            </w:r>
          </w:p>
          <w:p w14:paraId="1D217960" w14:textId="77777777" w:rsidR="000538E3" w:rsidRPr="00AA0F7A" w:rsidRDefault="000538E3" w:rsidP="000538E3">
            <w:pPr>
              <w:rPr>
                <w:sz w:val="16"/>
                <w:szCs w:val="16"/>
              </w:rPr>
            </w:pPr>
            <w:r w:rsidRPr="00AA0F7A">
              <w:rPr>
                <w:sz w:val="16"/>
                <w:szCs w:val="16"/>
              </w:rPr>
              <w:t>Prospective cohort</w:t>
            </w:r>
          </w:p>
        </w:tc>
        <w:tc>
          <w:tcPr>
            <w:tcW w:w="3443" w:type="dxa"/>
            <w:noWrap/>
          </w:tcPr>
          <w:p w14:paraId="283A2427" w14:textId="77777777" w:rsidR="000538E3" w:rsidRPr="00AA0F7A" w:rsidRDefault="000538E3" w:rsidP="000538E3">
            <w:pPr>
              <w:rPr>
                <w:sz w:val="16"/>
                <w:szCs w:val="16"/>
              </w:rPr>
            </w:pPr>
            <w:r w:rsidRPr="00AA0F7A">
              <w:rPr>
                <w:sz w:val="16"/>
                <w:szCs w:val="16"/>
              </w:rPr>
              <w:t xml:space="preserve">Coronary Artery Risk Development in Young Adults Study (CARDIA), </w:t>
            </w:r>
            <w:r w:rsidRPr="00AA0F7A">
              <w:rPr>
                <w:color w:val="000000"/>
                <w:sz w:val="16"/>
                <w:szCs w:val="16"/>
              </w:rPr>
              <w:t>population-based observational study of men and women age 18-30 at baseline with follow-up data through year 19. Selected for equal representation in subgroups of race, gender, education, and age, recruited across four U.S. study sites</w:t>
            </w:r>
            <w:r w:rsidRPr="00AA0F7A">
              <w:rPr>
                <w:sz w:val="16"/>
                <w:szCs w:val="16"/>
              </w:rPr>
              <w:t>; 1985-2000</w:t>
            </w:r>
          </w:p>
        </w:tc>
        <w:tc>
          <w:tcPr>
            <w:tcW w:w="4500" w:type="dxa"/>
            <w:noWrap/>
          </w:tcPr>
          <w:p w14:paraId="5989C28F" w14:textId="77777777" w:rsidR="000538E3" w:rsidRPr="00AA0F7A" w:rsidRDefault="000538E3" w:rsidP="000538E3">
            <w:pPr>
              <w:rPr>
                <w:sz w:val="16"/>
                <w:szCs w:val="16"/>
              </w:rPr>
            </w:pPr>
            <w:r w:rsidRPr="00AA0F7A">
              <w:rPr>
                <w:sz w:val="16"/>
                <w:szCs w:val="16"/>
              </w:rPr>
              <w:t xml:space="preserve">Young adult (18-30 years) </w:t>
            </w:r>
            <w:r>
              <w:rPr>
                <w:sz w:val="16"/>
                <w:szCs w:val="16"/>
              </w:rPr>
              <w:t>Black</w:t>
            </w:r>
            <w:r w:rsidRPr="00AA0F7A">
              <w:rPr>
                <w:sz w:val="16"/>
                <w:szCs w:val="16"/>
              </w:rPr>
              <w:t xml:space="preserve"> or European-American current smokers. </w:t>
            </w:r>
          </w:p>
        </w:tc>
        <w:tc>
          <w:tcPr>
            <w:tcW w:w="1672" w:type="dxa"/>
            <w:noWrap/>
          </w:tcPr>
          <w:p w14:paraId="14F9D25A" w14:textId="77777777" w:rsidR="000538E3" w:rsidRPr="00AA0F7A" w:rsidRDefault="000538E3" w:rsidP="000538E3">
            <w:pPr>
              <w:rPr>
                <w:sz w:val="16"/>
                <w:szCs w:val="16"/>
              </w:rPr>
            </w:pPr>
            <w:r w:rsidRPr="00AA0F7A">
              <w:rPr>
                <w:sz w:val="16"/>
                <w:szCs w:val="16"/>
              </w:rPr>
              <w:t>Young adults age 18-30 at baseline</w:t>
            </w:r>
          </w:p>
        </w:tc>
      </w:tr>
      <w:tr w:rsidR="000538E3" w:rsidRPr="00AA0F7A" w14:paraId="2C3BF3FE" w14:textId="77777777" w:rsidTr="00B46744">
        <w:tblPrEx>
          <w:tblCellMar>
            <w:left w:w="108" w:type="dxa"/>
            <w:right w:w="108" w:type="dxa"/>
          </w:tblCellMar>
        </w:tblPrEx>
        <w:trPr>
          <w:cantSplit/>
        </w:trPr>
        <w:tc>
          <w:tcPr>
            <w:tcW w:w="2070" w:type="dxa"/>
            <w:gridSpan w:val="2"/>
            <w:noWrap/>
          </w:tcPr>
          <w:p w14:paraId="6C7F404F" w14:textId="7F26B90F" w:rsidR="000538E3" w:rsidRPr="00AA0F7A" w:rsidRDefault="00D2134A" w:rsidP="000538E3">
            <w:pPr>
              <w:rPr>
                <w:sz w:val="16"/>
                <w:szCs w:val="16"/>
              </w:rPr>
            </w:pPr>
            <w:r>
              <w:rPr>
                <w:sz w:val="16"/>
                <w:szCs w:val="16"/>
              </w:rPr>
              <w:lastRenderedPageBreak/>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Pr>
                <w:sz w:val="16"/>
                <w:szCs w:val="16"/>
              </w:rPr>
              <w:instrText xml:space="preserve"> ADDIN EN.CITE </w:instrText>
            </w:r>
            <w:r>
              <w:rPr>
                <w:sz w:val="16"/>
                <w:szCs w:val="16"/>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Pr>
                <w:sz w:val="16"/>
                <w:szCs w:val="16"/>
              </w:rPr>
              <w:instrText xml:space="preserve"> ADDIN EN.CITE.DATA </w:instrText>
            </w:r>
            <w:r>
              <w:rPr>
                <w:sz w:val="16"/>
                <w:szCs w:val="16"/>
              </w:rPr>
            </w:r>
            <w:r>
              <w:rPr>
                <w:sz w:val="16"/>
                <w:szCs w:val="16"/>
              </w:rPr>
              <w:fldChar w:fldCharType="end"/>
            </w:r>
            <w:r>
              <w:rPr>
                <w:sz w:val="16"/>
                <w:szCs w:val="16"/>
              </w:rPr>
              <w:fldChar w:fldCharType="separate"/>
            </w:r>
            <w:r>
              <w:rPr>
                <w:noProof/>
                <w:sz w:val="16"/>
                <w:szCs w:val="16"/>
              </w:rPr>
              <w:t>(</w:t>
            </w:r>
            <w:hyperlink w:anchor="_ENREF_79" w:tooltip="Rath, 2015 #3" w:history="1">
              <w:r w:rsidR="00A234A9">
                <w:rPr>
                  <w:noProof/>
                  <w:sz w:val="16"/>
                  <w:szCs w:val="16"/>
                </w:rPr>
                <w:t>79</w:t>
              </w:r>
            </w:hyperlink>
            <w:r>
              <w:rPr>
                <w:noProof/>
                <w:sz w:val="16"/>
                <w:szCs w:val="16"/>
              </w:rPr>
              <w:t>)</w:t>
            </w:r>
            <w:r>
              <w:rPr>
                <w:sz w:val="16"/>
                <w:szCs w:val="16"/>
              </w:rPr>
              <w:fldChar w:fldCharType="end"/>
            </w:r>
          </w:p>
          <w:p w14:paraId="68D3115B" w14:textId="77777777" w:rsidR="000538E3" w:rsidRPr="00AA0F7A" w:rsidRDefault="000538E3" w:rsidP="000538E3">
            <w:pPr>
              <w:rPr>
                <w:sz w:val="16"/>
                <w:szCs w:val="16"/>
              </w:rPr>
            </w:pPr>
            <w:r w:rsidRPr="00AA0F7A">
              <w:rPr>
                <w:sz w:val="16"/>
                <w:szCs w:val="16"/>
              </w:rPr>
              <w:t>LYAC</w:t>
            </w:r>
          </w:p>
          <w:p w14:paraId="044DB73D" w14:textId="77777777" w:rsidR="000538E3" w:rsidRPr="00AA0F7A" w:rsidRDefault="000538E3" w:rsidP="000538E3">
            <w:pPr>
              <w:rPr>
                <w:sz w:val="16"/>
                <w:szCs w:val="16"/>
              </w:rPr>
            </w:pPr>
            <w:r w:rsidRPr="00AA0F7A">
              <w:rPr>
                <w:sz w:val="16"/>
                <w:szCs w:val="16"/>
              </w:rPr>
              <w:t>Fair</w:t>
            </w:r>
          </w:p>
        </w:tc>
        <w:tc>
          <w:tcPr>
            <w:tcW w:w="1635" w:type="dxa"/>
            <w:noWrap/>
          </w:tcPr>
          <w:p w14:paraId="347B5735" w14:textId="77777777" w:rsidR="000538E3" w:rsidRPr="00AA0F7A" w:rsidRDefault="000538E3" w:rsidP="000538E3">
            <w:pPr>
              <w:rPr>
                <w:sz w:val="16"/>
                <w:szCs w:val="16"/>
              </w:rPr>
            </w:pPr>
            <w:r w:rsidRPr="00AA0F7A">
              <w:rPr>
                <w:sz w:val="16"/>
                <w:szCs w:val="16"/>
              </w:rPr>
              <w:t>National;</w:t>
            </w:r>
          </w:p>
          <w:p w14:paraId="7ACD60FF" w14:textId="77777777" w:rsidR="000538E3" w:rsidRPr="00AA0F7A" w:rsidRDefault="000538E3" w:rsidP="000538E3">
            <w:pPr>
              <w:rPr>
                <w:sz w:val="16"/>
                <w:szCs w:val="16"/>
              </w:rPr>
            </w:pPr>
            <w:r w:rsidRPr="00AA0F7A">
              <w:rPr>
                <w:sz w:val="16"/>
                <w:szCs w:val="16"/>
              </w:rPr>
              <w:t>Govt;</w:t>
            </w:r>
          </w:p>
          <w:p w14:paraId="340F0130" w14:textId="77777777" w:rsidR="000538E3" w:rsidRPr="00AA0F7A" w:rsidRDefault="000538E3" w:rsidP="000538E3">
            <w:pPr>
              <w:rPr>
                <w:sz w:val="16"/>
                <w:szCs w:val="16"/>
              </w:rPr>
            </w:pPr>
            <w:r w:rsidRPr="00AA0F7A">
              <w:rPr>
                <w:sz w:val="16"/>
                <w:szCs w:val="16"/>
              </w:rPr>
              <w:t>Prospective cohort</w:t>
            </w:r>
          </w:p>
        </w:tc>
        <w:tc>
          <w:tcPr>
            <w:tcW w:w="3443" w:type="dxa"/>
            <w:noWrap/>
          </w:tcPr>
          <w:p w14:paraId="3EAD4D4E" w14:textId="77777777" w:rsidR="000538E3" w:rsidRPr="00AA0F7A" w:rsidRDefault="000538E3" w:rsidP="000538E3">
            <w:pPr>
              <w:rPr>
                <w:sz w:val="16"/>
                <w:szCs w:val="16"/>
              </w:rPr>
            </w:pPr>
            <w:r w:rsidRPr="00AA0F7A">
              <w:rPr>
                <w:sz w:val="16"/>
                <w:szCs w:val="16"/>
              </w:rPr>
              <w:t>LYAC; 2011-2012</w:t>
            </w:r>
          </w:p>
        </w:tc>
        <w:tc>
          <w:tcPr>
            <w:tcW w:w="4500" w:type="dxa"/>
            <w:noWrap/>
          </w:tcPr>
          <w:p w14:paraId="197B6C06" w14:textId="77777777" w:rsidR="000538E3" w:rsidRPr="00AA0F7A" w:rsidRDefault="000538E3" w:rsidP="000538E3">
            <w:pPr>
              <w:rPr>
                <w:sz w:val="16"/>
                <w:szCs w:val="16"/>
              </w:rPr>
            </w:pPr>
            <w:r w:rsidRPr="00AA0F7A">
              <w:rPr>
                <w:sz w:val="16"/>
                <w:szCs w:val="16"/>
              </w:rPr>
              <w:t>Adults age 18-34 who completed the first 3 surveys and either remained current smokers across all 3 time points or initiated cig smoking at Time 2 and remained cig smokers at Time 3. Current smokers used ≥1cigs in the past 30 days.</w:t>
            </w:r>
          </w:p>
        </w:tc>
        <w:tc>
          <w:tcPr>
            <w:tcW w:w="1672" w:type="dxa"/>
            <w:noWrap/>
          </w:tcPr>
          <w:p w14:paraId="2EEBEEFC" w14:textId="77777777" w:rsidR="000538E3" w:rsidRPr="00AA0F7A" w:rsidRDefault="000538E3" w:rsidP="000538E3">
            <w:pPr>
              <w:rPr>
                <w:sz w:val="16"/>
                <w:szCs w:val="16"/>
              </w:rPr>
            </w:pPr>
            <w:r w:rsidRPr="00AA0F7A">
              <w:rPr>
                <w:sz w:val="16"/>
                <w:szCs w:val="16"/>
              </w:rPr>
              <w:t>Young adults</w:t>
            </w:r>
          </w:p>
        </w:tc>
      </w:tr>
      <w:tr w:rsidR="000538E3" w:rsidRPr="00AA0F7A" w14:paraId="2D0C613D" w14:textId="77777777" w:rsidTr="00B46744">
        <w:tblPrEx>
          <w:tblCellMar>
            <w:left w:w="108" w:type="dxa"/>
            <w:right w:w="108" w:type="dxa"/>
          </w:tblCellMar>
        </w:tblPrEx>
        <w:trPr>
          <w:cantSplit/>
        </w:trPr>
        <w:tc>
          <w:tcPr>
            <w:tcW w:w="2070" w:type="dxa"/>
            <w:gridSpan w:val="2"/>
            <w:noWrap/>
          </w:tcPr>
          <w:p w14:paraId="130C24D4" w14:textId="50938729" w:rsidR="000538E3" w:rsidRPr="000A68F0" w:rsidRDefault="00D2134A" w:rsidP="000538E3">
            <w:pPr>
              <w:rPr>
                <w:noProof/>
                <w:sz w:val="16"/>
                <w:szCs w:val="16"/>
              </w:rPr>
            </w:pPr>
            <w:r>
              <w:rPr>
                <w:noProof/>
                <w:sz w:val="16"/>
                <w:szCs w:val="16"/>
              </w:rPr>
              <w:fldChar w:fldCharType="begin"/>
            </w:r>
            <w:r>
              <w:rPr>
                <w:noProof/>
                <w:sz w:val="16"/>
                <w:szCs w:val="16"/>
              </w:rPr>
              <w:instrText xml:space="preserve"> ADDIN EN.CITE &lt;EndNote&gt;&lt;Cite&gt;&lt;Author&gt;Resnicow&lt;/Author&gt;&lt;Year&gt;2014&lt;/Year&gt;&lt;RecNum&gt;19&lt;/RecNum&gt;&lt;DisplayText&gt;(80)&lt;/DisplayText&gt;&lt;record&gt;&lt;rec-number&gt;19&lt;/rec-number&gt;&lt;foreign-keys&gt;&lt;key app="EN" db-id="a2vz2dfp8xrad6exes75zwpiw5rxwa0vwapv" timestamp="0"&gt;19&lt;/key&gt;&lt;/foreign-keys&gt;&lt;ref-type name="Journal Article"&gt;17&lt;/ref-type&gt;&lt;contributors&gt;&lt;authors&gt;&lt;author&gt;Resnicow, K.&lt;/author&gt;&lt;author&gt;Zhou, Y.&lt;/author&gt;&lt;author&gt;Scheuermann, T. S.&lt;/author&gt;&lt;author&gt;Nollen, N. L.&lt;/author&gt;&lt;author&gt;Ahluwalia, J. S.&lt;/author&gt;&lt;/authors&gt;&lt;/contributors&gt;&lt;auth-address&gt;Department of Health Behavior and Health Education, University of Michigan, School of Public Health, Ann Arbor, MI;&lt;/auth-address&gt;&lt;titles&gt;&lt;title&gt;Unplanned quitting in a triethnic sample of U.S. smokers&lt;/title&gt;&lt;secondary-title&gt;Nicotine Tob Res&lt;/secondary-title&gt;&lt;/titles&gt;&lt;periodical&gt;&lt;full-title&gt;Nicotine Tob Res&lt;/full-title&gt;&lt;/periodical&gt;&lt;pages&gt;759-65&lt;/pages&gt;&lt;volume&gt;16&lt;/volume&gt;&lt;number&gt;6&lt;/number&gt;&lt;keywords&gt;&lt;keyword&gt;Adult&lt;/keyword&gt;&lt;keyword&gt;African Americans/statistics &amp;amp; numerical data&lt;/keyword&gt;&lt;keyword&gt;Cross-Sectional Studies&lt;/keyword&gt;&lt;keyword&gt;European Continental Ancestry Group/statistics &amp;amp; numerical data&lt;/keyword&gt;&lt;keyword&gt;Female&lt;/keyword&gt;&lt;keyword&gt;Hispanic Americans/statistics &amp;amp; numerical data&lt;/keyword&gt;&lt;keyword&gt;Humans&lt;/keyword&gt;&lt;keyword&gt;Intention&lt;/keyword&gt;&lt;keyword&gt;Male&lt;/keyword&gt;&lt;keyword&gt;Middle Aged&lt;/keyword&gt;&lt;keyword&gt;Smoking/*ethnology&lt;/keyword&gt;&lt;keyword&gt;Smoking Cessation/*ethnology/*statistics &amp;amp; numerical data&lt;/keyword&gt;&lt;keyword&gt;United States&lt;/keyword&gt;&lt;/keywords&gt;&lt;dates&gt;&lt;year&gt;2014&lt;/year&gt;&lt;pub-dates&gt;&lt;date&gt;Jun&lt;/date&gt;&lt;/pub-dates&gt;&lt;/dates&gt;&lt;isbn&gt;1469-994X (Electronic)&amp;#xD;1462-2203 (Linking)&lt;/isbn&gt;&lt;accession-num&gt;24420329&lt;/accession-num&gt;&lt;urls&gt;&lt;related-urls&gt;&lt;url&gt;http://www.ncbi.nlm.nih.gov/pubmed/24420329&lt;/url&gt;&lt;/related-urls&gt;&lt;/urls&gt;&lt;custom2&gt;PMC4064007&lt;/custom2&gt;&lt;electronic-resource-num&gt;10.1093/ntr/ntt272&lt;/electronic-resource-num&gt;&lt;research-notes&gt;#096&lt;/research-notes&gt;&lt;/record&gt;&lt;/Cite&gt;&lt;/EndNote&gt;</w:instrText>
            </w:r>
            <w:r>
              <w:rPr>
                <w:noProof/>
                <w:sz w:val="16"/>
                <w:szCs w:val="16"/>
              </w:rPr>
              <w:fldChar w:fldCharType="separate"/>
            </w:r>
            <w:r>
              <w:rPr>
                <w:noProof/>
                <w:sz w:val="16"/>
                <w:szCs w:val="16"/>
              </w:rPr>
              <w:t>(</w:t>
            </w:r>
            <w:hyperlink w:anchor="_ENREF_80" w:tooltip="Resnicow, 2014 #19" w:history="1">
              <w:r w:rsidR="00A234A9">
                <w:rPr>
                  <w:noProof/>
                  <w:sz w:val="16"/>
                  <w:szCs w:val="16"/>
                </w:rPr>
                <w:t>80</w:t>
              </w:r>
            </w:hyperlink>
            <w:r>
              <w:rPr>
                <w:noProof/>
                <w:sz w:val="16"/>
                <w:szCs w:val="16"/>
              </w:rPr>
              <w:t>)</w:t>
            </w:r>
            <w:r>
              <w:rPr>
                <w:noProof/>
                <w:sz w:val="16"/>
                <w:szCs w:val="16"/>
              </w:rPr>
              <w:fldChar w:fldCharType="end"/>
            </w:r>
          </w:p>
          <w:p w14:paraId="53ED8C6A" w14:textId="77777777" w:rsidR="000538E3" w:rsidRPr="000A68F0" w:rsidRDefault="000538E3" w:rsidP="000538E3">
            <w:pPr>
              <w:rPr>
                <w:noProof/>
                <w:sz w:val="16"/>
                <w:szCs w:val="16"/>
              </w:rPr>
            </w:pPr>
            <w:r w:rsidRPr="000A68F0">
              <w:rPr>
                <w:noProof/>
                <w:sz w:val="16"/>
                <w:szCs w:val="16"/>
              </w:rPr>
              <w:t>None</w:t>
            </w:r>
          </w:p>
          <w:p w14:paraId="5B30AF93" w14:textId="77777777" w:rsidR="000538E3" w:rsidRDefault="000538E3" w:rsidP="000538E3">
            <w:pPr>
              <w:rPr>
                <w:noProof/>
                <w:sz w:val="16"/>
                <w:szCs w:val="16"/>
              </w:rPr>
            </w:pPr>
            <w:r w:rsidRPr="000A68F0">
              <w:rPr>
                <w:noProof/>
                <w:sz w:val="16"/>
                <w:szCs w:val="16"/>
              </w:rPr>
              <w:t>Fair</w:t>
            </w:r>
          </w:p>
        </w:tc>
        <w:tc>
          <w:tcPr>
            <w:tcW w:w="1635" w:type="dxa"/>
            <w:noWrap/>
          </w:tcPr>
          <w:p w14:paraId="75CC77E9" w14:textId="77777777" w:rsidR="000538E3" w:rsidRPr="00391B36" w:rsidRDefault="000538E3" w:rsidP="000538E3">
            <w:pPr>
              <w:rPr>
                <w:noProof/>
                <w:sz w:val="16"/>
                <w:szCs w:val="16"/>
              </w:rPr>
            </w:pPr>
            <w:r w:rsidRPr="00391B36">
              <w:rPr>
                <w:noProof/>
                <w:sz w:val="16"/>
                <w:szCs w:val="16"/>
              </w:rPr>
              <w:t xml:space="preserve">National; </w:t>
            </w:r>
          </w:p>
          <w:p w14:paraId="402119DC" w14:textId="77777777" w:rsidR="000538E3" w:rsidRPr="00391B36" w:rsidRDefault="000538E3" w:rsidP="000538E3">
            <w:pPr>
              <w:rPr>
                <w:noProof/>
                <w:sz w:val="16"/>
                <w:szCs w:val="16"/>
              </w:rPr>
            </w:pPr>
            <w:r w:rsidRPr="00391B36">
              <w:rPr>
                <w:noProof/>
                <w:sz w:val="16"/>
                <w:szCs w:val="16"/>
              </w:rPr>
              <w:t xml:space="preserve">Pharmaceutical industry; </w:t>
            </w:r>
          </w:p>
          <w:p w14:paraId="50E9DC45" w14:textId="77777777" w:rsidR="000538E3" w:rsidRPr="00AA0F7A" w:rsidRDefault="000538E3" w:rsidP="000538E3">
            <w:pPr>
              <w:rPr>
                <w:noProof/>
                <w:sz w:val="16"/>
                <w:szCs w:val="16"/>
              </w:rPr>
            </w:pPr>
            <w:r w:rsidRPr="00391B36">
              <w:rPr>
                <w:noProof/>
                <w:sz w:val="16"/>
                <w:szCs w:val="16"/>
              </w:rPr>
              <w:t>Cross-sectional</w:t>
            </w:r>
          </w:p>
        </w:tc>
        <w:tc>
          <w:tcPr>
            <w:tcW w:w="3443" w:type="dxa"/>
            <w:noWrap/>
          </w:tcPr>
          <w:p w14:paraId="36B42A9E" w14:textId="77777777" w:rsidR="000538E3" w:rsidRPr="00AA0F7A" w:rsidRDefault="000538E3" w:rsidP="000538E3">
            <w:pPr>
              <w:rPr>
                <w:noProof/>
                <w:sz w:val="16"/>
                <w:szCs w:val="16"/>
              </w:rPr>
            </w:pPr>
            <w:r w:rsidRPr="00391B36">
              <w:rPr>
                <w:noProof/>
                <w:sz w:val="16"/>
                <w:szCs w:val="16"/>
              </w:rPr>
              <w:t>Online sampling through panel service, SSI, which maintains an online panel of 1.5 million people in the U.S. who have indicated that they are willing to participate in online surveys. Sample was stratified to obtain equal samples of each of the 3 races/ethnicities across smoking frequency; July 2012-Aug 2012</w:t>
            </w:r>
          </w:p>
        </w:tc>
        <w:tc>
          <w:tcPr>
            <w:tcW w:w="4500" w:type="dxa"/>
            <w:noWrap/>
          </w:tcPr>
          <w:p w14:paraId="38D3CA4A" w14:textId="77777777" w:rsidR="000538E3" w:rsidRPr="00AA0F7A" w:rsidRDefault="000538E3" w:rsidP="000538E3">
            <w:pPr>
              <w:rPr>
                <w:noProof/>
                <w:sz w:val="16"/>
                <w:szCs w:val="16"/>
              </w:rPr>
            </w:pPr>
            <w:r w:rsidRPr="00391B36">
              <w:rPr>
                <w:noProof/>
                <w:sz w:val="16"/>
                <w:szCs w:val="16"/>
              </w:rPr>
              <w:t xml:space="preserve">Adult smokers age ≥25 (≥100 lifetime cigs, smoked for ≥1 year and at their current rate for ≥6months) who were </w:t>
            </w:r>
            <w:r w:rsidR="00667B57">
              <w:rPr>
                <w:noProof/>
                <w:sz w:val="16"/>
                <w:szCs w:val="16"/>
              </w:rPr>
              <w:t>B</w:t>
            </w:r>
            <w:r w:rsidR="00667B57" w:rsidRPr="00391B36">
              <w:rPr>
                <w:noProof/>
                <w:sz w:val="16"/>
                <w:szCs w:val="16"/>
              </w:rPr>
              <w:t>lack</w:t>
            </w:r>
            <w:r w:rsidRPr="00391B36">
              <w:rPr>
                <w:noProof/>
                <w:sz w:val="16"/>
                <w:szCs w:val="16"/>
              </w:rPr>
              <w:t xml:space="preserve">, </w:t>
            </w:r>
            <w:r w:rsidR="00667B57">
              <w:rPr>
                <w:noProof/>
                <w:sz w:val="16"/>
                <w:szCs w:val="16"/>
              </w:rPr>
              <w:t>W</w:t>
            </w:r>
            <w:r w:rsidR="00667B57" w:rsidRPr="00391B36">
              <w:rPr>
                <w:noProof/>
                <w:sz w:val="16"/>
                <w:szCs w:val="16"/>
              </w:rPr>
              <w:t>hite</w:t>
            </w:r>
            <w:r w:rsidRPr="00391B36">
              <w:rPr>
                <w:noProof/>
                <w:sz w:val="16"/>
                <w:szCs w:val="16"/>
              </w:rPr>
              <w:t>, or Latino and had not participated in any smoking cessation treatment in the past 30 days.</w:t>
            </w:r>
          </w:p>
        </w:tc>
        <w:tc>
          <w:tcPr>
            <w:tcW w:w="1672" w:type="dxa"/>
            <w:noWrap/>
          </w:tcPr>
          <w:p w14:paraId="30043906" w14:textId="77777777" w:rsidR="000538E3" w:rsidRPr="00AA0F7A" w:rsidRDefault="000538E3" w:rsidP="000538E3">
            <w:pPr>
              <w:rPr>
                <w:noProof/>
                <w:sz w:val="16"/>
                <w:szCs w:val="16"/>
              </w:rPr>
            </w:pPr>
            <w:r>
              <w:rPr>
                <w:noProof/>
                <w:sz w:val="16"/>
                <w:szCs w:val="16"/>
              </w:rPr>
              <w:t>None</w:t>
            </w:r>
          </w:p>
        </w:tc>
      </w:tr>
      <w:tr w:rsidR="000538E3" w:rsidRPr="00AA0F7A" w14:paraId="4AD73F6A" w14:textId="77777777" w:rsidTr="00B46744">
        <w:tblPrEx>
          <w:tblCellMar>
            <w:left w:w="108" w:type="dxa"/>
            <w:right w:w="108" w:type="dxa"/>
          </w:tblCellMar>
        </w:tblPrEx>
        <w:trPr>
          <w:cantSplit/>
        </w:trPr>
        <w:tc>
          <w:tcPr>
            <w:tcW w:w="2070" w:type="dxa"/>
            <w:gridSpan w:val="2"/>
            <w:noWrap/>
          </w:tcPr>
          <w:p w14:paraId="4EFB34A1" w14:textId="22F01973" w:rsidR="000538E3" w:rsidRPr="00AA0F7A" w:rsidRDefault="00D2134A" w:rsidP="000538E3">
            <w:pPr>
              <w:rPr>
                <w:noProof/>
                <w:sz w:val="16"/>
                <w:szCs w:val="16"/>
              </w:rPr>
            </w:pPr>
            <w:r>
              <w:rPr>
                <w:noProof/>
                <w:sz w:val="16"/>
                <w:szCs w:val="16"/>
              </w:rPr>
              <w:fldChar w:fldCharType="begin"/>
            </w:r>
            <w:r>
              <w:rPr>
                <w:noProof/>
                <w:sz w:val="16"/>
                <w:szCs w:val="16"/>
              </w:rPr>
              <w:instrText xml:space="preserve"> ADDIN EN.CITE &lt;EndNote&gt;&lt;Cite&gt;&lt;Author&gt;Rosenbloom&lt;/Author&gt;&lt;Year&gt;2012&lt;/Year&gt;&lt;RecNum&gt;32&lt;/RecNum&gt;&lt;DisplayText&gt;(81)&lt;/DisplayText&gt;&lt;record&gt;&lt;rec-number&gt;32&lt;/rec-number&gt;&lt;foreign-keys&gt;&lt;key app="EN" db-id="a2vz2dfp8xrad6exes75zwpiw5rxwa0vwapv" timestamp="0"&gt;32&lt;/key&gt;&lt;/foreign-keys&gt;&lt;ref-type name="Journal Article"&gt;17&lt;/ref-type&gt;&lt;contributors&gt;&lt;authors&gt;&lt;author&gt;Rosenbloom, J.&lt;/author&gt;&lt;author&gt; Rees, V. W.&lt;/author&gt;&lt;author&gt;Reid, K.&lt;/author&gt;&lt;author&gt;Wong, J.&lt;/author&gt;&lt;author&gt;Kinnunen, T.&lt;/author&gt;&lt;/authors&gt;&lt;/contributors&gt;&lt;titles&gt;&lt;title&gt;A cross-sectional study on tobacco use and dependence among women: Does menthol matter?&lt;/title&gt;&lt;secondary-title&gt;Tob Induc Dis&lt;/secondary-title&gt;&lt;/titles&gt;&lt;periodical&gt;&lt;full-title&gt;Tob Induc Dis&lt;/full-title&gt;&lt;/periodical&gt;&lt;pages&gt;1-6&lt;/pages&gt;&lt;volume&gt;10&lt;/volume&gt;&lt;number&gt;19&lt;/number&gt;&lt;section&gt;1&lt;/section&gt;&lt;keywords&gt;&lt;keyword&gt;Cigarette smoking, Menthol cigarettes, Tobacco use, Tobacco dependence, Race/Ethnicity, Female Sex/&lt;/keyword&gt;&lt;keyword&gt;Gender&lt;/keyword&gt;&lt;/keywords&gt;&lt;dates&gt;&lt;year&gt;2012&lt;/year&gt;&lt;/dates&gt;&lt;urls&gt;&lt;/urls&gt;&lt;electronic-resource-num&gt;10.1186/1617-9625-10-19&lt;/electronic-resource-num&gt;&lt;research-notes&gt;#173&lt;/research-notes&gt;&lt;/record&gt;&lt;/Cite&gt;&lt;/EndNote&gt;</w:instrText>
            </w:r>
            <w:r>
              <w:rPr>
                <w:noProof/>
                <w:sz w:val="16"/>
                <w:szCs w:val="16"/>
              </w:rPr>
              <w:fldChar w:fldCharType="separate"/>
            </w:r>
            <w:r>
              <w:rPr>
                <w:noProof/>
                <w:sz w:val="16"/>
                <w:szCs w:val="16"/>
              </w:rPr>
              <w:t>(</w:t>
            </w:r>
            <w:hyperlink w:anchor="_ENREF_81" w:tooltip="Rosenbloom, 2012 #32" w:history="1">
              <w:r w:rsidR="00A234A9">
                <w:rPr>
                  <w:noProof/>
                  <w:sz w:val="16"/>
                  <w:szCs w:val="16"/>
                </w:rPr>
                <w:t>81</w:t>
              </w:r>
            </w:hyperlink>
            <w:r>
              <w:rPr>
                <w:noProof/>
                <w:sz w:val="16"/>
                <w:szCs w:val="16"/>
              </w:rPr>
              <w:t>)</w:t>
            </w:r>
            <w:r>
              <w:rPr>
                <w:noProof/>
                <w:sz w:val="16"/>
                <w:szCs w:val="16"/>
              </w:rPr>
              <w:fldChar w:fldCharType="end"/>
            </w:r>
          </w:p>
          <w:p w14:paraId="161EEBAB" w14:textId="77777777" w:rsidR="000538E3" w:rsidRPr="00AA0F7A" w:rsidRDefault="000538E3" w:rsidP="000538E3">
            <w:pPr>
              <w:rPr>
                <w:noProof/>
                <w:sz w:val="16"/>
                <w:szCs w:val="16"/>
              </w:rPr>
            </w:pPr>
            <w:r w:rsidRPr="00AA0F7A">
              <w:rPr>
                <w:noProof/>
                <w:sz w:val="16"/>
                <w:szCs w:val="16"/>
              </w:rPr>
              <w:t>None</w:t>
            </w:r>
          </w:p>
          <w:p w14:paraId="3B43B72B" w14:textId="77777777" w:rsidR="000538E3" w:rsidRPr="00AA0F7A" w:rsidRDefault="000538E3" w:rsidP="000538E3">
            <w:pPr>
              <w:rPr>
                <w:noProof/>
                <w:sz w:val="16"/>
                <w:szCs w:val="16"/>
              </w:rPr>
            </w:pPr>
            <w:r w:rsidRPr="00AA0F7A">
              <w:rPr>
                <w:noProof/>
                <w:sz w:val="16"/>
                <w:szCs w:val="16"/>
              </w:rPr>
              <w:t>Fair</w:t>
            </w:r>
          </w:p>
        </w:tc>
        <w:tc>
          <w:tcPr>
            <w:tcW w:w="1635" w:type="dxa"/>
            <w:noWrap/>
          </w:tcPr>
          <w:p w14:paraId="2FD6C15E" w14:textId="77777777" w:rsidR="000538E3" w:rsidRPr="00AA0F7A" w:rsidRDefault="000538E3" w:rsidP="000538E3">
            <w:pPr>
              <w:rPr>
                <w:noProof/>
                <w:sz w:val="16"/>
                <w:szCs w:val="16"/>
              </w:rPr>
            </w:pPr>
            <w:r w:rsidRPr="00AA0F7A">
              <w:rPr>
                <w:noProof/>
                <w:sz w:val="16"/>
                <w:szCs w:val="16"/>
              </w:rPr>
              <w:t>Massachusetts;</w:t>
            </w:r>
          </w:p>
          <w:p w14:paraId="5CC4F755" w14:textId="77777777" w:rsidR="000538E3" w:rsidRPr="00AA0F7A" w:rsidRDefault="000538E3" w:rsidP="000538E3">
            <w:pPr>
              <w:rPr>
                <w:noProof/>
                <w:sz w:val="16"/>
                <w:szCs w:val="16"/>
              </w:rPr>
            </w:pPr>
            <w:r w:rsidRPr="00AA0F7A">
              <w:rPr>
                <w:noProof/>
                <w:sz w:val="16"/>
                <w:szCs w:val="16"/>
              </w:rPr>
              <w:t>Govt and academia;</w:t>
            </w:r>
          </w:p>
          <w:p w14:paraId="0B515CF6" w14:textId="77777777" w:rsidR="000538E3" w:rsidRPr="00AA0F7A" w:rsidRDefault="000538E3" w:rsidP="000538E3">
            <w:pPr>
              <w:rPr>
                <w:noProof/>
                <w:sz w:val="16"/>
                <w:szCs w:val="16"/>
              </w:rPr>
            </w:pPr>
            <w:r w:rsidRPr="00AA0F7A">
              <w:rPr>
                <w:noProof/>
                <w:sz w:val="16"/>
                <w:szCs w:val="16"/>
              </w:rPr>
              <w:t>Cross-sectional</w:t>
            </w:r>
          </w:p>
        </w:tc>
        <w:tc>
          <w:tcPr>
            <w:tcW w:w="3443" w:type="dxa"/>
            <w:noWrap/>
          </w:tcPr>
          <w:p w14:paraId="4B67FE1E" w14:textId="77777777" w:rsidR="000538E3" w:rsidRPr="00AA0F7A" w:rsidRDefault="000538E3" w:rsidP="000538E3">
            <w:pPr>
              <w:rPr>
                <w:noProof/>
                <w:sz w:val="16"/>
                <w:szCs w:val="16"/>
              </w:rPr>
            </w:pPr>
            <w:r w:rsidRPr="00AA0F7A">
              <w:rPr>
                <w:noProof/>
                <w:sz w:val="16"/>
                <w:szCs w:val="16"/>
              </w:rPr>
              <w:t>Newspaper, radio and subway advertisements, postings on community bulletin boards; January 2004-December 2007</w:t>
            </w:r>
          </w:p>
        </w:tc>
        <w:tc>
          <w:tcPr>
            <w:tcW w:w="4500" w:type="dxa"/>
            <w:noWrap/>
          </w:tcPr>
          <w:p w14:paraId="6F8C99F1" w14:textId="77777777" w:rsidR="000538E3" w:rsidRPr="00AA0F7A" w:rsidRDefault="000538E3" w:rsidP="000538E3">
            <w:pPr>
              <w:rPr>
                <w:noProof/>
                <w:sz w:val="16"/>
                <w:szCs w:val="16"/>
              </w:rPr>
            </w:pPr>
            <w:r w:rsidRPr="00AA0F7A">
              <w:rPr>
                <w:noProof/>
                <w:sz w:val="16"/>
                <w:szCs w:val="16"/>
              </w:rPr>
              <w:t>Women smokers who were interested in participating in a randomized controlled trial involving exercise and nicotine replacement therapy (nicotine patch) and provided information regarding menthol smoking status, race, tobacco use, and dependence measures.</w:t>
            </w:r>
          </w:p>
        </w:tc>
        <w:tc>
          <w:tcPr>
            <w:tcW w:w="1672" w:type="dxa"/>
            <w:noWrap/>
          </w:tcPr>
          <w:p w14:paraId="7FFA929B" w14:textId="77777777" w:rsidR="000538E3" w:rsidRPr="00AA0F7A" w:rsidRDefault="000538E3" w:rsidP="000538E3">
            <w:pPr>
              <w:rPr>
                <w:noProof/>
                <w:sz w:val="16"/>
                <w:szCs w:val="16"/>
              </w:rPr>
            </w:pPr>
            <w:r w:rsidRPr="00AA0F7A">
              <w:rPr>
                <w:noProof/>
                <w:sz w:val="16"/>
                <w:szCs w:val="16"/>
              </w:rPr>
              <w:t>Women</w:t>
            </w:r>
          </w:p>
        </w:tc>
      </w:tr>
      <w:tr w:rsidR="000538E3" w:rsidRPr="00AA0F7A" w14:paraId="0665A7FF" w14:textId="77777777" w:rsidTr="00B46744">
        <w:tblPrEx>
          <w:tblCellMar>
            <w:left w:w="108" w:type="dxa"/>
            <w:right w:w="108" w:type="dxa"/>
          </w:tblCellMar>
        </w:tblPrEx>
        <w:trPr>
          <w:cantSplit/>
        </w:trPr>
        <w:tc>
          <w:tcPr>
            <w:tcW w:w="2070" w:type="dxa"/>
            <w:gridSpan w:val="2"/>
            <w:noWrap/>
          </w:tcPr>
          <w:p w14:paraId="3EA8B022" w14:textId="409BF1BE" w:rsidR="000538E3" w:rsidRPr="00AA0F7A" w:rsidRDefault="00D2134A" w:rsidP="000538E3">
            <w:pPr>
              <w:rPr>
                <w:sz w:val="16"/>
                <w:szCs w:val="16"/>
              </w:rPr>
            </w:pPr>
            <w:r>
              <w:rPr>
                <w:sz w:val="16"/>
                <w:szCs w:val="16"/>
              </w:rPr>
              <w:fldChar w:fldCharType="begin"/>
            </w:r>
            <w:r>
              <w:rPr>
                <w:sz w:val="16"/>
                <w:szCs w:val="16"/>
              </w:rPr>
              <w:instrText xml:space="preserve"> ADDIN EN.CITE &lt;EndNote&gt;&lt;Cite&gt;&lt;Author&gt;Sidney&lt;/Author&gt;&lt;Year&gt;1989&lt;/Year&gt;&lt;RecNum&gt;92&lt;/RecNum&gt;&lt;DisplayText&gt;(82)&lt;/DisplayText&gt;&lt;record&gt;&lt;rec-number&gt;92&lt;/rec-number&gt;&lt;foreign-keys&gt;&lt;key app="EN" db-id="a2vz2dfp8xrad6exes75zwpiw5rxwa0vwapv" timestamp="0"&gt;92&lt;/key&gt;&lt;/foreign-keys&gt;&lt;ref-type name="Journal Article"&gt;17&lt;/ref-type&gt;&lt;contributors&gt;&lt;authors&gt;&lt;author&gt;Sidney, S.&lt;/author&gt;&lt;author&gt;Tekawa, I. S.&lt;/author&gt;&lt;author&gt;Friedman, G. D.&lt;/author&gt;&lt;/authors&gt;&lt;/contributors&gt;&lt;titles&gt;&lt;title&gt;Mentholated cigarette use among multiphasic examinees, 1979-86&lt;/title&gt;&lt;secondary-title&gt;Am J Public Health&lt;/secondary-title&gt;&lt;/titles&gt;&lt;periodical&gt;&lt;full-title&gt;Am J Public Health&lt;/full-title&gt;&lt;/periodical&gt;&lt;pages&gt;1415-1416&lt;/pages&gt;&lt;volume&gt;79&lt;/volume&gt;&lt;section&gt;1415&lt;/section&gt;&lt;dates&gt;&lt;year&gt;1989&lt;/year&gt;&lt;/dates&gt;&lt;urls&gt;&lt;/urls&gt;&lt;research-notes&gt;#505&lt;/research-notes&gt;&lt;/record&gt;&lt;/Cite&gt;&lt;/EndNote&gt;</w:instrText>
            </w:r>
            <w:r>
              <w:rPr>
                <w:sz w:val="16"/>
                <w:szCs w:val="16"/>
              </w:rPr>
              <w:fldChar w:fldCharType="separate"/>
            </w:r>
            <w:r>
              <w:rPr>
                <w:noProof/>
                <w:sz w:val="16"/>
                <w:szCs w:val="16"/>
              </w:rPr>
              <w:t>(</w:t>
            </w:r>
            <w:hyperlink w:anchor="_ENREF_82" w:tooltip="Sidney, 1989 #92" w:history="1">
              <w:r w:rsidR="00A234A9">
                <w:rPr>
                  <w:noProof/>
                  <w:sz w:val="16"/>
                  <w:szCs w:val="16"/>
                </w:rPr>
                <w:t>82</w:t>
              </w:r>
            </w:hyperlink>
            <w:r>
              <w:rPr>
                <w:noProof/>
                <w:sz w:val="16"/>
                <w:szCs w:val="16"/>
              </w:rPr>
              <w:t>)</w:t>
            </w:r>
            <w:r>
              <w:rPr>
                <w:sz w:val="16"/>
                <w:szCs w:val="16"/>
              </w:rPr>
              <w:fldChar w:fldCharType="end"/>
            </w:r>
          </w:p>
          <w:p w14:paraId="6879CE08" w14:textId="77777777" w:rsidR="000538E3" w:rsidRPr="00AA0F7A" w:rsidRDefault="000538E3" w:rsidP="000538E3">
            <w:pPr>
              <w:rPr>
                <w:sz w:val="16"/>
                <w:szCs w:val="16"/>
              </w:rPr>
            </w:pPr>
            <w:r w:rsidRPr="00AA0F7A">
              <w:rPr>
                <w:sz w:val="16"/>
                <w:szCs w:val="16"/>
              </w:rPr>
              <w:t>None</w:t>
            </w:r>
          </w:p>
          <w:p w14:paraId="23E20643" w14:textId="77777777" w:rsidR="000538E3" w:rsidRPr="00AA0F7A" w:rsidRDefault="000538E3" w:rsidP="000538E3">
            <w:pPr>
              <w:rPr>
                <w:sz w:val="16"/>
                <w:szCs w:val="16"/>
              </w:rPr>
            </w:pPr>
            <w:r w:rsidRPr="00AA0F7A">
              <w:rPr>
                <w:sz w:val="16"/>
                <w:szCs w:val="16"/>
              </w:rPr>
              <w:t>Fair</w:t>
            </w:r>
          </w:p>
        </w:tc>
        <w:tc>
          <w:tcPr>
            <w:tcW w:w="1635" w:type="dxa"/>
            <w:noWrap/>
          </w:tcPr>
          <w:p w14:paraId="31170DC2" w14:textId="77777777" w:rsidR="000538E3" w:rsidRPr="00AA0F7A" w:rsidRDefault="000538E3" w:rsidP="000538E3">
            <w:pPr>
              <w:rPr>
                <w:i/>
                <w:sz w:val="16"/>
                <w:szCs w:val="16"/>
                <w:u w:val="single"/>
              </w:rPr>
            </w:pPr>
            <w:r>
              <w:rPr>
                <w:i/>
                <w:sz w:val="16"/>
                <w:szCs w:val="16"/>
                <w:u w:val="single"/>
              </w:rPr>
              <w:t>KQ 1</w:t>
            </w:r>
          </w:p>
          <w:p w14:paraId="5C77A803" w14:textId="77777777" w:rsidR="000538E3" w:rsidRPr="00AA0F7A" w:rsidRDefault="000538E3" w:rsidP="000538E3">
            <w:pPr>
              <w:rPr>
                <w:sz w:val="16"/>
                <w:szCs w:val="16"/>
              </w:rPr>
            </w:pPr>
            <w:r w:rsidRPr="00AA0F7A">
              <w:rPr>
                <w:sz w:val="16"/>
                <w:szCs w:val="16"/>
              </w:rPr>
              <w:t xml:space="preserve">California; </w:t>
            </w:r>
          </w:p>
          <w:p w14:paraId="75756170" w14:textId="77777777" w:rsidR="000538E3" w:rsidRPr="00AA0F7A" w:rsidRDefault="000538E3" w:rsidP="000538E3">
            <w:pPr>
              <w:rPr>
                <w:sz w:val="16"/>
                <w:szCs w:val="16"/>
              </w:rPr>
            </w:pPr>
            <w:r w:rsidRPr="00AA0F7A">
              <w:rPr>
                <w:sz w:val="16"/>
                <w:szCs w:val="16"/>
              </w:rPr>
              <w:t xml:space="preserve">Govt; </w:t>
            </w:r>
          </w:p>
          <w:p w14:paraId="33280A89" w14:textId="77777777" w:rsidR="000538E3" w:rsidRPr="00C52237" w:rsidRDefault="000538E3" w:rsidP="000538E3">
            <w:pPr>
              <w:rPr>
                <w:sz w:val="16"/>
                <w:szCs w:val="16"/>
              </w:rPr>
            </w:pPr>
            <w:r>
              <w:rPr>
                <w:sz w:val="16"/>
                <w:szCs w:val="16"/>
              </w:rPr>
              <w:t>Prospective cohort</w:t>
            </w:r>
          </w:p>
        </w:tc>
        <w:tc>
          <w:tcPr>
            <w:tcW w:w="3443" w:type="dxa"/>
            <w:noWrap/>
          </w:tcPr>
          <w:p w14:paraId="2229058F" w14:textId="77777777" w:rsidR="000538E3" w:rsidRPr="00AA0F7A" w:rsidRDefault="000538E3" w:rsidP="000538E3">
            <w:pPr>
              <w:rPr>
                <w:sz w:val="16"/>
                <w:szCs w:val="16"/>
              </w:rPr>
            </w:pPr>
            <w:r w:rsidRPr="00AA0F7A">
              <w:rPr>
                <w:sz w:val="16"/>
                <w:szCs w:val="16"/>
              </w:rPr>
              <w:t>Patients at Kaiser Permanente Medical centers in Oakland and San Francisco. Data collected as part of a multiphasic health checkup; 1979-1986</w:t>
            </w:r>
          </w:p>
        </w:tc>
        <w:tc>
          <w:tcPr>
            <w:tcW w:w="4500" w:type="dxa"/>
            <w:noWrap/>
          </w:tcPr>
          <w:p w14:paraId="1AC705FC" w14:textId="77777777" w:rsidR="000538E3" w:rsidRPr="00AA0F7A" w:rsidRDefault="000538E3" w:rsidP="000538E3">
            <w:pPr>
              <w:rPr>
                <w:i/>
                <w:sz w:val="16"/>
                <w:szCs w:val="16"/>
                <w:u w:val="single"/>
              </w:rPr>
            </w:pPr>
            <w:r w:rsidRPr="00AA0F7A">
              <w:rPr>
                <w:sz w:val="16"/>
                <w:szCs w:val="16"/>
              </w:rPr>
              <w:t>Black current smokers age 15-40.</w:t>
            </w:r>
          </w:p>
          <w:p w14:paraId="603D4F84" w14:textId="77777777" w:rsidR="000538E3" w:rsidRPr="00AA0F7A" w:rsidRDefault="000538E3" w:rsidP="000538E3">
            <w:pPr>
              <w:rPr>
                <w:sz w:val="16"/>
                <w:szCs w:val="16"/>
              </w:rPr>
            </w:pPr>
          </w:p>
        </w:tc>
        <w:tc>
          <w:tcPr>
            <w:tcW w:w="1672" w:type="dxa"/>
            <w:noWrap/>
          </w:tcPr>
          <w:p w14:paraId="2B2052EC" w14:textId="77777777" w:rsidR="000538E3" w:rsidRPr="00AA0F7A" w:rsidRDefault="000538E3" w:rsidP="000538E3">
            <w:pPr>
              <w:rPr>
                <w:sz w:val="16"/>
                <w:szCs w:val="16"/>
              </w:rPr>
            </w:pPr>
            <w:r w:rsidRPr="00AA0F7A">
              <w:rPr>
                <w:sz w:val="16"/>
                <w:szCs w:val="16"/>
              </w:rPr>
              <w:t>Black HMO medical center patients age 15-40</w:t>
            </w:r>
          </w:p>
          <w:p w14:paraId="1219E4A7" w14:textId="77777777" w:rsidR="000538E3" w:rsidRPr="00AA0F7A" w:rsidRDefault="000538E3" w:rsidP="000538E3">
            <w:pPr>
              <w:rPr>
                <w:sz w:val="16"/>
                <w:szCs w:val="16"/>
              </w:rPr>
            </w:pPr>
          </w:p>
        </w:tc>
      </w:tr>
      <w:tr w:rsidR="000538E3" w:rsidRPr="00AA0F7A" w14:paraId="262CBE6F" w14:textId="77777777" w:rsidTr="00B46744">
        <w:tblPrEx>
          <w:tblCellMar>
            <w:left w:w="108" w:type="dxa"/>
            <w:right w:w="108" w:type="dxa"/>
          </w:tblCellMar>
        </w:tblPrEx>
        <w:trPr>
          <w:cantSplit/>
        </w:trPr>
        <w:tc>
          <w:tcPr>
            <w:tcW w:w="2070" w:type="dxa"/>
            <w:gridSpan w:val="2"/>
            <w:noWrap/>
          </w:tcPr>
          <w:p w14:paraId="04EAA680" w14:textId="57576856" w:rsidR="000538E3" w:rsidRDefault="00D2134A" w:rsidP="000538E3">
            <w:pPr>
              <w:rPr>
                <w:sz w:val="16"/>
                <w:szCs w:val="16"/>
              </w:rPr>
            </w:pPr>
            <w:r>
              <w:rPr>
                <w:sz w:val="16"/>
                <w:szCs w:val="16"/>
              </w:rPr>
              <w:fldChar w:fldCharType="begin"/>
            </w:r>
            <w:r>
              <w:rPr>
                <w:sz w:val="16"/>
                <w:szCs w:val="16"/>
              </w:rPr>
              <w:instrText xml:space="preserve"> ADDIN EN.CITE &lt;EndNote&gt;&lt;Cite&gt;&lt;Author&gt;Smith&lt;/Author&gt;&lt;Year&gt;2014&lt;/Year&gt;&lt;RecNum&gt;11&lt;/RecNum&gt;&lt;DisplayText&gt;(83)&lt;/DisplayText&gt;&lt;record&gt;&lt;rec-number&gt;11&lt;/rec-number&gt;&lt;foreign-keys&gt;&lt;key app="EN" db-id="a2vz2dfp8xrad6exes75zwpiw5rxwa0vwapv" timestamp="0"&gt;11&lt;/key&gt;&lt;/foreign-keys&gt;&lt;ref-type name="Journal Article"&gt;17&lt;/ref-type&gt;&lt;contributors&gt;&lt;authors&gt;&lt;author&gt;Smith, S. S.&lt;/author&gt;&lt;author&gt;Fiore, M. C.&lt;/author&gt;&lt;author&gt;Baker, T. B.&lt;/author&gt;&lt;/authors&gt;&lt;/contributors&gt;&lt;auth-address&gt;Department of Medicine, University of Wisconsin School of Medicine and Public Health (UWSMPH), Madison, WI, USA; Center for Tobacco Research and Intervention, UWSMPH, Madison, WI, USA.&lt;/auth-address&gt;&lt;titles&gt;&lt;title&gt;Smoking cessation in smokers who smoke menthol and non-menthol cigarettes&lt;/title&gt;&lt;secondary-title&gt;Addiction&lt;/secondary-title&gt;&lt;/titles&gt;&lt;periodical&gt;&lt;full-title&gt;Addiction&lt;/full-title&gt;&lt;/periodical&gt;&lt;pages&gt;2107-17&lt;/pages&gt;&lt;volume&gt;109&lt;/volume&gt;&lt;number&gt;12&lt;/number&gt;&lt;keywords&gt;&lt;keyword&gt;Clinical trial&lt;/keyword&gt;&lt;keyword&gt;gender&lt;/keyword&gt;&lt;keyword&gt;generalized estimating equations&lt;/keyword&gt;&lt;keyword&gt;longitudinal&lt;/keyword&gt;&lt;keyword&gt;menthol&lt;/keyword&gt;&lt;keyword&gt;race/ethnicity&lt;/keyword&gt;&lt;keyword&gt;smoking cessation&lt;/keyword&gt;&lt;keyword&gt;tobacco&lt;/keyword&gt;&lt;/keywords&gt;&lt;dates&gt;&lt;year&gt;2014&lt;/year&gt;&lt;pub-dates&gt;&lt;date&gt;Dec&lt;/date&gt;&lt;/pub-dates&gt;&lt;/dates&gt;&lt;isbn&gt;1360-0443 (Electronic)&amp;#xD;0965-2140 (Linking)&lt;/isbn&gt;&lt;accession-num&gt;24938369&lt;/accession-num&gt;&lt;urls&gt;&lt;related-urls&gt;&lt;url&gt;http://www.ncbi.nlm.nih.gov/pubmed/24938369&lt;/url&gt;&lt;/related-urls&gt;&lt;/urls&gt;&lt;custom2&gt;PMC4443703&lt;/custom2&gt;&lt;electronic-resource-num&gt;10.1111/add.12661&lt;/electronic-resource-num&gt;&lt;research-notes&gt;#060&lt;/research-notes&gt;&lt;/record&gt;&lt;/Cite&gt;&lt;/EndNote&gt;</w:instrText>
            </w:r>
            <w:r>
              <w:rPr>
                <w:sz w:val="16"/>
                <w:szCs w:val="16"/>
              </w:rPr>
              <w:fldChar w:fldCharType="separate"/>
            </w:r>
            <w:r>
              <w:rPr>
                <w:noProof/>
                <w:sz w:val="16"/>
                <w:szCs w:val="16"/>
              </w:rPr>
              <w:t>(</w:t>
            </w:r>
            <w:hyperlink w:anchor="_ENREF_83" w:tooltip="Smith, 2014 #11" w:history="1">
              <w:r w:rsidR="00A234A9">
                <w:rPr>
                  <w:noProof/>
                  <w:sz w:val="16"/>
                  <w:szCs w:val="16"/>
                </w:rPr>
                <w:t>83</w:t>
              </w:r>
            </w:hyperlink>
            <w:r>
              <w:rPr>
                <w:noProof/>
                <w:sz w:val="16"/>
                <w:szCs w:val="16"/>
              </w:rPr>
              <w:t>)</w:t>
            </w:r>
            <w:r>
              <w:rPr>
                <w:sz w:val="16"/>
                <w:szCs w:val="16"/>
              </w:rPr>
              <w:fldChar w:fldCharType="end"/>
            </w:r>
          </w:p>
          <w:p w14:paraId="39022D34" w14:textId="77777777" w:rsidR="000538E3" w:rsidRPr="00AA0F7A" w:rsidRDefault="000538E3" w:rsidP="000538E3">
            <w:pPr>
              <w:rPr>
                <w:sz w:val="16"/>
                <w:szCs w:val="16"/>
              </w:rPr>
            </w:pPr>
            <w:r w:rsidRPr="00AA0F7A">
              <w:rPr>
                <w:sz w:val="16"/>
                <w:szCs w:val="16"/>
              </w:rPr>
              <w:t>None</w:t>
            </w:r>
          </w:p>
          <w:p w14:paraId="238D0047" w14:textId="77777777" w:rsidR="000538E3" w:rsidRPr="00AA0F7A" w:rsidRDefault="000538E3" w:rsidP="000538E3">
            <w:pPr>
              <w:rPr>
                <w:sz w:val="16"/>
                <w:szCs w:val="16"/>
              </w:rPr>
            </w:pPr>
            <w:r w:rsidRPr="00AA0F7A">
              <w:rPr>
                <w:sz w:val="16"/>
                <w:szCs w:val="16"/>
              </w:rPr>
              <w:t>Good</w:t>
            </w:r>
          </w:p>
        </w:tc>
        <w:tc>
          <w:tcPr>
            <w:tcW w:w="1635" w:type="dxa"/>
            <w:noWrap/>
          </w:tcPr>
          <w:p w14:paraId="73507C35" w14:textId="77777777" w:rsidR="000538E3" w:rsidRPr="00AA0F7A" w:rsidRDefault="000538E3" w:rsidP="000538E3">
            <w:pPr>
              <w:rPr>
                <w:sz w:val="16"/>
                <w:szCs w:val="16"/>
              </w:rPr>
            </w:pPr>
            <w:r w:rsidRPr="00AA0F7A">
              <w:rPr>
                <w:sz w:val="16"/>
                <w:szCs w:val="16"/>
              </w:rPr>
              <w:t>Wisconsin;</w:t>
            </w:r>
          </w:p>
          <w:p w14:paraId="71B9E3FA" w14:textId="77777777" w:rsidR="000538E3" w:rsidRPr="00AA0F7A" w:rsidRDefault="000538E3" w:rsidP="000538E3">
            <w:pPr>
              <w:rPr>
                <w:sz w:val="16"/>
                <w:szCs w:val="16"/>
              </w:rPr>
            </w:pPr>
            <w:r w:rsidRPr="00AA0F7A">
              <w:rPr>
                <w:sz w:val="16"/>
                <w:szCs w:val="16"/>
              </w:rPr>
              <w:t>Govt;</w:t>
            </w:r>
          </w:p>
          <w:p w14:paraId="036BEF3A" w14:textId="77777777" w:rsidR="000538E3" w:rsidRPr="00AA0F7A" w:rsidRDefault="000538E3" w:rsidP="000538E3">
            <w:pPr>
              <w:rPr>
                <w:i/>
                <w:sz w:val="16"/>
                <w:szCs w:val="16"/>
                <w:u w:val="single"/>
              </w:rPr>
            </w:pPr>
            <w:r>
              <w:rPr>
                <w:i/>
                <w:sz w:val="16"/>
                <w:szCs w:val="16"/>
                <w:u w:val="single"/>
              </w:rPr>
              <w:t>KQ 1</w:t>
            </w:r>
          </w:p>
          <w:p w14:paraId="5EC52BDB" w14:textId="77777777" w:rsidR="000538E3" w:rsidRPr="00C52237" w:rsidRDefault="000538E3" w:rsidP="000538E3">
            <w:pPr>
              <w:rPr>
                <w:sz w:val="16"/>
                <w:szCs w:val="16"/>
              </w:rPr>
            </w:pPr>
            <w:r>
              <w:rPr>
                <w:sz w:val="16"/>
                <w:szCs w:val="16"/>
              </w:rPr>
              <w:t xml:space="preserve">Cross-sectional </w:t>
            </w:r>
          </w:p>
        </w:tc>
        <w:tc>
          <w:tcPr>
            <w:tcW w:w="3443" w:type="dxa"/>
            <w:noWrap/>
          </w:tcPr>
          <w:p w14:paraId="4D305BB5" w14:textId="77777777" w:rsidR="000538E3" w:rsidRPr="00AA0F7A" w:rsidRDefault="000538E3" w:rsidP="000538E3">
            <w:pPr>
              <w:rPr>
                <w:sz w:val="16"/>
                <w:szCs w:val="16"/>
              </w:rPr>
            </w:pPr>
            <w:r w:rsidRPr="00AA0F7A">
              <w:rPr>
                <w:sz w:val="16"/>
                <w:szCs w:val="16"/>
              </w:rPr>
              <w:t>Wisconsin Smokers Health Study (WSHS), re</w:t>
            </w:r>
            <w:r w:rsidRPr="00AA0F7A">
              <w:rPr>
                <w:color w:val="000000"/>
                <w:sz w:val="16"/>
                <w:szCs w:val="16"/>
              </w:rPr>
              <w:t>cruited by TV, radio and newspaper advertisements, flyers, earned media including press conferences, and TV and radio news interviews</w:t>
            </w:r>
            <w:r w:rsidRPr="00AA0F7A">
              <w:rPr>
                <w:sz w:val="16"/>
                <w:szCs w:val="16"/>
              </w:rPr>
              <w:t>; January 2005-June 2007</w:t>
            </w:r>
          </w:p>
        </w:tc>
        <w:tc>
          <w:tcPr>
            <w:tcW w:w="4500" w:type="dxa"/>
            <w:noWrap/>
          </w:tcPr>
          <w:p w14:paraId="533AFEDA" w14:textId="77777777" w:rsidR="000538E3" w:rsidRPr="00AA0F7A" w:rsidRDefault="000538E3" w:rsidP="000538E3">
            <w:pPr>
              <w:rPr>
                <w:sz w:val="16"/>
                <w:szCs w:val="16"/>
              </w:rPr>
            </w:pPr>
            <w:r w:rsidRPr="00AA0F7A">
              <w:rPr>
                <w:sz w:val="16"/>
                <w:szCs w:val="16"/>
              </w:rPr>
              <w:t>Adult smokers (≥10 CPD during the last 6 months) who reported being motivated to quit smoking.</w:t>
            </w:r>
          </w:p>
        </w:tc>
        <w:tc>
          <w:tcPr>
            <w:tcW w:w="1672" w:type="dxa"/>
            <w:noWrap/>
          </w:tcPr>
          <w:p w14:paraId="194FD1B5" w14:textId="77777777" w:rsidR="000538E3" w:rsidRPr="00AA0F7A" w:rsidRDefault="000538E3" w:rsidP="000538E3">
            <w:pPr>
              <w:rPr>
                <w:sz w:val="16"/>
                <w:szCs w:val="16"/>
              </w:rPr>
            </w:pPr>
            <w:r w:rsidRPr="00AA0F7A">
              <w:rPr>
                <w:sz w:val="16"/>
                <w:szCs w:val="16"/>
              </w:rPr>
              <w:t>None</w:t>
            </w:r>
          </w:p>
        </w:tc>
      </w:tr>
      <w:tr w:rsidR="000538E3" w:rsidRPr="00AA0F7A" w14:paraId="7C76B939" w14:textId="77777777" w:rsidTr="00B46744">
        <w:tblPrEx>
          <w:tblCellMar>
            <w:left w:w="108" w:type="dxa"/>
            <w:right w:w="108" w:type="dxa"/>
          </w:tblCellMar>
        </w:tblPrEx>
        <w:trPr>
          <w:cantSplit/>
        </w:trPr>
        <w:tc>
          <w:tcPr>
            <w:tcW w:w="2070" w:type="dxa"/>
            <w:gridSpan w:val="2"/>
            <w:noWrap/>
          </w:tcPr>
          <w:p w14:paraId="1D926C36" w14:textId="76076EDD" w:rsidR="000538E3" w:rsidRDefault="00D2134A" w:rsidP="000538E3">
            <w:pPr>
              <w:rPr>
                <w:sz w:val="16"/>
                <w:szCs w:val="16"/>
              </w:rPr>
            </w:pPr>
            <w:r>
              <w:rPr>
                <w:sz w:val="16"/>
                <w:szCs w:val="16"/>
              </w:rPr>
              <w:fldChar w:fldCharType="begin"/>
            </w:r>
            <w:r>
              <w:rPr>
                <w:sz w:val="16"/>
                <w:szCs w:val="16"/>
              </w:rPr>
              <w:instrText xml:space="preserve"> ADDIN EN.CITE &lt;EndNote&gt;&lt;Cite&gt;&lt;Author&gt;Stahre&lt;/Author&gt;&lt;Year&gt;2010&lt;/Year&gt;&lt;RecNum&gt;57&lt;/RecNum&gt;&lt;DisplayText&gt;(84)&lt;/DisplayText&gt;&lt;record&gt;&lt;rec-number&gt;57&lt;/rec-number&gt;&lt;foreign-keys&gt;&lt;key app="EN" db-id="a2vz2dfp8xrad6exes75zwpiw5rxwa0vwapv" timestamp="0"&gt;57&lt;/key&gt;&lt;/foreign-keys&gt;&lt;ref-type name="Journal Article"&gt;17&lt;/ref-type&gt;&lt;contributors&gt;&lt;authors&gt;&lt;author&gt;Stahre, M.&lt;/author&gt;&lt;author&gt;Okuyemi, K. S.&lt;/author&gt;&lt;author&gt;Joseph, A. M.&lt;/author&gt;&lt;author&gt;Fu, S. S.&lt;/author&gt;&lt;/authors&gt;&lt;/contributors&gt;&lt;auth-address&gt;Department of Epidemiology, University of Minnesota, Memphis, USA.&lt;/auth-address&gt;&lt;titles&gt;&lt;title&gt;Racial/ethnic differences in menthol cigarette smoking, population quit ratios and utilization of evidence-based tobacco cessation treatments&lt;/title&gt;&lt;secondary-title&gt;Addiction&lt;/secondary-title&gt;&lt;/titles&gt;&lt;periodical&gt;&lt;full-title&gt;Addiction&lt;/full-title&gt;&lt;/periodical&gt;&lt;pages&gt;75-83&lt;/pages&gt;&lt;volume&gt;105 Suppl 1&lt;/volume&gt;&lt;keywords&gt;&lt;keyword&gt;Adolescent&lt;/keyword&gt;&lt;keyword&gt;Adult&lt;/keyword&gt;&lt;keyword&gt;Aged&lt;/keyword&gt;&lt;keyword&gt;Epidemiologic Methods&lt;/keyword&gt;&lt;keyword&gt;Ethnic Groups/*statistics &amp;amp; numerical data&lt;/keyword&gt;&lt;keyword&gt;European Continental Ancestry Group/statistics &amp;amp; numerical data&lt;/keyword&gt;&lt;keyword&gt;Female&lt;/keyword&gt;&lt;keyword&gt;Humans&lt;/keyword&gt;&lt;keyword&gt;Male&lt;/keyword&gt;&lt;keyword&gt;*Menthol&lt;/keyword&gt;&lt;keyword&gt;Middle Aged&lt;/keyword&gt;&lt;keyword&gt;Patient Acceptance of Health Care/*ethnology&lt;/keyword&gt;&lt;keyword&gt;Smoking/*ethnology/therapy&lt;/keyword&gt;&lt;keyword&gt;Smoking Cessation/ethnology/*statistics &amp;amp; numerical data&lt;/keyword&gt;&lt;keyword&gt;Socioeconomic Factors&lt;/keyword&gt;&lt;keyword&gt;United States/epidemiology&lt;/keyword&gt;&lt;keyword&gt;Young Adult&lt;/keyword&gt;&lt;/keywords&gt;&lt;dates&gt;&lt;year&gt;2010&lt;/year&gt;&lt;pub-dates&gt;&lt;date&gt;Dec&lt;/date&gt;&lt;/pub-dates&gt;&lt;/dates&gt;&lt;isbn&gt;1360-0443 (Electronic)&amp;#xD;0965-2140 (Linking)&lt;/isbn&gt;&lt;accession-num&gt;21059138&lt;/accession-num&gt;&lt;urls&gt;&lt;related-urls&gt;&lt;url&gt;http://www.ncbi.nlm.nih.gov/pubmed/21059138&lt;/url&gt;&lt;/related-urls&gt;&lt;/urls&gt;&lt;electronic-resource-num&gt;10.1111/j.1360-0443.2010.03200.x&lt;/electronic-resource-num&gt;&lt;research-notes&gt;#285&lt;/research-notes&gt;&lt;/record&gt;&lt;/Cite&gt;&lt;/EndNote&gt;</w:instrText>
            </w:r>
            <w:r>
              <w:rPr>
                <w:sz w:val="16"/>
                <w:szCs w:val="16"/>
              </w:rPr>
              <w:fldChar w:fldCharType="separate"/>
            </w:r>
            <w:r>
              <w:rPr>
                <w:noProof/>
                <w:sz w:val="16"/>
                <w:szCs w:val="16"/>
              </w:rPr>
              <w:t>(</w:t>
            </w:r>
            <w:hyperlink w:anchor="_ENREF_84" w:tooltip="Stahre, 2010 #57" w:history="1">
              <w:r w:rsidR="00A234A9">
                <w:rPr>
                  <w:noProof/>
                  <w:sz w:val="16"/>
                  <w:szCs w:val="16"/>
                </w:rPr>
                <w:t>84</w:t>
              </w:r>
            </w:hyperlink>
            <w:r>
              <w:rPr>
                <w:noProof/>
                <w:sz w:val="16"/>
                <w:szCs w:val="16"/>
              </w:rPr>
              <w:t>)</w:t>
            </w:r>
            <w:r>
              <w:rPr>
                <w:sz w:val="16"/>
                <w:szCs w:val="16"/>
              </w:rPr>
              <w:fldChar w:fldCharType="end"/>
            </w:r>
          </w:p>
          <w:p w14:paraId="154E1CD3" w14:textId="77777777" w:rsidR="000538E3" w:rsidRPr="00AA0F7A" w:rsidRDefault="000538E3" w:rsidP="000538E3">
            <w:pPr>
              <w:rPr>
                <w:sz w:val="16"/>
                <w:szCs w:val="16"/>
              </w:rPr>
            </w:pPr>
            <w:r w:rsidRPr="00AA0F7A">
              <w:rPr>
                <w:sz w:val="16"/>
                <w:szCs w:val="16"/>
              </w:rPr>
              <w:t>NHIS-CCS</w:t>
            </w:r>
            <w:r w:rsidRPr="00AA0F7A">
              <w:rPr>
                <w:sz w:val="16"/>
                <w:szCs w:val="16"/>
              </w:rPr>
              <w:br/>
              <w:t>Fair</w:t>
            </w:r>
          </w:p>
        </w:tc>
        <w:tc>
          <w:tcPr>
            <w:tcW w:w="1635" w:type="dxa"/>
            <w:noWrap/>
          </w:tcPr>
          <w:p w14:paraId="70B48FE2" w14:textId="77777777" w:rsidR="000538E3" w:rsidRPr="00AA0F7A" w:rsidRDefault="000538E3" w:rsidP="000538E3">
            <w:pPr>
              <w:rPr>
                <w:sz w:val="16"/>
                <w:szCs w:val="16"/>
              </w:rPr>
            </w:pPr>
            <w:r w:rsidRPr="00AA0F7A">
              <w:rPr>
                <w:sz w:val="16"/>
                <w:szCs w:val="16"/>
              </w:rPr>
              <w:t xml:space="preserve">National; </w:t>
            </w:r>
          </w:p>
          <w:p w14:paraId="5A00CB02" w14:textId="77777777" w:rsidR="000538E3" w:rsidRPr="00AA0F7A" w:rsidRDefault="000538E3" w:rsidP="000538E3">
            <w:pPr>
              <w:rPr>
                <w:sz w:val="16"/>
                <w:szCs w:val="16"/>
              </w:rPr>
            </w:pPr>
            <w:r w:rsidRPr="00AA0F7A">
              <w:rPr>
                <w:sz w:val="16"/>
                <w:szCs w:val="16"/>
              </w:rPr>
              <w:t>Govt;</w:t>
            </w:r>
          </w:p>
          <w:p w14:paraId="6B78F9F2" w14:textId="77777777" w:rsidR="000538E3" w:rsidRPr="00AA0F7A" w:rsidRDefault="000538E3" w:rsidP="000538E3">
            <w:pPr>
              <w:rPr>
                <w:sz w:val="16"/>
                <w:szCs w:val="16"/>
              </w:rPr>
            </w:pPr>
            <w:r w:rsidRPr="00AA0F7A">
              <w:rPr>
                <w:sz w:val="16"/>
                <w:szCs w:val="16"/>
              </w:rPr>
              <w:t>Cross-sectional</w:t>
            </w:r>
          </w:p>
        </w:tc>
        <w:tc>
          <w:tcPr>
            <w:tcW w:w="3443" w:type="dxa"/>
            <w:noWrap/>
          </w:tcPr>
          <w:p w14:paraId="1B199A2C" w14:textId="77777777" w:rsidR="000538E3" w:rsidRPr="00AA0F7A" w:rsidRDefault="000538E3" w:rsidP="000538E3">
            <w:pPr>
              <w:rPr>
                <w:sz w:val="16"/>
                <w:szCs w:val="16"/>
              </w:rPr>
            </w:pPr>
            <w:r w:rsidRPr="00AA0F7A">
              <w:rPr>
                <w:sz w:val="16"/>
                <w:szCs w:val="16"/>
              </w:rPr>
              <w:t>NHIS-CCS; 2005</w:t>
            </w:r>
          </w:p>
        </w:tc>
        <w:tc>
          <w:tcPr>
            <w:tcW w:w="4500" w:type="dxa"/>
            <w:noWrap/>
          </w:tcPr>
          <w:p w14:paraId="403C5B22" w14:textId="77777777" w:rsidR="000538E3" w:rsidRPr="00AA0F7A" w:rsidRDefault="000538E3" w:rsidP="000538E3">
            <w:pPr>
              <w:rPr>
                <w:sz w:val="16"/>
                <w:szCs w:val="16"/>
              </w:rPr>
            </w:pPr>
            <w:r w:rsidRPr="00AA0F7A">
              <w:rPr>
                <w:sz w:val="16"/>
                <w:szCs w:val="16"/>
              </w:rPr>
              <w:t>Adult current and former smokers age ≥18 for whom menthol status was known.</w:t>
            </w:r>
          </w:p>
        </w:tc>
        <w:tc>
          <w:tcPr>
            <w:tcW w:w="1672" w:type="dxa"/>
            <w:noWrap/>
          </w:tcPr>
          <w:p w14:paraId="6680F653" w14:textId="77777777" w:rsidR="000538E3" w:rsidRPr="00AA0F7A" w:rsidRDefault="000538E3" w:rsidP="000538E3">
            <w:pPr>
              <w:rPr>
                <w:sz w:val="16"/>
                <w:szCs w:val="16"/>
              </w:rPr>
            </w:pPr>
            <w:r w:rsidRPr="00AA0F7A">
              <w:rPr>
                <w:sz w:val="16"/>
                <w:szCs w:val="16"/>
              </w:rPr>
              <w:t>None</w:t>
            </w:r>
          </w:p>
        </w:tc>
      </w:tr>
      <w:tr w:rsidR="000538E3" w:rsidRPr="00AA0F7A" w14:paraId="29138644" w14:textId="77777777" w:rsidTr="00B46744">
        <w:tblPrEx>
          <w:tblCellMar>
            <w:left w:w="108" w:type="dxa"/>
            <w:right w:w="108" w:type="dxa"/>
          </w:tblCellMar>
        </w:tblPrEx>
        <w:trPr>
          <w:cantSplit/>
        </w:trPr>
        <w:tc>
          <w:tcPr>
            <w:tcW w:w="2070" w:type="dxa"/>
            <w:gridSpan w:val="2"/>
            <w:noWrap/>
          </w:tcPr>
          <w:p w14:paraId="71ACAF33" w14:textId="37D53CF4" w:rsidR="000538E3" w:rsidRPr="00AA0F7A" w:rsidRDefault="00D2134A" w:rsidP="000538E3">
            <w:pPr>
              <w:rPr>
                <w:sz w:val="16"/>
                <w:szCs w:val="16"/>
              </w:rPr>
            </w:pPr>
            <w:r>
              <w:rPr>
                <w:sz w:val="16"/>
                <w:szCs w:val="16"/>
              </w:rPr>
              <w:fldChar w:fldCharType="begin">
                <w:fldData xml:space="preserve">PEVuZE5vdGU+PENpdGU+PEF1dGhvcj5TdWxza3k8L0F1dGhvcj48WWVhcj4yMDE0PC9ZZWFyPjxS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</w:fldData>
              </w:fldChar>
            </w:r>
            <w:r>
              <w:rPr>
                <w:sz w:val="16"/>
                <w:szCs w:val="16"/>
              </w:rPr>
              <w:instrText xml:space="preserve"> ADDIN EN.CITE </w:instrText>
            </w:r>
            <w:r>
              <w:rPr>
                <w:sz w:val="16"/>
                <w:szCs w:val="16"/>
              </w:rPr>
              <w:fldChar w:fldCharType="begin">
                <w:fldData xml:space="preserve">PEVuZE5vdGU+PENpdGU+PEF1dGhvcj5TdWxza3k8L0F1dGhvcj48WWVhcj4yMDE0PC9ZZWFyPjxS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</w:fldData>
              </w:fldChar>
            </w:r>
            <w:r>
              <w:rPr>
                <w:sz w:val="16"/>
                <w:szCs w:val="16"/>
              </w:rPr>
              <w:instrText xml:space="preserve"> ADDIN EN.CITE.DATA </w:instrText>
            </w:r>
            <w:r>
              <w:rPr>
                <w:sz w:val="16"/>
                <w:szCs w:val="16"/>
              </w:rPr>
            </w:r>
            <w:r>
              <w:rPr>
                <w:sz w:val="16"/>
                <w:szCs w:val="16"/>
              </w:rPr>
              <w:fldChar w:fldCharType="end"/>
            </w:r>
            <w:r>
              <w:rPr>
                <w:sz w:val="16"/>
                <w:szCs w:val="16"/>
              </w:rPr>
              <w:fldChar w:fldCharType="separate"/>
            </w:r>
            <w:r>
              <w:rPr>
                <w:noProof/>
                <w:sz w:val="16"/>
                <w:szCs w:val="16"/>
              </w:rPr>
              <w:t>(</w:t>
            </w:r>
            <w:hyperlink w:anchor="_ENREF_85" w:tooltip="Sulsky, 2014 #15" w:history="1">
              <w:r w:rsidR="00A234A9">
                <w:rPr>
                  <w:noProof/>
                  <w:sz w:val="16"/>
                  <w:szCs w:val="16"/>
                </w:rPr>
                <w:t>85</w:t>
              </w:r>
            </w:hyperlink>
            <w:r>
              <w:rPr>
                <w:noProof/>
                <w:sz w:val="16"/>
                <w:szCs w:val="16"/>
              </w:rPr>
              <w:t>)</w:t>
            </w:r>
            <w:r>
              <w:rPr>
                <w:sz w:val="16"/>
                <w:szCs w:val="16"/>
              </w:rPr>
              <w:fldChar w:fldCharType="end"/>
            </w:r>
          </w:p>
          <w:p w14:paraId="08CA1C29" w14:textId="77777777" w:rsidR="000538E3" w:rsidRPr="00AA0F7A" w:rsidRDefault="000538E3" w:rsidP="000538E3">
            <w:pPr>
              <w:rPr>
                <w:sz w:val="16"/>
                <w:szCs w:val="16"/>
              </w:rPr>
            </w:pPr>
            <w:r w:rsidRPr="00AA0F7A">
              <w:rPr>
                <w:sz w:val="16"/>
                <w:szCs w:val="16"/>
              </w:rPr>
              <w:t>NHIS, TUS-CPS</w:t>
            </w:r>
          </w:p>
          <w:p w14:paraId="4CA70246" w14:textId="77777777" w:rsidR="000538E3" w:rsidRPr="00AA0F7A" w:rsidRDefault="000538E3" w:rsidP="000538E3">
            <w:pPr>
              <w:rPr>
                <w:sz w:val="16"/>
                <w:szCs w:val="16"/>
              </w:rPr>
            </w:pPr>
            <w:r w:rsidRPr="00AA0F7A">
              <w:rPr>
                <w:sz w:val="16"/>
                <w:szCs w:val="16"/>
              </w:rPr>
              <w:t>Good</w:t>
            </w:r>
          </w:p>
        </w:tc>
        <w:tc>
          <w:tcPr>
            <w:tcW w:w="1635" w:type="dxa"/>
            <w:noWrap/>
          </w:tcPr>
          <w:p w14:paraId="3E0F05CE" w14:textId="77777777" w:rsidR="000538E3" w:rsidRPr="00AA0F7A" w:rsidRDefault="000538E3" w:rsidP="000538E3">
            <w:pPr>
              <w:rPr>
                <w:sz w:val="16"/>
                <w:szCs w:val="16"/>
              </w:rPr>
            </w:pPr>
            <w:r w:rsidRPr="00AA0F7A">
              <w:rPr>
                <w:sz w:val="16"/>
                <w:szCs w:val="16"/>
              </w:rPr>
              <w:t>National;</w:t>
            </w:r>
          </w:p>
          <w:p w14:paraId="615E8986" w14:textId="77777777" w:rsidR="000538E3" w:rsidRPr="00AA0F7A" w:rsidRDefault="000538E3" w:rsidP="000538E3">
            <w:pPr>
              <w:rPr>
                <w:sz w:val="16"/>
                <w:szCs w:val="16"/>
              </w:rPr>
            </w:pPr>
            <w:r w:rsidRPr="00AA0F7A">
              <w:rPr>
                <w:sz w:val="16"/>
                <w:szCs w:val="16"/>
              </w:rPr>
              <w:t>Industry;</w:t>
            </w:r>
          </w:p>
          <w:p w14:paraId="02CEC3C8" w14:textId="77777777" w:rsidR="000538E3" w:rsidRPr="00AA0F7A" w:rsidRDefault="000538E3" w:rsidP="000538E3">
            <w:pPr>
              <w:rPr>
                <w:sz w:val="16"/>
                <w:szCs w:val="16"/>
              </w:rPr>
            </w:pPr>
            <w:r w:rsidRPr="00AA0F7A">
              <w:rPr>
                <w:sz w:val="16"/>
                <w:szCs w:val="16"/>
              </w:rPr>
              <w:t>Cross-sectional</w:t>
            </w:r>
          </w:p>
        </w:tc>
        <w:tc>
          <w:tcPr>
            <w:tcW w:w="3443" w:type="dxa"/>
            <w:noWrap/>
          </w:tcPr>
          <w:p w14:paraId="51398AEC" w14:textId="77777777" w:rsidR="000538E3" w:rsidRPr="00AA0F7A" w:rsidRDefault="000538E3" w:rsidP="000538E3">
            <w:pPr>
              <w:rPr>
                <w:sz w:val="16"/>
                <w:szCs w:val="16"/>
              </w:rPr>
            </w:pPr>
            <w:r w:rsidRPr="00AA0F7A">
              <w:rPr>
                <w:sz w:val="16"/>
                <w:szCs w:val="16"/>
              </w:rPr>
              <w:t>NHIS; 2005, 2010</w:t>
            </w:r>
          </w:p>
          <w:p w14:paraId="27937394" w14:textId="77777777" w:rsidR="000538E3" w:rsidRPr="00AA0F7A" w:rsidRDefault="000538E3" w:rsidP="000538E3">
            <w:pPr>
              <w:rPr>
                <w:sz w:val="16"/>
                <w:szCs w:val="16"/>
              </w:rPr>
            </w:pPr>
            <w:r w:rsidRPr="00AA0F7A">
              <w:rPr>
                <w:sz w:val="16"/>
                <w:szCs w:val="16"/>
              </w:rPr>
              <w:t>TUS-CPS; 2010-2011</w:t>
            </w:r>
          </w:p>
        </w:tc>
        <w:tc>
          <w:tcPr>
            <w:tcW w:w="4500" w:type="dxa"/>
            <w:noWrap/>
          </w:tcPr>
          <w:p w14:paraId="5EC5B833" w14:textId="77777777" w:rsidR="000538E3" w:rsidRPr="00AA0F7A" w:rsidRDefault="000538E3" w:rsidP="000538E3">
            <w:pPr>
              <w:rPr>
                <w:sz w:val="16"/>
                <w:szCs w:val="16"/>
              </w:rPr>
            </w:pPr>
            <w:r w:rsidRPr="00AA0F7A">
              <w:rPr>
                <w:sz w:val="16"/>
                <w:szCs w:val="16"/>
              </w:rPr>
              <w:t>Adult current smokers (≥100 lifetime cigs) and former smokers (≥100 lifetime cigs who quit ≥1 year before survey).</w:t>
            </w:r>
          </w:p>
        </w:tc>
        <w:tc>
          <w:tcPr>
            <w:tcW w:w="1672" w:type="dxa"/>
            <w:noWrap/>
          </w:tcPr>
          <w:p w14:paraId="623868A6" w14:textId="77777777" w:rsidR="000538E3" w:rsidRPr="00AA0F7A" w:rsidRDefault="000538E3" w:rsidP="000538E3">
            <w:pPr>
              <w:rPr>
                <w:sz w:val="16"/>
                <w:szCs w:val="16"/>
              </w:rPr>
            </w:pPr>
            <w:r w:rsidRPr="00AA0F7A">
              <w:rPr>
                <w:sz w:val="16"/>
                <w:szCs w:val="16"/>
              </w:rPr>
              <w:t>None</w:t>
            </w:r>
          </w:p>
        </w:tc>
      </w:tr>
      <w:tr w:rsidR="000538E3" w:rsidRPr="00AA0F7A" w14:paraId="4BD433EA" w14:textId="77777777" w:rsidTr="00B46744">
        <w:tblPrEx>
          <w:tblCellMar>
            <w:left w:w="108" w:type="dxa"/>
            <w:right w:w="108" w:type="dxa"/>
          </w:tblCellMar>
        </w:tblPrEx>
        <w:trPr>
          <w:cantSplit/>
        </w:trPr>
        <w:tc>
          <w:tcPr>
            <w:tcW w:w="2070" w:type="dxa"/>
            <w:gridSpan w:val="2"/>
            <w:noWrap/>
          </w:tcPr>
          <w:p w14:paraId="6D12AFFF" w14:textId="5FF85A19" w:rsidR="000538E3" w:rsidRDefault="00D2134A" w:rsidP="000538E3">
            <w:pPr>
              <w:rPr>
                <w:sz w:val="16"/>
                <w:szCs w:val="16"/>
              </w:rPr>
            </w:pPr>
            <w:r>
              <w:rPr>
                <w:sz w:val="16"/>
                <w:szCs w:val="16"/>
              </w:rPr>
              <w:fldChar w:fldCharType="begin"/>
            </w:r>
            <w:r>
              <w:rPr>
                <w:sz w:val="16"/>
                <w:szCs w:val="16"/>
              </w:rPr>
              <w:instrText xml:space="preserve"> ADDIN EN.CITE &lt;EndNote&gt;&lt;Cite&gt;&lt;Author&gt;Villanti&lt;/Author&gt;&lt;Year&gt;2012&lt;/Year&gt;&lt;RecNum&gt;37&lt;/RecNum&gt;&lt;DisplayText&gt;(86)&lt;/DisplayText&gt;&lt;record&gt;&lt;rec-number&gt;37&lt;/rec-number&gt;&lt;foreign-keys&gt;&lt;key app="EN" db-id="a2vz2dfp8xrad6exes75zwpiw5rxwa0vwapv" timestamp="0"&gt;37&lt;/key&gt;&lt;/foreign-keys&gt;&lt;ref-type name="Journal Article"&gt;17&lt;/ref-type&gt;&lt;contributors&gt;&lt;authors&gt;&lt;author&gt;Villanti, A. C. &lt;/author&gt;&lt;author&gt;Giovino, G. A.&lt;/author&gt;&lt;author&gt;Barker, D. C.&lt;/author&gt;&lt;author&gt;Mowery, P.&lt;/author&gt;&lt;author&gt;Sevilimedu, V.&lt;/author&gt;&lt;author&gt;Abrams, D. B.&lt;/author&gt;&lt;/authors&gt;&lt;/contributors&gt;&lt;titles&gt;&lt;title&gt;Menthol brand switching among adolescents and young adults in the national youth smoking cessation survey&lt;/title&gt;&lt;secondary-title&gt;Am J Public Health&lt;/secondary-title&gt;&lt;/titles&gt;&lt;periodical&gt;&lt;full-title&gt;Am J Public Health&lt;/full-title&gt;&lt;/periodical&gt;&lt;pages&gt;1310-12&lt;/pages&gt;&lt;volume&gt;102&lt;/volume&gt;&lt;number&gt;7&lt;/number&gt;&lt;dates&gt;&lt;year&gt;2012&lt;/year&gt;&lt;pub-dates&gt;&lt;date&gt;Oct&lt;/date&gt;&lt;/pub-dates&gt;&lt;/dates&gt;&lt;urls&gt;&lt;/urls&gt;&lt;research-notes&gt;#191&lt;/research-notes&gt;&lt;/record&gt;&lt;/Cite&gt;&lt;/EndNote&gt;</w:instrText>
            </w:r>
            <w:r>
              <w:rPr>
                <w:sz w:val="16"/>
                <w:szCs w:val="16"/>
              </w:rPr>
              <w:fldChar w:fldCharType="separate"/>
            </w:r>
            <w:r>
              <w:rPr>
                <w:noProof/>
                <w:sz w:val="16"/>
                <w:szCs w:val="16"/>
              </w:rPr>
              <w:t>(</w:t>
            </w:r>
            <w:hyperlink w:anchor="_ENREF_86" w:tooltip="Villanti, 2012 #37" w:history="1">
              <w:r w:rsidR="00A234A9">
                <w:rPr>
                  <w:noProof/>
                  <w:sz w:val="16"/>
                  <w:szCs w:val="16"/>
                </w:rPr>
                <w:t>86</w:t>
              </w:r>
            </w:hyperlink>
            <w:r>
              <w:rPr>
                <w:noProof/>
                <w:sz w:val="16"/>
                <w:szCs w:val="16"/>
              </w:rPr>
              <w:t>)</w:t>
            </w:r>
            <w:r>
              <w:rPr>
                <w:sz w:val="16"/>
                <w:szCs w:val="16"/>
              </w:rPr>
              <w:fldChar w:fldCharType="end"/>
            </w:r>
          </w:p>
          <w:p w14:paraId="00F6CCEA" w14:textId="77777777" w:rsidR="000538E3" w:rsidRPr="00AA0F7A" w:rsidRDefault="000538E3" w:rsidP="000538E3">
            <w:pPr>
              <w:rPr>
                <w:sz w:val="16"/>
                <w:szCs w:val="16"/>
              </w:rPr>
            </w:pPr>
            <w:r w:rsidRPr="00AA0F7A">
              <w:rPr>
                <w:sz w:val="16"/>
                <w:szCs w:val="16"/>
              </w:rPr>
              <w:t xml:space="preserve">NYSCS </w:t>
            </w:r>
          </w:p>
          <w:p w14:paraId="171FE97A" w14:textId="77777777" w:rsidR="000538E3" w:rsidRPr="00AA0F7A" w:rsidRDefault="000538E3" w:rsidP="000538E3">
            <w:pPr>
              <w:rPr>
                <w:sz w:val="16"/>
                <w:szCs w:val="16"/>
              </w:rPr>
            </w:pPr>
            <w:r w:rsidRPr="00AA0F7A">
              <w:rPr>
                <w:sz w:val="16"/>
                <w:szCs w:val="16"/>
              </w:rPr>
              <w:t>Fair</w:t>
            </w:r>
          </w:p>
        </w:tc>
        <w:tc>
          <w:tcPr>
            <w:tcW w:w="1635" w:type="dxa"/>
            <w:noWrap/>
          </w:tcPr>
          <w:p w14:paraId="3E4CB734" w14:textId="77777777" w:rsidR="000538E3" w:rsidRPr="00AA0F7A" w:rsidRDefault="000538E3" w:rsidP="000538E3">
            <w:pPr>
              <w:rPr>
                <w:sz w:val="16"/>
                <w:szCs w:val="16"/>
              </w:rPr>
            </w:pPr>
            <w:r w:rsidRPr="00AA0F7A">
              <w:rPr>
                <w:sz w:val="16"/>
                <w:szCs w:val="16"/>
              </w:rPr>
              <w:t>National;</w:t>
            </w:r>
          </w:p>
          <w:p w14:paraId="201D089E" w14:textId="77777777" w:rsidR="000538E3" w:rsidRPr="00AA0F7A" w:rsidRDefault="000538E3" w:rsidP="000538E3">
            <w:pPr>
              <w:rPr>
                <w:sz w:val="16"/>
                <w:szCs w:val="16"/>
              </w:rPr>
            </w:pPr>
            <w:r w:rsidRPr="00AA0F7A">
              <w:rPr>
                <w:sz w:val="16"/>
                <w:szCs w:val="16"/>
              </w:rPr>
              <w:t>Foundation;</w:t>
            </w:r>
          </w:p>
          <w:p w14:paraId="14E0528B" w14:textId="77777777" w:rsidR="000538E3" w:rsidRPr="00AA0F7A" w:rsidRDefault="000538E3" w:rsidP="000538E3">
            <w:pPr>
              <w:rPr>
                <w:sz w:val="16"/>
                <w:szCs w:val="16"/>
              </w:rPr>
            </w:pPr>
            <w:r w:rsidRPr="00AA0F7A">
              <w:rPr>
                <w:sz w:val="16"/>
                <w:szCs w:val="16"/>
              </w:rPr>
              <w:t>Prospective cohort</w:t>
            </w:r>
          </w:p>
        </w:tc>
        <w:tc>
          <w:tcPr>
            <w:tcW w:w="3443" w:type="dxa"/>
            <w:noWrap/>
          </w:tcPr>
          <w:p w14:paraId="7CCB5A5C" w14:textId="77777777" w:rsidR="000538E3" w:rsidRPr="00AA0F7A" w:rsidRDefault="000538E3" w:rsidP="000538E3">
            <w:pPr>
              <w:rPr>
                <w:sz w:val="16"/>
                <w:szCs w:val="16"/>
              </w:rPr>
            </w:pPr>
            <w:r w:rsidRPr="00AA0F7A">
              <w:rPr>
                <w:sz w:val="16"/>
                <w:szCs w:val="16"/>
              </w:rPr>
              <w:t>NYSCS; 2003-2005</w:t>
            </w:r>
          </w:p>
        </w:tc>
        <w:tc>
          <w:tcPr>
            <w:tcW w:w="4500" w:type="dxa"/>
            <w:noWrap/>
          </w:tcPr>
          <w:p w14:paraId="205680A6" w14:textId="77777777" w:rsidR="000538E3" w:rsidRPr="00AA0F7A" w:rsidRDefault="000538E3" w:rsidP="000538E3">
            <w:pPr>
              <w:rPr>
                <w:sz w:val="16"/>
                <w:szCs w:val="16"/>
              </w:rPr>
            </w:pPr>
            <w:r w:rsidRPr="00AA0F7A">
              <w:rPr>
                <w:sz w:val="16"/>
                <w:szCs w:val="16"/>
              </w:rPr>
              <w:t xml:space="preserve">Youth and young adults age 16-24 who smoked ≥20 lifetime cigs and smoked ≥once during the previous 30 days. </w:t>
            </w:r>
          </w:p>
        </w:tc>
        <w:tc>
          <w:tcPr>
            <w:tcW w:w="1672" w:type="dxa"/>
            <w:noWrap/>
          </w:tcPr>
          <w:p w14:paraId="31921248" w14:textId="77777777" w:rsidR="000538E3" w:rsidRPr="00AA0F7A" w:rsidRDefault="000538E3" w:rsidP="000538E3">
            <w:pPr>
              <w:rPr>
                <w:sz w:val="16"/>
                <w:szCs w:val="16"/>
              </w:rPr>
            </w:pPr>
            <w:r w:rsidRPr="00AA0F7A">
              <w:rPr>
                <w:sz w:val="16"/>
                <w:szCs w:val="16"/>
              </w:rPr>
              <w:t>Y</w:t>
            </w:r>
            <w:r>
              <w:rPr>
                <w:sz w:val="16"/>
                <w:szCs w:val="16"/>
              </w:rPr>
              <w:t>outh and young adults age 16-24</w:t>
            </w:r>
          </w:p>
        </w:tc>
      </w:tr>
    </w:tbl>
    <w:p w14:paraId="26D87718" w14:textId="77777777" w:rsidR="00D04C52" w:rsidRDefault="00D04C52" w:rsidP="00B46744">
      <w:pPr>
        <w:contextualSpacing/>
        <w:jc w:val="both"/>
        <w:rPr>
          <w:sz w:val="16"/>
          <w:szCs w:val="16"/>
        </w:rPr>
      </w:pPr>
      <w:proofErr w:type="spellStart"/>
      <w:r w:rsidRPr="00AA0F7A">
        <w:rPr>
          <w:sz w:val="16"/>
          <w:szCs w:val="16"/>
          <w:vertAlign w:val="superscript"/>
        </w:rPr>
        <w:t>a</w:t>
      </w:r>
      <w:proofErr w:type="spellEnd"/>
      <w:r w:rsidRPr="00AA0F7A">
        <w:rPr>
          <w:sz w:val="16"/>
          <w:szCs w:val="16"/>
        </w:rPr>
        <w:t xml:space="preserve"> Additional details of sampling and recruitment strategies for the larger and/or national surveys can be found in the National Survey Details table, </w:t>
      </w:r>
      <w:r>
        <w:rPr>
          <w:b/>
          <w:sz w:val="16"/>
          <w:szCs w:val="16"/>
        </w:rPr>
        <w:t xml:space="preserve">SUPPLEMENTAL SECTION </w:t>
      </w:r>
      <w:r w:rsidR="00B97391">
        <w:rPr>
          <w:b/>
          <w:sz w:val="16"/>
          <w:szCs w:val="16"/>
        </w:rPr>
        <w:t>10</w:t>
      </w:r>
      <w:r>
        <w:rPr>
          <w:sz w:val="16"/>
          <w:szCs w:val="16"/>
        </w:rPr>
        <w:t>, below</w:t>
      </w:r>
      <w:r w:rsidRPr="00AA0F7A">
        <w:rPr>
          <w:sz w:val="16"/>
          <w:szCs w:val="16"/>
        </w:rPr>
        <w:t>.</w:t>
      </w:r>
    </w:p>
    <w:p w14:paraId="595D9A73" w14:textId="77777777" w:rsidR="00D04C52" w:rsidRPr="002F5626" w:rsidRDefault="00D04C52" w:rsidP="00B46744">
      <w:pPr>
        <w:jc w:val="both"/>
        <w:rPr>
          <w:sz w:val="16"/>
          <w:szCs w:val="16"/>
        </w:rPr>
      </w:pPr>
      <w:r w:rsidRPr="002F5626">
        <w:rPr>
          <w:sz w:val="16"/>
          <w:szCs w:val="16"/>
          <w:vertAlign w:val="superscript"/>
        </w:rPr>
        <w:t>b</w:t>
      </w:r>
      <w:r>
        <w:rPr>
          <w:sz w:val="16"/>
          <w:szCs w:val="16"/>
          <w:vertAlign w:val="superscript"/>
        </w:rPr>
        <w:t xml:space="preserve"> </w:t>
      </w:r>
      <w:r>
        <w:rPr>
          <w:sz w:val="16"/>
          <w:szCs w:val="16"/>
        </w:rPr>
        <w:t>Two references but considered as one study.</w:t>
      </w:r>
    </w:p>
    <w:p w14:paraId="76FB1999" w14:textId="77777777" w:rsidR="00D04C52" w:rsidRPr="00AA0F7A" w:rsidRDefault="00D04C52" w:rsidP="00B46744">
      <w:pPr>
        <w:jc w:val="both"/>
        <w:rPr>
          <w:sz w:val="16"/>
          <w:szCs w:val="16"/>
        </w:rPr>
      </w:pPr>
      <w:r>
        <w:rPr>
          <w:sz w:val="16"/>
          <w:szCs w:val="16"/>
        </w:rPr>
        <w:t>A</w:t>
      </w:r>
      <w:r w:rsidRPr="00AA0F7A">
        <w:rPr>
          <w:sz w:val="16"/>
          <w:szCs w:val="16"/>
        </w:rPr>
        <w:t xml:space="preserve">bbreviations: AHF=American Health Foundation Hospital-based Multi-center Case-control study; ALLTURS=American Legacy Longitudinal Tobacco Use Reduction Study; BRFSS=Behavioral Risk Factor Surveillance System; CARDIA=Coronary Artery Risk Development in Young Adults Study; CO=carbon monoxide; COMMIT=Community Intervention Trial for Smoking Cessation; COPDGene=Chronic Obstructive Pulmonary Disease Gene Study; CPD=cigarettes per day; cigs=cigarettes; DANDY=Development and Assessment of Nicotine Dependence in Youths; Govt=government; HH=household; HMO=health maintenance organization; ITC-4=International Tobacco Control Four Country Survey (U.S. data only); ITCPES=International Tobacco Control Policy Evaluation Survey; KIS-III=Kick it at Swope III Trial; </w:t>
      </w:r>
      <w:r>
        <w:rPr>
          <w:sz w:val="16"/>
          <w:szCs w:val="16"/>
        </w:rPr>
        <w:t xml:space="preserve">KQ 1 = key question 1; </w:t>
      </w:r>
      <w:r w:rsidRPr="00AA0F7A">
        <w:rPr>
          <w:sz w:val="16"/>
          <w:szCs w:val="16"/>
        </w:rPr>
        <w:t xml:space="preserve">LHS=Lung Health Study; LYAC=Legacy Young Adult Cohort; NBVS=National Biochemical Validation Survey; NHANES=National Health and Nutrition Examination Survey; NHIS=National Health Interview Survey; NHIS-CCS=National Health Interview Survey Cancer Control Supplement; NPGP=New York City Nicotine Patch and Gum Program; NR=not reported; </w:t>
      </w:r>
      <w:r w:rsidRPr="00AA0F7A">
        <w:rPr>
          <w:sz w:val="16"/>
          <w:szCs w:val="16"/>
        </w:rPr>
        <w:lastRenderedPageBreak/>
        <w:t>NSDUH=National Survey on Drug Use and Health; NYAHS=National Young Adult Health Survey; NYSCS=National Youth Smoking Cessation Survey; NYTS=National Youth Tobacco Survey; ppm=parts per million; SCCS=Southern Community Cohort Study; TES=Total Exposure Study; TUS-CPS=Tobacco Use Supplement to the Current Population Survey; TV=television; VA=Veterans Health Administration; WSHS=Wisconsin Smokers Health Study.</w:t>
      </w:r>
    </w:p>
    <w:p w14:paraId="1A11EB09" w14:textId="77777777" w:rsidR="00D04C52" w:rsidRDefault="00D04C52" w:rsidP="00B46744">
      <w:pPr>
        <w:rPr>
          <w:sz w:val="16"/>
          <w:szCs w:val="16"/>
        </w:rPr>
      </w:pPr>
    </w:p>
    <w:p w14:paraId="3C7273D7" w14:textId="77777777" w:rsidR="00EA69AA" w:rsidRDefault="00EA69AA" w:rsidP="00B46744">
      <w:pPr>
        <w:rPr>
          <w:sz w:val="16"/>
          <w:szCs w:val="16"/>
        </w:rPr>
        <w:sectPr w:rsidR="00EA69AA" w:rsidSect="00EA69AA">
          <w:pgSz w:w="15840" w:h="12240" w:orient="landscape"/>
          <w:pgMar w:top="1440" w:right="1440" w:bottom="1440" w:left="1440" w:header="720" w:footer="720" w:gutter="0"/>
          <w:cols w:space="720"/>
          <w:docGrid w:linePitch="360"/>
        </w:sectPr>
      </w:pPr>
    </w:p>
    <w:p w14:paraId="0DD2C218" w14:textId="77777777" w:rsidR="00D04C52" w:rsidRPr="00B73C56" w:rsidRDefault="00D04C52" w:rsidP="00EA69AA">
      <w:pPr>
        <w:pStyle w:val="AppChapterHeading"/>
        <w:outlineLvl w:val="1"/>
        <w:rPr>
          <w:rFonts w:asciiTheme="minorHAnsi" w:hAnsiTheme="minorHAnsi"/>
          <w:sz w:val="22"/>
          <w:szCs w:val="22"/>
        </w:rPr>
      </w:pPr>
      <w:bookmarkStart w:id="10" w:name="_Toc472735598"/>
      <w:r w:rsidRPr="00B73C56">
        <w:rPr>
          <w:rFonts w:asciiTheme="minorHAnsi" w:hAnsiTheme="minorHAnsi"/>
          <w:sz w:val="22"/>
          <w:szCs w:val="22"/>
        </w:rPr>
        <w:lastRenderedPageBreak/>
        <w:t>Evidence Tables, National Survey Details</w:t>
      </w:r>
      <w:bookmarkEnd w:id="10"/>
      <w:r w:rsidRPr="00B73C56">
        <w:rPr>
          <w:rFonts w:asciiTheme="minorHAnsi" w:hAnsiTheme="minorHAnsi"/>
          <w:sz w:val="22"/>
          <w:szCs w:val="22"/>
        </w:rPr>
        <w:t xml:space="preserve"> </w:t>
      </w:r>
    </w:p>
    <w:tbl>
      <w:tblPr>
        <w:tblStyle w:val="TableGrid"/>
        <w:tblW w:w="5000" w:type="pct"/>
        <w:tblLook w:val="04A0" w:firstRow="1" w:lastRow="0" w:firstColumn="1" w:lastColumn="0" w:noHBand="0" w:noVBand="1"/>
      </w:tblPr>
      <w:tblGrid>
        <w:gridCol w:w="2500"/>
        <w:gridCol w:w="1588"/>
        <w:gridCol w:w="5262"/>
      </w:tblGrid>
      <w:tr w:rsidR="00D04C52" w:rsidRPr="00B73C56" w14:paraId="206032BA" w14:textId="77777777" w:rsidTr="00B46744">
        <w:tc>
          <w:tcPr>
            <w:tcW w:w="1337" w:type="pct"/>
            <w:shd w:val="clear" w:color="auto" w:fill="44546A" w:themeFill="text2"/>
          </w:tcPr>
          <w:p w14:paraId="696CD507" w14:textId="77777777" w:rsidR="00D04C52" w:rsidRPr="00B73C56" w:rsidRDefault="00D04C52" w:rsidP="00B46744">
            <w:pPr>
              <w:jc w:val="center"/>
              <w:rPr>
                <w:b/>
                <w:color w:val="FFFFFF" w:themeColor="background1"/>
                <w:sz w:val="18"/>
                <w:szCs w:val="18"/>
              </w:rPr>
            </w:pPr>
            <w:r w:rsidRPr="00B73C56">
              <w:rPr>
                <w:b/>
                <w:color w:val="FFFFFF" w:themeColor="background1"/>
                <w:sz w:val="18"/>
                <w:szCs w:val="18"/>
              </w:rPr>
              <w:t>Survey Name</w:t>
            </w:r>
          </w:p>
        </w:tc>
        <w:tc>
          <w:tcPr>
            <w:tcW w:w="849" w:type="pct"/>
            <w:shd w:val="clear" w:color="auto" w:fill="44546A" w:themeFill="text2"/>
          </w:tcPr>
          <w:p w14:paraId="0F35643C" w14:textId="77777777" w:rsidR="00D04C52" w:rsidRPr="00B73C56" w:rsidRDefault="00D04C52" w:rsidP="00B46744">
            <w:pPr>
              <w:jc w:val="center"/>
              <w:rPr>
                <w:b/>
                <w:color w:val="FFFFFF" w:themeColor="background1"/>
                <w:sz w:val="18"/>
                <w:szCs w:val="18"/>
              </w:rPr>
            </w:pPr>
            <w:r w:rsidRPr="00B73C56">
              <w:rPr>
                <w:b/>
                <w:color w:val="FFFFFF" w:themeColor="background1"/>
                <w:sz w:val="18"/>
                <w:szCs w:val="18"/>
              </w:rPr>
              <w:t>Type of Study (Cross-sectional or Prospective Cohort)</w:t>
            </w:r>
          </w:p>
        </w:tc>
        <w:tc>
          <w:tcPr>
            <w:tcW w:w="2814" w:type="pct"/>
            <w:shd w:val="clear" w:color="auto" w:fill="44546A" w:themeFill="text2"/>
          </w:tcPr>
          <w:p w14:paraId="0E52FA7C" w14:textId="77777777" w:rsidR="00D04C52" w:rsidRPr="00B73C56" w:rsidRDefault="00D04C52" w:rsidP="00B46744">
            <w:pPr>
              <w:jc w:val="center"/>
              <w:rPr>
                <w:b/>
                <w:color w:val="FFFFFF" w:themeColor="background1"/>
                <w:sz w:val="18"/>
                <w:szCs w:val="18"/>
              </w:rPr>
            </w:pPr>
            <w:r w:rsidRPr="00B73C56">
              <w:rPr>
                <w:b/>
                <w:color w:val="FFFFFF" w:themeColor="background1"/>
                <w:sz w:val="18"/>
                <w:szCs w:val="18"/>
              </w:rPr>
              <w:t>Sampling / Recruitment Strategy</w:t>
            </w:r>
          </w:p>
        </w:tc>
      </w:tr>
      <w:tr w:rsidR="000538E3" w:rsidRPr="00B73C56" w14:paraId="3A259C48" w14:textId="77777777" w:rsidTr="00B46744">
        <w:tc>
          <w:tcPr>
            <w:tcW w:w="1337" w:type="pct"/>
          </w:tcPr>
          <w:p w14:paraId="2586CE95" w14:textId="77777777" w:rsidR="000538E3" w:rsidRPr="00061E60" w:rsidRDefault="000538E3" w:rsidP="000538E3">
            <w:pPr>
              <w:rPr>
                <w:sz w:val="18"/>
                <w:szCs w:val="18"/>
              </w:rPr>
            </w:pPr>
            <w:r>
              <w:rPr>
                <w:rFonts w:ascii="Calibri" w:hAnsi="Calibri" w:cs="Calibri"/>
                <w:sz w:val="18"/>
                <w:szCs w:val="18"/>
              </w:rPr>
              <w:t>American Legacy Longitudinal Tobacco Use Reduction Study (ALLTURS)</w:t>
            </w:r>
          </w:p>
        </w:tc>
        <w:tc>
          <w:tcPr>
            <w:tcW w:w="849" w:type="pct"/>
          </w:tcPr>
          <w:p w14:paraId="3FAFE8C5" w14:textId="77777777" w:rsidR="000538E3" w:rsidRPr="00061E60" w:rsidRDefault="000538E3" w:rsidP="000538E3">
            <w:pPr>
              <w:rPr>
                <w:sz w:val="18"/>
                <w:szCs w:val="18"/>
              </w:rPr>
            </w:pPr>
            <w:r>
              <w:rPr>
                <w:rFonts w:ascii="Calibri" w:hAnsi="Calibri" w:cs="Calibri"/>
                <w:sz w:val="18"/>
                <w:szCs w:val="18"/>
              </w:rPr>
              <w:t>Prospective cohort</w:t>
            </w:r>
          </w:p>
        </w:tc>
        <w:tc>
          <w:tcPr>
            <w:tcW w:w="2814" w:type="pct"/>
          </w:tcPr>
          <w:p w14:paraId="5A81A1B6" w14:textId="77777777" w:rsidR="000538E3" w:rsidRPr="00061E60" w:rsidRDefault="000538E3" w:rsidP="000538E3">
            <w:pPr>
              <w:rPr>
                <w:color w:val="000000"/>
                <w:sz w:val="18"/>
                <w:szCs w:val="18"/>
              </w:rPr>
            </w:pPr>
            <w:r>
              <w:rPr>
                <w:rFonts w:ascii="Calibri" w:hAnsi="Calibri" w:cs="Calibri"/>
                <w:color w:val="000000"/>
                <w:sz w:val="18"/>
                <w:szCs w:val="18"/>
              </w:rPr>
              <w:t>Longitudinal school-based survey of middle school and high school youth conducted in 83 schools in 7 communities and 5 states with three waves from 2000 through 2003.</w:t>
            </w:r>
          </w:p>
        </w:tc>
      </w:tr>
      <w:tr w:rsidR="00D04C52" w:rsidRPr="00B73C56" w14:paraId="10A87366" w14:textId="77777777" w:rsidTr="00B46744">
        <w:tc>
          <w:tcPr>
            <w:tcW w:w="1337" w:type="pct"/>
          </w:tcPr>
          <w:p w14:paraId="4FE955D7" w14:textId="77777777" w:rsidR="00D04C52" w:rsidRPr="00061E60" w:rsidRDefault="00D04C52" w:rsidP="00B46744">
            <w:pPr>
              <w:rPr>
                <w:sz w:val="18"/>
                <w:szCs w:val="18"/>
              </w:rPr>
            </w:pPr>
            <w:r w:rsidRPr="00061E60">
              <w:rPr>
                <w:sz w:val="18"/>
                <w:szCs w:val="18"/>
              </w:rPr>
              <w:t>International Tobacco Control Policy Evaluation Survey (ITCPES) / Tobacco Control Four Country Survey (ITC-4)</w:t>
            </w:r>
          </w:p>
        </w:tc>
        <w:tc>
          <w:tcPr>
            <w:tcW w:w="849" w:type="pct"/>
          </w:tcPr>
          <w:p w14:paraId="458EF139" w14:textId="77777777" w:rsidR="00D04C52" w:rsidRPr="00061E60" w:rsidRDefault="00D04C52" w:rsidP="00B46744">
            <w:pPr>
              <w:rPr>
                <w:sz w:val="18"/>
                <w:szCs w:val="18"/>
              </w:rPr>
            </w:pPr>
            <w:r w:rsidRPr="00061E60">
              <w:rPr>
                <w:sz w:val="18"/>
                <w:szCs w:val="18"/>
              </w:rPr>
              <w:t>Prospective cohort</w:t>
            </w:r>
          </w:p>
        </w:tc>
        <w:tc>
          <w:tcPr>
            <w:tcW w:w="2814" w:type="pct"/>
          </w:tcPr>
          <w:p w14:paraId="17C8E290" w14:textId="77777777" w:rsidR="00D04C52" w:rsidRPr="00061E60" w:rsidRDefault="00D04C52" w:rsidP="00B46744">
            <w:pPr>
              <w:rPr>
                <w:color w:val="000000"/>
                <w:sz w:val="18"/>
                <w:szCs w:val="18"/>
              </w:rPr>
            </w:pPr>
            <w:r w:rsidRPr="00061E60">
              <w:rPr>
                <w:color w:val="000000"/>
                <w:sz w:val="18"/>
                <w:szCs w:val="18"/>
              </w:rPr>
              <w:t xml:space="preserve">Random digit dialing to recruit adult smokers from the United States, Canada, the United Kingdom, and Australia. Eight waves have been completed between 2002 and 2011. Only U.S. data are included in this </w:t>
            </w:r>
            <w:r>
              <w:rPr>
                <w:color w:val="000000"/>
                <w:sz w:val="18"/>
                <w:szCs w:val="18"/>
              </w:rPr>
              <w:t>review</w:t>
            </w:r>
            <w:r w:rsidRPr="00061E60">
              <w:rPr>
                <w:color w:val="000000"/>
                <w:sz w:val="18"/>
                <w:szCs w:val="18"/>
              </w:rPr>
              <w:t>.</w:t>
            </w:r>
          </w:p>
        </w:tc>
      </w:tr>
      <w:tr w:rsidR="00D04C52" w:rsidRPr="00B73C56" w14:paraId="1D0A1E54" w14:textId="77777777" w:rsidTr="00B46744">
        <w:tc>
          <w:tcPr>
            <w:tcW w:w="1337" w:type="pct"/>
          </w:tcPr>
          <w:p w14:paraId="295FD5AA" w14:textId="77777777" w:rsidR="00D04C52" w:rsidRPr="00B73C56" w:rsidRDefault="00D04C52" w:rsidP="00B46744">
            <w:pPr>
              <w:rPr>
                <w:sz w:val="18"/>
                <w:szCs w:val="18"/>
              </w:rPr>
            </w:pPr>
            <w:r w:rsidRPr="00B73C56">
              <w:rPr>
                <w:sz w:val="18"/>
                <w:szCs w:val="18"/>
              </w:rPr>
              <w:t>Legacy Young Adult Cohort (LYAC)</w:t>
            </w:r>
          </w:p>
        </w:tc>
        <w:tc>
          <w:tcPr>
            <w:tcW w:w="849" w:type="pct"/>
          </w:tcPr>
          <w:p w14:paraId="5C94AAC8" w14:textId="77777777" w:rsidR="00D04C52" w:rsidRPr="00B73C56" w:rsidRDefault="00D04C52" w:rsidP="00B46744">
            <w:pPr>
              <w:rPr>
                <w:sz w:val="18"/>
                <w:szCs w:val="18"/>
              </w:rPr>
            </w:pPr>
            <w:r w:rsidRPr="00B73C56">
              <w:rPr>
                <w:sz w:val="18"/>
                <w:szCs w:val="18"/>
              </w:rPr>
              <w:t>Prospective cohort</w:t>
            </w:r>
          </w:p>
        </w:tc>
        <w:tc>
          <w:tcPr>
            <w:tcW w:w="2814" w:type="pct"/>
          </w:tcPr>
          <w:p w14:paraId="4E689432" w14:textId="77777777" w:rsidR="00D04C52" w:rsidRPr="00B73C56" w:rsidRDefault="00D04C52" w:rsidP="00B46744">
            <w:pPr>
              <w:rPr>
                <w:color w:val="000000"/>
                <w:sz w:val="18"/>
                <w:szCs w:val="18"/>
              </w:rPr>
            </w:pPr>
            <w:r w:rsidRPr="00B73C56">
              <w:rPr>
                <w:color w:val="000000"/>
                <w:sz w:val="18"/>
                <w:szCs w:val="18"/>
              </w:rPr>
              <w:t xml:space="preserve">GfK's KnowledgePanel - an online panel of adults age 18 or older that covers both the online and offline populations in the US. Recruited via address-based sampling, a probability-based sampling method that provides statistically valid representation of the U.S. population, including cell-phone only households. Black and Hispanic young adults were oversampled. </w:t>
            </w:r>
          </w:p>
        </w:tc>
      </w:tr>
      <w:tr w:rsidR="00640225" w:rsidRPr="00B73C56" w14:paraId="4CF3A6F4" w14:textId="77777777" w:rsidTr="00B46744">
        <w:tc>
          <w:tcPr>
            <w:tcW w:w="1337" w:type="pct"/>
          </w:tcPr>
          <w:p w14:paraId="283A4007" w14:textId="77777777" w:rsidR="00640225" w:rsidRPr="00640225" w:rsidRDefault="00640225" w:rsidP="00640225">
            <w:pPr>
              <w:rPr>
                <w:sz w:val="18"/>
                <w:szCs w:val="18"/>
              </w:rPr>
            </w:pPr>
            <w:r w:rsidRPr="00640225">
              <w:rPr>
                <w:sz w:val="18"/>
                <w:szCs w:val="18"/>
              </w:rPr>
              <w:t>National Biochemical Validation Survey (NBVS)</w:t>
            </w:r>
          </w:p>
        </w:tc>
        <w:tc>
          <w:tcPr>
            <w:tcW w:w="849" w:type="pct"/>
          </w:tcPr>
          <w:p w14:paraId="5DB71945" w14:textId="77777777" w:rsidR="00640225" w:rsidRPr="00640225" w:rsidRDefault="00640225" w:rsidP="00640225">
            <w:pPr>
              <w:rPr>
                <w:sz w:val="18"/>
                <w:szCs w:val="18"/>
              </w:rPr>
            </w:pPr>
            <w:r w:rsidRPr="00640225">
              <w:rPr>
                <w:sz w:val="18"/>
                <w:szCs w:val="18"/>
              </w:rPr>
              <w:t>Cross-sectional</w:t>
            </w:r>
          </w:p>
        </w:tc>
        <w:tc>
          <w:tcPr>
            <w:tcW w:w="2814" w:type="pct"/>
          </w:tcPr>
          <w:p w14:paraId="545145E8" w14:textId="77777777" w:rsidR="00640225" w:rsidRPr="00640225" w:rsidRDefault="00640225" w:rsidP="00640225">
            <w:pPr>
              <w:rPr>
                <w:color w:val="000000"/>
                <w:sz w:val="18"/>
                <w:szCs w:val="18"/>
              </w:rPr>
            </w:pPr>
            <w:r w:rsidRPr="00640225">
              <w:rPr>
                <w:color w:val="000000"/>
                <w:sz w:val="18"/>
                <w:szCs w:val="18"/>
              </w:rPr>
              <w:t>Administered to youth in 48 schools around the U.S.</w:t>
            </w:r>
          </w:p>
        </w:tc>
      </w:tr>
      <w:tr w:rsidR="00D04C52" w:rsidRPr="00B73C56" w14:paraId="07A00CDD" w14:textId="77777777" w:rsidTr="00B46744">
        <w:tc>
          <w:tcPr>
            <w:tcW w:w="1337" w:type="pct"/>
          </w:tcPr>
          <w:p w14:paraId="3A58B808" w14:textId="77777777" w:rsidR="00D04C52" w:rsidRPr="00B73C56" w:rsidRDefault="00D04C52" w:rsidP="00B46744">
            <w:pPr>
              <w:rPr>
                <w:sz w:val="18"/>
                <w:szCs w:val="18"/>
              </w:rPr>
            </w:pPr>
            <w:r w:rsidRPr="00B73C56">
              <w:rPr>
                <w:sz w:val="18"/>
                <w:szCs w:val="18"/>
              </w:rPr>
              <w:t>National Health and Nutrition Examination Survey (NHANES)</w:t>
            </w:r>
          </w:p>
        </w:tc>
        <w:tc>
          <w:tcPr>
            <w:tcW w:w="849" w:type="pct"/>
          </w:tcPr>
          <w:p w14:paraId="7898D921" w14:textId="77777777" w:rsidR="00D04C52" w:rsidRPr="00B73C56" w:rsidRDefault="00D04C52" w:rsidP="00B46744">
            <w:pPr>
              <w:rPr>
                <w:sz w:val="18"/>
                <w:szCs w:val="18"/>
              </w:rPr>
            </w:pPr>
            <w:r w:rsidRPr="00B73C56">
              <w:rPr>
                <w:sz w:val="18"/>
                <w:szCs w:val="18"/>
              </w:rPr>
              <w:t>Cross-sectional</w:t>
            </w:r>
          </w:p>
        </w:tc>
        <w:tc>
          <w:tcPr>
            <w:tcW w:w="2814" w:type="pct"/>
          </w:tcPr>
          <w:p w14:paraId="1ACEB91B" w14:textId="77777777" w:rsidR="00D04C52" w:rsidRPr="00B73C56" w:rsidRDefault="00D04C52" w:rsidP="00B46744">
            <w:pPr>
              <w:rPr>
                <w:color w:val="000000"/>
                <w:sz w:val="18"/>
                <w:szCs w:val="18"/>
              </w:rPr>
            </w:pPr>
            <w:r w:rsidRPr="00B73C56">
              <w:rPr>
                <w:color w:val="000000"/>
                <w:sz w:val="18"/>
                <w:szCs w:val="18"/>
              </w:rPr>
              <w:t xml:space="preserve">Stratified multistage probability sample, civilian non-institutionalized U.S. population. </w:t>
            </w:r>
          </w:p>
        </w:tc>
      </w:tr>
      <w:tr w:rsidR="00D04C52" w:rsidRPr="00B73C56" w14:paraId="38E80E54" w14:textId="77777777" w:rsidTr="00B46744">
        <w:tc>
          <w:tcPr>
            <w:tcW w:w="1337" w:type="pct"/>
          </w:tcPr>
          <w:p w14:paraId="221A3BC6" w14:textId="77777777" w:rsidR="00D04C52" w:rsidRPr="00B73C56" w:rsidRDefault="00D04C52" w:rsidP="00B46744">
            <w:pPr>
              <w:rPr>
                <w:sz w:val="18"/>
                <w:szCs w:val="18"/>
              </w:rPr>
            </w:pPr>
            <w:r w:rsidRPr="00B73C56">
              <w:rPr>
                <w:sz w:val="18"/>
                <w:szCs w:val="18"/>
              </w:rPr>
              <w:t>National Health Interview Survey (NHIS)</w:t>
            </w:r>
          </w:p>
        </w:tc>
        <w:tc>
          <w:tcPr>
            <w:tcW w:w="849" w:type="pct"/>
          </w:tcPr>
          <w:p w14:paraId="6373EB53" w14:textId="77777777" w:rsidR="00D04C52" w:rsidRPr="00B73C56" w:rsidRDefault="00D04C52" w:rsidP="00B46744">
            <w:pPr>
              <w:rPr>
                <w:sz w:val="18"/>
                <w:szCs w:val="18"/>
              </w:rPr>
            </w:pPr>
            <w:r w:rsidRPr="00B73C56">
              <w:rPr>
                <w:sz w:val="18"/>
                <w:szCs w:val="18"/>
              </w:rPr>
              <w:t>Cross-sectional</w:t>
            </w:r>
          </w:p>
        </w:tc>
        <w:tc>
          <w:tcPr>
            <w:tcW w:w="2814" w:type="pct"/>
          </w:tcPr>
          <w:p w14:paraId="7117CB88" w14:textId="77777777" w:rsidR="00D04C52" w:rsidRPr="00B73C56" w:rsidRDefault="00D04C52" w:rsidP="00B46744">
            <w:pPr>
              <w:rPr>
                <w:color w:val="000000"/>
                <w:sz w:val="18"/>
                <w:szCs w:val="18"/>
              </w:rPr>
            </w:pPr>
            <w:r w:rsidRPr="00B73C56">
              <w:rPr>
                <w:color w:val="000000"/>
                <w:sz w:val="18"/>
                <w:szCs w:val="18"/>
                <w:shd w:val="clear" w:color="auto" w:fill="FFFFFF"/>
              </w:rPr>
              <w:t xml:space="preserve">Cross-sectional household interview; </w:t>
            </w:r>
            <w:r w:rsidRPr="00B73C56">
              <w:rPr>
                <w:rStyle w:val="apple-converted-space"/>
                <w:color w:val="000000"/>
                <w:sz w:val="18"/>
                <w:szCs w:val="18"/>
                <w:shd w:val="clear" w:color="auto" w:fill="FFFFFF"/>
              </w:rPr>
              <w:t xml:space="preserve">stratified </w:t>
            </w:r>
            <w:r w:rsidRPr="00B73C56">
              <w:rPr>
                <w:color w:val="000000"/>
                <w:sz w:val="18"/>
                <w:szCs w:val="18"/>
                <w:shd w:val="clear" w:color="auto" w:fill="FFFFFF"/>
              </w:rPr>
              <w:t>multistage area probability design allows representative sampling of households and non-institutional group quarters.</w:t>
            </w:r>
          </w:p>
        </w:tc>
      </w:tr>
      <w:tr w:rsidR="00D04C52" w:rsidRPr="00B73C56" w14:paraId="2E74BC3A" w14:textId="77777777" w:rsidTr="00B46744">
        <w:tc>
          <w:tcPr>
            <w:tcW w:w="1337" w:type="pct"/>
          </w:tcPr>
          <w:p w14:paraId="397A71FA" w14:textId="77777777" w:rsidR="00D04C52" w:rsidRPr="00061E60" w:rsidRDefault="00D04C52" w:rsidP="00B46744">
            <w:pPr>
              <w:rPr>
                <w:sz w:val="18"/>
                <w:szCs w:val="18"/>
              </w:rPr>
            </w:pPr>
            <w:r w:rsidRPr="00061E60">
              <w:rPr>
                <w:sz w:val="18"/>
                <w:szCs w:val="18"/>
              </w:rPr>
              <w:t>National Health Interview Survey Cancer Control Supplement (NHIS-CCS)</w:t>
            </w:r>
          </w:p>
        </w:tc>
        <w:tc>
          <w:tcPr>
            <w:tcW w:w="849" w:type="pct"/>
          </w:tcPr>
          <w:p w14:paraId="297345E9" w14:textId="77777777" w:rsidR="00D04C52" w:rsidRPr="00061E60" w:rsidRDefault="00D04C52" w:rsidP="00B46744">
            <w:pPr>
              <w:rPr>
                <w:sz w:val="18"/>
                <w:szCs w:val="18"/>
              </w:rPr>
            </w:pPr>
            <w:r w:rsidRPr="00061E60">
              <w:rPr>
                <w:sz w:val="18"/>
                <w:szCs w:val="18"/>
              </w:rPr>
              <w:t>Cross-sectional</w:t>
            </w:r>
          </w:p>
        </w:tc>
        <w:tc>
          <w:tcPr>
            <w:tcW w:w="2814" w:type="pct"/>
          </w:tcPr>
          <w:p w14:paraId="464DB710" w14:textId="77777777" w:rsidR="00D04C52" w:rsidRPr="00061E60" w:rsidRDefault="00D04C52" w:rsidP="00B46744">
            <w:pPr>
              <w:rPr>
                <w:color w:val="000000"/>
                <w:sz w:val="18"/>
                <w:szCs w:val="18"/>
              </w:rPr>
            </w:pPr>
            <w:r w:rsidRPr="00061E60">
              <w:rPr>
                <w:color w:val="000000"/>
                <w:sz w:val="18"/>
                <w:szCs w:val="18"/>
                <w:shd w:val="clear" w:color="auto" w:fill="FFFFFF"/>
              </w:rPr>
              <w:t>Administered in 1992, 2000, 2005, and 2010 as a supplement to the NHIS that assesses issues related to cancer-related behaviors, screening, and risk assessment, including tobacco use and control.</w:t>
            </w:r>
          </w:p>
        </w:tc>
      </w:tr>
      <w:tr w:rsidR="00D04C52" w:rsidRPr="00B73C56" w14:paraId="604B8CC9" w14:textId="77777777" w:rsidTr="00B46744">
        <w:tc>
          <w:tcPr>
            <w:tcW w:w="1337" w:type="pct"/>
          </w:tcPr>
          <w:p w14:paraId="4F65C7A0" w14:textId="77777777" w:rsidR="00D04C52" w:rsidRPr="00B73C56" w:rsidRDefault="00D04C52" w:rsidP="00B46744">
            <w:pPr>
              <w:rPr>
                <w:sz w:val="18"/>
                <w:szCs w:val="18"/>
              </w:rPr>
            </w:pPr>
            <w:r w:rsidRPr="00B73C56">
              <w:rPr>
                <w:sz w:val="18"/>
                <w:szCs w:val="18"/>
              </w:rPr>
              <w:t>National Survey on Drug Use and Health (NSDUH)</w:t>
            </w:r>
          </w:p>
        </w:tc>
        <w:tc>
          <w:tcPr>
            <w:tcW w:w="849" w:type="pct"/>
          </w:tcPr>
          <w:p w14:paraId="0EA814B4" w14:textId="77777777" w:rsidR="00D04C52" w:rsidRPr="00B73C56" w:rsidRDefault="00D04C52" w:rsidP="00B46744">
            <w:pPr>
              <w:rPr>
                <w:sz w:val="18"/>
                <w:szCs w:val="18"/>
              </w:rPr>
            </w:pPr>
            <w:r w:rsidRPr="00B73C56">
              <w:rPr>
                <w:sz w:val="18"/>
                <w:szCs w:val="18"/>
              </w:rPr>
              <w:t>Cross-sectional</w:t>
            </w:r>
          </w:p>
        </w:tc>
        <w:tc>
          <w:tcPr>
            <w:tcW w:w="2814" w:type="pct"/>
          </w:tcPr>
          <w:p w14:paraId="612EED1E" w14:textId="77777777" w:rsidR="00D04C52" w:rsidRPr="00B73C56" w:rsidRDefault="00D04C52" w:rsidP="00B46744">
            <w:pPr>
              <w:rPr>
                <w:color w:val="000000"/>
                <w:sz w:val="18"/>
                <w:szCs w:val="18"/>
              </w:rPr>
            </w:pPr>
            <w:r w:rsidRPr="00B73C56">
              <w:rPr>
                <w:color w:val="000000"/>
                <w:sz w:val="18"/>
                <w:szCs w:val="18"/>
              </w:rPr>
              <w:t>Stratified multistage probability sample, civilian non-institutionalized U.S. population.</w:t>
            </w:r>
          </w:p>
        </w:tc>
      </w:tr>
      <w:tr w:rsidR="00D04C52" w:rsidRPr="00B73C56" w14:paraId="3F9EE935" w14:textId="77777777" w:rsidTr="00B46744">
        <w:tc>
          <w:tcPr>
            <w:tcW w:w="1337" w:type="pct"/>
          </w:tcPr>
          <w:p w14:paraId="4D64E2A5" w14:textId="77777777" w:rsidR="00D04C52" w:rsidRPr="00B73C56" w:rsidRDefault="00D04C52" w:rsidP="00B46744">
            <w:pPr>
              <w:rPr>
                <w:sz w:val="18"/>
                <w:szCs w:val="18"/>
              </w:rPr>
            </w:pPr>
            <w:r w:rsidRPr="00B73C56">
              <w:rPr>
                <w:sz w:val="18"/>
                <w:szCs w:val="18"/>
              </w:rPr>
              <w:t>National Young Adult Health Survey (NYAHS)</w:t>
            </w:r>
          </w:p>
        </w:tc>
        <w:tc>
          <w:tcPr>
            <w:tcW w:w="849" w:type="pct"/>
          </w:tcPr>
          <w:p w14:paraId="3257B5CD" w14:textId="77777777" w:rsidR="00D04C52" w:rsidRPr="00B73C56" w:rsidRDefault="00D04C52" w:rsidP="00B46744">
            <w:pPr>
              <w:rPr>
                <w:sz w:val="18"/>
                <w:szCs w:val="18"/>
              </w:rPr>
            </w:pPr>
            <w:r w:rsidRPr="00B73C56">
              <w:rPr>
                <w:sz w:val="18"/>
                <w:szCs w:val="18"/>
              </w:rPr>
              <w:t>Cross-sectional</w:t>
            </w:r>
          </w:p>
        </w:tc>
        <w:tc>
          <w:tcPr>
            <w:tcW w:w="2814" w:type="pct"/>
          </w:tcPr>
          <w:p w14:paraId="69E6357D" w14:textId="77777777" w:rsidR="00D04C52" w:rsidRPr="00B73C56" w:rsidRDefault="00D04C52" w:rsidP="00B46744">
            <w:pPr>
              <w:rPr>
                <w:color w:val="000000"/>
                <w:sz w:val="18"/>
                <w:szCs w:val="18"/>
              </w:rPr>
            </w:pPr>
            <w:r w:rsidRPr="00B73C56">
              <w:rPr>
                <w:sz w:val="18"/>
                <w:szCs w:val="18"/>
              </w:rPr>
              <w:t>Stratified random-digit-dial cell phone survey representative of young adults in the USA.</w:t>
            </w:r>
          </w:p>
        </w:tc>
      </w:tr>
      <w:tr w:rsidR="00D04C52" w:rsidRPr="00B73C56" w14:paraId="6E29D14D" w14:textId="77777777" w:rsidTr="00B46744">
        <w:tc>
          <w:tcPr>
            <w:tcW w:w="1337" w:type="pct"/>
          </w:tcPr>
          <w:p w14:paraId="4E656634" w14:textId="77777777" w:rsidR="00D04C52" w:rsidRPr="00061E60" w:rsidRDefault="00D04C52" w:rsidP="00B46744">
            <w:pPr>
              <w:rPr>
                <w:sz w:val="18"/>
                <w:szCs w:val="18"/>
              </w:rPr>
            </w:pPr>
            <w:r w:rsidRPr="00061E60">
              <w:rPr>
                <w:sz w:val="18"/>
                <w:szCs w:val="18"/>
              </w:rPr>
              <w:t>National Youth Smoking Cessation Survey (NYSCS)</w:t>
            </w:r>
          </w:p>
        </w:tc>
        <w:tc>
          <w:tcPr>
            <w:tcW w:w="849" w:type="pct"/>
          </w:tcPr>
          <w:p w14:paraId="230EAB77" w14:textId="77777777" w:rsidR="00D04C52" w:rsidRPr="00061E60" w:rsidRDefault="00D04C52" w:rsidP="00B46744">
            <w:pPr>
              <w:rPr>
                <w:sz w:val="18"/>
                <w:szCs w:val="18"/>
              </w:rPr>
            </w:pPr>
            <w:r w:rsidRPr="00061E60">
              <w:rPr>
                <w:sz w:val="18"/>
                <w:szCs w:val="18"/>
              </w:rPr>
              <w:t>Prospective cohort</w:t>
            </w:r>
          </w:p>
        </w:tc>
        <w:tc>
          <w:tcPr>
            <w:tcW w:w="2814" w:type="pct"/>
          </w:tcPr>
          <w:p w14:paraId="04D4AE27" w14:textId="77777777" w:rsidR="00D04C52" w:rsidRPr="00061E60" w:rsidRDefault="00D04C52" w:rsidP="00B46744">
            <w:pPr>
              <w:rPr>
                <w:color w:val="000000"/>
                <w:sz w:val="18"/>
                <w:szCs w:val="18"/>
              </w:rPr>
            </w:pPr>
            <w:r w:rsidRPr="00061E60">
              <w:rPr>
                <w:sz w:val="18"/>
                <w:szCs w:val="18"/>
              </w:rPr>
              <w:t xml:space="preserve">Random-digit-dialed computer-assisted telephone survey administered in 2003 to </w:t>
            </w:r>
            <w:r w:rsidR="008D7125">
              <w:rPr>
                <w:sz w:val="18"/>
                <w:szCs w:val="18"/>
              </w:rPr>
              <w:t>smoker</w:t>
            </w:r>
            <w:r w:rsidR="008D7125" w:rsidRPr="00061E60">
              <w:rPr>
                <w:sz w:val="18"/>
                <w:szCs w:val="18"/>
              </w:rPr>
              <w:t>s</w:t>
            </w:r>
            <w:r w:rsidRPr="00061E60">
              <w:rPr>
                <w:sz w:val="18"/>
                <w:szCs w:val="18"/>
              </w:rPr>
              <w:t xml:space="preserve"> age 16-24 years old. </w:t>
            </w:r>
          </w:p>
        </w:tc>
      </w:tr>
      <w:tr w:rsidR="00D04C52" w:rsidRPr="00B73C56" w14:paraId="340B076B" w14:textId="77777777" w:rsidTr="00B46744">
        <w:tc>
          <w:tcPr>
            <w:tcW w:w="1337" w:type="pct"/>
          </w:tcPr>
          <w:p w14:paraId="554F6D95" w14:textId="77777777" w:rsidR="00D04C52" w:rsidRPr="00B73C56" w:rsidRDefault="00D04C52" w:rsidP="00B46744">
            <w:pPr>
              <w:rPr>
                <w:sz w:val="18"/>
                <w:szCs w:val="18"/>
              </w:rPr>
            </w:pPr>
            <w:r w:rsidRPr="00B73C56">
              <w:rPr>
                <w:sz w:val="18"/>
                <w:szCs w:val="18"/>
              </w:rPr>
              <w:t>National Youth Tobacco Survey (NYTS)</w:t>
            </w:r>
          </w:p>
        </w:tc>
        <w:tc>
          <w:tcPr>
            <w:tcW w:w="849" w:type="pct"/>
          </w:tcPr>
          <w:p w14:paraId="632BDBA5" w14:textId="77777777" w:rsidR="00D04C52" w:rsidRPr="00B73C56" w:rsidRDefault="00D04C52" w:rsidP="00B46744">
            <w:pPr>
              <w:rPr>
                <w:sz w:val="18"/>
                <w:szCs w:val="18"/>
              </w:rPr>
            </w:pPr>
            <w:r w:rsidRPr="00B73C56">
              <w:rPr>
                <w:sz w:val="18"/>
                <w:szCs w:val="18"/>
              </w:rPr>
              <w:t>Cross-sectional</w:t>
            </w:r>
          </w:p>
        </w:tc>
        <w:tc>
          <w:tcPr>
            <w:tcW w:w="2814" w:type="pct"/>
          </w:tcPr>
          <w:p w14:paraId="24964613" w14:textId="77777777" w:rsidR="00D04C52" w:rsidRPr="00B73C56" w:rsidRDefault="00D04C52" w:rsidP="00B46744">
            <w:pPr>
              <w:rPr>
                <w:color w:val="000000"/>
                <w:sz w:val="18"/>
                <w:szCs w:val="18"/>
              </w:rPr>
            </w:pPr>
            <w:r w:rsidRPr="00B73C56">
              <w:rPr>
                <w:color w:val="000000"/>
                <w:sz w:val="18"/>
                <w:szCs w:val="18"/>
              </w:rPr>
              <w:t xml:space="preserve">The NYTS is a nationally representative sample of students enrolled in grades 6 through 12. The sampling universe consists of public and private school students in the 50 states and the District of Columbia. </w:t>
            </w:r>
            <w:r w:rsidR="00105536" w:rsidRPr="00B73C56">
              <w:rPr>
                <w:color w:val="000000"/>
                <w:sz w:val="18"/>
                <w:szCs w:val="18"/>
              </w:rPr>
              <w:t>Primary sampling units</w:t>
            </w:r>
            <w:r w:rsidRPr="00B73C56">
              <w:rPr>
                <w:color w:val="000000"/>
                <w:sz w:val="18"/>
                <w:szCs w:val="18"/>
              </w:rPr>
              <w:t xml:space="preserve"> are selected with probability proportional to the student enrollment in the PSU but giving disproportionate weight to Black, Asian, and Hispanic students. All students present in a selected classroom on the day of the interview are selected for the study. </w:t>
            </w:r>
          </w:p>
        </w:tc>
      </w:tr>
      <w:tr w:rsidR="00D04C52" w:rsidRPr="00B73C56" w14:paraId="1DFA213F" w14:textId="77777777" w:rsidTr="00B46744">
        <w:tc>
          <w:tcPr>
            <w:tcW w:w="1337" w:type="pct"/>
          </w:tcPr>
          <w:p w14:paraId="26285669" w14:textId="77777777" w:rsidR="00D04C52" w:rsidRPr="00B73C56" w:rsidRDefault="00D04C52" w:rsidP="00B46744">
            <w:pPr>
              <w:rPr>
                <w:sz w:val="18"/>
                <w:szCs w:val="18"/>
              </w:rPr>
            </w:pPr>
            <w:r w:rsidRPr="00B73C56">
              <w:rPr>
                <w:sz w:val="18"/>
                <w:szCs w:val="18"/>
              </w:rPr>
              <w:t>Tobacco Use Supplement to the Current Population Survey (TUS-CPS)</w:t>
            </w:r>
          </w:p>
        </w:tc>
        <w:tc>
          <w:tcPr>
            <w:tcW w:w="849" w:type="pct"/>
          </w:tcPr>
          <w:p w14:paraId="7487B902" w14:textId="77777777" w:rsidR="00D04C52" w:rsidRPr="00B73C56" w:rsidRDefault="00D04C52" w:rsidP="00B46744">
            <w:pPr>
              <w:rPr>
                <w:sz w:val="18"/>
                <w:szCs w:val="18"/>
              </w:rPr>
            </w:pPr>
            <w:r w:rsidRPr="00B73C56">
              <w:rPr>
                <w:sz w:val="18"/>
                <w:szCs w:val="18"/>
              </w:rPr>
              <w:t>Cross-sectional</w:t>
            </w:r>
          </w:p>
        </w:tc>
        <w:tc>
          <w:tcPr>
            <w:tcW w:w="2814" w:type="pct"/>
          </w:tcPr>
          <w:p w14:paraId="15D16AC7" w14:textId="77777777" w:rsidR="00D04C52" w:rsidRPr="00B73C56" w:rsidRDefault="00D04C52" w:rsidP="00B46744">
            <w:pPr>
              <w:rPr>
                <w:color w:val="000000"/>
                <w:sz w:val="18"/>
                <w:szCs w:val="18"/>
              </w:rPr>
            </w:pPr>
            <w:r w:rsidRPr="00B73C56">
              <w:rPr>
                <w:color w:val="000000"/>
                <w:sz w:val="18"/>
                <w:szCs w:val="18"/>
              </w:rPr>
              <w:t>Stratified multistage probability sample, civilian non-institutionalized U.S. population.</w:t>
            </w:r>
          </w:p>
        </w:tc>
      </w:tr>
    </w:tbl>
    <w:p w14:paraId="1FDA3645" w14:textId="123DD043" w:rsidR="00B73380" w:rsidRDefault="00B73380" w:rsidP="00B46744">
      <w:pPr>
        <w:rPr>
          <w:b/>
        </w:rPr>
      </w:pPr>
    </w:p>
    <w:p w14:paraId="686B524F" w14:textId="77777777" w:rsidR="00B73380" w:rsidRDefault="00B73380">
      <w:pPr>
        <w:rPr>
          <w:b/>
        </w:rPr>
      </w:pPr>
      <w:r>
        <w:rPr>
          <w:b/>
        </w:rPr>
        <w:br w:type="page"/>
      </w:r>
    </w:p>
    <w:p w14:paraId="686F85DB" w14:textId="77777777" w:rsidR="00B73380" w:rsidRDefault="00B73380" w:rsidP="00B46744">
      <w:pPr>
        <w:rPr>
          <w:b/>
        </w:rPr>
        <w:sectPr w:rsidR="00B73380" w:rsidSect="009014AD">
          <w:pgSz w:w="12240" w:h="15840"/>
          <w:pgMar w:top="1440" w:right="1440" w:bottom="1440" w:left="1440" w:header="720" w:footer="720" w:gutter="0"/>
          <w:cols w:space="720"/>
          <w:docGrid w:linePitch="360"/>
        </w:sectPr>
      </w:pPr>
    </w:p>
    <w:p w14:paraId="1160BA61" w14:textId="77777777" w:rsidR="00D04C52" w:rsidRPr="00EA69AA" w:rsidRDefault="00D04C52" w:rsidP="00EA69AA">
      <w:pPr>
        <w:pStyle w:val="ChapterHeading"/>
        <w:spacing w:after="0"/>
        <w:rPr>
          <w:rFonts w:asciiTheme="minorHAnsi" w:hAnsiTheme="minorHAnsi"/>
          <w:sz w:val="22"/>
          <w:szCs w:val="22"/>
        </w:rPr>
      </w:pPr>
      <w:r w:rsidRPr="00EA69AA">
        <w:rPr>
          <w:rFonts w:asciiTheme="minorHAnsi" w:hAnsiTheme="minorHAnsi"/>
          <w:sz w:val="22"/>
          <w:szCs w:val="22"/>
        </w:rPr>
        <w:lastRenderedPageBreak/>
        <w:t xml:space="preserve">SUPPLEMENTAL SECTION </w:t>
      </w:r>
      <w:r w:rsidR="009014AD">
        <w:rPr>
          <w:rFonts w:asciiTheme="minorHAnsi" w:hAnsiTheme="minorHAnsi"/>
          <w:sz w:val="22"/>
          <w:szCs w:val="22"/>
        </w:rPr>
        <w:t>10</w:t>
      </w:r>
      <w:r w:rsidRPr="00EA69AA">
        <w:rPr>
          <w:rFonts w:asciiTheme="minorHAnsi" w:hAnsiTheme="minorHAnsi"/>
          <w:sz w:val="22"/>
          <w:szCs w:val="22"/>
        </w:rPr>
        <w:t xml:space="preserve">: Evidence Tables, Sample Characteristics (Unadjusted [Table </w:t>
      </w:r>
      <w:r w:rsidR="009014AD">
        <w:rPr>
          <w:rFonts w:asciiTheme="minorHAnsi" w:hAnsiTheme="minorHAnsi"/>
          <w:sz w:val="22"/>
          <w:szCs w:val="22"/>
        </w:rPr>
        <w:t>10</w:t>
      </w:r>
      <w:r w:rsidRPr="00EA69AA">
        <w:rPr>
          <w:rFonts w:asciiTheme="minorHAnsi" w:hAnsiTheme="minorHAnsi"/>
          <w:sz w:val="22"/>
          <w:szCs w:val="22"/>
        </w:rPr>
        <w:t xml:space="preserve">-1] and Adjusted [Table </w:t>
      </w:r>
      <w:r w:rsidR="009014AD">
        <w:rPr>
          <w:rFonts w:asciiTheme="minorHAnsi" w:hAnsiTheme="minorHAnsi"/>
          <w:sz w:val="22"/>
          <w:szCs w:val="22"/>
        </w:rPr>
        <w:t>10</w:t>
      </w:r>
      <w:r w:rsidRPr="00EA69AA">
        <w:rPr>
          <w:rFonts w:asciiTheme="minorHAnsi" w:hAnsiTheme="minorHAnsi"/>
          <w:sz w:val="22"/>
          <w:szCs w:val="22"/>
        </w:rPr>
        <w:t>-2])</w:t>
      </w:r>
    </w:p>
    <w:p w14:paraId="46DACF63" w14:textId="77777777" w:rsidR="00D04C52" w:rsidRPr="00C5460E" w:rsidRDefault="00D04C52" w:rsidP="00B46744">
      <w:pPr>
        <w:pStyle w:val="AppTableNote"/>
        <w:rPr>
          <w:rFonts w:asciiTheme="minorHAnsi" w:hAnsiTheme="minorHAnsi"/>
          <w:b/>
          <w:sz w:val="22"/>
          <w:szCs w:val="22"/>
        </w:rPr>
      </w:pPr>
      <w:r w:rsidRPr="00C5460E">
        <w:rPr>
          <w:rFonts w:asciiTheme="minorHAnsi" w:hAnsiTheme="minorHAnsi"/>
          <w:b/>
          <w:sz w:val="22"/>
          <w:szCs w:val="22"/>
        </w:rPr>
        <w:t xml:space="preserve">Table </w:t>
      </w:r>
      <w:r w:rsidR="009014AD">
        <w:rPr>
          <w:rFonts w:asciiTheme="minorHAnsi" w:hAnsiTheme="minorHAnsi"/>
          <w:b/>
          <w:sz w:val="22"/>
          <w:szCs w:val="22"/>
        </w:rPr>
        <w:t>10</w:t>
      </w:r>
      <w:r w:rsidRPr="00C5460E">
        <w:rPr>
          <w:rFonts w:asciiTheme="minorHAnsi" w:hAnsiTheme="minorHAnsi"/>
          <w:b/>
          <w:sz w:val="22"/>
          <w:szCs w:val="22"/>
        </w:rPr>
        <w:t>-1</w:t>
      </w:r>
      <w:r>
        <w:rPr>
          <w:rFonts w:asciiTheme="minorHAnsi" w:hAnsiTheme="minorHAnsi"/>
          <w:b/>
          <w:sz w:val="22"/>
          <w:szCs w:val="22"/>
        </w:rPr>
        <w:t>:</w:t>
      </w:r>
      <w:r w:rsidRPr="00C5460E">
        <w:rPr>
          <w:rFonts w:asciiTheme="minorHAnsi" w:hAnsiTheme="minorHAnsi"/>
          <w:b/>
          <w:sz w:val="22"/>
          <w:szCs w:val="22"/>
        </w:rPr>
        <w:t xml:space="preserve"> Unadjusted Analyses (Descriptive Statistics and/or Simple Results)</w:t>
      </w:r>
    </w:p>
    <w:tbl>
      <w:tblPr>
        <w:tblStyle w:val="TableGrid6"/>
        <w:tblW w:w="13603" w:type="dxa"/>
        <w:tblLook w:val="04A0" w:firstRow="1" w:lastRow="0" w:firstColumn="1" w:lastColumn="0" w:noHBand="0" w:noVBand="1"/>
      </w:tblPr>
      <w:tblGrid>
        <w:gridCol w:w="1699"/>
        <w:gridCol w:w="1603"/>
        <w:gridCol w:w="1799"/>
        <w:gridCol w:w="1700"/>
        <w:gridCol w:w="1132"/>
        <w:gridCol w:w="1562"/>
        <w:gridCol w:w="4108"/>
      </w:tblGrid>
      <w:tr w:rsidR="00881FE9" w:rsidRPr="00DE452B" w14:paraId="7B5933C9" w14:textId="77777777" w:rsidTr="00382374">
        <w:trPr>
          <w:tblHeader/>
        </w:trPr>
        <w:tc>
          <w:tcPr>
            <w:tcW w:w="624" w:type="pct"/>
            <w:shd w:val="clear" w:color="auto" w:fill="44546A"/>
            <w:vAlign w:val="center"/>
          </w:tcPr>
          <w:p w14:paraId="5352F2FD" w14:textId="77777777" w:rsidR="00881FE9" w:rsidRPr="00DE452B" w:rsidRDefault="00881FE9" w:rsidP="00BC7B4E">
            <w:pPr>
              <w:jc w:val="center"/>
              <w:rPr>
                <w:rFonts w:asciiTheme="minorHAnsi" w:hAnsiTheme="minorHAnsi" w:cstheme="minorHAnsi"/>
                <w:b/>
                <w:color w:val="FFFFFF" w:themeColor="background1"/>
                <w:sz w:val="16"/>
                <w:szCs w:val="16"/>
              </w:rPr>
            </w:pPr>
            <w:r w:rsidRPr="00DE452B">
              <w:rPr>
                <w:rFonts w:asciiTheme="minorHAnsi" w:hAnsiTheme="minorHAnsi" w:cstheme="minorHAnsi"/>
                <w:b/>
                <w:color w:val="FFFFFF" w:themeColor="background1"/>
                <w:sz w:val="16"/>
                <w:szCs w:val="16"/>
              </w:rPr>
              <w:t>First Author, Year</w:t>
            </w:r>
          </w:p>
          <w:p w14:paraId="3040AE93" w14:textId="77777777" w:rsidR="00881FE9" w:rsidRPr="00DE452B" w:rsidRDefault="00881FE9" w:rsidP="00BC7B4E">
            <w:pPr>
              <w:jc w:val="center"/>
              <w:rPr>
                <w:rFonts w:asciiTheme="minorHAnsi" w:hAnsiTheme="minorHAnsi" w:cstheme="minorHAnsi"/>
                <w:b/>
                <w:color w:val="FFFFFF" w:themeColor="background1"/>
                <w:sz w:val="16"/>
                <w:szCs w:val="16"/>
              </w:rPr>
            </w:pPr>
            <w:r w:rsidRPr="00DE452B">
              <w:rPr>
                <w:rFonts w:asciiTheme="minorHAnsi" w:hAnsiTheme="minorHAnsi" w:cstheme="minorHAnsi"/>
                <w:b/>
                <w:color w:val="FFFFFF" w:themeColor="background1"/>
                <w:sz w:val="16"/>
                <w:szCs w:val="16"/>
              </w:rPr>
              <w:t>National survey name</w:t>
            </w:r>
          </w:p>
          <w:p w14:paraId="3C760F00" w14:textId="77777777" w:rsidR="00881FE9" w:rsidRPr="00DE452B" w:rsidRDefault="00881FE9" w:rsidP="00BC7B4E">
            <w:pPr>
              <w:jc w:val="center"/>
              <w:rPr>
                <w:rFonts w:asciiTheme="minorHAnsi" w:hAnsiTheme="minorHAnsi" w:cstheme="minorHAnsi"/>
                <w:b/>
                <w:color w:val="FFFFFF" w:themeColor="background1"/>
                <w:sz w:val="16"/>
                <w:szCs w:val="16"/>
              </w:rPr>
            </w:pPr>
            <w:r w:rsidRPr="00DE452B">
              <w:rPr>
                <w:rFonts w:asciiTheme="minorHAnsi" w:hAnsiTheme="minorHAnsi" w:cstheme="minorHAnsi"/>
                <w:b/>
                <w:color w:val="FFFFFF" w:themeColor="background1"/>
                <w:sz w:val="16"/>
                <w:szCs w:val="16"/>
              </w:rPr>
              <w:t>Special population</w:t>
            </w:r>
          </w:p>
        </w:tc>
        <w:tc>
          <w:tcPr>
            <w:tcW w:w="589" w:type="pct"/>
            <w:shd w:val="clear" w:color="auto" w:fill="44546A"/>
            <w:vAlign w:val="center"/>
          </w:tcPr>
          <w:p w14:paraId="182A456D" w14:textId="77777777" w:rsidR="00881FE9" w:rsidRPr="00DE452B" w:rsidRDefault="00881FE9" w:rsidP="00BC7B4E">
            <w:pPr>
              <w:jc w:val="center"/>
              <w:rPr>
                <w:rFonts w:asciiTheme="minorHAnsi" w:hAnsiTheme="minorHAnsi" w:cstheme="minorHAnsi"/>
                <w:b/>
                <w:color w:val="FFFFFF" w:themeColor="background1"/>
                <w:sz w:val="16"/>
                <w:szCs w:val="16"/>
              </w:rPr>
            </w:pPr>
            <w:r w:rsidRPr="00DE452B">
              <w:rPr>
                <w:rFonts w:asciiTheme="minorHAnsi" w:hAnsiTheme="minorHAnsi" w:cstheme="minorHAnsi"/>
                <w:b/>
                <w:color w:val="FFFFFF" w:themeColor="background1"/>
                <w:sz w:val="16"/>
                <w:szCs w:val="16"/>
              </w:rPr>
              <w:t>Definition of initiation or regular smoking</w:t>
            </w:r>
          </w:p>
        </w:tc>
        <w:tc>
          <w:tcPr>
            <w:tcW w:w="661" w:type="pct"/>
            <w:shd w:val="clear" w:color="auto" w:fill="44546A"/>
            <w:vAlign w:val="center"/>
          </w:tcPr>
          <w:p w14:paraId="28B61295" w14:textId="77777777" w:rsidR="00881FE9" w:rsidRPr="00DE452B" w:rsidRDefault="00881FE9" w:rsidP="00BC7B4E">
            <w:pPr>
              <w:jc w:val="center"/>
              <w:rPr>
                <w:rFonts w:asciiTheme="minorHAnsi" w:hAnsiTheme="minorHAnsi" w:cstheme="minorHAnsi"/>
                <w:b/>
                <w:color w:val="FFFFFF" w:themeColor="background1"/>
                <w:sz w:val="16"/>
                <w:szCs w:val="16"/>
              </w:rPr>
            </w:pPr>
            <w:r w:rsidRPr="00DE452B">
              <w:rPr>
                <w:rFonts w:asciiTheme="minorHAnsi" w:hAnsiTheme="minorHAnsi" w:cstheme="minorHAnsi"/>
                <w:b/>
                <w:color w:val="FFFFFF" w:themeColor="background1"/>
                <w:sz w:val="16"/>
                <w:szCs w:val="16"/>
              </w:rPr>
              <w:t xml:space="preserve">Mean (SD) age at initiation, years </w:t>
            </w:r>
          </w:p>
        </w:tc>
        <w:tc>
          <w:tcPr>
            <w:tcW w:w="625" w:type="pct"/>
            <w:shd w:val="clear" w:color="auto" w:fill="44546A"/>
            <w:vAlign w:val="center"/>
          </w:tcPr>
          <w:p w14:paraId="6BF3A981" w14:textId="77777777" w:rsidR="00881FE9" w:rsidRPr="00DE452B" w:rsidRDefault="00881FE9" w:rsidP="00BC7B4E">
            <w:pPr>
              <w:jc w:val="center"/>
              <w:rPr>
                <w:rFonts w:asciiTheme="minorHAnsi" w:hAnsiTheme="minorHAnsi" w:cstheme="minorHAnsi"/>
                <w:b/>
                <w:color w:val="FFFFFF" w:themeColor="background1"/>
                <w:sz w:val="16"/>
                <w:szCs w:val="16"/>
              </w:rPr>
            </w:pPr>
            <w:r w:rsidRPr="00DE452B">
              <w:rPr>
                <w:rFonts w:asciiTheme="minorHAnsi" w:hAnsiTheme="minorHAnsi" w:cstheme="minorHAnsi"/>
                <w:b/>
                <w:color w:val="FFFFFF" w:themeColor="background1"/>
                <w:sz w:val="16"/>
                <w:szCs w:val="16"/>
              </w:rPr>
              <w:t>% who initiated to or with M</w:t>
            </w:r>
          </w:p>
        </w:tc>
        <w:tc>
          <w:tcPr>
            <w:tcW w:w="416" w:type="pct"/>
            <w:shd w:val="clear" w:color="auto" w:fill="44546A"/>
            <w:vAlign w:val="center"/>
          </w:tcPr>
          <w:p w14:paraId="7DBAAFB9" w14:textId="77777777" w:rsidR="00881FE9" w:rsidRPr="00DE452B" w:rsidRDefault="00881FE9" w:rsidP="00BC7B4E">
            <w:pPr>
              <w:jc w:val="center"/>
              <w:rPr>
                <w:rFonts w:asciiTheme="minorHAnsi" w:hAnsiTheme="minorHAnsi" w:cstheme="minorHAnsi"/>
                <w:b/>
                <w:color w:val="FFFFFF" w:themeColor="background1"/>
                <w:sz w:val="16"/>
                <w:szCs w:val="16"/>
              </w:rPr>
            </w:pPr>
            <w:r w:rsidRPr="00DE452B">
              <w:rPr>
                <w:rFonts w:asciiTheme="minorHAnsi" w:hAnsiTheme="minorHAnsi" w:cstheme="minorHAnsi"/>
                <w:b/>
                <w:color w:val="FFFFFF" w:themeColor="background1"/>
                <w:sz w:val="16"/>
                <w:szCs w:val="16"/>
              </w:rPr>
              <w:t>Of current M smokers, % who switched from NM</w:t>
            </w:r>
          </w:p>
        </w:tc>
        <w:tc>
          <w:tcPr>
            <w:tcW w:w="574" w:type="pct"/>
            <w:shd w:val="clear" w:color="auto" w:fill="44546A"/>
            <w:vAlign w:val="center"/>
          </w:tcPr>
          <w:p w14:paraId="7DF441C4" w14:textId="77777777" w:rsidR="00881FE9" w:rsidRPr="00DE452B" w:rsidRDefault="00881FE9" w:rsidP="00BC7B4E">
            <w:pPr>
              <w:jc w:val="center"/>
              <w:rPr>
                <w:rFonts w:asciiTheme="minorHAnsi" w:hAnsiTheme="minorHAnsi" w:cstheme="minorHAnsi"/>
                <w:b/>
                <w:color w:val="FFFFFF" w:themeColor="background1"/>
                <w:sz w:val="16"/>
                <w:szCs w:val="16"/>
              </w:rPr>
            </w:pPr>
            <w:r w:rsidRPr="00DE452B">
              <w:rPr>
                <w:rFonts w:asciiTheme="minorHAnsi" w:hAnsiTheme="minorHAnsi" w:cstheme="minorHAnsi"/>
                <w:b/>
                <w:color w:val="FFFFFF" w:themeColor="background1"/>
                <w:sz w:val="16"/>
                <w:szCs w:val="16"/>
              </w:rPr>
              <w:t>Of current NM smokers, % who switched from M</w:t>
            </w:r>
          </w:p>
        </w:tc>
        <w:tc>
          <w:tcPr>
            <w:tcW w:w="1510" w:type="pct"/>
            <w:shd w:val="clear" w:color="auto" w:fill="44546A"/>
            <w:vAlign w:val="center"/>
          </w:tcPr>
          <w:p w14:paraId="1E8BFC42" w14:textId="77777777" w:rsidR="00881FE9" w:rsidRPr="00DE452B" w:rsidRDefault="00881FE9" w:rsidP="00BC7B4E">
            <w:pPr>
              <w:jc w:val="center"/>
              <w:rPr>
                <w:rFonts w:asciiTheme="minorHAnsi" w:hAnsiTheme="minorHAnsi" w:cstheme="minorHAnsi"/>
                <w:b/>
                <w:color w:val="FFFFFF" w:themeColor="background1"/>
                <w:sz w:val="16"/>
                <w:szCs w:val="16"/>
              </w:rPr>
            </w:pPr>
            <w:r w:rsidRPr="00DE452B">
              <w:rPr>
                <w:rFonts w:asciiTheme="minorHAnsi" w:hAnsiTheme="minorHAnsi" w:cstheme="minorHAnsi"/>
                <w:b/>
                <w:color w:val="FFFFFF" w:themeColor="background1"/>
                <w:sz w:val="16"/>
                <w:szCs w:val="16"/>
              </w:rPr>
              <w:t>Initiation and progression to regular smoking/ increase in smoking over time</w:t>
            </w:r>
          </w:p>
        </w:tc>
      </w:tr>
      <w:tr w:rsidR="00881FE9" w:rsidRPr="00DE452B" w14:paraId="35065980" w14:textId="77777777" w:rsidTr="00382374">
        <w:tc>
          <w:tcPr>
            <w:tcW w:w="624" w:type="pct"/>
          </w:tcPr>
          <w:p w14:paraId="28248E9F" w14:textId="2E1A6766" w:rsidR="00881FE9" w:rsidRPr="00DE452B" w:rsidRDefault="00D2134A" w:rsidP="0069742C">
            <w:pPr>
              <w:rPr>
                <w:rFonts w:asciiTheme="minorHAnsi" w:hAnsiTheme="minorHAnsi" w:cstheme="minorHAnsi"/>
                <w:sz w:val="16"/>
                <w:szCs w:val="16"/>
              </w:rPr>
            </w:pPr>
            <w:r>
              <w:rPr>
                <w:rFonts w:cstheme="minorHAnsi"/>
                <w:sz w:val="16"/>
                <w:szCs w:val="16"/>
              </w:rPr>
              <w:fldChar w:fldCharType="begin">
                <w:fldData xml:space="preserve">PEVuZE5vdGU+PENpdGU+PEF1dGhvcj5BbGV4YW5kZXI8L0F1dGhvcj48WWVhcj4yMDEwPC9ZZWFy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PEVuZE5vdGU+PENpdGU+PEF1dGhvcj5BbGV4YW5kZXI8L0F1dGhvcj48WWVhcj4yMDEwPC9ZZWFy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46" w:tooltip="Alexander, 2010 #59" w:history="1">
              <w:r w:rsidR="00A234A9">
                <w:rPr>
                  <w:rFonts w:cstheme="minorHAnsi"/>
                  <w:noProof/>
                  <w:sz w:val="16"/>
                  <w:szCs w:val="16"/>
                </w:rPr>
                <w:t>46</w:t>
              </w:r>
            </w:hyperlink>
            <w:r>
              <w:rPr>
                <w:rFonts w:cstheme="minorHAnsi"/>
                <w:noProof/>
                <w:sz w:val="16"/>
                <w:szCs w:val="16"/>
              </w:rPr>
              <w:t>)</w:t>
            </w:r>
            <w:r>
              <w:rPr>
                <w:rFonts w:cstheme="minorHAnsi"/>
                <w:sz w:val="16"/>
                <w:szCs w:val="16"/>
              </w:rPr>
              <w:fldChar w:fldCharType="end"/>
            </w:r>
          </w:p>
          <w:p w14:paraId="1D80331E"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TUS-CPS</w:t>
            </w:r>
            <w:r w:rsidRPr="00DE452B">
              <w:rPr>
                <w:rFonts w:asciiTheme="minorHAnsi" w:hAnsiTheme="minorHAnsi" w:cstheme="minorHAnsi"/>
                <w:sz w:val="16"/>
                <w:szCs w:val="16"/>
                <w:vertAlign w:val="superscript"/>
              </w:rPr>
              <w:t>b</w:t>
            </w:r>
          </w:p>
          <w:p w14:paraId="5A35D911"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None</w:t>
            </w:r>
          </w:p>
        </w:tc>
        <w:tc>
          <w:tcPr>
            <w:tcW w:w="589" w:type="pct"/>
          </w:tcPr>
          <w:p w14:paraId="5ED552D7"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 xml:space="preserve">Self-reported smoking coded as every day, or some days </w:t>
            </w:r>
          </w:p>
          <w:p w14:paraId="38D7F100" w14:textId="77777777" w:rsidR="00881FE9" w:rsidRPr="00DE452B" w:rsidRDefault="00881FE9" w:rsidP="0069742C">
            <w:pPr>
              <w:rPr>
                <w:rFonts w:asciiTheme="minorHAnsi" w:hAnsiTheme="minorHAnsi" w:cstheme="minorHAnsi"/>
                <w:sz w:val="16"/>
                <w:szCs w:val="16"/>
              </w:rPr>
            </w:pPr>
          </w:p>
        </w:tc>
        <w:tc>
          <w:tcPr>
            <w:tcW w:w="661" w:type="pct"/>
          </w:tcPr>
          <w:p w14:paraId="4F45603F"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NR</w:t>
            </w:r>
          </w:p>
        </w:tc>
        <w:tc>
          <w:tcPr>
            <w:tcW w:w="625" w:type="pct"/>
          </w:tcPr>
          <w:p w14:paraId="338A2329"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5573A04E"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4FD9A3F5"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6B73BCC0"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Daily</w:t>
            </w:r>
          </w:p>
          <w:p w14:paraId="521D0E48"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79.0% (77.8% to 80.1%)</w:t>
            </w:r>
          </w:p>
          <w:p w14:paraId="3FB9B5CD"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rPr>
              <w:t>NM: 81.2% (80.7% to 81.8%)</w:t>
            </w:r>
          </w:p>
          <w:p w14:paraId="5280448D"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Non-daily</w:t>
            </w:r>
          </w:p>
          <w:p w14:paraId="1DD2AF37"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21.0% (19.9% to 22.2%)</w:t>
            </w:r>
          </w:p>
          <w:p w14:paraId="36988A3A"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NM: 18.76% (18.2% to 19.3%)</w:t>
            </w:r>
          </w:p>
          <w:p w14:paraId="14FBA438" w14:textId="77777777" w:rsidR="00881FE9" w:rsidRPr="00DE452B" w:rsidRDefault="00881FE9" w:rsidP="002039ED">
            <w:pPr>
              <w:rPr>
                <w:rFonts w:asciiTheme="minorHAnsi" w:hAnsiTheme="minorHAnsi" w:cstheme="minorHAnsi"/>
                <w:sz w:val="16"/>
                <w:szCs w:val="16"/>
              </w:rPr>
            </w:pPr>
          </w:p>
          <w:p w14:paraId="14D7C752"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(p&lt;0.001)</w:t>
            </w:r>
          </w:p>
        </w:tc>
      </w:tr>
      <w:tr w:rsidR="00881FE9" w:rsidRPr="00DE452B" w14:paraId="5A153BC1" w14:textId="77777777" w:rsidTr="00382374">
        <w:tc>
          <w:tcPr>
            <w:tcW w:w="624" w:type="pct"/>
          </w:tcPr>
          <w:p w14:paraId="4FA44CA1" w14:textId="1B32D614" w:rsidR="00881FE9" w:rsidRPr="00DE452B" w:rsidRDefault="00D2134A" w:rsidP="0069742C">
            <w:pPr>
              <w:rPr>
                <w:rFonts w:asciiTheme="minorHAnsi" w:hAnsiTheme="minorHAnsi" w:cstheme="minorHAnsi"/>
                <w:sz w:val="16"/>
                <w:szCs w:val="16"/>
              </w:rPr>
            </w:pPr>
            <w:r>
              <w:rPr>
                <w:rFonts w:cstheme="minorHAnsi"/>
                <w:sz w:val="16"/>
                <w:szCs w:val="16"/>
              </w:rPr>
              <w:fldChar w:fldCharType="begin">
                <w:fldData xml:space="preserve">PEVuZE5vdGU+PENpdGU+PEF1dGhvcj5CZW5vd2l0ejwvQXV0aG9yPjxZZWFyPjIwMTA8L1llYXI+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PEVuZE5vdGU+PENpdGU+PEF1dGhvcj5CZW5vd2l0ejwvQXV0aG9yPjxZZWFyPjIwMTA8L1llYXI+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48" w:tooltip="Benowitz, 2010 #286" w:history="1">
              <w:r w:rsidR="00A234A9">
                <w:rPr>
                  <w:rFonts w:cstheme="minorHAnsi"/>
                  <w:noProof/>
                  <w:sz w:val="16"/>
                  <w:szCs w:val="16"/>
                </w:rPr>
                <w:t>48</w:t>
              </w:r>
            </w:hyperlink>
            <w:r>
              <w:rPr>
                <w:rFonts w:cstheme="minorHAnsi"/>
                <w:noProof/>
                <w:sz w:val="16"/>
                <w:szCs w:val="16"/>
              </w:rPr>
              <w:t>)</w:t>
            </w:r>
            <w:r>
              <w:rPr>
                <w:rFonts w:cstheme="minorHAnsi"/>
                <w:sz w:val="16"/>
                <w:szCs w:val="16"/>
              </w:rPr>
              <w:fldChar w:fldCharType="end"/>
            </w:r>
          </w:p>
          <w:p w14:paraId="6D1CA11D"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None</w:t>
            </w:r>
          </w:p>
          <w:p w14:paraId="7E5DD390"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None</w:t>
            </w:r>
          </w:p>
        </w:tc>
        <w:tc>
          <w:tcPr>
            <w:tcW w:w="589" w:type="pct"/>
          </w:tcPr>
          <w:p w14:paraId="708A293B"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NR</w:t>
            </w:r>
          </w:p>
        </w:tc>
        <w:tc>
          <w:tcPr>
            <w:tcW w:w="661" w:type="pct"/>
          </w:tcPr>
          <w:p w14:paraId="7F5CA840"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M: 15.9 (IQR=13 to 18)</w:t>
            </w:r>
          </w:p>
          <w:p w14:paraId="20AFAE24"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NM: 16.8 (IQR=14 to 18)</w:t>
            </w:r>
          </w:p>
          <w:p w14:paraId="0EB85D8B"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(p=0.25)</w:t>
            </w:r>
          </w:p>
        </w:tc>
        <w:tc>
          <w:tcPr>
            <w:tcW w:w="625" w:type="pct"/>
          </w:tcPr>
          <w:p w14:paraId="51E95564"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7F7DCA7F"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17CE5CEE"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62CFD46D" w14:textId="77777777" w:rsidR="00881FE9" w:rsidRPr="00382374" w:rsidRDefault="00881FE9" w:rsidP="0069742C">
            <w:pPr>
              <w:rPr>
                <w:rFonts w:asciiTheme="minorHAnsi" w:hAnsiTheme="minorHAnsi" w:cstheme="minorHAnsi"/>
                <w:sz w:val="16"/>
                <w:szCs w:val="16"/>
              </w:rPr>
            </w:pPr>
            <w:r w:rsidRPr="00382374">
              <w:rPr>
                <w:rFonts w:cstheme="minorHAnsi"/>
                <w:sz w:val="16"/>
                <w:szCs w:val="16"/>
              </w:rPr>
              <w:t>NR</w:t>
            </w:r>
          </w:p>
        </w:tc>
      </w:tr>
      <w:tr w:rsidR="00785C35" w:rsidRPr="00DE452B" w14:paraId="3CA78289" w14:textId="77777777" w:rsidTr="00785C35">
        <w:trPr>
          <w:trHeight w:val="1266"/>
        </w:trPr>
        <w:tc>
          <w:tcPr>
            <w:tcW w:w="624" w:type="pct"/>
          </w:tcPr>
          <w:p w14:paraId="7BA23300" w14:textId="3FB50058" w:rsidR="00881FE9" w:rsidRPr="00DE452B" w:rsidRDefault="00D2134A" w:rsidP="0069742C">
            <w:pPr>
              <w:rPr>
                <w:rFonts w:asciiTheme="minorHAnsi" w:hAnsiTheme="minorHAnsi" w:cstheme="minorHAnsi"/>
                <w:sz w:val="16"/>
                <w:szCs w:val="16"/>
              </w:rPr>
            </w:pPr>
            <w:r>
              <w:rPr>
                <w:rFonts w:cstheme="minorHAnsi"/>
                <w:sz w:val="16"/>
                <w:szCs w:val="16"/>
              </w:rPr>
              <w:fldChar w:fldCharType="begin"/>
            </w:r>
            <w:r>
              <w:rPr>
                <w:rFonts w:cstheme="minorHAnsi"/>
                <w:sz w:val="16"/>
                <w:szCs w:val="16"/>
              </w:rPr>
              <w:instrText xml:space="preserve"> ADDIN EN.CITE &lt;EndNote&gt;&lt;Cite&gt;&lt;Author&gt;Caraballo&lt;/Author&gt;&lt;Year&gt;2011&lt;/Year&gt;&lt;RecNum&gt;47&lt;/RecNum&gt;&lt;DisplayText&gt;(49)&lt;/DisplayText&gt;&lt;record&gt;&lt;rec-number&gt;47&lt;/rec-number&gt;&lt;foreign-keys&gt;&lt;key app="EN" db-id="a2vz2dfp8xrad6exes75zwpiw5rxwa0vwapv" timestamp="0"&gt;47&lt;/key&gt;&lt;/foreign-keys&gt;&lt;ref-type name="Journal Article"&gt;17&lt;/ref-type&gt;&lt;contributors&gt;&lt;authors&gt;&lt;author&gt;Caraballo, R. S.&lt;/author&gt;&lt;author&gt;Asman, K.&lt;/author&gt;&lt;/authors&gt;&lt;/contributors&gt;&lt;auth-address&gt;Mail Stop K-50, Office on Smoking and Health, National Center for Chronic Disease Prevention and Health Promotion, Centers for Disease Control and Prevention, 4770 Buford Highway, N,E,, Atlanta, GA, USA. rfc8@cdc.gov.&lt;/auth-address&gt;&lt;titles&gt;&lt;title&gt;Epidemiology of menthol cigarette use in the United States&lt;/title&gt;&lt;secondary-title&gt;Tob Induc Dis&lt;/secondary-title&gt;&lt;/titles&gt;&lt;periodical&gt;&lt;full-title&gt;Tob Induc Dis&lt;/full-title&gt;&lt;/periodical&gt;&lt;pages&gt;S1&lt;/pages&gt;&lt;volume&gt;9 Suppl 1&lt;/volume&gt;&lt;dates&gt;&lt;year&gt;2011&lt;/year&gt;&lt;/dates&gt;&lt;isbn&gt;1617-9625 (Electronic)&amp;#xD;1617-9625 (Linking)&lt;/isbn&gt;&lt;accession-num&gt;21624147&lt;/accession-num&gt;&lt;urls&gt;&lt;related-urls&gt;&lt;url&gt;http://www.ncbi.nlm.nih.gov/pubmed/21624147&lt;/url&gt;&lt;/related-urls&gt;&lt;/urls&gt;&lt;custom2&gt;PMC3102900&lt;/custom2&gt;&lt;electronic-resource-num&gt;10.1186/1617-9625-9-S1-S1&lt;/electronic-resource-num&gt;&lt;research-notes&gt;#247&lt;/research-notes&gt;&lt;/record&gt;&lt;/Cite&gt;&lt;/EndNote&gt;</w:instrText>
            </w:r>
            <w:r>
              <w:rPr>
                <w:rFonts w:cstheme="minorHAnsi"/>
                <w:sz w:val="16"/>
                <w:szCs w:val="16"/>
              </w:rPr>
              <w:fldChar w:fldCharType="separate"/>
            </w:r>
            <w:r>
              <w:rPr>
                <w:rFonts w:cstheme="minorHAnsi"/>
                <w:noProof/>
                <w:sz w:val="16"/>
                <w:szCs w:val="16"/>
              </w:rPr>
              <w:t>(</w:t>
            </w:r>
            <w:hyperlink w:anchor="_ENREF_49" w:tooltip="Caraballo, 2011 #47" w:history="1">
              <w:r w:rsidR="00A234A9">
                <w:rPr>
                  <w:rFonts w:cstheme="minorHAnsi"/>
                  <w:noProof/>
                  <w:sz w:val="16"/>
                  <w:szCs w:val="16"/>
                </w:rPr>
                <w:t>49</w:t>
              </w:r>
            </w:hyperlink>
            <w:r>
              <w:rPr>
                <w:rFonts w:cstheme="minorHAnsi"/>
                <w:noProof/>
                <w:sz w:val="16"/>
                <w:szCs w:val="16"/>
              </w:rPr>
              <w:t>)</w:t>
            </w:r>
            <w:r>
              <w:rPr>
                <w:rFonts w:cstheme="minorHAnsi"/>
                <w:sz w:val="16"/>
                <w:szCs w:val="16"/>
              </w:rPr>
              <w:fldChar w:fldCharType="end"/>
            </w:r>
          </w:p>
          <w:p w14:paraId="188B89AD"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NYTS</w:t>
            </w:r>
            <w:r w:rsidRPr="00DE452B">
              <w:rPr>
                <w:rFonts w:asciiTheme="minorHAnsi" w:hAnsiTheme="minorHAnsi" w:cstheme="minorHAnsi"/>
                <w:sz w:val="16"/>
                <w:szCs w:val="16"/>
                <w:vertAlign w:val="superscript"/>
              </w:rPr>
              <w:t>b</w:t>
            </w:r>
          </w:p>
          <w:p w14:paraId="3C2D834C"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Youth</w:t>
            </w:r>
          </w:p>
        </w:tc>
        <w:tc>
          <w:tcPr>
            <w:tcW w:w="589" w:type="pct"/>
          </w:tcPr>
          <w:p w14:paraId="3912BF18"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Smoking categorized as: 1-5 days, 6-9 days, 10-19 days, 20-29 days, 30 days</w:t>
            </w:r>
          </w:p>
          <w:p w14:paraId="1F39D64F" w14:textId="77777777" w:rsidR="00621FF9" w:rsidRPr="00DE452B" w:rsidRDefault="00621FF9" w:rsidP="00621FF9">
            <w:pPr>
              <w:rPr>
                <w:rFonts w:asciiTheme="minorHAnsi" w:hAnsiTheme="minorHAnsi" w:cstheme="minorHAnsi"/>
                <w:sz w:val="16"/>
                <w:szCs w:val="16"/>
              </w:rPr>
            </w:pPr>
          </w:p>
          <w:p w14:paraId="08DF5F55"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Daily smokers were smokers who smoked for 30 days in the past 30 days</w:t>
            </w:r>
          </w:p>
          <w:p w14:paraId="7C58F00E" w14:textId="77777777" w:rsidR="00621FF9" w:rsidRPr="00DE452B" w:rsidRDefault="00621FF9" w:rsidP="00621FF9">
            <w:pPr>
              <w:rPr>
                <w:rFonts w:asciiTheme="minorHAnsi" w:hAnsiTheme="minorHAnsi" w:cstheme="minorHAnsi"/>
                <w:sz w:val="16"/>
                <w:szCs w:val="16"/>
              </w:rPr>
            </w:pPr>
          </w:p>
          <w:p w14:paraId="7AFE416B" w14:textId="77777777" w:rsidR="00881FE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Non-daily smokers were all other categories</w:t>
            </w:r>
          </w:p>
        </w:tc>
        <w:tc>
          <w:tcPr>
            <w:tcW w:w="661" w:type="pct"/>
          </w:tcPr>
          <w:p w14:paraId="07209B4A"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NR</w:t>
            </w:r>
          </w:p>
        </w:tc>
        <w:tc>
          <w:tcPr>
            <w:tcW w:w="625" w:type="pct"/>
          </w:tcPr>
          <w:p w14:paraId="08F20B47"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48A74868"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54919EAA"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7180B446"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Daily smokers </w:t>
            </w:r>
          </w:p>
          <w:p w14:paraId="7190DD6F"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29.0%</w:t>
            </w:r>
          </w:p>
          <w:p w14:paraId="5D8BDCD7"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NM: 23.6%</w:t>
            </w:r>
          </w:p>
          <w:p w14:paraId="59A40523"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u w:val="single"/>
              </w:rPr>
              <w:t>Non-daily</w:t>
            </w:r>
            <w:r w:rsidRPr="00DE452B">
              <w:rPr>
                <w:rFonts w:asciiTheme="minorHAnsi" w:hAnsiTheme="minorHAnsi" w:cstheme="minorHAnsi"/>
                <w:sz w:val="16"/>
                <w:szCs w:val="16"/>
              </w:rPr>
              <w:t xml:space="preserve"> </w:t>
            </w:r>
            <w:r w:rsidRPr="00DE452B">
              <w:rPr>
                <w:rFonts w:asciiTheme="minorHAnsi" w:hAnsiTheme="minorHAnsi" w:cstheme="minorHAnsi"/>
                <w:sz w:val="16"/>
                <w:szCs w:val="16"/>
                <w:u w:val="single"/>
              </w:rPr>
              <w:t>smokers</w:t>
            </w:r>
          </w:p>
          <w:p w14:paraId="0465F22D"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71.0%</w:t>
            </w:r>
          </w:p>
          <w:p w14:paraId="56084F62"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rPr>
              <w:t>NM: 76.4%</w:t>
            </w:r>
          </w:p>
          <w:p w14:paraId="17DA54CC" w14:textId="77777777" w:rsidR="00881FE9" w:rsidRPr="00DE452B" w:rsidRDefault="00881FE9" w:rsidP="0069742C">
            <w:pPr>
              <w:rPr>
                <w:rFonts w:asciiTheme="minorHAnsi" w:hAnsiTheme="minorHAnsi" w:cstheme="minorHAnsi"/>
                <w:sz w:val="16"/>
                <w:szCs w:val="16"/>
                <w:u w:val="single"/>
              </w:rPr>
            </w:pPr>
          </w:p>
          <w:p w14:paraId="2DF3C2B1"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u w:val="single"/>
              </w:rPr>
              <w:t>% current smokers who initiated smoking &lt;2 years before the survey, by days per month and CPD</w:t>
            </w:r>
          </w:p>
          <w:p w14:paraId="7B80DD0F" w14:textId="77777777" w:rsidR="00881FE9" w:rsidRPr="00DE452B" w:rsidRDefault="00881FE9" w:rsidP="0069742C">
            <w:pPr>
              <w:rPr>
                <w:rFonts w:asciiTheme="minorHAnsi" w:hAnsiTheme="minorHAnsi" w:cstheme="minorHAnsi"/>
                <w:i/>
                <w:sz w:val="16"/>
                <w:szCs w:val="16"/>
              </w:rPr>
            </w:pPr>
            <w:r w:rsidRPr="00DE452B">
              <w:rPr>
                <w:rFonts w:asciiTheme="minorHAnsi" w:hAnsiTheme="minorHAnsi" w:cstheme="minorHAnsi"/>
                <w:i/>
                <w:sz w:val="16"/>
                <w:szCs w:val="16"/>
              </w:rPr>
              <w:t xml:space="preserve">1-5 days, &lt;1 CPD </w:t>
            </w:r>
          </w:p>
          <w:p w14:paraId="19AD83B5"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M: 39.9% (37.4 to 42.5)</w:t>
            </w:r>
          </w:p>
          <w:p w14:paraId="30A288F4"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NM: 60.1% (57.5 to 62.6)</w:t>
            </w:r>
          </w:p>
          <w:p w14:paraId="666CB614" w14:textId="77777777" w:rsidR="00881FE9" w:rsidRPr="00DE452B" w:rsidRDefault="00881FE9" w:rsidP="0069742C">
            <w:pPr>
              <w:rPr>
                <w:rFonts w:asciiTheme="minorHAnsi" w:hAnsiTheme="minorHAnsi" w:cstheme="minorHAnsi"/>
                <w:i/>
                <w:sz w:val="16"/>
                <w:szCs w:val="16"/>
              </w:rPr>
            </w:pPr>
            <w:r w:rsidRPr="00DE452B">
              <w:rPr>
                <w:rFonts w:asciiTheme="minorHAnsi" w:hAnsiTheme="minorHAnsi" w:cstheme="minorHAnsi"/>
                <w:i/>
                <w:sz w:val="16"/>
                <w:szCs w:val="16"/>
              </w:rPr>
              <w:t>1-5 days, 1-5 CPD</w:t>
            </w:r>
          </w:p>
          <w:p w14:paraId="73921B5E"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M: 45.3% (42.7 to 47.9)</w:t>
            </w:r>
          </w:p>
          <w:p w14:paraId="4730D9E3"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NM: 54.7% (52.1 to 57.3)</w:t>
            </w:r>
          </w:p>
          <w:p w14:paraId="3823B34E" w14:textId="77777777" w:rsidR="00881FE9" w:rsidRPr="00DE452B" w:rsidRDefault="00881FE9" w:rsidP="0069742C">
            <w:pPr>
              <w:rPr>
                <w:rFonts w:asciiTheme="minorHAnsi" w:hAnsiTheme="minorHAnsi" w:cstheme="minorHAnsi"/>
                <w:i/>
                <w:sz w:val="16"/>
                <w:szCs w:val="16"/>
              </w:rPr>
            </w:pPr>
            <w:r w:rsidRPr="00DE452B">
              <w:rPr>
                <w:rFonts w:asciiTheme="minorHAnsi" w:hAnsiTheme="minorHAnsi" w:cstheme="minorHAnsi"/>
                <w:i/>
                <w:sz w:val="16"/>
                <w:szCs w:val="16"/>
              </w:rPr>
              <w:t>6-9 days, 1-5 CPD</w:t>
            </w:r>
          </w:p>
          <w:p w14:paraId="4CA28902"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M: 47.5% (41.7 to 53.3)</w:t>
            </w:r>
          </w:p>
          <w:p w14:paraId="126EEB1E"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NM: 52.5% (46.7 to 58.3)</w:t>
            </w:r>
          </w:p>
          <w:p w14:paraId="443EAC20" w14:textId="77777777" w:rsidR="00881FE9" w:rsidRPr="00DE452B" w:rsidRDefault="00881FE9" w:rsidP="0069742C">
            <w:pPr>
              <w:rPr>
                <w:rFonts w:asciiTheme="minorHAnsi" w:hAnsiTheme="minorHAnsi" w:cstheme="minorHAnsi"/>
                <w:i/>
                <w:sz w:val="16"/>
                <w:szCs w:val="16"/>
              </w:rPr>
            </w:pPr>
            <w:r w:rsidRPr="00DE452B">
              <w:rPr>
                <w:rFonts w:asciiTheme="minorHAnsi" w:hAnsiTheme="minorHAnsi" w:cstheme="minorHAnsi"/>
                <w:i/>
                <w:sz w:val="16"/>
                <w:szCs w:val="16"/>
              </w:rPr>
              <w:t>10-19 days, 1-5 CPD</w:t>
            </w:r>
          </w:p>
          <w:p w14:paraId="335E1361"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M: 44.2% (38.8 to 49.7)</w:t>
            </w:r>
          </w:p>
          <w:p w14:paraId="3B1A3C37"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NM: 55.8% (50.3 to 61.2)</w:t>
            </w:r>
          </w:p>
          <w:p w14:paraId="7884EADC" w14:textId="77777777" w:rsidR="00881FE9" w:rsidRPr="00DE452B" w:rsidRDefault="00881FE9" w:rsidP="0069742C">
            <w:pPr>
              <w:rPr>
                <w:rFonts w:asciiTheme="minorHAnsi" w:hAnsiTheme="minorHAnsi" w:cstheme="minorHAnsi"/>
                <w:i/>
                <w:sz w:val="16"/>
                <w:szCs w:val="16"/>
              </w:rPr>
            </w:pPr>
            <w:r w:rsidRPr="00DE452B">
              <w:rPr>
                <w:rFonts w:asciiTheme="minorHAnsi" w:hAnsiTheme="minorHAnsi" w:cstheme="minorHAnsi"/>
                <w:i/>
                <w:sz w:val="16"/>
                <w:szCs w:val="16"/>
              </w:rPr>
              <w:t>20-29 days, 1-5 CPD</w:t>
            </w:r>
          </w:p>
          <w:p w14:paraId="1E32F4CF"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M: 49.7% (44.1 to 55.3)</w:t>
            </w:r>
          </w:p>
          <w:p w14:paraId="23E6587B"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NM: 50.3 (44.7 to 55.9)</w:t>
            </w:r>
          </w:p>
          <w:p w14:paraId="56DD31C3" w14:textId="77777777" w:rsidR="00881FE9" w:rsidRPr="00DE452B" w:rsidRDefault="00881FE9" w:rsidP="0069742C">
            <w:pPr>
              <w:rPr>
                <w:rFonts w:asciiTheme="minorHAnsi" w:hAnsiTheme="minorHAnsi" w:cstheme="minorHAnsi"/>
                <w:i/>
                <w:sz w:val="16"/>
                <w:szCs w:val="16"/>
              </w:rPr>
            </w:pPr>
            <w:r w:rsidRPr="00DE452B">
              <w:rPr>
                <w:rFonts w:asciiTheme="minorHAnsi" w:hAnsiTheme="minorHAnsi" w:cstheme="minorHAnsi"/>
                <w:i/>
                <w:sz w:val="16"/>
                <w:szCs w:val="16"/>
              </w:rPr>
              <w:t>30 days, 1-5 CPD</w:t>
            </w:r>
          </w:p>
          <w:p w14:paraId="7ECADFD3"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M: 46.6% (40.6 to 52.7)</w:t>
            </w:r>
          </w:p>
          <w:p w14:paraId="47F9A7A0"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NM: 53.4% (47.4 to 59.4)</w:t>
            </w:r>
          </w:p>
          <w:p w14:paraId="4FA07646" w14:textId="77777777" w:rsidR="00881FE9" w:rsidRPr="00DE452B" w:rsidRDefault="00881FE9" w:rsidP="0069742C">
            <w:pPr>
              <w:rPr>
                <w:rFonts w:asciiTheme="minorHAnsi" w:hAnsiTheme="minorHAnsi" w:cstheme="minorHAnsi"/>
                <w:i/>
                <w:sz w:val="16"/>
                <w:szCs w:val="16"/>
              </w:rPr>
            </w:pPr>
            <w:r w:rsidRPr="00DE452B">
              <w:rPr>
                <w:rFonts w:asciiTheme="minorHAnsi" w:hAnsiTheme="minorHAnsi" w:cstheme="minorHAnsi"/>
                <w:i/>
                <w:sz w:val="16"/>
                <w:szCs w:val="16"/>
              </w:rPr>
              <w:lastRenderedPageBreak/>
              <w:t>30 days, 6-10 CPD</w:t>
            </w:r>
          </w:p>
          <w:p w14:paraId="59E62A67"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M: 42.7% (36.4 to 49.3)</w:t>
            </w:r>
          </w:p>
          <w:p w14:paraId="6DF59C7D"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NM: 57.3% (50.7 to 63.6)</w:t>
            </w:r>
          </w:p>
          <w:p w14:paraId="028156E8" w14:textId="77777777" w:rsidR="00881FE9" w:rsidRPr="00DE452B" w:rsidRDefault="00881FE9" w:rsidP="0069742C">
            <w:pPr>
              <w:rPr>
                <w:rFonts w:asciiTheme="minorHAnsi" w:hAnsiTheme="minorHAnsi" w:cstheme="minorHAnsi"/>
                <w:i/>
                <w:sz w:val="16"/>
                <w:szCs w:val="16"/>
              </w:rPr>
            </w:pPr>
            <w:r w:rsidRPr="00DE452B">
              <w:rPr>
                <w:rFonts w:asciiTheme="minorHAnsi" w:hAnsiTheme="minorHAnsi" w:cstheme="minorHAnsi"/>
                <w:i/>
                <w:sz w:val="16"/>
                <w:szCs w:val="16"/>
              </w:rPr>
              <w:t>30 days, 11-20 CPD</w:t>
            </w:r>
          </w:p>
          <w:p w14:paraId="36EFC08C"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 xml:space="preserve">M: 43.3% (36.1 to 50.9) </w:t>
            </w:r>
          </w:p>
          <w:p w14:paraId="26BA9288"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NM: 56.7% (49.1 to 63.9)</w:t>
            </w:r>
          </w:p>
          <w:p w14:paraId="5E942373" w14:textId="77777777" w:rsidR="00881FE9" w:rsidRPr="00DE452B" w:rsidRDefault="00881FE9" w:rsidP="0069742C">
            <w:pPr>
              <w:rPr>
                <w:rFonts w:asciiTheme="minorHAnsi" w:hAnsiTheme="minorHAnsi" w:cstheme="minorHAnsi"/>
                <w:i/>
                <w:sz w:val="16"/>
                <w:szCs w:val="16"/>
              </w:rPr>
            </w:pPr>
            <w:r w:rsidRPr="00DE452B">
              <w:rPr>
                <w:rFonts w:asciiTheme="minorHAnsi" w:hAnsiTheme="minorHAnsi" w:cstheme="minorHAnsi"/>
                <w:i/>
                <w:sz w:val="16"/>
                <w:szCs w:val="16"/>
              </w:rPr>
              <w:t>30 days, ≥20 CPD</w:t>
            </w:r>
          </w:p>
          <w:p w14:paraId="7420EDE2"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M: 64.9% (59.4 to 70)</w:t>
            </w:r>
          </w:p>
          <w:p w14:paraId="2E52E1A7" w14:textId="77777777" w:rsidR="00881FE9" w:rsidRPr="00DE452B" w:rsidRDefault="00785C35" w:rsidP="0069742C">
            <w:pPr>
              <w:rPr>
                <w:rFonts w:asciiTheme="minorHAnsi" w:hAnsiTheme="minorHAnsi" w:cstheme="minorHAnsi"/>
                <w:sz w:val="16"/>
                <w:szCs w:val="16"/>
              </w:rPr>
            </w:pPr>
            <w:r>
              <w:rPr>
                <w:rFonts w:asciiTheme="minorHAnsi" w:hAnsiTheme="minorHAnsi" w:cstheme="minorHAnsi"/>
                <w:sz w:val="16"/>
                <w:szCs w:val="16"/>
              </w:rPr>
              <w:t>NM: 35.1% (30 to 40.6)</w:t>
            </w:r>
          </w:p>
        </w:tc>
      </w:tr>
      <w:tr w:rsidR="00881FE9" w:rsidRPr="00DE452B" w14:paraId="6FEED75B" w14:textId="77777777" w:rsidTr="00382374">
        <w:tc>
          <w:tcPr>
            <w:tcW w:w="624" w:type="pct"/>
          </w:tcPr>
          <w:p w14:paraId="01478476" w14:textId="4C8136B8" w:rsidR="00881FE9" w:rsidRPr="00DE452B" w:rsidRDefault="00D2134A" w:rsidP="0069742C">
            <w:pPr>
              <w:rPr>
                <w:rFonts w:asciiTheme="minorHAnsi" w:hAnsiTheme="minorHAnsi" w:cstheme="minorHAnsi"/>
                <w:sz w:val="16"/>
                <w:szCs w:val="16"/>
              </w:rPr>
            </w:pPr>
            <w:r>
              <w:rPr>
                <w:rFonts w:cstheme="minorHAnsi"/>
                <w:sz w:val="16"/>
                <w:szCs w:val="16"/>
              </w:rPr>
              <w:lastRenderedPageBreak/>
              <w:fldChar w:fldCharType="begin"/>
            </w:r>
            <w:r>
              <w:rPr>
                <w:rFonts w:cstheme="minorHAnsi"/>
                <w:sz w:val="16"/>
                <w:szCs w:val="16"/>
              </w:rPr>
              <w:instrText xml:space="preserve"> ADDIN EN.CITE &lt;EndNote&gt;&lt;Cite&gt;&lt;Author&gt;Cubbin&lt;/Author&gt;&lt;Year&gt;2010&lt;/Year&gt;&lt;RecNum&gt;53&lt;/RecNum&gt;&lt;DisplayText&gt;(50)&lt;/DisplayText&gt;&lt;record&gt;&lt;rec-number&gt;53&lt;/rec-number&gt;&lt;foreign-keys&gt;&lt;key app="EN" db-id="a2vz2dfp8xrad6exes75zwpiw5rxwa0vwapv" timestamp="0"&gt;53&lt;/key&gt;&lt;/foreign-keys&gt;&lt;ref-type name="Journal Article"&gt;17&lt;/ref-type&gt;&lt;contributors&gt;&lt;authors&gt;&lt;author&gt;Cubbin, C.&lt;/author&gt;&lt;author&gt;Soobader, M. J.&lt;/author&gt;&lt;author&gt;LeClere, F. B.&lt;/author&gt;&lt;/authors&gt;&lt;/contributors&gt;&lt;auth-address&gt;School of Social Work, University of Texas at Austin, Austin, TX 78712-0358, USA. ccubbin@austin.utexas.edu&lt;/auth-address&gt;&lt;titles&gt;&lt;title&gt;The intersection of gender and race/ethnicity in smoking behaviors among menthol and non-menthol smokers in the United States&lt;/title&gt;&lt;secondary-title&gt;Addiction&lt;/secondary-title&gt;&lt;/titles&gt;&lt;periodical&gt;&lt;full-title&gt;Addiction&lt;/full-title&gt;&lt;/periodical&gt;&lt;pages&gt;32-8&lt;/pages&gt;&lt;volume&gt;105 Suppl 1&lt;/volume&gt;&lt;keywords&gt;&lt;keyword&gt;Adult&lt;/keyword&gt;&lt;keyword&gt;African Americans/statistics &amp;amp; numerical data&lt;/keyword&gt;&lt;keyword&gt;Age of Onset&lt;/keyword&gt;&lt;keyword&gt;Cross-Sectional Studies&lt;/keyword&gt;&lt;keyword&gt;European Continental Ancestry Group/statistics &amp;amp; numerical data&lt;/keyword&gt;&lt;keyword&gt;Female&lt;/keyword&gt;&lt;keyword&gt;Hispanic Americans/statistics &amp;amp; numerical data&lt;/keyword&gt;&lt;keyword&gt;Humans&lt;/keyword&gt;&lt;keyword&gt;Male&lt;/keyword&gt;&lt;keyword&gt;*Menthol&lt;/keyword&gt;&lt;keyword&gt;Middle Aged&lt;/keyword&gt;&lt;keyword&gt;*Population Surveillance&lt;/keyword&gt;&lt;keyword&gt;Sex Factors&lt;/keyword&gt;&lt;keyword&gt;Smoking/*epidemiology/ethnology&lt;/keyword&gt;&lt;keyword&gt;Smoking Cessation/ethnology/statistics &amp;amp; numerical data&lt;/keyword&gt;&lt;keyword&gt;Socioeconomic Factors&lt;/keyword&gt;&lt;keyword&gt;United States/epidemiology&lt;/keyword&gt;&lt;/keywords&gt;&lt;dates&gt;&lt;year&gt;2010&lt;/year&gt;&lt;pub-dates&gt;&lt;date&gt;Dec&lt;/date&gt;&lt;/pub-dates&gt;&lt;/dates&gt;&lt;isbn&gt;1360-0443 (Electronic)&amp;#xD;0965-2140 (Linking)&lt;/isbn&gt;&lt;accession-num&gt;21059134&lt;/accession-num&gt;&lt;urls&gt;&lt;related-urls&gt;&lt;url&gt;http://www.ncbi.nlm.nih.gov/pubmed/21059134&lt;/url&gt;&lt;/related-urls&gt;&lt;/urls&gt;&lt;electronic-resource-num&gt;10.1111/j.1360-0443.2010.03191.x&lt;/electronic-resource-num&gt;&lt;research-notes&gt;#281&lt;/research-notes&gt;&lt;/record&gt;&lt;/Cite&gt;&lt;/EndNote&gt;</w:instrText>
            </w:r>
            <w:r>
              <w:rPr>
                <w:rFonts w:cstheme="minorHAnsi"/>
                <w:sz w:val="16"/>
                <w:szCs w:val="16"/>
              </w:rPr>
              <w:fldChar w:fldCharType="separate"/>
            </w:r>
            <w:r>
              <w:rPr>
                <w:rFonts w:cstheme="minorHAnsi"/>
                <w:noProof/>
                <w:sz w:val="16"/>
                <w:szCs w:val="16"/>
              </w:rPr>
              <w:t>(</w:t>
            </w:r>
            <w:hyperlink w:anchor="_ENREF_50" w:tooltip="Cubbin, 2010 #53" w:history="1">
              <w:r w:rsidR="00A234A9">
                <w:rPr>
                  <w:rFonts w:cstheme="minorHAnsi"/>
                  <w:noProof/>
                  <w:sz w:val="16"/>
                  <w:szCs w:val="16"/>
                </w:rPr>
                <w:t>50</w:t>
              </w:r>
            </w:hyperlink>
            <w:r>
              <w:rPr>
                <w:rFonts w:cstheme="minorHAnsi"/>
                <w:noProof/>
                <w:sz w:val="16"/>
                <w:szCs w:val="16"/>
              </w:rPr>
              <w:t>)</w:t>
            </w:r>
            <w:r>
              <w:rPr>
                <w:rFonts w:cstheme="minorHAnsi"/>
                <w:sz w:val="16"/>
                <w:szCs w:val="16"/>
              </w:rPr>
              <w:fldChar w:fldCharType="end"/>
            </w:r>
          </w:p>
          <w:p w14:paraId="2FB1494F"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NHIS-CCS</w:t>
            </w:r>
            <w:r w:rsidRPr="00DE452B">
              <w:rPr>
                <w:rFonts w:asciiTheme="minorHAnsi" w:hAnsiTheme="minorHAnsi" w:cstheme="minorHAnsi"/>
                <w:sz w:val="16"/>
                <w:szCs w:val="16"/>
                <w:vertAlign w:val="superscript"/>
              </w:rPr>
              <w:t>b</w:t>
            </w:r>
          </w:p>
          <w:p w14:paraId="3F561625"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None</w:t>
            </w:r>
          </w:p>
        </w:tc>
        <w:tc>
          <w:tcPr>
            <w:tcW w:w="589" w:type="pct"/>
          </w:tcPr>
          <w:p w14:paraId="649C627E"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 xml:space="preserve">Self-reported smoking status coded as some day or every day </w:t>
            </w:r>
          </w:p>
          <w:p w14:paraId="5E7B6439" w14:textId="77777777" w:rsidR="00881FE9" w:rsidRPr="00DE452B" w:rsidRDefault="00881FE9" w:rsidP="0069742C">
            <w:pPr>
              <w:rPr>
                <w:rFonts w:asciiTheme="minorHAnsi" w:hAnsiTheme="minorHAnsi" w:cstheme="minorHAnsi"/>
                <w:sz w:val="16"/>
                <w:szCs w:val="16"/>
              </w:rPr>
            </w:pPr>
          </w:p>
        </w:tc>
        <w:tc>
          <w:tcPr>
            <w:tcW w:w="661" w:type="pct"/>
          </w:tcPr>
          <w:p w14:paraId="3EC0C07D"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NR</w:t>
            </w:r>
          </w:p>
        </w:tc>
        <w:tc>
          <w:tcPr>
            <w:tcW w:w="625" w:type="pct"/>
          </w:tcPr>
          <w:p w14:paraId="03A556D4"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7900A734"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291B6BD4"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1C047A43"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Black women:</w:t>
            </w:r>
          </w:p>
          <w:p w14:paraId="72D3126F"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Daily:</w:t>
            </w:r>
          </w:p>
          <w:p w14:paraId="26773213"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11.2%</w:t>
            </w:r>
          </w:p>
          <w:p w14:paraId="45C8BF38"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NM: 3.3%</w:t>
            </w:r>
          </w:p>
          <w:p w14:paraId="415CA9A6"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Non-Daily:</w:t>
            </w:r>
          </w:p>
          <w:p w14:paraId="1AE52B23"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3.1%</w:t>
            </w:r>
          </w:p>
          <w:p w14:paraId="64B48B6B"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NM: 0.9%</w:t>
            </w:r>
          </w:p>
          <w:p w14:paraId="7D55806D"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Hispanic women:</w:t>
            </w:r>
          </w:p>
          <w:p w14:paraId="542CDFC4"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Daily:</w:t>
            </w:r>
          </w:p>
          <w:p w14:paraId="589139F1"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3.1%</w:t>
            </w:r>
          </w:p>
          <w:p w14:paraId="5668C74A"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NM: 5.7%</w:t>
            </w:r>
          </w:p>
          <w:p w14:paraId="0CB23B93"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Non-Daily:</w:t>
            </w:r>
          </w:p>
          <w:p w14:paraId="2CA43A24"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1.5%</w:t>
            </w:r>
          </w:p>
          <w:p w14:paraId="33573259"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NM: 2.1%%</w:t>
            </w:r>
          </w:p>
          <w:p w14:paraId="33334DCF"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White women:</w:t>
            </w:r>
          </w:p>
          <w:p w14:paraId="523CD0FF"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Daily:</w:t>
            </w:r>
          </w:p>
          <w:p w14:paraId="022A9577"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4.7%</w:t>
            </w:r>
          </w:p>
          <w:p w14:paraId="36B4AD01"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NM: 14.4%</w:t>
            </w:r>
          </w:p>
          <w:p w14:paraId="4C5DD0BD"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Non-Daily:</w:t>
            </w:r>
          </w:p>
          <w:p w14:paraId="461DB72E"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0.9%</w:t>
            </w:r>
          </w:p>
          <w:p w14:paraId="7D09355A"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NM: 2.9%</w:t>
            </w:r>
          </w:p>
          <w:p w14:paraId="6550AF23"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 xml:space="preserve"> </w:t>
            </w:r>
          </w:p>
          <w:p w14:paraId="635BABDA"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Black men:</w:t>
            </w:r>
          </w:p>
          <w:p w14:paraId="4EDCB7BD"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Daily:</w:t>
            </w:r>
          </w:p>
          <w:p w14:paraId="0481BCEF"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14.9%</w:t>
            </w:r>
          </w:p>
          <w:p w14:paraId="0039C630"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NM: 6.1%</w:t>
            </w:r>
          </w:p>
          <w:p w14:paraId="4374DD1B"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Non-Daily:</w:t>
            </w:r>
          </w:p>
          <w:p w14:paraId="75531B17"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5.2%</w:t>
            </w:r>
          </w:p>
          <w:p w14:paraId="1043381F"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NM: 2.1%</w:t>
            </w:r>
          </w:p>
          <w:p w14:paraId="7DCCACFD"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Hispanic men:</w:t>
            </w:r>
          </w:p>
          <w:p w14:paraId="30155ACD"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Daily:</w:t>
            </w:r>
          </w:p>
          <w:p w14:paraId="3E492BBC"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2.1%</w:t>
            </w:r>
          </w:p>
          <w:p w14:paraId="181FAD28"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NM: 10.7%%</w:t>
            </w:r>
          </w:p>
          <w:p w14:paraId="1242938D"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lastRenderedPageBreak/>
              <w:t>Non-Daily:</w:t>
            </w:r>
          </w:p>
          <w:p w14:paraId="1F234EA8"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1.3%</w:t>
            </w:r>
          </w:p>
          <w:p w14:paraId="288D52FB"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NM: 6.9%</w:t>
            </w:r>
          </w:p>
          <w:p w14:paraId="50B539C1"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White men:</w:t>
            </w:r>
          </w:p>
          <w:p w14:paraId="53758165"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Daily:</w:t>
            </w:r>
          </w:p>
          <w:p w14:paraId="5DF1E930"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3.4%</w:t>
            </w:r>
          </w:p>
          <w:p w14:paraId="248BCD0D"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NM: 19.8%</w:t>
            </w:r>
          </w:p>
          <w:p w14:paraId="224633CE"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Non-Daily:</w:t>
            </w:r>
          </w:p>
          <w:p w14:paraId="7A3E35A2"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0.4%</w:t>
            </w:r>
          </w:p>
          <w:p w14:paraId="3F9C72D9"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rPr>
              <w:t>NM: 3.5%</w:t>
            </w:r>
          </w:p>
        </w:tc>
      </w:tr>
      <w:tr w:rsidR="00881FE9" w:rsidRPr="00DE452B" w14:paraId="77EC4F0F" w14:textId="77777777" w:rsidTr="00382374">
        <w:tc>
          <w:tcPr>
            <w:tcW w:w="624" w:type="pct"/>
          </w:tcPr>
          <w:p w14:paraId="38C8A6CF" w14:textId="715BA642" w:rsidR="00881FE9" w:rsidRPr="00DE452B" w:rsidRDefault="00D2134A" w:rsidP="0069742C">
            <w:pPr>
              <w:rPr>
                <w:rFonts w:asciiTheme="minorHAnsi" w:hAnsiTheme="minorHAnsi" w:cstheme="minorHAnsi"/>
                <w:sz w:val="16"/>
                <w:szCs w:val="16"/>
              </w:rPr>
            </w:pPr>
            <w:r>
              <w:rPr>
                <w:rFonts w:cstheme="minorHAnsi"/>
                <w:sz w:val="16"/>
                <w:szCs w:val="16"/>
              </w:rPr>
              <w:lastRenderedPageBreak/>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51" w:tooltip="Curtin, 2014 #13" w:history="1">
              <w:r w:rsidR="00A234A9">
                <w:rPr>
                  <w:rFonts w:cstheme="minorHAnsi"/>
                  <w:noProof/>
                  <w:sz w:val="16"/>
                  <w:szCs w:val="16"/>
                </w:rPr>
                <w:t>51</w:t>
              </w:r>
            </w:hyperlink>
            <w:r>
              <w:rPr>
                <w:rFonts w:cstheme="minorHAnsi"/>
                <w:noProof/>
                <w:sz w:val="16"/>
                <w:szCs w:val="16"/>
              </w:rPr>
              <w:t>)</w:t>
            </w:r>
            <w:r>
              <w:rPr>
                <w:rFonts w:cstheme="minorHAnsi"/>
                <w:sz w:val="16"/>
                <w:szCs w:val="16"/>
              </w:rPr>
              <w:fldChar w:fldCharType="end"/>
            </w:r>
          </w:p>
          <w:p w14:paraId="04B42AA5"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NHANES</w:t>
            </w:r>
            <w:r w:rsidRPr="00DE452B">
              <w:rPr>
                <w:rFonts w:asciiTheme="minorHAnsi" w:hAnsiTheme="minorHAnsi" w:cstheme="minorHAnsi"/>
                <w:sz w:val="16"/>
                <w:szCs w:val="16"/>
                <w:vertAlign w:val="superscript"/>
              </w:rPr>
              <w:t>b</w:t>
            </w:r>
          </w:p>
          <w:p w14:paraId="0ED4AE72"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Adults</w:t>
            </w:r>
          </w:p>
        </w:tc>
        <w:tc>
          <w:tcPr>
            <w:tcW w:w="589" w:type="pct"/>
          </w:tcPr>
          <w:p w14:paraId="10350F3A"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First started to smoke fairly regularly</w:t>
            </w:r>
          </w:p>
        </w:tc>
        <w:tc>
          <w:tcPr>
            <w:tcW w:w="661" w:type="pct"/>
          </w:tcPr>
          <w:p w14:paraId="5E95E64E" w14:textId="77777777" w:rsidR="00881FE9" w:rsidRPr="00DE452B" w:rsidRDefault="00881FE9" w:rsidP="0069742C">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Smoked ≥1 day but &lt;daily in past 30 days </w:t>
            </w:r>
          </w:p>
          <w:p w14:paraId="37B12E0E"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M: 18.0 (17.7 to 18.3)</w:t>
            </w:r>
          </w:p>
          <w:p w14:paraId="2340A242"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NM: 17.6 (17.4 to 17.8)</w:t>
            </w:r>
          </w:p>
          <w:p w14:paraId="019D8949" w14:textId="77777777" w:rsidR="00881FE9" w:rsidRPr="00DE452B" w:rsidRDefault="00881FE9" w:rsidP="0069742C">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Smoked ≥10 days in past 30 days </w:t>
            </w:r>
          </w:p>
          <w:p w14:paraId="13A857B1"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M: 18.0 (17.7 to 18.3)</w:t>
            </w:r>
          </w:p>
          <w:p w14:paraId="3C38CE2F"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NM: 17.6 (17.4 to 17.8)</w:t>
            </w:r>
          </w:p>
          <w:p w14:paraId="6A4ABED8" w14:textId="77777777" w:rsidR="00881FE9" w:rsidRPr="00DE452B" w:rsidRDefault="00881FE9" w:rsidP="0069742C">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Smoked daily in past 30 days </w:t>
            </w:r>
          </w:p>
          <w:p w14:paraId="50885DDA"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M: 17.9 (17.6 to 18.2)</w:t>
            </w:r>
          </w:p>
          <w:p w14:paraId="1A8557ED"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NM: 17.4 (17.2 to 17.6)</w:t>
            </w:r>
          </w:p>
        </w:tc>
        <w:tc>
          <w:tcPr>
            <w:tcW w:w="625" w:type="pct"/>
          </w:tcPr>
          <w:p w14:paraId="088AEFE0"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55211082"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7083248A"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721DAFC0"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NR</w:t>
            </w:r>
          </w:p>
        </w:tc>
      </w:tr>
      <w:tr w:rsidR="00881FE9" w:rsidRPr="00DE452B" w14:paraId="2DF5B50A" w14:textId="77777777" w:rsidTr="00382374">
        <w:tc>
          <w:tcPr>
            <w:tcW w:w="624" w:type="pct"/>
          </w:tcPr>
          <w:p w14:paraId="3FA1EB75" w14:textId="7AE511B4" w:rsidR="00881FE9" w:rsidRPr="00DE452B" w:rsidRDefault="00D2134A" w:rsidP="0069742C">
            <w:pPr>
              <w:rPr>
                <w:rFonts w:asciiTheme="minorHAnsi" w:hAnsiTheme="minorHAnsi" w:cstheme="minorHAnsi"/>
                <w:sz w:val="16"/>
                <w:szCs w:val="16"/>
              </w:rPr>
            </w:pP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51" w:tooltip="Curtin, 2014 #13" w:history="1">
              <w:r w:rsidR="00A234A9">
                <w:rPr>
                  <w:rFonts w:cstheme="minorHAnsi"/>
                  <w:noProof/>
                  <w:sz w:val="16"/>
                  <w:szCs w:val="16"/>
                </w:rPr>
                <w:t>51</w:t>
              </w:r>
            </w:hyperlink>
            <w:r>
              <w:rPr>
                <w:rFonts w:cstheme="minorHAnsi"/>
                <w:noProof/>
                <w:sz w:val="16"/>
                <w:szCs w:val="16"/>
              </w:rPr>
              <w:t>)</w:t>
            </w:r>
            <w:r>
              <w:rPr>
                <w:rFonts w:cstheme="minorHAnsi"/>
                <w:sz w:val="16"/>
                <w:szCs w:val="16"/>
              </w:rPr>
              <w:fldChar w:fldCharType="end"/>
            </w:r>
          </w:p>
          <w:p w14:paraId="41D2CED5"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NHANES</w:t>
            </w:r>
            <w:r w:rsidRPr="00DE452B">
              <w:rPr>
                <w:rFonts w:asciiTheme="minorHAnsi" w:hAnsiTheme="minorHAnsi" w:cstheme="minorHAnsi"/>
                <w:sz w:val="16"/>
                <w:szCs w:val="16"/>
                <w:vertAlign w:val="superscript"/>
              </w:rPr>
              <w:t>b</w:t>
            </w:r>
          </w:p>
          <w:p w14:paraId="4F55875C"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Adults</w:t>
            </w:r>
          </w:p>
        </w:tc>
        <w:tc>
          <w:tcPr>
            <w:tcW w:w="589" w:type="pct"/>
          </w:tcPr>
          <w:p w14:paraId="1F36C74A"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First started to smoke regularly</w:t>
            </w:r>
          </w:p>
        </w:tc>
        <w:tc>
          <w:tcPr>
            <w:tcW w:w="661" w:type="pct"/>
          </w:tcPr>
          <w:p w14:paraId="138826D2" w14:textId="77777777" w:rsidR="00881FE9" w:rsidRPr="00DE452B" w:rsidRDefault="00881FE9" w:rsidP="0069742C">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Age at start of regular smoking among past-month smokers </w:t>
            </w:r>
          </w:p>
          <w:p w14:paraId="6945FDF5"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 xml:space="preserve">M: 15.5, SE=0.20, 95% CI: 15.1 to 15.9 </w:t>
            </w:r>
          </w:p>
          <w:p w14:paraId="3D2C9EA2"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NM: 15.4 years old, SE=0.18, 95% CI: -0.41 to 0.29</w:t>
            </w:r>
          </w:p>
        </w:tc>
        <w:tc>
          <w:tcPr>
            <w:tcW w:w="625" w:type="pct"/>
          </w:tcPr>
          <w:p w14:paraId="73CE85A4"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54E9C7C8"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27A23061"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1426C239" w14:textId="77777777" w:rsidR="00881FE9" w:rsidRPr="00DE452B" w:rsidRDefault="00881FE9" w:rsidP="0069742C">
            <w:pPr>
              <w:rPr>
                <w:rFonts w:asciiTheme="minorHAnsi" w:hAnsiTheme="minorHAnsi" w:cstheme="minorHAnsi"/>
                <w:sz w:val="16"/>
                <w:szCs w:val="16"/>
              </w:rPr>
            </w:pPr>
            <w:r w:rsidRPr="00DE452B">
              <w:rPr>
                <w:rFonts w:asciiTheme="minorHAnsi" w:hAnsiTheme="minorHAnsi" w:cstheme="minorHAnsi"/>
                <w:sz w:val="16"/>
                <w:szCs w:val="16"/>
              </w:rPr>
              <w:t>NR</w:t>
            </w:r>
          </w:p>
        </w:tc>
      </w:tr>
      <w:tr w:rsidR="00881FE9" w:rsidRPr="00DE452B" w14:paraId="3A2765F8" w14:textId="77777777" w:rsidTr="00382374">
        <w:tc>
          <w:tcPr>
            <w:tcW w:w="624" w:type="pct"/>
          </w:tcPr>
          <w:p w14:paraId="539153E3" w14:textId="77777777" w:rsidR="00325254" w:rsidRDefault="00D2134A" w:rsidP="002039ED">
            <w:pPr>
              <w:rPr>
                <w:rFonts w:asciiTheme="minorHAnsi" w:hAnsiTheme="minorHAnsi" w:cstheme="minorHAnsi"/>
                <w:sz w:val="16"/>
                <w:szCs w:val="16"/>
              </w:rPr>
            </w:pPr>
            <w:r>
              <w:rPr>
                <w:rFonts w:cstheme="minorHAnsi"/>
                <w:sz w:val="16"/>
                <w:szCs w:val="16"/>
              </w:rPr>
              <w:fldChar w:fldCharType="begin">
                <w:fldData xml:space="preserve">PEVuZE5vdGU+PENpdGU+PEF1dGhvcj5DdXJ0aW48L0F1dGhvcj48WWVhcj4yMDE0PC9ZZWFyPjxS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PEVuZE5vdGU+PENpdGU+PEF1dGhvcj5DdXJ0aW48L0F1dGhvcj48WWVhcj4yMDE0PC9ZZWFyPjxS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52" w:tooltip="Curtin, 2014 #14" w:history="1">
              <w:r w:rsidR="00A234A9">
                <w:rPr>
                  <w:rFonts w:cstheme="minorHAnsi"/>
                  <w:noProof/>
                  <w:sz w:val="16"/>
                  <w:szCs w:val="16"/>
                </w:rPr>
                <w:t>52</w:t>
              </w:r>
            </w:hyperlink>
            <w:r>
              <w:rPr>
                <w:rFonts w:cstheme="minorHAnsi"/>
                <w:noProof/>
                <w:sz w:val="16"/>
                <w:szCs w:val="16"/>
              </w:rPr>
              <w:t>)</w:t>
            </w:r>
            <w:r>
              <w:rPr>
                <w:rFonts w:cstheme="minorHAnsi"/>
                <w:sz w:val="16"/>
                <w:szCs w:val="16"/>
              </w:rPr>
              <w:fldChar w:fldCharType="end"/>
            </w:r>
            <w:r w:rsidR="00881FE9" w:rsidRPr="00DE452B">
              <w:rPr>
                <w:rFonts w:asciiTheme="minorHAnsi" w:hAnsiTheme="minorHAnsi" w:cstheme="minorHAnsi"/>
                <w:sz w:val="16"/>
                <w:szCs w:val="16"/>
              </w:rPr>
              <w:t xml:space="preserve"> </w:t>
            </w:r>
          </w:p>
          <w:p w14:paraId="462EFA2D" w14:textId="08CDA075"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Adults</w:t>
            </w:r>
            <w:r w:rsidRPr="00DE452B">
              <w:rPr>
                <w:rFonts w:asciiTheme="minorHAnsi" w:hAnsiTheme="minorHAnsi" w:cstheme="minorHAnsi"/>
                <w:sz w:val="16"/>
                <w:szCs w:val="16"/>
                <w:vertAlign w:val="superscript"/>
              </w:rPr>
              <w:t>b</w:t>
            </w:r>
          </w:p>
          <w:p w14:paraId="13407D5F"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NHANES</w:t>
            </w:r>
          </w:p>
          <w:p w14:paraId="2C166401"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Adults</w:t>
            </w:r>
          </w:p>
        </w:tc>
        <w:tc>
          <w:tcPr>
            <w:tcW w:w="589" w:type="pct"/>
          </w:tcPr>
          <w:p w14:paraId="72074092" w14:textId="77777777" w:rsidR="00881FE9" w:rsidRPr="00DE452B" w:rsidRDefault="00621FF9" w:rsidP="002039ED">
            <w:pPr>
              <w:rPr>
                <w:rFonts w:asciiTheme="minorHAnsi" w:hAnsiTheme="minorHAnsi" w:cstheme="minorHAnsi"/>
                <w:sz w:val="16"/>
                <w:szCs w:val="16"/>
              </w:rPr>
            </w:pPr>
            <w:r w:rsidRPr="00DE452B">
              <w:rPr>
                <w:rFonts w:asciiTheme="minorHAnsi" w:hAnsiTheme="minorHAnsi" w:cstheme="minorHAnsi"/>
                <w:sz w:val="16"/>
                <w:szCs w:val="16"/>
              </w:rPr>
              <w:t>Answering either daily, regular (10+ days during the past 30), or past (1+ days during the past 30) month to the question, “On how many of the past 30 days did [you] smoke a cigarette?”</w:t>
            </w:r>
          </w:p>
        </w:tc>
        <w:tc>
          <w:tcPr>
            <w:tcW w:w="661" w:type="pct"/>
          </w:tcPr>
          <w:p w14:paraId="1B450273"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rPr>
              <w:t>NR</w:t>
            </w:r>
          </w:p>
        </w:tc>
        <w:tc>
          <w:tcPr>
            <w:tcW w:w="625" w:type="pct"/>
          </w:tcPr>
          <w:p w14:paraId="417BAE59"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40DC6B7E"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63148E79"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26AA9FA9"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Daily smokers over past month</w:t>
            </w:r>
          </w:p>
          <w:p w14:paraId="7ABBD8DA"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Overall:</w:t>
            </w:r>
          </w:p>
          <w:p w14:paraId="137B27D2"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 xml:space="preserve">M: 25.90% (23.8% to 28.0%) </w:t>
            </w:r>
          </w:p>
          <w:p w14:paraId="76B36A3E"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 xml:space="preserve">NM: 74.10% (72.0% to 76.2%) </w:t>
            </w:r>
          </w:p>
          <w:p w14:paraId="5BFFCD40" w14:textId="77777777" w:rsidR="00881FE9" w:rsidRPr="00DE452B" w:rsidRDefault="00881FE9" w:rsidP="002039ED">
            <w:pPr>
              <w:rPr>
                <w:rFonts w:asciiTheme="minorHAnsi" w:hAnsiTheme="minorHAnsi" w:cstheme="minorHAnsi"/>
                <w:sz w:val="16"/>
                <w:szCs w:val="16"/>
              </w:rPr>
            </w:pPr>
          </w:p>
          <w:p w14:paraId="7F71EC7C"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Gender:</w:t>
            </w:r>
          </w:p>
          <w:p w14:paraId="508A41E3"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Male M: 20.88% (18.7% to 23.1%)</w:t>
            </w:r>
          </w:p>
          <w:p w14:paraId="630E9095"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Female M: 31.53% (28.8% to 34.2%)</w:t>
            </w:r>
          </w:p>
          <w:p w14:paraId="40CD8C48"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Male NM: 79.12% (76.9% to 81.3%)</w:t>
            </w:r>
          </w:p>
          <w:p w14:paraId="288B6C11"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Female NM: 68.47% (65.8% to 71.2%)</w:t>
            </w:r>
          </w:p>
          <w:p w14:paraId="07BD8DB7" w14:textId="77777777" w:rsidR="00881FE9" w:rsidRPr="00DE452B" w:rsidRDefault="00881FE9" w:rsidP="002039ED">
            <w:pPr>
              <w:rPr>
                <w:rFonts w:asciiTheme="minorHAnsi" w:hAnsiTheme="minorHAnsi" w:cstheme="minorHAnsi"/>
                <w:sz w:val="16"/>
                <w:szCs w:val="16"/>
              </w:rPr>
            </w:pPr>
          </w:p>
          <w:p w14:paraId="0DF2482D"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Race/ethnicity:</w:t>
            </w:r>
          </w:p>
          <w:p w14:paraId="22C79DA6" w14:textId="77777777" w:rsidR="00881FE9" w:rsidRPr="00DE452B" w:rsidRDefault="00A849BC" w:rsidP="002039ED">
            <w:pPr>
              <w:rPr>
                <w:rFonts w:asciiTheme="minorHAnsi" w:hAnsiTheme="minorHAnsi" w:cstheme="minorHAnsi"/>
                <w:sz w:val="16"/>
                <w:szCs w:val="16"/>
              </w:rPr>
            </w:pPr>
            <w:r w:rsidRPr="00DE452B">
              <w:rPr>
                <w:rFonts w:asciiTheme="minorHAnsi" w:hAnsiTheme="minorHAnsi" w:cstheme="minorHAnsi"/>
                <w:sz w:val="16"/>
                <w:szCs w:val="16"/>
              </w:rPr>
              <w:lastRenderedPageBreak/>
              <w:t>NH White</w:t>
            </w:r>
            <w:r w:rsidR="00881FE9" w:rsidRPr="00DE452B">
              <w:rPr>
                <w:rFonts w:asciiTheme="minorHAnsi" w:hAnsiTheme="minorHAnsi" w:cstheme="minorHAnsi"/>
                <w:sz w:val="16"/>
                <w:szCs w:val="16"/>
              </w:rPr>
              <w:t xml:space="preserve"> M: 19.1% (17.3% to 20.9%)</w:t>
            </w:r>
          </w:p>
          <w:p w14:paraId="5EF79EBA" w14:textId="77777777" w:rsidR="00881FE9" w:rsidRPr="00DE452B" w:rsidRDefault="00A849BC" w:rsidP="002039ED">
            <w:pPr>
              <w:rPr>
                <w:rFonts w:asciiTheme="minorHAnsi" w:hAnsiTheme="minorHAnsi" w:cstheme="minorHAnsi"/>
                <w:sz w:val="16"/>
                <w:szCs w:val="16"/>
              </w:rPr>
            </w:pPr>
            <w:r w:rsidRPr="00DE452B">
              <w:rPr>
                <w:rFonts w:asciiTheme="minorHAnsi" w:hAnsiTheme="minorHAnsi" w:cstheme="minorHAnsi"/>
                <w:sz w:val="16"/>
                <w:szCs w:val="16"/>
              </w:rPr>
              <w:t>NH Black</w:t>
            </w:r>
            <w:r w:rsidR="00881FE9" w:rsidRPr="00DE452B">
              <w:rPr>
                <w:rFonts w:asciiTheme="minorHAnsi" w:hAnsiTheme="minorHAnsi" w:cstheme="minorHAnsi"/>
                <w:sz w:val="16"/>
                <w:szCs w:val="16"/>
              </w:rPr>
              <w:t xml:space="preserve"> M: 73.96% (70.4% to 77.6%)</w:t>
            </w:r>
          </w:p>
          <w:p w14:paraId="5C9132F7"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Other M: 19.84% (15.8% to 23.8%)</w:t>
            </w:r>
          </w:p>
          <w:p w14:paraId="495D0F10" w14:textId="77777777" w:rsidR="00881FE9" w:rsidRPr="00DE452B" w:rsidRDefault="00A849BC" w:rsidP="002039ED">
            <w:pPr>
              <w:rPr>
                <w:rFonts w:asciiTheme="minorHAnsi" w:hAnsiTheme="minorHAnsi" w:cstheme="minorHAnsi"/>
                <w:sz w:val="16"/>
                <w:szCs w:val="16"/>
              </w:rPr>
            </w:pPr>
            <w:r w:rsidRPr="00DE452B">
              <w:rPr>
                <w:rFonts w:asciiTheme="minorHAnsi" w:hAnsiTheme="minorHAnsi" w:cstheme="minorHAnsi"/>
                <w:sz w:val="16"/>
                <w:szCs w:val="16"/>
              </w:rPr>
              <w:t>NH White</w:t>
            </w:r>
            <w:r w:rsidR="00881FE9" w:rsidRPr="00DE452B">
              <w:rPr>
                <w:rFonts w:asciiTheme="minorHAnsi" w:hAnsiTheme="minorHAnsi" w:cstheme="minorHAnsi"/>
                <w:sz w:val="16"/>
                <w:szCs w:val="16"/>
              </w:rPr>
              <w:t xml:space="preserve"> NM: 80.9% (79.1% to 82.7%)</w:t>
            </w:r>
          </w:p>
          <w:p w14:paraId="1217B0C8" w14:textId="77777777" w:rsidR="00881FE9" w:rsidRPr="00DE452B" w:rsidRDefault="00A849BC" w:rsidP="002039ED">
            <w:pPr>
              <w:rPr>
                <w:rFonts w:asciiTheme="minorHAnsi" w:hAnsiTheme="minorHAnsi" w:cstheme="minorHAnsi"/>
                <w:sz w:val="16"/>
                <w:szCs w:val="16"/>
              </w:rPr>
            </w:pPr>
            <w:r w:rsidRPr="00DE452B">
              <w:rPr>
                <w:rFonts w:asciiTheme="minorHAnsi" w:hAnsiTheme="minorHAnsi" w:cstheme="minorHAnsi"/>
                <w:sz w:val="16"/>
                <w:szCs w:val="16"/>
              </w:rPr>
              <w:t>NH Black</w:t>
            </w:r>
            <w:r w:rsidR="00881FE9" w:rsidRPr="00DE452B">
              <w:rPr>
                <w:rFonts w:asciiTheme="minorHAnsi" w:hAnsiTheme="minorHAnsi" w:cstheme="minorHAnsi"/>
                <w:sz w:val="16"/>
                <w:szCs w:val="16"/>
              </w:rPr>
              <w:t xml:space="preserve"> NM: 26.04% (22.4% to 29.6%)</w:t>
            </w:r>
          </w:p>
          <w:p w14:paraId="31E5A593"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Other NM: 80.16% (76.2% to 84.2%)</w:t>
            </w:r>
          </w:p>
          <w:p w14:paraId="520DC5BA" w14:textId="77777777" w:rsidR="00881FE9" w:rsidRPr="00DE452B" w:rsidRDefault="00881FE9" w:rsidP="002039ED">
            <w:pPr>
              <w:rPr>
                <w:rFonts w:asciiTheme="minorHAnsi" w:hAnsiTheme="minorHAnsi" w:cstheme="minorHAnsi"/>
                <w:sz w:val="16"/>
                <w:szCs w:val="16"/>
              </w:rPr>
            </w:pPr>
          </w:p>
          <w:p w14:paraId="75675BCA"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Current age (yrs):</w:t>
            </w:r>
          </w:p>
          <w:p w14:paraId="193951D1"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20 to 25 M: 30.53% (25.4% to 35.6%)</w:t>
            </w:r>
          </w:p>
          <w:p w14:paraId="47047519"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26 to 29 M: 28.42% (23.1% to 33.8%)</w:t>
            </w:r>
          </w:p>
          <w:p w14:paraId="110D2670"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≥30 M: 24.76% (22.8% to 26.7%)</w:t>
            </w:r>
          </w:p>
          <w:p w14:paraId="40884ECF"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20 to 25 NM: 69.47% (64.4% to 74.6%)</w:t>
            </w:r>
          </w:p>
          <w:p w14:paraId="484436E9"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26 to 29 NM: 71.58% (66.2% to 76.9%)</w:t>
            </w:r>
          </w:p>
          <w:p w14:paraId="7BFB6F11"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≥30 NM: 75.24% (73.3% to 77.2%)</w:t>
            </w:r>
          </w:p>
          <w:p w14:paraId="77E0EAFD" w14:textId="77777777" w:rsidR="00881FE9" w:rsidRPr="00DE452B" w:rsidRDefault="00881FE9" w:rsidP="002039ED">
            <w:pPr>
              <w:rPr>
                <w:rFonts w:asciiTheme="minorHAnsi" w:hAnsiTheme="minorHAnsi" w:cstheme="minorHAnsi"/>
                <w:sz w:val="16"/>
                <w:szCs w:val="16"/>
              </w:rPr>
            </w:pPr>
          </w:p>
          <w:p w14:paraId="0AA3EA05"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Regular smokers over past month (10+ days during the past 30)</w:t>
            </w:r>
          </w:p>
          <w:p w14:paraId="4D5569E7"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Overall:</w:t>
            </w:r>
          </w:p>
          <w:p w14:paraId="60CCA393"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 xml:space="preserve">M: 25.82% (23.7% to 28.0%) </w:t>
            </w:r>
          </w:p>
          <w:p w14:paraId="25AC2462"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 xml:space="preserve">NM: 74.18% (72.0% to 76.3%) </w:t>
            </w:r>
          </w:p>
          <w:p w14:paraId="57FC7F3E" w14:textId="77777777" w:rsidR="00881FE9" w:rsidRPr="00DE452B" w:rsidRDefault="00881FE9" w:rsidP="002039ED">
            <w:pPr>
              <w:rPr>
                <w:rFonts w:asciiTheme="minorHAnsi" w:hAnsiTheme="minorHAnsi" w:cstheme="minorHAnsi"/>
                <w:sz w:val="16"/>
                <w:szCs w:val="16"/>
              </w:rPr>
            </w:pPr>
          </w:p>
          <w:p w14:paraId="0CAA5DD8"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Gender:</w:t>
            </w:r>
          </w:p>
          <w:p w14:paraId="7EDEE5A8"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Male M: 21.04% (18.9% to 23.2%)</w:t>
            </w:r>
          </w:p>
          <w:p w14:paraId="481D5518"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Female M: 31.32% (28.6% to 34.0%)</w:t>
            </w:r>
          </w:p>
          <w:p w14:paraId="28564553"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Male NM: 78.96% (76.8% to 81.1%)</w:t>
            </w:r>
          </w:p>
          <w:p w14:paraId="10AE3F32"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Female NM: 68.68% (66.0% to 71.4%)</w:t>
            </w:r>
          </w:p>
          <w:p w14:paraId="07BB23EE" w14:textId="77777777" w:rsidR="00881FE9" w:rsidRPr="00DE452B" w:rsidRDefault="00881FE9" w:rsidP="002039ED">
            <w:pPr>
              <w:rPr>
                <w:rFonts w:asciiTheme="minorHAnsi" w:hAnsiTheme="minorHAnsi" w:cstheme="minorHAnsi"/>
                <w:sz w:val="16"/>
                <w:szCs w:val="16"/>
              </w:rPr>
            </w:pPr>
          </w:p>
          <w:p w14:paraId="315E0EDE"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Race/ethnicity:</w:t>
            </w:r>
          </w:p>
          <w:p w14:paraId="006D3757" w14:textId="77777777" w:rsidR="00881FE9" w:rsidRPr="00DE452B" w:rsidRDefault="00A849BC" w:rsidP="002039ED">
            <w:pPr>
              <w:rPr>
                <w:rFonts w:asciiTheme="minorHAnsi" w:hAnsiTheme="minorHAnsi" w:cstheme="minorHAnsi"/>
                <w:sz w:val="16"/>
                <w:szCs w:val="16"/>
              </w:rPr>
            </w:pPr>
            <w:r w:rsidRPr="00DE452B">
              <w:rPr>
                <w:rFonts w:asciiTheme="minorHAnsi" w:hAnsiTheme="minorHAnsi" w:cstheme="minorHAnsi"/>
                <w:sz w:val="16"/>
                <w:szCs w:val="16"/>
              </w:rPr>
              <w:t>NH White</w:t>
            </w:r>
            <w:r w:rsidR="00881FE9" w:rsidRPr="00DE452B">
              <w:rPr>
                <w:rFonts w:asciiTheme="minorHAnsi" w:hAnsiTheme="minorHAnsi" w:cstheme="minorHAnsi"/>
                <w:sz w:val="16"/>
                <w:szCs w:val="16"/>
              </w:rPr>
              <w:t xml:space="preserve"> M: 19.02% (17.1% to 20.9%)</w:t>
            </w:r>
          </w:p>
          <w:p w14:paraId="78F0AC2A" w14:textId="77777777" w:rsidR="00881FE9" w:rsidRPr="00DE452B" w:rsidRDefault="00A849BC" w:rsidP="002039ED">
            <w:pPr>
              <w:rPr>
                <w:rFonts w:asciiTheme="minorHAnsi" w:hAnsiTheme="minorHAnsi" w:cstheme="minorHAnsi"/>
                <w:sz w:val="16"/>
                <w:szCs w:val="16"/>
              </w:rPr>
            </w:pPr>
            <w:r w:rsidRPr="00DE452B">
              <w:rPr>
                <w:rFonts w:asciiTheme="minorHAnsi" w:hAnsiTheme="minorHAnsi" w:cstheme="minorHAnsi"/>
                <w:sz w:val="16"/>
                <w:szCs w:val="16"/>
              </w:rPr>
              <w:t>NH Black</w:t>
            </w:r>
            <w:r w:rsidR="00881FE9" w:rsidRPr="00DE452B">
              <w:rPr>
                <w:rFonts w:asciiTheme="minorHAnsi" w:hAnsiTheme="minorHAnsi" w:cstheme="minorHAnsi"/>
                <w:sz w:val="16"/>
                <w:szCs w:val="16"/>
              </w:rPr>
              <w:t xml:space="preserve"> M: 72.21% (69.4% to 76.0%)</w:t>
            </w:r>
          </w:p>
          <w:p w14:paraId="4409C3DD"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Other M: 19.17% (15.7% to 22.6%)</w:t>
            </w:r>
          </w:p>
          <w:p w14:paraId="45ABDD5C" w14:textId="77777777" w:rsidR="00881FE9" w:rsidRPr="00DE452B" w:rsidRDefault="00A849BC" w:rsidP="002039ED">
            <w:pPr>
              <w:rPr>
                <w:rFonts w:asciiTheme="minorHAnsi" w:hAnsiTheme="minorHAnsi" w:cstheme="minorHAnsi"/>
                <w:sz w:val="16"/>
                <w:szCs w:val="16"/>
              </w:rPr>
            </w:pPr>
            <w:r w:rsidRPr="00DE452B">
              <w:rPr>
                <w:rFonts w:asciiTheme="minorHAnsi" w:hAnsiTheme="minorHAnsi" w:cstheme="minorHAnsi"/>
                <w:sz w:val="16"/>
                <w:szCs w:val="16"/>
              </w:rPr>
              <w:t>NH White</w:t>
            </w:r>
            <w:r w:rsidR="00881FE9" w:rsidRPr="00DE452B">
              <w:rPr>
                <w:rFonts w:asciiTheme="minorHAnsi" w:hAnsiTheme="minorHAnsi" w:cstheme="minorHAnsi"/>
                <w:sz w:val="16"/>
                <w:szCs w:val="16"/>
              </w:rPr>
              <w:t xml:space="preserve"> NM: 80.98% (79.1% to 82.9%)</w:t>
            </w:r>
          </w:p>
          <w:p w14:paraId="6D57F7B9" w14:textId="77777777" w:rsidR="00881FE9" w:rsidRPr="00DE452B" w:rsidRDefault="00A849BC" w:rsidP="002039ED">
            <w:pPr>
              <w:rPr>
                <w:rFonts w:asciiTheme="minorHAnsi" w:hAnsiTheme="minorHAnsi" w:cstheme="minorHAnsi"/>
                <w:sz w:val="16"/>
                <w:szCs w:val="16"/>
              </w:rPr>
            </w:pPr>
            <w:r w:rsidRPr="00DE452B">
              <w:rPr>
                <w:rFonts w:asciiTheme="minorHAnsi" w:hAnsiTheme="minorHAnsi" w:cstheme="minorHAnsi"/>
                <w:sz w:val="16"/>
                <w:szCs w:val="16"/>
              </w:rPr>
              <w:t>NH Black</w:t>
            </w:r>
            <w:r w:rsidR="00881FE9" w:rsidRPr="00DE452B">
              <w:rPr>
                <w:rFonts w:asciiTheme="minorHAnsi" w:hAnsiTheme="minorHAnsi" w:cstheme="minorHAnsi"/>
                <w:sz w:val="16"/>
                <w:szCs w:val="16"/>
              </w:rPr>
              <w:t xml:space="preserve"> NM: 27.29% (24.0% to 30.6%)</w:t>
            </w:r>
          </w:p>
          <w:p w14:paraId="62C76439"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Other NM: 80.83% (77.4% to 84.3%)</w:t>
            </w:r>
          </w:p>
          <w:p w14:paraId="165CCDD4" w14:textId="77777777" w:rsidR="00881FE9" w:rsidRPr="00DE452B" w:rsidRDefault="00881FE9" w:rsidP="002039ED">
            <w:pPr>
              <w:rPr>
                <w:rFonts w:asciiTheme="minorHAnsi" w:hAnsiTheme="minorHAnsi" w:cstheme="minorHAnsi"/>
                <w:sz w:val="16"/>
                <w:szCs w:val="16"/>
              </w:rPr>
            </w:pPr>
          </w:p>
          <w:p w14:paraId="0150FFCF"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Current age (yrs):</w:t>
            </w:r>
          </w:p>
          <w:p w14:paraId="1B7247BF"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20 to 25 M: 31.0% (25.9% to 36.1%)</w:t>
            </w:r>
          </w:p>
          <w:p w14:paraId="0A372FED"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26 to 29 M: 27.42% (23.0% to 31.8%)</w:t>
            </w:r>
          </w:p>
          <w:p w14:paraId="0236454C"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≥30 M: 24.58% (22.6% to 26.5%)</w:t>
            </w:r>
          </w:p>
          <w:p w14:paraId="770D1430"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20 to 25 NM: 69.0% (63.9% to 74.1%)</w:t>
            </w:r>
          </w:p>
          <w:p w14:paraId="4BCC7801"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26 to 29 NM: 72.58% (68.2% to 77.0%)</w:t>
            </w:r>
          </w:p>
          <w:p w14:paraId="7E248937"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≥30 NM: 75.42% (73.5% to 77.4%)</w:t>
            </w:r>
          </w:p>
          <w:p w14:paraId="5AB0EE6D" w14:textId="77777777" w:rsidR="00881FE9" w:rsidRPr="00DE452B" w:rsidRDefault="00881FE9" w:rsidP="002039ED">
            <w:pPr>
              <w:rPr>
                <w:rFonts w:asciiTheme="minorHAnsi" w:hAnsiTheme="minorHAnsi" w:cstheme="minorHAnsi"/>
                <w:sz w:val="16"/>
                <w:szCs w:val="16"/>
              </w:rPr>
            </w:pPr>
          </w:p>
          <w:p w14:paraId="50B7B7B8"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u w:val="single"/>
              </w:rPr>
              <w:t>Past-month smokers over past month (1+ days during the past 30)</w:t>
            </w:r>
          </w:p>
          <w:p w14:paraId="330FEBCE"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Overall:</w:t>
            </w:r>
          </w:p>
          <w:p w14:paraId="04D60F23"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 xml:space="preserve">M: 25.54% (23.5% to 27.6%) </w:t>
            </w:r>
          </w:p>
          <w:p w14:paraId="230F6844"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 xml:space="preserve">NM: 74.46% (72.4% to 76.5%) </w:t>
            </w:r>
          </w:p>
          <w:p w14:paraId="211FB52C" w14:textId="77777777" w:rsidR="00881FE9" w:rsidRPr="00DE452B" w:rsidRDefault="00881FE9" w:rsidP="002039ED">
            <w:pPr>
              <w:rPr>
                <w:rFonts w:asciiTheme="minorHAnsi" w:hAnsiTheme="minorHAnsi" w:cstheme="minorHAnsi"/>
                <w:sz w:val="16"/>
                <w:szCs w:val="16"/>
              </w:rPr>
            </w:pPr>
          </w:p>
          <w:p w14:paraId="587622DD"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Gender:</w:t>
            </w:r>
          </w:p>
          <w:p w14:paraId="472455DF"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Male M: 20.7% (18.7% to 22.7%)</w:t>
            </w:r>
          </w:p>
          <w:p w14:paraId="57FF20D4"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Female M: 31.24% (28.7% to 33.8%)</w:t>
            </w:r>
          </w:p>
          <w:p w14:paraId="719B5687"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Male NM: 79.3% (77.3% to 81.3%)</w:t>
            </w:r>
          </w:p>
          <w:p w14:paraId="6F53805C"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Female NM: 68.76% (66.2% to 71.3%)</w:t>
            </w:r>
          </w:p>
          <w:p w14:paraId="71704B6B" w14:textId="77777777" w:rsidR="00881FE9" w:rsidRPr="00DE452B" w:rsidRDefault="00881FE9" w:rsidP="002039ED">
            <w:pPr>
              <w:rPr>
                <w:rFonts w:asciiTheme="minorHAnsi" w:hAnsiTheme="minorHAnsi" w:cstheme="minorHAnsi"/>
                <w:sz w:val="16"/>
                <w:szCs w:val="16"/>
              </w:rPr>
            </w:pPr>
          </w:p>
          <w:p w14:paraId="7C0A4DC4"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Race/ethnicity:</w:t>
            </w:r>
          </w:p>
          <w:p w14:paraId="325648D2" w14:textId="77777777" w:rsidR="00881FE9" w:rsidRPr="00DE452B" w:rsidRDefault="00A849BC" w:rsidP="002039ED">
            <w:pPr>
              <w:rPr>
                <w:rFonts w:asciiTheme="minorHAnsi" w:hAnsiTheme="minorHAnsi" w:cstheme="minorHAnsi"/>
                <w:sz w:val="16"/>
                <w:szCs w:val="16"/>
              </w:rPr>
            </w:pPr>
            <w:r w:rsidRPr="00DE452B">
              <w:rPr>
                <w:rFonts w:asciiTheme="minorHAnsi" w:hAnsiTheme="minorHAnsi" w:cstheme="minorHAnsi"/>
                <w:sz w:val="16"/>
                <w:szCs w:val="16"/>
              </w:rPr>
              <w:t>NH White</w:t>
            </w:r>
            <w:r w:rsidR="00881FE9" w:rsidRPr="00DE452B">
              <w:rPr>
                <w:rFonts w:asciiTheme="minorHAnsi" w:hAnsiTheme="minorHAnsi" w:cstheme="minorHAnsi"/>
                <w:sz w:val="16"/>
                <w:szCs w:val="16"/>
              </w:rPr>
              <w:t xml:space="preserve"> M: 19.04% (17.2% to 20.9%)</w:t>
            </w:r>
          </w:p>
          <w:p w14:paraId="33347A6E" w14:textId="77777777" w:rsidR="00881FE9" w:rsidRPr="00DE452B" w:rsidRDefault="00A849BC" w:rsidP="002039ED">
            <w:pPr>
              <w:rPr>
                <w:rFonts w:asciiTheme="minorHAnsi" w:hAnsiTheme="minorHAnsi" w:cstheme="minorHAnsi"/>
                <w:sz w:val="16"/>
                <w:szCs w:val="16"/>
              </w:rPr>
            </w:pPr>
            <w:r w:rsidRPr="00DE452B">
              <w:rPr>
                <w:rFonts w:asciiTheme="minorHAnsi" w:hAnsiTheme="minorHAnsi" w:cstheme="minorHAnsi"/>
                <w:sz w:val="16"/>
                <w:szCs w:val="16"/>
              </w:rPr>
              <w:t>NH Black</w:t>
            </w:r>
            <w:r w:rsidR="00881FE9" w:rsidRPr="00DE452B">
              <w:rPr>
                <w:rFonts w:asciiTheme="minorHAnsi" w:hAnsiTheme="minorHAnsi" w:cstheme="minorHAnsi"/>
                <w:sz w:val="16"/>
                <w:szCs w:val="16"/>
              </w:rPr>
              <w:t xml:space="preserve"> M: 72.17% (69.1% to 75.3%)</w:t>
            </w:r>
          </w:p>
          <w:p w14:paraId="7F499524"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Other M: 18.23% (15.2% to 21.3%)</w:t>
            </w:r>
          </w:p>
          <w:p w14:paraId="44EB7559" w14:textId="77777777" w:rsidR="00881FE9" w:rsidRPr="00DE452B" w:rsidRDefault="00A849BC" w:rsidP="002039ED">
            <w:pPr>
              <w:rPr>
                <w:rFonts w:asciiTheme="minorHAnsi" w:hAnsiTheme="minorHAnsi" w:cstheme="minorHAnsi"/>
                <w:sz w:val="16"/>
                <w:szCs w:val="16"/>
              </w:rPr>
            </w:pPr>
            <w:r w:rsidRPr="00DE452B">
              <w:rPr>
                <w:rFonts w:asciiTheme="minorHAnsi" w:hAnsiTheme="minorHAnsi" w:cstheme="minorHAnsi"/>
                <w:sz w:val="16"/>
                <w:szCs w:val="16"/>
              </w:rPr>
              <w:t>NH White</w:t>
            </w:r>
            <w:r w:rsidR="00881FE9" w:rsidRPr="00DE452B">
              <w:rPr>
                <w:rFonts w:asciiTheme="minorHAnsi" w:hAnsiTheme="minorHAnsi" w:cstheme="minorHAnsi"/>
                <w:sz w:val="16"/>
                <w:szCs w:val="16"/>
              </w:rPr>
              <w:t xml:space="preserve"> NM: 80.96% (79.1% to 82.8%)</w:t>
            </w:r>
          </w:p>
          <w:p w14:paraId="1801A722" w14:textId="77777777" w:rsidR="00881FE9" w:rsidRPr="00DE452B" w:rsidRDefault="00A849BC" w:rsidP="002039ED">
            <w:pPr>
              <w:rPr>
                <w:rFonts w:asciiTheme="minorHAnsi" w:hAnsiTheme="minorHAnsi" w:cstheme="minorHAnsi"/>
                <w:sz w:val="16"/>
                <w:szCs w:val="16"/>
              </w:rPr>
            </w:pPr>
            <w:r w:rsidRPr="00DE452B">
              <w:rPr>
                <w:rFonts w:asciiTheme="minorHAnsi" w:hAnsiTheme="minorHAnsi" w:cstheme="minorHAnsi"/>
                <w:sz w:val="16"/>
                <w:szCs w:val="16"/>
              </w:rPr>
              <w:t>NH Black</w:t>
            </w:r>
            <w:r w:rsidR="00881FE9" w:rsidRPr="00DE452B">
              <w:rPr>
                <w:rFonts w:asciiTheme="minorHAnsi" w:hAnsiTheme="minorHAnsi" w:cstheme="minorHAnsi"/>
                <w:sz w:val="16"/>
                <w:szCs w:val="16"/>
              </w:rPr>
              <w:t xml:space="preserve"> NM: 27.83% (24.7% to 30.9%)</w:t>
            </w:r>
          </w:p>
          <w:p w14:paraId="127587FD"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Other NM: 81.77% (78.7% to 84.8%)</w:t>
            </w:r>
          </w:p>
          <w:p w14:paraId="41EEB712" w14:textId="77777777" w:rsidR="00881FE9" w:rsidRPr="00DE452B" w:rsidRDefault="00881FE9" w:rsidP="002039ED">
            <w:pPr>
              <w:rPr>
                <w:rFonts w:asciiTheme="minorHAnsi" w:hAnsiTheme="minorHAnsi" w:cstheme="minorHAnsi"/>
                <w:sz w:val="16"/>
                <w:szCs w:val="16"/>
              </w:rPr>
            </w:pPr>
          </w:p>
          <w:p w14:paraId="7DF21649"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Current age (yrs):</w:t>
            </w:r>
          </w:p>
          <w:p w14:paraId="4B4DEC2D"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20 to 25 M: 30.17% (25.5% to 34.8%)</w:t>
            </w:r>
          </w:p>
          <w:p w14:paraId="076A455B"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26 to 29 M: 26.1% (22.0% to 30.2%)</w:t>
            </w:r>
          </w:p>
          <w:p w14:paraId="12F360B8"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≥30 M: 24.49% (22.5% to 26.4%)</w:t>
            </w:r>
          </w:p>
          <w:p w14:paraId="1DD23036"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20 to 25 NM: 69.83% (65.2% to 74.5%)</w:t>
            </w:r>
          </w:p>
          <w:p w14:paraId="23905864"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26 to 29 NM: 73.9% (69.8% to 78.0%)</w:t>
            </w:r>
          </w:p>
          <w:p w14:paraId="739BC6D2"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≥30 NM: 75.51% (73.6% to 77.5%)</w:t>
            </w:r>
          </w:p>
        </w:tc>
      </w:tr>
      <w:tr w:rsidR="00881FE9" w:rsidRPr="00DE452B" w14:paraId="1EF4E629" w14:textId="77777777" w:rsidTr="00382374">
        <w:tc>
          <w:tcPr>
            <w:tcW w:w="624" w:type="pct"/>
          </w:tcPr>
          <w:p w14:paraId="147FA25B" w14:textId="41FD4331" w:rsidR="00881FE9" w:rsidRPr="00DE452B" w:rsidRDefault="00D2134A" w:rsidP="002039ED">
            <w:pPr>
              <w:rPr>
                <w:rFonts w:asciiTheme="minorHAnsi" w:hAnsiTheme="minorHAnsi" w:cstheme="minorHAnsi"/>
                <w:sz w:val="16"/>
                <w:szCs w:val="16"/>
              </w:rPr>
            </w:pPr>
            <w:r>
              <w:rPr>
                <w:rFonts w:cstheme="minorHAnsi"/>
                <w:sz w:val="16"/>
                <w:szCs w:val="16"/>
              </w:rPr>
              <w:lastRenderedPageBreak/>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51" w:tooltip="Curtin, 2014 #13" w:history="1">
              <w:r w:rsidR="00A234A9">
                <w:rPr>
                  <w:rFonts w:cstheme="minorHAnsi"/>
                  <w:noProof/>
                  <w:sz w:val="16"/>
                  <w:szCs w:val="16"/>
                </w:rPr>
                <w:t>51</w:t>
              </w:r>
            </w:hyperlink>
            <w:r>
              <w:rPr>
                <w:rFonts w:cstheme="minorHAnsi"/>
                <w:noProof/>
                <w:sz w:val="16"/>
                <w:szCs w:val="16"/>
              </w:rPr>
              <w:t>)</w:t>
            </w:r>
            <w:r>
              <w:rPr>
                <w:rFonts w:cstheme="minorHAnsi"/>
                <w:sz w:val="16"/>
                <w:szCs w:val="16"/>
              </w:rPr>
              <w:fldChar w:fldCharType="end"/>
            </w:r>
          </w:p>
          <w:p w14:paraId="7F842691"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NHANES</w:t>
            </w:r>
            <w:r w:rsidRPr="00DE452B">
              <w:rPr>
                <w:rFonts w:asciiTheme="minorHAnsi" w:hAnsiTheme="minorHAnsi" w:cstheme="minorHAnsi"/>
                <w:sz w:val="16"/>
                <w:szCs w:val="16"/>
                <w:vertAlign w:val="superscript"/>
              </w:rPr>
              <w:t>b</w:t>
            </w:r>
          </w:p>
          <w:p w14:paraId="0BC87AA5"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Adults only</w:t>
            </w:r>
          </w:p>
        </w:tc>
        <w:tc>
          <w:tcPr>
            <w:tcW w:w="589" w:type="pct"/>
          </w:tcPr>
          <w:p w14:paraId="2515CA0F" w14:textId="77777777" w:rsidR="00881FE9" w:rsidRPr="00DE452B" w:rsidRDefault="00621FF9" w:rsidP="002039ED">
            <w:pPr>
              <w:rPr>
                <w:rFonts w:asciiTheme="minorHAnsi" w:hAnsiTheme="minorHAnsi" w:cstheme="minorHAnsi"/>
                <w:sz w:val="16"/>
                <w:szCs w:val="16"/>
              </w:rPr>
            </w:pPr>
            <w:r w:rsidRPr="00DE452B">
              <w:rPr>
                <w:rFonts w:asciiTheme="minorHAnsi" w:hAnsiTheme="minorHAnsi" w:cstheme="minorHAnsi"/>
                <w:sz w:val="16"/>
                <w:szCs w:val="16"/>
              </w:rPr>
              <w:t>Answering either daily, regular (10+ days during the past 30), or past (1+ days during the past 30) month to the question, “On how many of the past 30 days did [you] smoke a cigarette?”</w:t>
            </w:r>
          </w:p>
        </w:tc>
        <w:tc>
          <w:tcPr>
            <w:tcW w:w="661" w:type="pct"/>
          </w:tcPr>
          <w:p w14:paraId="4FF56B2E"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rPr>
              <w:t>NR</w:t>
            </w:r>
          </w:p>
        </w:tc>
        <w:tc>
          <w:tcPr>
            <w:tcW w:w="625" w:type="pct"/>
          </w:tcPr>
          <w:p w14:paraId="151D935D"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2AAB0D7C"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7F311872"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1983DBC8"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Daily vs. non-daily smoking, OR (95% CI) for NM (ref=M): </w:t>
            </w:r>
          </w:p>
          <w:p w14:paraId="72933FA0"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 xml:space="preserve">OR=1.10 (0.93 to 1.30), </w:t>
            </w:r>
          </w:p>
          <w:p w14:paraId="15FCD144"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(p=0.25)</w:t>
            </w:r>
          </w:p>
        </w:tc>
      </w:tr>
      <w:tr w:rsidR="00881FE9" w:rsidRPr="00DE452B" w14:paraId="46DF5B23" w14:textId="77777777" w:rsidTr="00382374">
        <w:tc>
          <w:tcPr>
            <w:tcW w:w="624" w:type="pct"/>
          </w:tcPr>
          <w:p w14:paraId="342E7F2C" w14:textId="593C719F" w:rsidR="00881FE9" w:rsidRPr="00DE452B" w:rsidRDefault="00D2134A" w:rsidP="002039ED">
            <w:pPr>
              <w:rPr>
                <w:rFonts w:asciiTheme="minorHAnsi" w:hAnsiTheme="minorHAnsi" w:cstheme="minorHAnsi"/>
                <w:sz w:val="16"/>
                <w:szCs w:val="16"/>
              </w:rPr>
            </w:pP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51" w:tooltip="Curtin, 2014 #13" w:history="1">
              <w:r w:rsidR="00A234A9">
                <w:rPr>
                  <w:rFonts w:cstheme="minorHAnsi"/>
                  <w:noProof/>
                  <w:sz w:val="16"/>
                  <w:szCs w:val="16"/>
                </w:rPr>
                <w:t>51</w:t>
              </w:r>
            </w:hyperlink>
            <w:r>
              <w:rPr>
                <w:rFonts w:cstheme="minorHAnsi"/>
                <w:noProof/>
                <w:sz w:val="16"/>
                <w:szCs w:val="16"/>
              </w:rPr>
              <w:t>)</w:t>
            </w:r>
            <w:r>
              <w:rPr>
                <w:rFonts w:cstheme="minorHAnsi"/>
                <w:sz w:val="16"/>
                <w:szCs w:val="16"/>
              </w:rPr>
              <w:fldChar w:fldCharType="end"/>
            </w:r>
          </w:p>
          <w:p w14:paraId="76D19160"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NHANES</w:t>
            </w:r>
            <w:r w:rsidRPr="00DE452B">
              <w:rPr>
                <w:rFonts w:asciiTheme="minorHAnsi" w:hAnsiTheme="minorHAnsi" w:cstheme="minorHAnsi"/>
                <w:sz w:val="16"/>
                <w:szCs w:val="16"/>
                <w:vertAlign w:val="superscript"/>
              </w:rPr>
              <w:t>b</w:t>
            </w:r>
          </w:p>
          <w:p w14:paraId="60C2FA46"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Youth</w:t>
            </w:r>
          </w:p>
        </w:tc>
        <w:tc>
          <w:tcPr>
            <w:tcW w:w="589" w:type="pct"/>
          </w:tcPr>
          <w:p w14:paraId="33082693"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Smoked a whole cig for the first time</w:t>
            </w:r>
          </w:p>
        </w:tc>
        <w:tc>
          <w:tcPr>
            <w:tcW w:w="661" w:type="pct"/>
          </w:tcPr>
          <w:p w14:paraId="5ABC9265"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Smoked ≥1 day in past 30 days </w:t>
            </w:r>
          </w:p>
          <w:p w14:paraId="0F4900FD"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14.0 (13.7 to 14.4)</w:t>
            </w:r>
          </w:p>
          <w:p w14:paraId="7EB7AAA5"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NM: 13.5 (13.3 to 13.7)</w:t>
            </w:r>
          </w:p>
          <w:p w14:paraId="671A79BE"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lastRenderedPageBreak/>
              <w:t xml:space="preserve">Smoked ≥10 days in past 30 days </w:t>
            </w:r>
          </w:p>
          <w:p w14:paraId="7DBD6D53"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13.8 (13.2 to 14.3)</w:t>
            </w:r>
          </w:p>
          <w:p w14:paraId="6717FA4B"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NM: 13.3 (13.0 to 13.5)</w:t>
            </w:r>
          </w:p>
          <w:p w14:paraId="1DE9F3E1"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Smoked daily in past 30 days </w:t>
            </w:r>
          </w:p>
          <w:p w14:paraId="333DB00B"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13.3 (12.6 to 14.0)</w:t>
            </w:r>
          </w:p>
          <w:p w14:paraId="60975D67"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NM: 12.9 (12.6 to 13.2)</w:t>
            </w:r>
          </w:p>
        </w:tc>
        <w:tc>
          <w:tcPr>
            <w:tcW w:w="625" w:type="pct"/>
          </w:tcPr>
          <w:p w14:paraId="29E7163B"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lastRenderedPageBreak/>
              <w:t>NR</w:t>
            </w:r>
          </w:p>
        </w:tc>
        <w:tc>
          <w:tcPr>
            <w:tcW w:w="416" w:type="pct"/>
          </w:tcPr>
          <w:p w14:paraId="214C98CC"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128E88E7"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0126C1A4"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NR</w:t>
            </w:r>
          </w:p>
        </w:tc>
      </w:tr>
      <w:tr w:rsidR="00881FE9" w:rsidRPr="00DE452B" w14:paraId="0EDC7CF5" w14:textId="77777777" w:rsidTr="00382374">
        <w:tc>
          <w:tcPr>
            <w:tcW w:w="624" w:type="pct"/>
          </w:tcPr>
          <w:p w14:paraId="01B82E27" w14:textId="156DC279" w:rsidR="00881FE9" w:rsidRPr="00DE452B" w:rsidRDefault="00D2134A" w:rsidP="003F5ADD">
            <w:pPr>
              <w:rPr>
                <w:rFonts w:asciiTheme="minorHAnsi" w:hAnsiTheme="minorHAnsi" w:cstheme="minorHAnsi"/>
                <w:sz w:val="16"/>
                <w:szCs w:val="16"/>
              </w:rPr>
            </w:pPr>
            <w:r>
              <w:rPr>
                <w:rFonts w:cstheme="minorHAnsi"/>
                <w:sz w:val="16"/>
                <w:szCs w:val="16"/>
              </w:rPr>
              <w:fldChar w:fldCharType="begin">
                <w:fldData xml:space="preserve">PEVuZE5vdGU+PENpdGU+PEF1dGhvcj5DdXJ0aW48L0F1dGhvcj48WWVhcj4yMDE0PC9ZZWFyPjxS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PEVuZE5vdGU+PENpdGU+PEF1dGhvcj5DdXJ0aW48L0F1dGhvcj48WWVhcj4yMDE0PC9ZZWFyPjxS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52" w:tooltip="Curtin, 2014 #14" w:history="1">
              <w:r w:rsidR="00A234A9">
                <w:rPr>
                  <w:rFonts w:cstheme="minorHAnsi"/>
                  <w:noProof/>
                  <w:sz w:val="16"/>
                  <w:szCs w:val="16"/>
                </w:rPr>
                <w:t>52</w:t>
              </w:r>
            </w:hyperlink>
            <w:r>
              <w:rPr>
                <w:rFonts w:cstheme="minorHAnsi"/>
                <w:noProof/>
                <w:sz w:val="16"/>
                <w:szCs w:val="16"/>
              </w:rPr>
              <w:t>)</w:t>
            </w:r>
            <w:r>
              <w:rPr>
                <w:rFonts w:cstheme="minorHAnsi"/>
                <w:sz w:val="16"/>
                <w:szCs w:val="16"/>
              </w:rPr>
              <w:fldChar w:fldCharType="end"/>
            </w:r>
          </w:p>
          <w:p w14:paraId="11CF4458"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NHANES</w:t>
            </w:r>
            <w:r w:rsidRPr="00DE452B">
              <w:rPr>
                <w:rFonts w:asciiTheme="minorHAnsi" w:hAnsiTheme="minorHAnsi" w:cstheme="minorHAnsi"/>
                <w:sz w:val="16"/>
                <w:szCs w:val="16"/>
                <w:vertAlign w:val="superscript"/>
              </w:rPr>
              <w:t>b</w:t>
            </w:r>
          </w:p>
          <w:p w14:paraId="577DA3F5"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Youth</w:t>
            </w:r>
          </w:p>
        </w:tc>
        <w:tc>
          <w:tcPr>
            <w:tcW w:w="589" w:type="pct"/>
          </w:tcPr>
          <w:p w14:paraId="0A07E37F" w14:textId="77777777" w:rsidR="00881FE9" w:rsidRPr="00DE452B" w:rsidRDefault="00621FF9" w:rsidP="003F5ADD">
            <w:pPr>
              <w:rPr>
                <w:rFonts w:asciiTheme="minorHAnsi" w:hAnsiTheme="minorHAnsi" w:cstheme="minorHAnsi"/>
                <w:sz w:val="16"/>
                <w:szCs w:val="16"/>
              </w:rPr>
            </w:pPr>
            <w:r w:rsidRPr="00DE452B">
              <w:rPr>
                <w:rFonts w:asciiTheme="minorHAnsi" w:hAnsiTheme="minorHAnsi" w:cstheme="minorHAnsi"/>
                <w:sz w:val="16"/>
                <w:szCs w:val="16"/>
              </w:rPr>
              <w:t>Answering either daily, regular (10+ days during the past 30), or past (1+ days during the past 30) month to the question, “During the past 30 days, on how many days did you smoke cigarettes?” (1999-2004) or “On how many of the past 30 days did [you] smoke a cigarette?” (2005-2010)</w:t>
            </w:r>
          </w:p>
        </w:tc>
        <w:tc>
          <w:tcPr>
            <w:tcW w:w="661" w:type="pct"/>
          </w:tcPr>
          <w:p w14:paraId="6BAF2B6B"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rPr>
              <w:t>NR</w:t>
            </w:r>
          </w:p>
        </w:tc>
        <w:tc>
          <w:tcPr>
            <w:tcW w:w="625" w:type="pct"/>
          </w:tcPr>
          <w:p w14:paraId="3A218F1F"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347C7DCA"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26F28CF2"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4215DC3B"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u w:val="single"/>
              </w:rPr>
              <w:t>Daily smokers over past month</w:t>
            </w:r>
          </w:p>
          <w:p w14:paraId="5BAEA5BD"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Overall:</w:t>
            </w:r>
          </w:p>
          <w:p w14:paraId="5619297D"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 xml:space="preserve">M: 18.22% (13.4% to 23.1%) </w:t>
            </w:r>
          </w:p>
          <w:p w14:paraId="1E59747B"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 xml:space="preserve">NM: 81.78% (76.9% to 86.6%) </w:t>
            </w:r>
          </w:p>
          <w:p w14:paraId="68D664E1" w14:textId="77777777" w:rsidR="00881FE9" w:rsidRPr="00DE452B" w:rsidRDefault="00881FE9" w:rsidP="003F5ADD">
            <w:pPr>
              <w:rPr>
                <w:rFonts w:asciiTheme="minorHAnsi" w:hAnsiTheme="minorHAnsi" w:cstheme="minorHAnsi"/>
                <w:sz w:val="16"/>
                <w:szCs w:val="16"/>
              </w:rPr>
            </w:pPr>
          </w:p>
          <w:p w14:paraId="03E8EF8C"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Gender:</w:t>
            </w:r>
          </w:p>
          <w:p w14:paraId="1A3A7F3D"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Male M: 16.44% (10.4% to 22.4%)</w:t>
            </w:r>
          </w:p>
          <w:p w14:paraId="51301589"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Female M: 20.21% (14.0% to 26.4%)</w:t>
            </w:r>
          </w:p>
          <w:p w14:paraId="3CB70276"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Male NM: 83.56% (77.6% to 89.6%)</w:t>
            </w:r>
          </w:p>
          <w:p w14:paraId="53E62C9A"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Female NM: 79.79% (73.6% to 86.0%)</w:t>
            </w:r>
          </w:p>
          <w:p w14:paraId="4049F194" w14:textId="77777777" w:rsidR="00881FE9" w:rsidRPr="00DE452B" w:rsidRDefault="00881FE9" w:rsidP="003F5ADD">
            <w:pPr>
              <w:rPr>
                <w:rFonts w:asciiTheme="minorHAnsi" w:hAnsiTheme="minorHAnsi" w:cstheme="minorHAnsi"/>
                <w:sz w:val="16"/>
                <w:szCs w:val="16"/>
              </w:rPr>
            </w:pPr>
          </w:p>
          <w:p w14:paraId="6FC5883D"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Race/ethnicity:</w:t>
            </w:r>
          </w:p>
          <w:p w14:paraId="08088553" w14:textId="77777777" w:rsidR="00881FE9" w:rsidRPr="00DE452B" w:rsidRDefault="00A849BC" w:rsidP="003F5ADD">
            <w:pPr>
              <w:rPr>
                <w:rFonts w:asciiTheme="minorHAnsi" w:hAnsiTheme="minorHAnsi" w:cstheme="minorHAnsi"/>
                <w:sz w:val="16"/>
                <w:szCs w:val="16"/>
              </w:rPr>
            </w:pPr>
            <w:r w:rsidRPr="00DE452B">
              <w:rPr>
                <w:rFonts w:asciiTheme="minorHAnsi" w:hAnsiTheme="minorHAnsi" w:cstheme="minorHAnsi"/>
                <w:sz w:val="16"/>
                <w:szCs w:val="16"/>
              </w:rPr>
              <w:t>NH White</w:t>
            </w:r>
            <w:r w:rsidR="00881FE9" w:rsidRPr="00DE452B">
              <w:rPr>
                <w:rFonts w:asciiTheme="minorHAnsi" w:hAnsiTheme="minorHAnsi" w:cstheme="minorHAnsi"/>
                <w:sz w:val="16"/>
                <w:szCs w:val="16"/>
              </w:rPr>
              <w:t xml:space="preserve"> M: 19.85% (14.3% to 25.4%)</w:t>
            </w:r>
          </w:p>
          <w:p w14:paraId="49EF69B0" w14:textId="77777777" w:rsidR="00881FE9" w:rsidRPr="00DE452B" w:rsidRDefault="00A849BC" w:rsidP="003F5ADD">
            <w:pPr>
              <w:rPr>
                <w:rFonts w:asciiTheme="minorHAnsi" w:hAnsiTheme="minorHAnsi" w:cstheme="minorHAnsi"/>
                <w:sz w:val="16"/>
                <w:szCs w:val="16"/>
              </w:rPr>
            </w:pPr>
            <w:r w:rsidRPr="00DE452B">
              <w:rPr>
                <w:rFonts w:asciiTheme="minorHAnsi" w:hAnsiTheme="minorHAnsi" w:cstheme="minorHAnsi"/>
                <w:sz w:val="16"/>
                <w:szCs w:val="16"/>
              </w:rPr>
              <w:t>NH Black</w:t>
            </w:r>
            <w:r w:rsidR="00881FE9" w:rsidRPr="00DE452B">
              <w:rPr>
                <w:rFonts w:asciiTheme="minorHAnsi" w:hAnsiTheme="minorHAnsi" w:cstheme="minorHAnsi"/>
                <w:sz w:val="16"/>
                <w:szCs w:val="16"/>
              </w:rPr>
              <w:t xml:space="preserve"> M: 5.31% (0.2% to 10.4%)</w:t>
            </w:r>
          </w:p>
          <w:p w14:paraId="00B6690C"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Other M: 14.78% (5.8% to 23.7%)</w:t>
            </w:r>
          </w:p>
          <w:p w14:paraId="70E8983F" w14:textId="77777777" w:rsidR="00881FE9" w:rsidRPr="00DE452B" w:rsidRDefault="00A849BC" w:rsidP="003F5ADD">
            <w:pPr>
              <w:rPr>
                <w:rFonts w:asciiTheme="minorHAnsi" w:hAnsiTheme="minorHAnsi" w:cstheme="minorHAnsi"/>
                <w:sz w:val="16"/>
                <w:szCs w:val="16"/>
              </w:rPr>
            </w:pPr>
            <w:r w:rsidRPr="00DE452B">
              <w:rPr>
                <w:rFonts w:asciiTheme="minorHAnsi" w:hAnsiTheme="minorHAnsi" w:cstheme="minorHAnsi"/>
                <w:sz w:val="16"/>
                <w:szCs w:val="16"/>
              </w:rPr>
              <w:t>NH White</w:t>
            </w:r>
            <w:r w:rsidR="00881FE9" w:rsidRPr="00DE452B">
              <w:rPr>
                <w:rFonts w:asciiTheme="minorHAnsi" w:hAnsiTheme="minorHAnsi" w:cstheme="minorHAnsi"/>
                <w:sz w:val="16"/>
                <w:szCs w:val="16"/>
              </w:rPr>
              <w:t xml:space="preserve"> NM: 80.15% (74.6% to 85.7%)</w:t>
            </w:r>
          </w:p>
          <w:p w14:paraId="26258D25" w14:textId="77777777" w:rsidR="00881FE9" w:rsidRPr="00DE452B" w:rsidRDefault="00A849BC" w:rsidP="003F5ADD">
            <w:pPr>
              <w:rPr>
                <w:rFonts w:asciiTheme="minorHAnsi" w:hAnsiTheme="minorHAnsi" w:cstheme="minorHAnsi"/>
                <w:sz w:val="16"/>
                <w:szCs w:val="16"/>
              </w:rPr>
            </w:pPr>
            <w:r w:rsidRPr="00DE452B">
              <w:rPr>
                <w:rFonts w:asciiTheme="minorHAnsi" w:hAnsiTheme="minorHAnsi" w:cstheme="minorHAnsi"/>
                <w:sz w:val="16"/>
                <w:szCs w:val="16"/>
              </w:rPr>
              <w:t>NH Black</w:t>
            </w:r>
            <w:r w:rsidR="00881FE9" w:rsidRPr="00DE452B">
              <w:rPr>
                <w:rFonts w:asciiTheme="minorHAnsi" w:hAnsiTheme="minorHAnsi" w:cstheme="minorHAnsi"/>
                <w:sz w:val="16"/>
                <w:szCs w:val="16"/>
              </w:rPr>
              <w:t xml:space="preserve"> NM: 94.69% (89.6% to 99.8%)</w:t>
            </w:r>
          </w:p>
          <w:p w14:paraId="09A484CF"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Other NM: 85.22% (76.3% to 94.2%)</w:t>
            </w:r>
          </w:p>
          <w:p w14:paraId="0787ADCD" w14:textId="77777777" w:rsidR="00881FE9" w:rsidRPr="00DE452B" w:rsidRDefault="00881FE9" w:rsidP="003F5ADD">
            <w:pPr>
              <w:rPr>
                <w:rFonts w:asciiTheme="minorHAnsi" w:hAnsiTheme="minorHAnsi" w:cstheme="minorHAnsi"/>
                <w:sz w:val="16"/>
                <w:szCs w:val="16"/>
              </w:rPr>
            </w:pPr>
          </w:p>
          <w:p w14:paraId="7B235894"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Current age (yrs):</w:t>
            </w:r>
          </w:p>
          <w:p w14:paraId="160A0E12"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12 to 15 M: 27.69% (12.2% to 43.2%)</w:t>
            </w:r>
          </w:p>
          <w:p w14:paraId="1ACA7606"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16 to 19 M: 17.13% (12.5% to 21.8%)</w:t>
            </w:r>
          </w:p>
          <w:p w14:paraId="641E8178"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12 to 15 NM: 72.31% (56.8% to 87.8%)</w:t>
            </w:r>
          </w:p>
          <w:p w14:paraId="0159C8C4"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16 to 19 NM: 82.87% (78.2% to 87.5%)</w:t>
            </w:r>
          </w:p>
          <w:p w14:paraId="6C77B774"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u w:val="single"/>
              </w:rPr>
              <w:t>Regular smokers over past month (10+ days during the past 30)</w:t>
            </w:r>
          </w:p>
          <w:p w14:paraId="47C5DC72"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Overall:</w:t>
            </w:r>
          </w:p>
          <w:p w14:paraId="0CA6D7CF"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 xml:space="preserve">M: 17.56% (13.4% to 21.7%) </w:t>
            </w:r>
          </w:p>
          <w:p w14:paraId="77B1E43B"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 xml:space="preserve">NM: 82.44% (78.3% to 86.6%) </w:t>
            </w:r>
          </w:p>
          <w:p w14:paraId="7E8DA8EF" w14:textId="77777777" w:rsidR="00881FE9" w:rsidRPr="00DE452B" w:rsidRDefault="00881FE9" w:rsidP="003F5ADD">
            <w:pPr>
              <w:rPr>
                <w:rFonts w:asciiTheme="minorHAnsi" w:hAnsiTheme="minorHAnsi" w:cstheme="minorHAnsi"/>
                <w:sz w:val="16"/>
                <w:szCs w:val="16"/>
              </w:rPr>
            </w:pPr>
          </w:p>
          <w:p w14:paraId="1B96E29F"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Gender:</w:t>
            </w:r>
          </w:p>
          <w:p w14:paraId="0680A2BD"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Male M: 15.37% (10.4% to 20.3%)</w:t>
            </w:r>
          </w:p>
          <w:p w14:paraId="0FEFF040"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Female M: 19.93% (14.3% to 25.5%)</w:t>
            </w:r>
          </w:p>
          <w:p w14:paraId="02E07496"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Male NM: 84.63% (79.7% to 89.6%)</w:t>
            </w:r>
          </w:p>
          <w:p w14:paraId="77E54DD8"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lastRenderedPageBreak/>
              <w:t>Female NM: 80.07% (74.5% to 85.7%)</w:t>
            </w:r>
          </w:p>
          <w:p w14:paraId="32E84FE2" w14:textId="77777777" w:rsidR="00881FE9" w:rsidRPr="00DE452B" w:rsidRDefault="00881FE9" w:rsidP="003F5ADD">
            <w:pPr>
              <w:rPr>
                <w:rFonts w:asciiTheme="minorHAnsi" w:hAnsiTheme="minorHAnsi" w:cstheme="minorHAnsi"/>
                <w:sz w:val="16"/>
                <w:szCs w:val="16"/>
              </w:rPr>
            </w:pPr>
          </w:p>
          <w:p w14:paraId="154D579D"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Race/ethnicity:</w:t>
            </w:r>
          </w:p>
          <w:p w14:paraId="5326D296" w14:textId="77777777" w:rsidR="00881FE9" w:rsidRPr="00DE452B" w:rsidRDefault="00A849BC" w:rsidP="003F5ADD">
            <w:pPr>
              <w:rPr>
                <w:rFonts w:asciiTheme="minorHAnsi" w:hAnsiTheme="minorHAnsi" w:cstheme="minorHAnsi"/>
                <w:sz w:val="16"/>
                <w:szCs w:val="16"/>
              </w:rPr>
            </w:pPr>
            <w:r w:rsidRPr="00DE452B">
              <w:rPr>
                <w:rFonts w:asciiTheme="minorHAnsi" w:hAnsiTheme="minorHAnsi" w:cstheme="minorHAnsi"/>
                <w:sz w:val="16"/>
                <w:szCs w:val="16"/>
              </w:rPr>
              <w:t>NH White</w:t>
            </w:r>
            <w:r w:rsidR="00881FE9" w:rsidRPr="00DE452B">
              <w:rPr>
                <w:rFonts w:asciiTheme="minorHAnsi" w:hAnsiTheme="minorHAnsi" w:cstheme="minorHAnsi"/>
                <w:sz w:val="16"/>
                <w:szCs w:val="16"/>
              </w:rPr>
              <w:t xml:space="preserve"> M: 18.9% (14.1% to 23.7%)</w:t>
            </w:r>
          </w:p>
          <w:p w14:paraId="1369B94F" w14:textId="77777777" w:rsidR="00881FE9" w:rsidRPr="00DE452B" w:rsidRDefault="00A849BC" w:rsidP="003F5ADD">
            <w:pPr>
              <w:rPr>
                <w:rFonts w:asciiTheme="minorHAnsi" w:hAnsiTheme="minorHAnsi" w:cstheme="minorHAnsi"/>
                <w:sz w:val="16"/>
                <w:szCs w:val="16"/>
              </w:rPr>
            </w:pPr>
            <w:r w:rsidRPr="00DE452B">
              <w:rPr>
                <w:rFonts w:asciiTheme="minorHAnsi" w:hAnsiTheme="minorHAnsi" w:cstheme="minorHAnsi"/>
                <w:sz w:val="16"/>
                <w:szCs w:val="16"/>
              </w:rPr>
              <w:t>NH Black</w:t>
            </w:r>
            <w:r w:rsidR="00881FE9" w:rsidRPr="00DE452B">
              <w:rPr>
                <w:rFonts w:asciiTheme="minorHAnsi" w:hAnsiTheme="minorHAnsi" w:cstheme="minorHAnsi"/>
                <w:sz w:val="16"/>
                <w:szCs w:val="16"/>
              </w:rPr>
              <w:t xml:space="preserve"> M: 3.96% (0.6% to 7.3%)</w:t>
            </w:r>
          </w:p>
          <w:p w14:paraId="59F6C5FE"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Other M: 17.44% (9.1% to 25.8%)</w:t>
            </w:r>
          </w:p>
          <w:p w14:paraId="6B168740" w14:textId="77777777" w:rsidR="00881FE9" w:rsidRPr="00DE452B" w:rsidRDefault="00A849BC" w:rsidP="003F5ADD">
            <w:pPr>
              <w:rPr>
                <w:rFonts w:asciiTheme="minorHAnsi" w:hAnsiTheme="minorHAnsi" w:cstheme="minorHAnsi"/>
                <w:sz w:val="16"/>
                <w:szCs w:val="16"/>
              </w:rPr>
            </w:pPr>
            <w:r w:rsidRPr="00DE452B">
              <w:rPr>
                <w:rFonts w:asciiTheme="minorHAnsi" w:hAnsiTheme="minorHAnsi" w:cstheme="minorHAnsi"/>
                <w:sz w:val="16"/>
                <w:szCs w:val="16"/>
              </w:rPr>
              <w:t>NH White</w:t>
            </w:r>
            <w:r w:rsidR="00881FE9" w:rsidRPr="00DE452B">
              <w:rPr>
                <w:rFonts w:asciiTheme="minorHAnsi" w:hAnsiTheme="minorHAnsi" w:cstheme="minorHAnsi"/>
                <w:sz w:val="16"/>
                <w:szCs w:val="16"/>
              </w:rPr>
              <w:t xml:space="preserve"> NM: 81.1% (76.3% to 85.9%)</w:t>
            </w:r>
          </w:p>
          <w:p w14:paraId="5A4F8441" w14:textId="77777777" w:rsidR="00881FE9" w:rsidRPr="00DE452B" w:rsidRDefault="00A849BC" w:rsidP="003F5ADD">
            <w:pPr>
              <w:rPr>
                <w:rFonts w:asciiTheme="minorHAnsi" w:hAnsiTheme="minorHAnsi" w:cstheme="minorHAnsi"/>
                <w:sz w:val="16"/>
                <w:szCs w:val="16"/>
              </w:rPr>
            </w:pPr>
            <w:r w:rsidRPr="00DE452B">
              <w:rPr>
                <w:rFonts w:asciiTheme="minorHAnsi" w:hAnsiTheme="minorHAnsi" w:cstheme="minorHAnsi"/>
                <w:sz w:val="16"/>
                <w:szCs w:val="16"/>
              </w:rPr>
              <w:t>NH Black</w:t>
            </w:r>
            <w:r w:rsidR="00881FE9" w:rsidRPr="00DE452B">
              <w:rPr>
                <w:rFonts w:asciiTheme="minorHAnsi" w:hAnsiTheme="minorHAnsi" w:cstheme="minorHAnsi"/>
                <w:sz w:val="16"/>
                <w:szCs w:val="16"/>
              </w:rPr>
              <w:t xml:space="preserve"> NM: 96.04% (92.7% to 99.4%)</w:t>
            </w:r>
          </w:p>
          <w:p w14:paraId="3791A1EE"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Other NM: 82.56% (74.2% to 90.9%)</w:t>
            </w:r>
          </w:p>
          <w:p w14:paraId="68FE0C03" w14:textId="77777777" w:rsidR="00881FE9" w:rsidRPr="00DE452B" w:rsidRDefault="00881FE9" w:rsidP="003F5ADD">
            <w:pPr>
              <w:rPr>
                <w:rFonts w:asciiTheme="minorHAnsi" w:hAnsiTheme="minorHAnsi" w:cstheme="minorHAnsi"/>
                <w:sz w:val="16"/>
                <w:szCs w:val="16"/>
              </w:rPr>
            </w:pPr>
          </w:p>
          <w:p w14:paraId="751FC626"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Current age (yrs):</w:t>
            </w:r>
          </w:p>
          <w:p w14:paraId="5F0191B2"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12 to 15 M: 26.52% (16.0% to 37.1%)</w:t>
            </w:r>
          </w:p>
          <w:p w14:paraId="5A3F3719"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16 to 19 M: 16.06% (12.1% to 20.0%)</w:t>
            </w:r>
          </w:p>
          <w:p w14:paraId="4631A754"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12 to 15 NM: 73.48% (62.9% to 84.0%)</w:t>
            </w:r>
          </w:p>
          <w:p w14:paraId="79ED14E8"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16 to 19 NM: 83.94% (80.0% to 87.9%)</w:t>
            </w:r>
          </w:p>
          <w:p w14:paraId="17480EDB"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u w:val="single"/>
              </w:rPr>
              <w:t>Past-month smokers over past month (1+ days during the past 30)</w:t>
            </w:r>
          </w:p>
          <w:p w14:paraId="426EA3BA"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Overall:</w:t>
            </w:r>
          </w:p>
          <w:p w14:paraId="298BEAF1"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 xml:space="preserve">M: 22.08% (18.6% to 25.5%) </w:t>
            </w:r>
          </w:p>
          <w:p w14:paraId="77C0E741"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 xml:space="preserve">NM: 77.92% (74.5% to 81.4%) </w:t>
            </w:r>
          </w:p>
          <w:p w14:paraId="3E74A24C" w14:textId="77777777" w:rsidR="00881FE9" w:rsidRPr="00DE452B" w:rsidRDefault="00881FE9" w:rsidP="003F5ADD">
            <w:pPr>
              <w:rPr>
                <w:rFonts w:asciiTheme="minorHAnsi" w:hAnsiTheme="minorHAnsi" w:cstheme="minorHAnsi"/>
                <w:sz w:val="16"/>
                <w:szCs w:val="16"/>
              </w:rPr>
            </w:pPr>
          </w:p>
          <w:p w14:paraId="1B8316DA"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Gender:</w:t>
            </w:r>
          </w:p>
          <w:p w14:paraId="0F10697D"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Male M: 18.73% (14.7% to 22.7%)</w:t>
            </w:r>
          </w:p>
          <w:p w14:paraId="03AB8E0C"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Female M: 25.72% (21.4% to 30.1%)</w:t>
            </w:r>
          </w:p>
          <w:p w14:paraId="67750739"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Male NM: 81.27% (77.3% to 85.3%)</w:t>
            </w:r>
          </w:p>
          <w:p w14:paraId="0FA2FDA3"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Female NM: 74.28% (69.9% to 78.6%)</w:t>
            </w:r>
          </w:p>
          <w:p w14:paraId="7AE90737" w14:textId="77777777" w:rsidR="00881FE9" w:rsidRPr="00DE452B" w:rsidRDefault="00881FE9" w:rsidP="003F5ADD">
            <w:pPr>
              <w:rPr>
                <w:rFonts w:asciiTheme="minorHAnsi" w:hAnsiTheme="minorHAnsi" w:cstheme="minorHAnsi"/>
                <w:sz w:val="16"/>
                <w:szCs w:val="16"/>
              </w:rPr>
            </w:pPr>
          </w:p>
          <w:p w14:paraId="58C6C13D"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Race/ethnicity:</w:t>
            </w:r>
          </w:p>
          <w:p w14:paraId="5BF02F87" w14:textId="77777777" w:rsidR="00881FE9" w:rsidRPr="00DE452B" w:rsidRDefault="00A849BC" w:rsidP="003F5ADD">
            <w:pPr>
              <w:rPr>
                <w:rFonts w:asciiTheme="minorHAnsi" w:hAnsiTheme="minorHAnsi" w:cstheme="minorHAnsi"/>
                <w:sz w:val="16"/>
                <w:szCs w:val="16"/>
              </w:rPr>
            </w:pPr>
            <w:r w:rsidRPr="00DE452B">
              <w:rPr>
                <w:rFonts w:asciiTheme="minorHAnsi" w:hAnsiTheme="minorHAnsi" w:cstheme="minorHAnsi"/>
                <w:sz w:val="16"/>
                <w:szCs w:val="16"/>
              </w:rPr>
              <w:t>NH White</w:t>
            </w:r>
            <w:r w:rsidR="00881FE9" w:rsidRPr="00DE452B">
              <w:rPr>
                <w:rFonts w:asciiTheme="minorHAnsi" w:hAnsiTheme="minorHAnsi" w:cstheme="minorHAnsi"/>
                <w:sz w:val="16"/>
                <w:szCs w:val="16"/>
              </w:rPr>
              <w:t xml:space="preserve"> M: 22.71% (18.3% to 27.1%)</w:t>
            </w:r>
          </w:p>
          <w:p w14:paraId="285C3D3D" w14:textId="77777777" w:rsidR="00881FE9" w:rsidRPr="00DE452B" w:rsidRDefault="00A849BC" w:rsidP="003F5ADD">
            <w:pPr>
              <w:rPr>
                <w:rFonts w:asciiTheme="minorHAnsi" w:hAnsiTheme="minorHAnsi" w:cstheme="minorHAnsi"/>
                <w:sz w:val="16"/>
                <w:szCs w:val="16"/>
              </w:rPr>
            </w:pPr>
            <w:r w:rsidRPr="00DE452B">
              <w:rPr>
                <w:rFonts w:asciiTheme="minorHAnsi" w:hAnsiTheme="minorHAnsi" w:cstheme="minorHAnsi"/>
                <w:sz w:val="16"/>
                <w:szCs w:val="16"/>
              </w:rPr>
              <w:t>NH Black</w:t>
            </w:r>
            <w:r w:rsidR="00881FE9" w:rsidRPr="00DE452B">
              <w:rPr>
                <w:rFonts w:asciiTheme="minorHAnsi" w:hAnsiTheme="minorHAnsi" w:cstheme="minorHAnsi"/>
                <w:sz w:val="16"/>
                <w:szCs w:val="16"/>
              </w:rPr>
              <w:t xml:space="preserve"> M: 7.9% (3.9% to 11.9%)</w:t>
            </w:r>
          </w:p>
          <w:p w14:paraId="75A615EA"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Other M: 25.43% (19.6% to 31.2%)</w:t>
            </w:r>
          </w:p>
          <w:p w14:paraId="7FA39A28" w14:textId="77777777" w:rsidR="00881FE9" w:rsidRPr="00DE452B" w:rsidRDefault="00A849BC" w:rsidP="003F5ADD">
            <w:pPr>
              <w:rPr>
                <w:rFonts w:asciiTheme="minorHAnsi" w:hAnsiTheme="minorHAnsi" w:cstheme="minorHAnsi"/>
                <w:sz w:val="16"/>
                <w:szCs w:val="16"/>
              </w:rPr>
            </w:pPr>
            <w:r w:rsidRPr="00DE452B">
              <w:rPr>
                <w:rFonts w:asciiTheme="minorHAnsi" w:hAnsiTheme="minorHAnsi" w:cstheme="minorHAnsi"/>
                <w:sz w:val="16"/>
                <w:szCs w:val="16"/>
              </w:rPr>
              <w:t>NH White</w:t>
            </w:r>
            <w:r w:rsidR="00881FE9" w:rsidRPr="00DE452B">
              <w:rPr>
                <w:rFonts w:asciiTheme="minorHAnsi" w:hAnsiTheme="minorHAnsi" w:cstheme="minorHAnsi"/>
                <w:sz w:val="16"/>
                <w:szCs w:val="16"/>
              </w:rPr>
              <w:t xml:space="preserve"> NM: 77.29% (72.9% to 81.7%)</w:t>
            </w:r>
          </w:p>
          <w:p w14:paraId="425DDCF4" w14:textId="77777777" w:rsidR="00881FE9" w:rsidRPr="00DE452B" w:rsidRDefault="00A849BC" w:rsidP="003F5ADD">
            <w:pPr>
              <w:rPr>
                <w:rFonts w:asciiTheme="minorHAnsi" w:hAnsiTheme="minorHAnsi" w:cstheme="minorHAnsi"/>
                <w:sz w:val="16"/>
                <w:szCs w:val="16"/>
              </w:rPr>
            </w:pPr>
            <w:r w:rsidRPr="00DE452B">
              <w:rPr>
                <w:rFonts w:asciiTheme="minorHAnsi" w:hAnsiTheme="minorHAnsi" w:cstheme="minorHAnsi"/>
                <w:sz w:val="16"/>
                <w:szCs w:val="16"/>
              </w:rPr>
              <w:t>NH Black</w:t>
            </w:r>
            <w:r w:rsidR="00881FE9" w:rsidRPr="00DE452B">
              <w:rPr>
                <w:rFonts w:asciiTheme="minorHAnsi" w:hAnsiTheme="minorHAnsi" w:cstheme="minorHAnsi"/>
                <w:sz w:val="16"/>
                <w:szCs w:val="16"/>
              </w:rPr>
              <w:t xml:space="preserve"> NM: 92.1% (88.1% to 96.1%)</w:t>
            </w:r>
          </w:p>
          <w:p w14:paraId="25F25030"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Other NM: 74.57% (68.8% to 80.4%)</w:t>
            </w:r>
          </w:p>
          <w:p w14:paraId="5BFB0938" w14:textId="77777777" w:rsidR="00881FE9" w:rsidRPr="00DE452B" w:rsidRDefault="00881FE9" w:rsidP="003F5ADD">
            <w:pPr>
              <w:rPr>
                <w:rFonts w:asciiTheme="minorHAnsi" w:hAnsiTheme="minorHAnsi" w:cstheme="minorHAnsi"/>
                <w:sz w:val="16"/>
                <w:szCs w:val="16"/>
              </w:rPr>
            </w:pPr>
          </w:p>
          <w:p w14:paraId="489D83A2"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Current age (yrs):</w:t>
            </w:r>
          </w:p>
          <w:p w14:paraId="5DCFB2F8"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12 to 15 M: 30.06% (21.9% to 38.2%)</w:t>
            </w:r>
          </w:p>
          <w:p w14:paraId="0411BB20"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16 to 19 M: 20.17% (16.7% to 23.6%)</w:t>
            </w:r>
          </w:p>
          <w:p w14:paraId="374464BC"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12 to 15 NM: 69.94% (61.8% to 78.1%)</w:t>
            </w:r>
          </w:p>
          <w:p w14:paraId="55D95D48"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16 to 19 NM: 79.83% (76.4% to 83.3%)</w:t>
            </w:r>
          </w:p>
        </w:tc>
      </w:tr>
      <w:tr w:rsidR="00881FE9" w:rsidRPr="00DE452B" w14:paraId="26B45470" w14:textId="77777777" w:rsidTr="00382374">
        <w:tc>
          <w:tcPr>
            <w:tcW w:w="624" w:type="pct"/>
          </w:tcPr>
          <w:p w14:paraId="3BB288C3" w14:textId="27D5ABD6" w:rsidR="00881FE9" w:rsidRPr="00DE452B" w:rsidRDefault="00D2134A" w:rsidP="003F5ADD">
            <w:pPr>
              <w:rPr>
                <w:rFonts w:asciiTheme="minorHAnsi" w:hAnsiTheme="minorHAnsi" w:cstheme="minorHAnsi"/>
                <w:sz w:val="16"/>
                <w:szCs w:val="16"/>
              </w:rPr>
            </w:pPr>
            <w:r>
              <w:rPr>
                <w:rFonts w:cstheme="minorHAnsi"/>
                <w:sz w:val="16"/>
                <w:szCs w:val="16"/>
              </w:rPr>
              <w:lastRenderedPageBreak/>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51" w:tooltip="Curtin, 2014 #13" w:history="1">
              <w:r w:rsidR="00A234A9">
                <w:rPr>
                  <w:rFonts w:cstheme="minorHAnsi"/>
                  <w:noProof/>
                  <w:sz w:val="16"/>
                  <w:szCs w:val="16"/>
                </w:rPr>
                <w:t>51</w:t>
              </w:r>
            </w:hyperlink>
            <w:r>
              <w:rPr>
                <w:rFonts w:cstheme="minorHAnsi"/>
                <w:noProof/>
                <w:sz w:val="16"/>
                <w:szCs w:val="16"/>
              </w:rPr>
              <w:t>)</w:t>
            </w:r>
            <w:r>
              <w:rPr>
                <w:rFonts w:cstheme="minorHAnsi"/>
                <w:sz w:val="16"/>
                <w:szCs w:val="16"/>
              </w:rPr>
              <w:fldChar w:fldCharType="end"/>
            </w:r>
          </w:p>
          <w:p w14:paraId="4B357ECD"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NHANES</w:t>
            </w:r>
            <w:r w:rsidRPr="00DE452B">
              <w:rPr>
                <w:rFonts w:asciiTheme="minorHAnsi" w:hAnsiTheme="minorHAnsi" w:cstheme="minorHAnsi"/>
                <w:sz w:val="16"/>
                <w:szCs w:val="16"/>
                <w:vertAlign w:val="superscript"/>
              </w:rPr>
              <w:t>b</w:t>
            </w:r>
          </w:p>
          <w:p w14:paraId="5E4E4FC5"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lastRenderedPageBreak/>
              <w:t>Youth</w:t>
            </w:r>
          </w:p>
        </w:tc>
        <w:tc>
          <w:tcPr>
            <w:tcW w:w="589" w:type="pct"/>
          </w:tcPr>
          <w:p w14:paraId="7D571579" w14:textId="77777777" w:rsidR="00881FE9" w:rsidRPr="00DE452B" w:rsidRDefault="00621FF9" w:rsidP="003F5ADD">
            <w:pPr>
              <w:rPr>
                <w:rFonts w:asciiTheme="minorHAnsi" w:hAnsiTheme="minorHAnsi" w:cstheme="minorHAnsi"/>
                <w:sz w:val="16"/>
                <w:szCs w:val="16"/>
              </w:rPr>
            </w:pPr>
            <w:r w:rsidRPr="00DE452B">
              <w:rPr>
                <w:rFonts w:asciiTheme="minorHAnsi" w:hAnsiTheme="minorHAnsi" w:cstheme="minorHAnsi"/>
                <w:sz w:val="16"/>
                <w:szCs w:val="16"/>
              </w:rPr>
              <w:lastRenderedPageBreak/>
              <w:t xml:space="preserve">Answering either daily, regular (10+ </w:t>
            </w:r>
            <w:r w:rsidRPr="00DE452B">
              <w:rPr>
                <w:rFonts w:asciiTheme="minorHAnsi" w:hAnsiTheme="minorHAnsi" w:cstheme="minorHAnsi"/>
                <w:sz w:val="16"/>
                <w:szCs w:val="16"/>
              </w:rPr>
              <w:lastRenderedPageBreak/>
              <w:t>days during the past 30), or past (1+ days during the past 30) month to the question, “During the past 30 days, on how many days did you smoke cigarettes?” (1999-2004) or “On how many of the past 30 days did [you] smoke a cigarette?” (2005-2010)</w:t>
            </w:r>
          </w:p>
        </w:tc>
        <w:tc>
          <w:tcPr>
            <w:tcW w:w="661" w:type="pct"/>
          </w:tcPr>
          <w:p w14:paraId="10DFCC27"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rPr>
              <w:lastRenderedPageBreak/>
              <w:t>NR</w:t>
            </w:r>
          </w:p>
        </w:tc>
        <w:tc>
          <w:tcPr>
            <w:tcW w:w="625" w:type="pct"/>
          </w:tcPr>
          <w:p w14:paraId="74A7BE1F"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62358FD0"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3BDB15C6"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5EDF2664"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Daily vs. non-daily smoking, OR (95% CI) for NM (ref=M): </w:t>
            </w:r>
          </w:p>
          <w:p w14:paraId="31D0C5E3"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0.69 (0.48 to 0.98),</w:t>
            </w:r>
          </w:p>
          <w:p w14:paraId="31445D19"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lastRenderedPageBreak/>
              <w:t>(p=0.04)</w:t>
            </w:r>
          </w:p>
        </w:tc>
      </w:tr>
      <w:tr w:rsidR="00881FE9" w:rsidRPr="00DE452B" w14:paraId="35BEC397" w14:textId="77777777" w:rsidTr="00382374">
        <w:tc>
          <w:tcPr>
            <w:tcW w:w="624" w:type="pct"/>
          </w:tcPr>
          <w:p w14:paraId="6F1803AF" w14:textId="6605D782" w:rsidR="00881FE9" w:rsidRPr="00DE452B" w:rsidRDefault="00D2134A" w:rsidP="002039ED">
            <w:pPr>
              <w:rPr>
                <w:rFonts w:asciiTheme="minorHAnsi" w:hAnsiTheme="minorHAnsi" w:cstheme="minorHAnsi"/>
                <w:sz w:val="16"/>
                <w:szCs w:val="16"/>
              </w:rPr>
            </w:pPr>
            <w:r>
              <w:rPr>
                <w:rFonts w:cstheme="minorHAnsi"/>
                <w:sz w:val="16"/>
                <w:szCs w:val="16"/>
              </w:rPr>
              <w:lastRenderedPageBreak/>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51" w:tooltip="Curtin, 2014 #13" w:history="1">
              <w:r w:rsidR="00A234A9">
                <w:rPr>
                  <w:rFonts w:cstheme="minorHAnsi"/>
                  <w:noProof/>
                  <w:sz w:val="16"/>
                  <w:szCs w:val="16"/>
                </w:rPr>
                <w:t>51</w:t>
              </w:r>
            </w:hyperlink>
            <w:r>
              <w:rPr>
                <w:rFonts w:cstheme="minorHAnsi"/>
                <w:noProof/>
                <w:sz w:val="16"/>
                <w:szCs w:val="16"/>
              </w:rPr>
              <w:t>)</w:t>
            </w:r>
            <w:r>
              <w:rPr>
                <w:rFonts w:cstheme="minorHAnsi"/>
                <w:sz w:val="16"/>
                <w:szCs w:val="16"/>
              </w:rPr>
              <w:fldChar w:fldCharType="end"/>
            </w:r>
          </w:p>
          <w:p w14:paraId="075236DB"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NSDUH</w:t>
            </w:r>
            <w:r w:rsidRPr="00DE452B">
              <w:rPr>
                <w:rFonts w:asciiTheme="minorHAnsi" w:hAnsiTheme="minorHAnsi" w:cstheme="minorHAnsi"/>
                <w:sz w:val="16"/>
                <w:szCs w:val="16"/>
                <w:vertAlign w:val="superscript"/>
              </w:rPr>
              <w:t>b</w:t>
            </w:r>
          </w:p>
          <w:p w14:paraId="780F20C9"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None</w:t>
            </w:r>
          </w:p>
        </w:tc>
        <w:tc>
          <w:tcPr>
            <w:tcW w:w="589" w:type="pct"/>
          </w:tcPr>
          <w:p w14:paraId="7769A5D1"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First smoked all or part of a cig</w:t>
            </w:r>
          </w:p>
        </w:tc>
        <w:tc>
          <w:tcPr>
            <w:tcW w:w="661" w:type="pct"/>
          </w:tcPr>
          <w:p w14:paraId="2B0B4B39"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Smoked ≥1 day in past 30 days </w:t>
            </w:r>
          </w:p>
          <w:p w14:paraId="6B518CC4"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16.0 (15.9 to 16.1)</w:t>
            </w:r>
          </w:p>
          <w:p w14:paraId="32922AD9"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NM: 15.4 (15.3 to 15.5)</w:t>
            </w:r>
          </w:p>
          <w:p w14:paraId="2C82932F"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Smoked ≥10 days in past 30 days </w:t>
            </w:r>
          </w:p>
          <w:p w14:paraId="28554F70"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15.9 (15.8 to 15.9)</w:t>
            </w:r>
          </w:p>
          <w:p w14:paraId="6BD53B99"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NM: 15.3 (15.2 to 15.4)</w:t>
            </w:r>
          </w:p>
          <w:p w14:paraId="6E5C5A76"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Smoked daily in past 30 days </w:t>
            </w:r>
          </w:p>
          <w:p w14:paraId="680740B3"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15.6 (15.5 to 15.7)</w:t>
            </w:r>
          </w:p>
          <w:p w14:paraId="7949F927"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NM: 15.1 (15.0 to 15.2)</w:t>
            </w:r>
          </w:p>
        </w:tc>
        <w:tc>
          <w:tcPr>
            <w:tcW w:w="625" w:type="pct"/>
          </w:tcPr>
          <w:p w14:paraId="25E83D1D"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597D4365"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358F6CEF"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5A52CE3C"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NR</w:t>
            </w:r>
          </w:p>
        </w:tc>
      </w:tr>
      <w:tr w:rsidR="00881FE9" w:rsidRPr="00DE452B" w14:paraId="0973271A" w14:textId="77777777" w:rsidTr="00382374">
        <w:tc>
          <w:tcPr>
            <w:tcW w:w="624" w:type="pct"/>
          </w:tcPr>
          <w:p w14:paraId="726251FE" w14:textId="1C2F40DE" w:rsidR="00881FE9" w:rsidRPr="00DE452B" w:rsidRDefault="00D2134A" w:rsidP="002039ED">
            <w:pPr>
              <w:rPr>
                <w:rFonts w:asciiTheme="minorHAnsi" w:hAnsiTheme="minorHAnsi" w:cstheme="minorHAnsi"/>
                <w:sz w:val="16"/>
                <w:szCs w:val="16"/>
              </w:rPr>
            </w:pP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51" w:tooltip="Curtin, 2014 #13" w:history="1">
              <w:r w:rsidR="00A234A9">
                <w:rPr>
                  <w:rFonts w:cstheme="minorHAnsi"/>
                  <w:noProof/>
                  <w:sz w:val="16"/>
                  <w:szCs w:val="16"/>
                </w:rPr>
                <w:t>51</w:t>
              </w:r>
            </w:hyperlink>
            <w:r>
              <w:rPr>
                <w:rFonts w:cstheme="minorHAnsi"/>
                <w:noProof/>
                <w:sz w:val="16"/>
                <w:szCs w:val="16"/>
              </w:rPr>
              <w:t>)</w:t>
            </w:r>
            <w:r>
              <w:rPr>
                <w:rFonts w:cstheme="minorHAnsi"/>
                <w:sz w:val="16"/>
                <w:szCs w:val="16"/>
              </w:rPr>
              <w:fldChar w:fldCharType="end"/>
            </w:r>
          </w:p>
          <w:p w14:paraId="40F06AD2"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NSDUH</w:t>
            </w:r>
            <w:r w:rsidRPr="00DE452B">
              <w:rPr>
                <w:rFonts w:asciiTheme="minorHAnsi" w:hAnsiTheme="minorHAnsi" w:cstheme="minorHAnsi"/>
                <w:sz w:val="16"/>
                <w:szCs w:val="16"/>
                <w:vertAlign w:val="superscript"/>
              </w:rPr>
              <w:t>b</w:t>
            </w:r>
          </w:p>
          <w:p w14:paraId="623EC358"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None</w:t>
            </w:r>
          </w:p>
        </w:tc>
        <w:tc>
          <w:tcPr>
            <w:tcW w:w="589" w:type="pct"/>
          </w:tcPr>
          <w:p w14:paraId="1CD8E4A2"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First started smoking cigs every day</w:t>
            </w:r>
          </w:p>
        </w:tc>
        <w:tc>
          <w:tcPr>
            <w:tcW w:w="661" w:type="pct"/>
          </w:tcPr>
          <w:p w14:paraId="47C7D046"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Age at first daily smoking in past-month smokers</w:t>
            </w:r>
          </w:p>
          <w:p w14:paraId="578DFAD3" w14:textId="77777777" w:rsidR="00881FE9" w:rsidRPr="00EA69AA" w:rsidRDefault="00881FE9" w:rsidP="002039ED">
            <w:pPr>
              <w:rPr>
                <w:rFonts w:asciiTheme="minorHAnsi" w:hAnsiTheme="minorHAnsi" w:cstheme="minorHAnsi"/>
                <w:sz w:val="16"/>
                <w:szCs w:val="16"/>
                <w:lang w:val="fr-FR"/>
              </w:rPr>
            </w:pPr>
            <w:r w:rsidRPr="00EA69AA">
              <w:rPr>
                <w:rFonts w:asciiTheme="minorHAnsi" w:hAnsiTheme="minorHAnsi" w:cstheme="minorHAnsi"/>
                <w:sz w:val="16"/>
                <w:szCs w:val="16"/>
                <w:lang w:val="fr-FR"/>
              </w:rPr>
              <w:t xml:space="preserve">M: 16.16, SE=0.07, 95% CI: 16.01 to 16.30 </w:t>
            </w:r>
          </w:p>
          <w:p w14:paraId="7CDC51FB" w14:textId="77777777" w:rsidR="00881FE9" w:rsidRPr="00EA69AA" w:rsidRDefault="00881FE9" w:rsidP="002039ED">
            <w:pPr>
              <w:rPr>
                <w:rFonts w:asciiTheme="minorHAnsi" w:hAnsiTheme="minorHAnsi" w:cstheme="minorHAnsi"/>
                <w:sz w:val="16"/>
                <w:szCs w:val="16"/>
                <w:lang w:val="fr-FR"/>
              </w:rPr>
            </w:pPr>
            <w:r w:rsidRPr="00EA69AA">
              <w:rPr>
                <w:rFonts w:asciiTheme="minorHAnsi" w:hAnsiTheme="minorHAnsi" w:cstheme="minorHAnsi"/>
                <w:sz w:val="16"/>
                <w:szCs w:val="16"/>
                <w:lang w:val="fr-FR"/>
              </w:rPr>
              <w:t xml:space="preserve">NM: 16.00 </w:t>
            </w:r>
            <w:proofErr w:type="spellStart"/>
            <w:r w:rsidRPr="00EA69AA">
              <w:rPr>
                <w:rFonts w:asciiTheme="minorHAnsi" w:hAnsiTheme="minorHAnsi" w:cstheme="minorHAnsi"/>
                <w:sz w:val="16"/>
                <w:szCs w:val="16"/>
                <w:lang w:val="fr-FR"/>
              </w:rPr>
              <w:t>years</w:t>
            </w:r>
            <w:proofErr w:type="spellEnd"/>
            <w:r w:rsidRPr="00EA69AA">
              <w:rPr>
                <w:rFonts w:asciiTheme="minorHAnsi" w:hAnsiTheme="minorHAnsi" w:cstheme="minorHAnsi"/>
                <w:sz w:val="16"/>
                <w:szCs w:val="16"/>
                <w:lang w:val="fr-FR"/>
              </w:rPr>
              <w:t>, SE=0.07, 95% CI: -0.30 to -0.01, p = 0.03</w:t>
            </w:r>
          </w:p>
          <w:p w14:paraId="2B420884" w14:textId="77777777" w:rsidR="00881FE9" w:rsidRPr="00EA69AA" w:rsidRDefault="00881FE9" w:rsidP="002039ED">
            <w:pPr>
              <w:rPr>
                <w:rFonts w:asciiTheme="minorHAnsi" w:hAnsiTheme="minorHAnsi" w:cstheme="minorHAnsi"/>
                <w:sz w:val="16"/>
                <w:szCs w:val="16"/>
                <w:lang w:val="fr-FR"/>
              </w:rPr>
            </w:pPr>
          </w:p>
          <w:p w14:paraId="1F4D6D06"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Age at first daily smoking in regular smokers</w:t>
            </w:r>
          </w:p>
          <w:p w14:paraId="785C3413" w14:textId="77777777" w:rsidR="00881FE9" w:rsidRPr="00EA69AA" w:rsidRDefault="00881FE9" w:rsidP="002039ED">
            <w:pPr>
              <w:rPr>
                <w:rFonts w:asciiTheme="minorHAnsi" w:hAnsiTheme="minorHAnsi" w:cstheme="minorHAnsi"/>
                <w:sz w:val="16"/>
                <w:szCs w:val="16"/>
                <w:lang w:val="fr-FR"/>
              </w:rPr>
            </w:pPr>
            <w:r w:rsidRPr="00EA69AA">
              <w:rPr>
                <w:rFonts w:asciiTheme="minorHAnsi" w:hAnsiTheme="minorHAnsi" w:cstheme="minorHAnsi"/>
                <w:sz w:val="16"/>
                <w:szCs w:val="16"/>
                <w:lang w:val="fr-FR"/>
              </w:rPr>
              <w:t xml:space="preserve">M: 16.17, SE=0.08, 95% CI: 16.02 to 16.32 </w:t>
            </w:r>
          </w:p>
          <w:p w14:paraId="0446C640" w14:textId="77777777" w:rsidR="00881FE9" w:rsidRPr="00EA69AA" w:rsidRDefault="00881FE9" w:rsidP="002039ED">
            <w:pPr>
              <w:rPr>
                <w:rFonts w:asciiTheme="minorHAnsi" w:hAnsiTheme="minorHAnsi" w:cstheme="minorHAnsi"/>
                <w:sz w:val="16"/>
                <w:szCs w:val="16"/>
                <w:lang w:val="fr-FR"/>
              </w:rPr>
            </w:pPr>
            <w:r w:rsidRPr="00EA69AA">
              <w:rPr>
                <w:rFonts w:asciiTheme="minorHAnsi" w:hAnsiTheme="minorHAnsi" w:cstheme="minorHAnsi"/>
                <w:sz w:val="16"/>
                <w:szCs w:val="16"/>
                <w:lang w:val="fr-FR"/>
              </w:rPr>
              <w:lastRenderedPageBreak/>
              <w:t xml:space="preserve">NM: 16.00 </w:t>
            </w:r>
            <w:proofErr w:type="spellStart"/>
            <w:r w:rsidRPr="00EA69AA">
              <w:rPr>
                <w:rFonts w:asciiTheme="minorHAnsi" w:hAnsiTheme="minorHAnsi" w:cstheme="minorHAnsi"/>
                <w:sz w:val="16"/>
                <w:szCs w:val="16"/>
                <w:lang w:val="fr-FR"/>
              </w:rPr>
              <w:t>years</w:t>
            </w:r>
            <w:proofErr w:type="spellEnd"/>
            <w:r w:rsidRPr="00EA69AA">
              <w:rPr>
                <w:rFonts w:asciiTheme="minorHAnsi" w:hAnsiTheme="minorHAnsi" w:cstheme="minorHAnsi"/>
                <w:sz w:val="16"/>
                <w:szCs w:val="16"/>
                <w:lang w:val="fr-FR"/>
              </w:rPr>
              <w:t>, SE=0.08, 95% CI: -0.33 to -0.01, p = 0.03</w:t>
            </w:r>
          </w:p>
          <w:p w14:paraId="2A3036C7" w14:textId="77777777" w:rsidR="00881FE9" w:rsidRPr="00EA69AA" w:rsidRDefault="00881FE9" w:rsidP="002039ED">
            <w:pPr>
              <w:rPr>
                <w:rFonts w:asciiTheme="minorHAnsi" w:hAnsiTheme="minorHAnsi" w:cstheme="minorHAnsi"/>
                <w:sz w:val="16"/>
                <w:szCs w:val="16"/>
                <w:u w:val="single"/>
                <w:lang w:val="fr-FR"/>
              </w:rPr>
            </w:pPr>
          </w:p>
          <w:p w14:paraId="16B24C9C"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Smoked ≥1 day in past 30 days </w:t>
            </w:r>
          </w:p>
          <w:p w14:paraId="5131A7C1"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18.5 (18.4 to 18.6)</w:t>
            </w:r>
          </w:p>
          <w:p w14:paraId="78FD81F5"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NM: 18.0 (17.9 to 18.1)</w:t>
            </w:r>
          </w:p>
          <w:p w14:paraId="306F94F5"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Smoked ≥10 days in past 30 days </w:t>
            </w:r>
          </w:p>
          <w:p w14:paraId="43B245B5"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18.5 (18.4 to 18.6)</w:t>
            </w:r>
          </w:p>
          <w:p w14:paraId="29290E44" w14:textId="77777777" w:rsidR="00881FE9" w:rsidRPr="00DE452B" w:rsidRDefault="00881FE9" w:rsidP="002039ED">
            <w:pPr>
              <w:rPr>
                <w:rFonts w:asciiTheme="minorHAnsi" w:hAnsiTheme="minorHAnsi" w:cstheme="minorHAnsi"/>
                <w:sz w:val="16"/>
                <w:szCs w:val="16"/>
                <w:vertAlign w:val="superscript"/>
              </w:rPr>
            </w:pPr>
            <w:r w:rsidRPr="00DE452B">
              <w:rPr>
                <w:rFonts w:asciiTheme="minorHAnsi" w:hAnsiTheme="minorHAnsi" w:cstheme="minorHAnsi"/>
                <w:sz w:val="16"/>
                <w:szCs w:val="16"/>
              </w:rPr>
              <w:t>NM: 18.0 (17.9 to 18.0)</w:t>
            </w:r>
          </w:p>
          <w:p w14:paraId="2715148E" w14:textId="77777777" w:rsidR="00881FE9" w:rsidRPr="00DE452B" w:rsidRDefault="00881FE9" w:rsidP="002039ED">
            <w:pPr>
              <w:rPr>
                <w:rFonts w:asciiTheme="minorHAnsi" w:hAnsiTheme="minorHAnsi" w:cstheme="minorHAnsi"/>
                <w:sz w:val="16"/>
                <w:szCs w:val="16"/>
                <w:u w:val="single"/>
              </w:rPr>
            </w:pPr>
          </w:p>
          <w:p w14:paraId="6EC25ADC"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Smoked daily in past 30 days </w:t>
            </w:r>
          </w:p>
          <w:p w14:paraId="31248A81"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18.3 (18.1 to 18.4)</w:t>
            </w:r>
          </w:p>
          <w:p w14:paraId="61E255F2"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NM: 17.7 (17.7 to 17.8)</w:t>
            </w:r>
          </w:p>
        </w:tc>
        <w:tc>
          <w:tcPr>
            <w:tcW w:w="625" w:type="pct"/>
          </w:tcPr>
          <w:p w14:paraId="43081203"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lastRenderedPageBreak/>
              <w:t>NR</w:t>
            </w:r>
          </w:p>
        </w:tc>
        <w:tc>
          <w:tcPr>
            <w:tcW w:w="416" w:type="pct"/>
          </w:tcPr>
          <w:p w14:paraId="27A7C28D"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69DF5D4F"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390B817B"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NR</w:t>
            </w:r>
          </w:p>
        </w:tc>
      </w:tr>
      <w:tr w:rsidR="00881FE9" w:rsidRPr="00DE452B" w14:paraId="5F6B2D6F" w14:textId="77777777" w:rsidTr="00382374">
        <w:tc>
          <w:tcPr>
            <w:tcW w:w="624" w:type="pct"/>
          </w:tcPr>
          <w:p w14:paraId="21AFB4A3" w14:textId="365F1AE7" w:rsidR="00881FE9" w:rsidRPr="00DE452B" w:rsidRDefault="00D2134A" w:rsidP="003F5ADD">
            <w:pPr>
              <w:rPr>
                <w:rFonts w:asciiTheme="minorHAnsi" w:hAnsiTheme="minorHAnsi" w:cstheme="minorHAnsi"/>
                <w:sz w:val="16"/>
                <w:szCs w:val="16"/>
              </w:rPr>
            </w:pPr>
            <w:r>
              <w:rPr>
                <w:rFonts w:cstheme="minorHAnsi"/>
                <w:sz w:val="16"/>
                <w:szCs w:val="16"/>
              </w:rPr>
              <w:fldChar w:fldCharType="begin">
                <w:fldData xml:space="preserve">PEVuZE5vdGU+PENpdGU+PEF1dGhvcj5DdXJ0aW48L0F1dGhvcj48WWVhcj4yMDE0PC9ZZWFyPjxS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PEVuZE5vdGU+PENpdGU+PEF1dGhvcj5DdXJ0aW48L0F1dGhvcj48WWVhcj4yMDE0PC9ZZWFyPjxS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52" w:tooltip="Curtin, 2014 #14" w:history="1">
              <w:r w:rsidR="00A234A9">
                <w:rPr>
                  <w:rFonts w:cstheme="minorHAnsi"/>
                  <w:noProof/>
                  <w:sz w:val="16"/>
                  <w:szCs w:val="16"/>
                </w:rPr>
                <w:t>52</w:t>
              </w:r>
            </w:hyperlink>
            <w:r>
              <w:rPr>
                <w:rFonts w:cstheme="minorHAnsi"/>
                <w:noProof/>
                <w:sz w:val="16"/>
                <w:szCs w:val="16"/>
              </w:rPr>
              <w:t>)</w:t>
            </w:r>
            <w:r>
              <w:rPr>
                <w:rFonts w:cstheme="minorHAnsi"/>
                <w:sz w:val="16"/>
                <w:szCs w:val="16"/>
              </w:rPr>
              <w:fldChar w:fldCharType="end"/>
            </w:r>
          </w:p>
          <w:p w14:paraId="6CB1A0C9"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NSDUH</w:t>
            </w:r>
            <w:r w:rsidRPr="00DE452B">
              <w:rPr>
                <w:rFonts w:asciiTheme="minorHAnsi" w:hAnsiTheme="minorHAnsi" w:cstheme="minorHAnsi"/>
                <w:sz w:val="16"/>
                <w:szCs w:val="16"/>
                <w:vertAlign w:val="superscript"/>
              </w:rPr>
              <w:t>b</w:t>
            </w:r>
          </w:p>
          <w:p w14:paraId="75723B79"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Adults only</w:t>
            </w:r>
          </w:p>
        </w:tc>
        <w:tc>
          <w:tcPr>
            <w:tcW w:w="589" w:type="pct"/>
          </w:tcPr>
          <w:p w14:paraId="3A6085EC" w14:textId="77777777" w:rsidR="00881FE9" w:rsidRPr="00DE452B" w:rsidRDefault="00621FF9" w:rsidP="003F5ADD">
            <w:pPr>
              <w:rPr>
                <w:rFonts w:asciiTheme="minorHAnsi" w:hAnsiTheme="minorHAnsi" w:cstheme="minorHAnsi"/>
                <w:sz w:val="16"/>
                <w:szCs w:val="16"/>
              </w:rPr>
            </w:pPr>
            <w:r w:rsidRPr="00DE452B">
              <w:rPr>
                <w:rFonts w:asciiTheme="minorHAnsi" w:hAnsiTheme="minorHAnsi" w:cstheme="minorHAnsi"/>
                <w:sz w:val="16"/>
                <w:szCs w:val="16"/>
              </w:rPr>
              <w:t>Answering either daily, regular (10+ days during the past 30), or past (1+ days during the past 30) month to the question, “During the past 30 days, that is since [date 30 days prior to interview], on how many days did you smoke part or all of a cigarette?” or “Now think about the past 30 days – that is, from [date 30 days prior to interview] up to and including today. During the past 30 days, have you smoked part or all of a cigarette?”</w:t>
            </w:r>
          </w:p>
        </w:tc>
        <w:tc>
          <w:tcPr>
            <w:tcW w:w="661" w:type="pct"/>
          </w:tcPr>
          <w:p w14:paraId="23FE770B"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rPr>
              <w:t>NR</w:t>
            </w:r>
          </w:p>
        </w:tc>
        <w:tc>
          <w:tcPr>
            <w:tcW w:w="625" w:type="pct"/>
          </w:tcPr>
          <w:p w14:paraId="74299F55"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7BD284E0"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56406F19"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00F2F750"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u w:val="single"/>
              </w:rPr>
              <w:t>Daily smokers over past month</w:t>
            </w:r>
          </w:p>
          <w:p w14:paraId="04067AC1"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Overall:</w:t>
            </w:r>
          </w:p>
          <w:p w14:paraId="079FE48E"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 xml:space="preserve">M: 28.5% (27.9% to 29.1%) </w:t>
            </w:r>
          </w:p>
          <w:p w14:paraId="1C0FE188"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 xml:space="preserve">NM: 71.5% (70.9% to 72.1%) </w:t>
            </w:r>
          </w:p>
          <w:p w14:paraId="284BCC9F"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Gender:</w:t>
            </w:r>
          </w:p>
          <w:p w14:paraId="7EF5ADE0"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Male M: 24.6% (23.8% to 25.3%)</w:t>
            </w:r>
          </w:p>
          <w:p w14:paraId="321C5A78"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Female M: 32.8% (32.0% to 33.6%)</w:t>
            </w:r>
          </w:p>
          <w:p w14:paraId="04C77D3F"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Male NM: 75.4% (74.7% to 76.2%)</w:t>
            </w:r>
          </w:p>
          <w:p w14:paraId="741C9095"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Female NM: 67.2% (66.4% to 68.0%)</w:t>
            </w:r>
          </w:p>
          <w:p w14:paraId="06E394E6" w14:textId="77777777" w:rsidR="00881FE9" w:rsidRPr="00DE452B" w:rsidRDefault="00881FE9" w:rsidP="003F5ADD">
            <w:pPr>
              <w:rPr>
                <w:rFonts w:asciiTheme="minorHAnsi" w:hAnsiTheme="minorHAnsi" w:cstheme="minorHAnsi"/>
                <w:sz w:val="16"/>
                <w:szCs w:val="16"/>
              </w:rPr>
            </w:pPr>
          </w:p>
          <w:p w14:paraId="63D3FD44"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Race/ethnicity:</w:t>
            </w:r>
          </w:p>
          <w:p w14:paraId="56A7FF01" w14:textId="77777777" w:rsidR="00881FE9" w:rsidRPr="00DE452B" w:rsidRDefault="00881FE9" w:rsidP="003F5ADD">
            <w:pPr>
              <w:rPr>
                <w:rFonts w:asciiTheme="minorHAnsi" w:hAnsiTheme="minorHAnsi" w:cstheme="minorHAnsi"/>
                <w:sz w:val="16"/>
                <w:szCs w:val="16"/>
              </w:rPr>
            </w:pPr>
          </w:p>
          <w:p w14:paraId="05EEB963" w14:textId="77777777" w:rsidR="00881FE9" w:rsidRPr="00DE452B" w:rsidRDefault="00A849BC" w:rsidP="003F5ADD">
            <w:pPr>
              <w:rPr>
                <w:rFonts w:asciiTheme="minorHAnsi" w:hAnsiTheme="minorHAnsi" w:cstheme="minorHAnsi"/>
                <w:sz w:val="16"/>
                <w:szCs w:val="16"/>
              </w:rPr>
            </w:pPr>
            <w:r w:rsidRPr="00DE452B">
              <w:rPr>
                <w:rFonts w:asciiTheme="minorHAnsi" w:hAnsiTheme="minorHAnsi" w:cstheme="minorHAnsi"/>
                <w:sz w:val="16"/>
                <w:szCs w:val="16"/>
              </w:rPr>
              <w:t>NH White</w:t>
            </w:r>
            <w:r w:rsidR="00881FE9" w:rsidRPr="00DE452B">
              <w:rPr>
                <w:rFonts w:asciiTheme="minorHAnsi" w:hAnsiTheme="minorHAnsi" w:cstheme="minorHAnsi"/>
                <w:sz w:val="16"/>
                <w:szCs w:val="16"/>
              </w:rPr>
              <w:t xml:space="preserve"> M: 22.3% (21.6% to 22.9%)</w:t>
            </w:r>
          </w:p>
          <w:p w14:paraId="324AAD48" w14:textId="77777777" w:rsidR="00881FE9" w:rsidRPr="00DE452B" w:rsidRDefault="00A849BC" w:rsidP="003F5ADD">
            <w:pPr>
              <w:rPr>
                <w:rFonts w:asciiTheme="minorHAnsi" w:hAnsiTheme="minorHAnsi" w:cstheme="minorHAnsi"/>
                <w:sz w:val="16"/>
                <w:szCs w:val="16"/>
              </w:rPr>
            </w:pPr>
            <w:r w:rsidRPr="00DE452B">
              <w:rPr>
                <w:rFonts w:asciiTheme="minorHAnsi" w:hAnsiTheme="minorHAnsi" w:cstheme="minorHAnsi"/>
                <w:sz w:val="16"/>
                <w:szCs w:val="16"/>
              </w:rPr>
              <w:t>NH Black</w:t>
            </w:r>
            <w:r w:rsidR="00881FE9" w:rsidRPr="00DE452B">
              <w:rPr>
                <w:rFonts w:asciiTheme="minorHAnsi" w:hAnsiTheme="minorHAnsi" w:cstheme="minorHAnsi"/>
                <w:sz w:val="16"/>
                <w:szCs w:val="16"/>
              </w:rPr>
              <w:t xml:space="preserve"> M: 79.0% (77.3% to 80.7%)</w:t>
            </w:r>
          </w:p>
          <w:p w14:paraId="75E68456"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Other M: 29.8% (27.9% to 31.7%)</w:t>
            </w:r>
          </w:p>
          <w:p w14:paraId="276FC7A3" w14:textId="77777777" w:rsidR="00881FE9" w:rsidRPr="00DE452B" w:rsidRDefault="00881FE9" w:rsidP="003F5ADD">
            <w:pPr>
              <w:rPr>
                <w:rFonts w:asciiTheme="minorHAnsi" w:hAnsiTheme="minorHAnsi" w:cstheme="minorHAnsi"/>
                <w:sz w:val="16"/>
                <w:szCs w:val="16"/>
              </w:rPr>
            </w:pPr>
          </w:p>
          <w:p w14:paraId="064A7D61" w14:textId="77777777" w:rsidR="00881FE9" w:rsidRPr="00DE452B" w:rsidRDefault="00A849BC" w:rsidP="003F5ADD">
            <w:pPr>
              <w:rPr>
                <w:rFonts w:asciiTheme="minorHAnsi" w:hAnsiTheme="minorHAnsi" w:cstheme="minorHAnsi"/>
                <w:sz w:val="16"/>
                <w:szCs w:val="16"/>
              </w:rPr>
            </w:pPr>
            <w:r w:rsidRPr="00DE452B">
              <w:rPr>
                <w:rFonts w:asciiTheme="minorHAnsi" w:hAnsiTheme="minorHAnsi" w:cstheme="minorHAnsi"/>
                <w:sz w:val="16"/>
                <w:szCs w:val="16"/>
              </w:rPr>
              <w:t>NH White</w:t>
            </w:r>
            <w:r w:rsidR="00881FE9" w:rsidRPr="00DE452B">
              <w:rPr>
                <w:rFonts w:asciiTheme="minorHAnsi" w:hAnsiTheme="minorHAnsi" w:cstheme="minorHAnsi"/>
                <w:sz w:val="16"/>
                <w:szCs w:val="16"/>
              </w:rPr>
              <w:t xml:space="preserve"> NM: 77.7% (77.1% to 78.4%)</w:t>
            </w:r>
          </w:p>
          <w:p w14:paraId="72B89873" w14:textId="77777777" w:rsidR="00881FE9" w:rsidRPr="00DE452B" w:rsidRDefault="00A849BC" w:rsidP="003F5ADD">
            <w:pPr>
              <w:rPr>
                <w:rFonts w:asciiTheme="minorHAnsi" w:hAnsiTheme="minorHAnsi" w:cstheme="minorHAnsi"/>
                <w:sz w:val="16"/>
                <w:szCs w:val="16"/>
              </w:rPr>
            </w:pPr>
            <w:r w:rsidRPr="00DE452B">
              <w:rPr>
                <w:rFonts w:asciiTheme="minorHAnsi" w:hAnsiTheme="minorHAnsi" w:cstheme="minorHAnsi"/>
                <w:sz w:val="16"/>
                <w:szCs w:val="16"/>
              </w:rPr>
              <w:t>NH Black</w:t>
            </w:r>
            <w:r w:rsidR="00881FE9" w:rsidRPr="00DE452B">
              <w:rPr>
                <w:rFonts w:asciiTheme="minorHAnsi" w:hAnsiTheme="minorHAnsi" w:cstheme="minorHAnsi"/>
                <w:sz w:val="16"/>
                <w:szCs w:val="16"/>
              </w:rPr>
              <w:t xml:space="preserve"> NM: 21.0% (19.3% to 22.7%)</w:t>
            </w:r>
          </w:p>
          <w:p w14:paraId="2EBD660B"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Other NM: 70.2% (68.3% to 72.1%)</w:t>
            </w:r>
          </w:p>
          <w:p w14:paraId="33008DFC"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Current age (yrs):</w:t>
            </w:r>
          </w:p>
          <w:p w14:paraId="3753DC28" w14:textId="77777777" w:rsidR="00881FE9" w:rsidRPr="00DE452B" w:rsidRDefault="00881FE9" w:rsidP="003F5ADD">
            <w:pPr>
              <w:rPr>
                <w:rFonts w:asciiTheme="minorHAnsi" w:hAnsiTheme="minorHAnsi" w:cstheme="minorHAnsi"/>
                <w:sz w:val="16"/>
                <w:szCs w:val="16"/>
              </w:rPr>
            </w:pPr>
          </w:p>
          <w:p w14:paraId="2731BBAE"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20 to 25 M: 33.1% (32.4% to 33.9%)</w:t>
            </w:r>
          </w:p>
          <w:p w14:paraId="39F9D130"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26 to 29 M: 29.5% (28.0% to 31.1%)</w:t>
            </w:r>
          </w:p>
          <w:p w14:paraId="3FDAE326"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≥30 M: 27.6% (26.8% to 28.3%)</w:t>
            </w:r>
          </w:p>
          <w:p w14:paraId="4B48F1EF"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20 to 25 NM: 66.9% (66.1% to 67.6%)</w:t>
            </w:r>
          </w:p>
          <w:p w14:paraId="48764274"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lastRenderedPageBreak/>
              <w:t>26 to 29 NM: 70.5% (68.9% to 72.0%)</w:t>
            </w:r>
          </w:p>
          <w:p w14:paraId="7BE033CE"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≥30 NM: 72.4% (71.7% to 73.2%)</w:t>
            </w:r>
          </w:p>
          <w:p w14:paraId="6330539B" w14:textId="77777777" w:rsidR="00881FE9" w:rsidRPr="00DE452B" w:rsidRDefault="00881FE9" w:rsidP="003F5ADD">
            <w:pPr>
              <w:rPr>
                <w:rFonts w:asciiTheme="minorHAnsi" w:hAnsiTheme="minorHAnsi" w:cstheme="minorHAnsi"/>
                <w:sz w:val="16"/>
                <w:szCs w:val="16"/>
              </w:rPr>
            </w:pPr>
          </w:p>
          <w:p w14:paraId="50043F31"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u w:val="single"/>
              </w:rPr>
              <w:t>Regular smokers over past month (10+ days during the past 30)</w:t>
            </w:r>
          </w:p>
          <w:p w14:paraId="4DF92B7E"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Overall:</w:t>
            </w:r>
          </w:p>
          <w:p w14:paraId="6B0661CE"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 xml:space="preserve">M: 29.6% (29.0% to 30.2%) </w:t>
            </w:r>
          </w:p>
          <w:p w14:paraId="6EE2FE4A"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 xml:space="preserve">NM: 70.4% (69.8% to 71.0%) </w:t>
            </w:r>
          </w:p>
          <w:p w14:paraId="154250CD"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Gender:</w:t>
            </w:r>
          </w:p>
          <w:p w14:paraId="2C227BF3"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Male M: 26.0% (25.2% to 26.7%)</w:t>
            </w:r>
          </w:p>
          <w:p w14:paraId="41F9EAF3"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Female M: 33.7% (32.9% to 34.4%)</w:t>
            </w:r>
          </w:p>
          <w:p w14:paraId="2BB745AB"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Male NM: 74.0% (73.3% to 74.8%)</w:t>
            </w:r>
          </w:p>
          <w:p w14:paraId="30F87F59"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Female NM: 66.3% (65.6% to 67.1%)</w:t>
            </w:r>
          </w:p>
          <w:p w14:paraId="483A4516" w14:textId="77777777" w:rsidR="00881FE9" w:rsidRPr="00DE452B" w:rsidRDefault="00881FE9" w:rsidP="003F5ADD">
            <w:pPr>
              <w:rPr>
                <w:rFonts w:asciiTheme="minorHAnsi" w:hAnsiTheme="minorHAnsi" w:cstheme="minorHAnsi"/>
                <w:sz w:val="16"/>
                <w:szCs w:val="16"/>
              </w:rPr>
            </w:pPr>
          </w:p>
          <w:p w14:paraId="7E7928F7"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Race/ethnicity:</w:t>
            </w:r>
          </w:p>
          <w:p w14:paraId="092592FB" w14:textId="77777777" w:rsidR="00881FE9" w:rsidRPr="00DE452B" w:rsidRDefault="00A849BC" w:rsidP="003F5ADD">
            <w:pPr>
              <w:rPr>
                <w:rFonts w:asciiTheme="minorHAnsi" w:hAnsiTheme="minorHAnsi" w:cstheme="minorHAnsi"/>
                <w:sz w:val="16"/>
                <w:szCs w:val="16"/>
              </w:rPr>
            </w:pPr>
            <w:r w:rsidRPr="00DE452B">
              <w:rPr>
                <w:rFonts w:asciiTheme="minorHAnsi" w:hAnsiTheme="minorHAnsi" w:cstheme="minorHAnsi"/>
                <w:sz w:val="16"/>
                <w:szCs w:val="16"/>
              </w:rPr>
              <w:t>NH White</w:t>
            </w:r>
            <w:r w:rsidR="00881FE9" w:rsidRPr="00DE452B">
              <w:rPr>
                <w:rFonts w:asciiTheme="minorHAnsi" w:hAnsiTheme="minorHAnsi" w:cstheme="minorHAnsi"/>
                <w:sz w:val="16"/>
                <w:szCs w:val="16"/>
              </w:rPr>
              <w:t xml:space="preserve"> M: 22.3% (21.7% to 22.9%)</w:t>
            </w:r>
          </w:p>
          <w:p w14:paraId="0184556B" w14:textId="77777777" w:rsidR="00881FE9" w:rsidRPr="00DE452B" w:rsidRDefault="00A849BC" w:rsidP="003F5ADD">
            <w:pPr>
              <w:rPr>
                <w:rFonts w:asciiTheme="minorHAnsi" w:hAnsiTheme="minorHAnsi" w:cstheme="minorHAnsi"/>
                <w:sz w:val="16"/>
                <w:szCs w:val="16"/>
              </w:rPr>
            </w:pPr>
            <w:r w:rsidRPr="00DE452B">
              <w:rPr>
                <w:rFonts w:asciiTheme="minorHAnsi" w:hAnsiTheme="minorHAnsi" w:cstheme="minorHAnsi"/>
                <w:sz w:val="16"/>
                <w:szCs w:val="16"/>
              </w:rPr>
              <w:t>NH Black</w:t>
            </w:r>
            <w:r w:rsidR="00881FE9" w:rsidRPr="00DE452B">
              <w:rPr>
                <w:rFonts w:asciiTheme="minorHAnsi" w:hAnsiTheme="minorHAnsi" w:cstheme="minorHAnsi"/>
                <w:sz w:val="16"/>
                <w:szCs w:val="16"/>
              </w:rPr>
              <w:t xml:space="preserve"> M: 78.5% (76.9% to 80.1%)</w:t>
            </w:r>
          </w:p>
          <w:p w14:paraId="4CCDA01E"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Other M: 30.1% (28.5% to 31.6%)</w:t>
            </w:r>
          </w:p>
          <w:p w14:paraId="07848C39" w14:textId="77777777" w:rsidR="00881FE9" w:rsidRPr="00DE452B" w:rsidRDefault="00A849BC" w:rsidP="003F5ADD">
            <w:pPr>
              <w:rPr>
                <w:rFonts w:asciiTheme="minorHAnsi" w:hAnsiTheme="minorHAnsi" w:cstheme="minorHAnsi"/>
                <w:sz w:val="16"/>
                <w:szCs w:val="16"/>
              </w:rPr>
            </w:pPr>
            <w:r w:rsidRPr="00DE452B">
              <w:rPr>
                <w:rFonts w:asciiTheme="minorHAnsi" w:hAnsiTheme="minorHAnsi" w:cstheme="minorHAnsi"/>
                <w:sz w:val="16"/>
                <w:szCs w:val="16"/>
              </w:rPr>
              <w:t>NH White</w:t>
            </w:r>
            <w:r w:rsidR="00881FE9" w:rsidRPr="00DE452B">
              <w:rPr>
                <w:rFonts w:asciiTheme="minorHAnsi" w:hAnsiTheme="minorHAnsi" w:cstheme="minorHAnsi"/>
                <w:sz w:val="16"/>
                <w:szCs w:val="16"/>
              </w:rPr>
              <w:t xml:space="preserve"> NM: 77.7% (77.1% to 78.3%)</w:t>
            </w:r>
          </w:p>
          <w:p w14:paraId="0304262D" w14:textId="77777777" w:rsidR="00881FE9" w:rsidRPr="00DE452B" w:rsidRDefault="00A849BC" w:rsidP="003F5ADD">
            <w:pPr>
              <w:rPr>
                <w:rFonts w:asciiTheme="minorHAnsi" w:hAnsiTheme="minorHAnsi" w:cstheme="minorHAnsi"/>
                <w:sz w:val="16"/>
                <w:szCs w:val="16"/>
              </w:rPr>
            </w:pPr>
            <w:r w:rsidRPr="00DE452B">
              <w:rPr>
                <w:rFonts w:asciiTheme="minorHAnsi" w:hAnsiTheme="minorHAnsi" w:cstheme="minorHAnsi"/>
                <w:sz w:val="16"/>
                <w:szCs w:val="16"/>
              </w:rPr>
              <w:t>NH Black</w:t>
            </w:r>
            <w:r w:rsidR="00881FE9" w:rsidRPr="00DE452B">
              <w:rPr>
                <w:rFonts w:asciiTheme="minorHAnsi" w:hAnsiTheme="minorHAnsi" w:cstheme="minorHAnsi"/>
                <w:sz w:val="16"/>
                <w:szCs w:val="16"/>
              </w:rPr>
              <w:t xml:space="preserve"> NM: 21.5% (19.9% to 23.1%)</w:t>
            </w:r>
          </w:p>
          <w:p w14:paraId="51393A0E"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Other NM: 69.9% (68.4% to 71.5%)</w:t>
            </w:r>
          </w:p>
          <w:p w14:paraId="1B74FD4A"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Current age (yrs):</w:t>
            </w:r>
          </w:p>
          <w:p w14:paraId="7225ADF6" w14:textId="77777777" w:rsidR="00881FE9" w:rsidRPr="00DE452B" w:rsidRDefault="00881FE9" w:rsidP="003F5ADD">
            <w:pPr>
              <w:rPr>
                <w:rFonts w:asciiTheme="minorHAnsi" w:hAnsiTheme="minorHAnsi" w:cstheme="minorHAnsi"/>
                <w:sz w:val="16"/>
                <w:szCs w:val="16"/>
              </w:rPr>
            </w:pPr>
          </w:p>
          <w:p w14:paraId="2A8FAB68"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20 to 25 M: 33.2% (32.5% to 34.0%)</w:t>
            </w:r>
          </w:p>
          <w:p w14:paraId="64AF8421"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26 to 29 M: 30.3% (29.0% to 31.6%)</w:t>
            </w:r>
          </w:p>
          <w:p w14:paraId="3C6CCD8A"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≥30 M: 28.7% (28.0% to 29.4%)</w:t>
            </w:r>
          </w:p>
          <w:p w14:paraId="35160206"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20 to 25 NM: 66.8% (66.0% to 67.5%)</w:t>
            </w:r>
          </w:p>
          <w:p w14:paraId="28586052"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26 to 29 NM: 69.7% (68.4% to 71.0%)</w:t>
            </w:r>
          </w:p>
          <w:p w14:paraId="6173EFD8"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≥30 NM: 71.3% (70.6% to 72.0%)</w:t>
            </w:r>
          </w:p>
          <w:p w14:paraId="37C52B4E" w14:textId="77777777" w:rsidR="00881FE9" w:rsidRPr="00DE452B" w:rsidRDefault="00881FE9" w:rsidP="003F5ADD">
            <w:pPr>
              <w:rPr>
                <w:rFonts w:asciiTheme="minorHAnsi" w:hAnsiTheme="minorHAnsi" w:cstheme="minorHAnsi"/>
                <w:sz w:val="16"/>
                <w:szCs w:val="16"/>
              </w:rPr>
            </w:pPr>
          </w:p>
          <w:p w14:paraId="221B1027"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u w:val="single"/>
              </w:rPr>
              <w:t>Past-month smokers over past month (1+ days during the past 30)</w:t>
            </w:r>
          </w:p>
          <w:p w14:paraId="03476038"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Overall:</w:t>
            </w:r>
          </w:p>
          <w:p w14:paraId="6442F2B9"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 xml:space="preserve">M: 29.8% (29.3% to 30.3%) </w:t>
            </w:r>
          </w:p>
          <w:p w14:paraId="77668DC1"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 xml:space="preserve">NM: 70.2% (69.7% to 70.7%) </w:t>
            </w:r>
          </w:p>
          <w:p w14:paraId="34592132"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Gender:</w:t>
            </w:r>
          </w:p>
          <w:p w14:paraId="5A5B4D36"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Male M: 26.3% (25.6% to 26.9%)</w:t>
            </w:r>
          </w:p>
          <w:p w14:paraId="7BADE67B"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Female M: 33.8% (33.1% to 34.5%)</w:t>
            </w:r>
          </w:p>
          <w:p w14:paraId="59700307"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Male NM: 73.7% (73.1% to 74.4%)</w:t>
            </w:r>
          </w:p>
          <w:p w14:paraId="3931179C"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Female NM: 66.2% (65.5% to 66.9%)</w:t>
            </w:r>
          </w:p>
          <w:p w14:paraId="2B637D03" w14:textId="77777777" w:rsidR="00881FE9" w:rsidRPr="00DE452B" w:rsidRDefault="00881FE9" w:rsidP="003F5ADD">
            <w:pPr>
              <w:rPr>
                <w:rFonts w:asciiTheme="minorHAnsi" w:hAnsiTheme="minorHAnsi" w:cstheme="minorHAnsi"/>
                <w:sz w:val="16"/>
                <w:szCs w:val="16"/>
              </w:rPr>
            </w:pPr>
          </w:p>
          <w:p w14:paraId="22BF9E8E"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Race/ethnicity:</w:t>
            </w:r>
          </w:p>
          <w:p w14:paraId="2C32657C" w14:textId="77777777" w:rsidR="00881FE9" w:rsidRPr="00DE452B" w:rsidRDefault="00A849BC" w:rsidP="003F5ADD">
            <w:pPr>
              <w:rPr>
                <w:rFonts w:asciiTheme="minorHAnsi" w:hAnsiTheme="minorHAnsi" w:cstheme="minorHAnsi"/>
                <w:sz w:val="16"/>
                <w:szCs w:val="16"/>
              </w:rPr>
            </w:pPr>
            <w:r w:rsidRPr="00DE452B">
              <w:rPr>
                <w:rFonts w:asciiTheme="minorHAnsi" w:hAnsiTheme="minorHAnsi" w:cstheme="minorHAnsi"/>
                <w:sz w:val="16"/>
                <w:szCs w:val="16"/>
              </w:rPr>
              <w:lastRenderedPageBreak/>
              <w:t>NH White</w:t>
            </w:r>
            <w:r w:rsidR="00881FE9" w:rsidRPr="00DE452B">
              <w:rPr>
                <w:rFonts w:asciiTheme="minorHAnsi" w:hAnsiTheme="minorHAnsi" w:cstheme="minorHAnsi"/>
                <w:sz w:val="16"/>
                <w:szCs w:val="16"/>
              </w:rPr>
              <w:t xml:space="preserve"> M: 22.1% (21.6% to 22.6%)</w:t>
            </w:r>
          </w:p>
          <w:p w14:paraId="246C0CDB" w14:textId="77777777" w:rsidR="00881FE9" w:rsidRPr="00DE452B" w:rsidRDefault="00A849BC" w:rsidP="003F5ADD">
            <w:pPr>
              <w:rPr>
                <w:rFonts w:asciiTheme="minorHAnsi" w:hAnsiTheme="minorHAnsi" w:cstheme="minorHAnsi"/>
                <w:sz w:val="16"/>
                <w:szCs w:val="16"/>
              </w:rPr>
            </w:pPr>
            <w:r w:rsidRPr="00DE452B">
              <w:rPr>
                <w:rFonts w:asciiTheme="minorHAnsi" w:hAnsiTheme="minorHAnsi" w:cstheme="minorHAnsi"/>
                <w:sz w:val="16"/>
                <w:szCs w:val="16"/>
              </w:rPr>
              <w:t>NH Black</w:t>
            </w:r>
            <w:r w:rsidR="00881FE9" w:rsidRPr="00DE452B">
              <w:rPr>
                <w:rFonts w:asciiTheme="minorHAnsi" w:hAnsiTheme="minorHAnsi" w:cstheme="minorHAnsi"/>
                <w:sz w:val="16"/>
                <w:szCs w:val="16"/>
              </w:rPr>
              <w:t xml:space="preserve"> M: 77.8% (76.4% to 79.2%)</w:t>
            </w:r>
          </w:p>
          <w:p w14:paraId="6035F9FC"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Other M: 30.0% (28.8% to 31.2%)</w:t>
            </w:r>
          </w:p>
          <w:p w14:paraId="11C41CE1" w14:textId="77777777" w:rsidR="00881FE9" w:rsidRPr="00DE452B" w:rsidRDefault="00A849BC" w:rsidP="003F5ADD">
            <w:pPr>
              <w:rPr>
                <w:rFonts w:asciiTheme="minorHAnsi" w:hAnsiTheme="minorHAnsi" w:cstheme="minorHAnsi"/>
                <w:sz w:val="16"/>
                <w:szCs w:val="16"/>
              </w:rPr>
            </w:pPr>
            <w:r w:rsidRPr="00DE452B">
              <w:rPr>
                <w:rFonts w:asciiTheme="minorHAnsi" w:hAnsiTheme="minorHAnsi" w:cstheme="minorHAnsi"/>
                <w:sz w:val="16"/>
                <w:szCs w:val="16"/>
              </w:rPr>
              <w:t>NH White</w:t>
            </w:r>
            <w:r w:rsidR="00881FE9" w:rsidRPr="00DE452B">
              <w:rPr>
                <w:rFonts w:asciiTheme="minorHAnsi" w:hAnsiTheme="minorHAnsi" w:cstheme="minorHAnsi"/>
                <w:sz w:val="16"/>
                <w:szCs w:val="16"/>
              </w:rPr>
              <w:t xml:space="preserve"> NM: 77.9% (77.4% to 78.4%)</w:t>
            </w:r>
          </w:p>
          <w:p w14:paraId="2B949F88" w14:textId="77777777" w:rsidR="00881FE9" w:rsidRPr="00DE452B" w:rsidRDefault="00A849BC" w:rsidP="003F5ADD">
            <w:pPr>
              <w:rPr>
                <w:rFonts w:asciiTheme="minorHAnsi" w:hAnsiTheme="minorHAnsi" w:cstheme="minorHAnsi"/>
                <w:sz w:val="16"/>
                <w:szCs w:val="16"/>
              </w:rPr>
            </w:pPr>
            <w:r w:rsidRPr="00DE452B">
              <w:rPr>
                <w:rFonts w:asciiTheme="minorHAnsi" w:hAnsiTheme="minorHAnsi" w:cstheme="minorHAnsi"/>
                <w:sz w:val="16"/>
                <w:szCs w:val="16"/>
              </w:rPr>
              <w:t>NH Black</w:t>
            </w:r>
            <w:r w:rsidR="00881FE9" w:rsidRPr="00DE452B">
              <w:rPr>
                <w:rFonts w:asciiTheme="minorHAnsi" w:hAnsiTheme="minorHAnsi" w:cstheme="minorHAnsi"/>
                <w:sz w:val="16"/>
                <w:szCs w:val="16"/>
              </w:rPr>
              <w:t xml:space="preserve"> NM: 22.2% (20.8% to 23.6%)</w:t>
            </w:r>
          </w:p>
          <w:p w14:paraId="7FB8FC4B"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Other NM: 70.0% (68.8% to 71.2%)</w:t>
            </w:r>
          </w:p>
          <w:p w14:paraId="76B3CBEB" w14:textId="77777777" w:rsidR="00881FE9" w:rsidRPr="00DE452B" w:rsidRDefault="00881FE9" w:rsidP="003F5ADD">
            <w:pPr>
              <w:rPr>
                <w:rFonts w:asciiTheme="minorHAnsi" w:hAnsiTheme="minorHAnsi" w:cstheme="minorHAnsi"/>
                <w:sz w:val="16"/>
                <w:szCs w:val="16"/>
              </w:rPr>
            </w:pPr>
          </w:p>
          <w:p w14:paraId="6AA2EE2E"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Current age (yrs):</w:t>
            </w:r>
          </w:p>
          <w:p w14:paraId="079845A3"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20 to 25 M: 32.4% (31.8% to 33.0%)</w:t>
            </w:r>
          </w:p>
          <w:p w14:paraId="77B43968"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26 to 29 M: 29.2% (28.0% to 30.4%)</w:t>
            </w:r>
          </w:p>
          <w:p w14:paraId="580B37A7"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≥30 M: 29.3% (28.6% to 29.9%)</w:t>
            </w:r>
          </w:p>
          <w:p w14:paraId="4162D8A9"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20 to 25 NM: 67.6% (67.0% to 68.2%)</w:t>
            </w:r>
          </w:p>
          <w:p w14:paraId="081EA0D1"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26 to 29 NM: 70.8% (69.6% to 72.0%)</w:t>
            </w:r>
          </w:p>
          <w:p w14:paraId="1A0C281A"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≥30 NM: 70.7% (70.1% to 71.4%)</w:t>
            </w:r>
          </w:p>
        </w:tc>
      </w:tr>
      <w:tr w:rsidR="00881FE9" w:rsidRPr="00DE452B" w14:paraId="45513C42" w14:textId="77777777" w:rsidTr="00382374">
        <w:tc>
          <w:tcPr>
            <w:tcW w:w="624" w:type="pct"/>
          </w:tcPr>
          <w:p w14:paraId="2DBAD9CF" w14:textId="007CA3CD" w:rsidR="00881FE9" w:rsidRPr="00DE452B" w:rsidRDefault="00D2134A" w:rsidP="003F5ADD">
            <w:pPr>
              <w:rPr>
                <w:rFonts w:asciiTheme="minorHAnsi" w:hAnsiTheme="minorHAnsi" w:cstheme="minorHAnsi"/>
                <w:sz w:val="16"/>
                <w:szCs w:val="16"/>
              </w:rPr>
            </w:pPr>
            <w:r>
              <w:rPr>
                <w:rFonts w:cstheme="minorHAnsi"/>
                <w:sz w:val="16"/>
                <w:szCs w:val="16"/>
              </w:rPr>
              <w:lastRenderedPageBreak/>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51" w:tooltip="Curtin, 2014 #13" w:history="1">
              <w:r w:rsidR="00A234A9">
                <w:rPr>
                  <w:rFonts w:cstheme="minorHAnsi"/>
                  <w:noProof/>
                  <w:sz w:val="16"/>
                  <w:szCs w:val="16"/>
                </w:rPr>
                <w:t>51</w:t>
              </w:r>
            </w:hyperlink>
            <w:r>
              <w:rPr>
                <w:rFonts w:cstheme="minorHAnsi"/>
                <w:noProof/>
                <w:sz w:val="16"/>
                <w:szCs w:val="16"/>
              </w:rPr>
              <w:t>)</w:t>
            </w:r>
            <w:r>
              <w:rPr>
                <w:rFonts w:cstheme="minorHAnsi"/>
                <w:sz w:val="16"/>
                <w:szCs w:val="16"/>
              </w:rPr>
              <w:fldChar w:fldCharType="end"/>
            </w:r>
            <w:r w:rsidR="00881FE9" w:rsidRPr="00DE452B">
              <w:rPr>
                <w:rFonts w:asciiTheme="minorHAnsi" w:hAnsiTheme="minorHAnsi" w:cstheme="minorHAnsi"/>
                <w:sz w:val="16"/>
                <w:szCs w:val="16"/>
              </w:rPr>
              <w:t xml:space="preserve"> NSDUH</w:t>
            </w:r>
            <w:r w:rsidR="00881FE9" w:rsidRPr="00DE452B">
              <w:rPr>
                <w:rFonts w:asciiTheme="minorHAnsi" w:hAnsiTheme="minorHAnsi" w:cstheme="minorHAnsi"/>
                <w:sz w:val="16"/>
                <w:szCs w:val="16"/>
                <w:vertAlign w:val="superscript"/>
              </w:rPr>
              <w:t>b</w:t>
            </w:r>
          </w:p>
          <w:p w14:paraId="7442B5E9"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Adult</w:t>
            </w:r>
          </w:p>
        </w:tc>
        <w:tc>
          <w:tcPr>
            <w:tcW w:w="589" w:type="pct"/>
          </w:tcPr>
          <w:p w14:paraId="3E499212" w14:textId="77777777" w:rsidR="00881FE9" w:rsidRPr="00DE452B" w:rsidRDefault="00621FF9" w:rsidP="003F5ADD">
            <w:pPr>
              <w:rPr>
                <w:rFonts w:asciiTheme="minorHAnsi" w:hAnsiTheme="minorHAnsi" w:cstheme="minorHAnsi"/>
                <w:sz w:val="16"/>
                <w:szCs w:val="16"/>
              </w:rPr>
            </w:pPr>
            <w:r w:rsidRPr="00DE452B">
              <w:rPr>
                <w:rFonts w:asciiTheme="minorHAnsi" w:hAnsiTheme="minorHAnsi" w:cstheme="minorHAnsi"/>
                <w:sz w:val="16"/>
                <w:szCs w:val="16"/>
              </w:rPr>
              <w:t>Answering either daily, regular (10+ days during the past 30), or past (1+ days during the past 30) month to the question, “During the past 30 days, that is since [date 30 days prior to interview], on how many days did you smoke part or all of a cigarette?” or “Now think about the past 30 days – that is, from [date 30 days prior to interview] up to and including today. During the past 30 days, have you smoked part or all of a cigarette?”</w:t>
            </w:r>
          </w:p>
        </w:tc>
        <w:tc>
          <w:tcPr>
            <w:tcW w:w="661" w:type="pct"/>
          </w:tcPr>
          <w:p w14:paraId="2775A212"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rPr>
              <w:t>NR</w:t>
            </w:r>
          </w:p>
        </w:tc>
        <w:tc>
          <w:tcPr>
            <w:tcW w:w="625" w:type="pct"/>
          </w:tcPr>
          <w:p w14:paraId="66D744BC"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6B74C2FA"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7968D320"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45785874"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Daily vs. non-daily smoking, OR (95% CI) for NM (ref=M): </w:t>
            </w:r>
          </w:p>
          <w:p w14:paraId="34E62E49"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 xml:space="preserve">0.86 (0.82 to 0.90), </w:t>
            </w:r>
          </w:p>
          <w:p w14:paraId="7D8A7FAE"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(p&lt;0.0001)</w:t>
            </w:r>
          </w:p>
        </w:tc>
      </w:tr>
      <w:tr w:rsidR="00881FE9" w:rsidRPr="00DE452B" w14:paraId="45C1C1F4" w14:textId="77777777" w:rsidTr="00382374">
        <w:tc>
          <w:tcPr>
            <w:tcW w:w="624" w:type="pct"/>
          </w:tcPr>
          <w:p w14:paraId="5881882A" w14:textId="4018D361" w:rsidR="00881FE9" w:rsidRPr="00DE452B" w:rsidRDefault="00D2134A" w:rsidP="002039ED">
            <w:pPr>
              <w:rPr>
                <w:rFonts w:asciiTheme="minorHAnsi" w:hAnsiTheme="minorHAnsi" w:cstheme="minorHAnsi"/>
                <w:sz w:val="16"/>
                <w:szCs w:val="16"/>
              </w:rPr>
            </w:pP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51" w:tooltip="Curtin, 2014 #13" w:history="1">
              <w:r w:rsidR="00A234A9">
                <w:rPr>
                  <w:rFonts w:cstheme="minorHAnsi"/>
                  <w:noProof/>
                  <w:sz w:val="16"/>
                  <w:szCs w:val="16"/>
                </w:rPr>
                <w:t>51</w:t>
              </w:r>
            </w:hyperlink>
            <w:r>
              <w:rPr>
                <w:rFonts w:cstheme="minorHAnsi"/>
                <w:noProof/>
                <w:sz w:val="16"/>
                <w:szCs w:val="16"/>
              </w:rPr>
              <w:t>)</w:t>
            </w:r>
            <w:r>
              <w:rPr>
                <w:rFonts w:cstheme="minorHAnsi"/>
                <w:sz w:val="16"/>
                <w:szCs w:val="16"/>
              </w:rPr>
              <w:fldChar w:fldCharType="end"/>
            </w:r>
          </w:p>
          <w:p w14:paraId="7C51AB70"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NHIS</w:t>
            </w:r>
            <w:r w:rsidRPr="00DE452B">
              <w:rPr>
                <w:rFonts w:asciiTheme="minorHAnsi" w:hAnsiTheme="minorHAnsi" w:cstheme="minorHAnsi"/>
                <w:sz w:val="16"/>
                <w:szCs w:val="16"/>
                <w:vertAlign w:val="superscript"/>
              </w:rPr>
              <w:t>b</w:t>
            </w:r>
          </w:p>
          <w:p w14:paraId="642AF560"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None</w:t>
            </w:r>
          </w:p>
        </w:tc>
        <w:tc>
          <w:tcPr>
            <w:tcW w:w="589" w:type="pct"/>
          </w:tcPr>
          <w:p w14:paraId="5F14504B"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First started to smoke fairly regularly</w:t>
            </w:r>
          </w:p>
        </w:tc>
        <w:tc>
          <w:tcPr>
            <w:tcW w:w="661" w:type="pct"/>
          </w:tcPr>
          <w:p w14:paraId="29594715"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Smoked ≥1 day in past 30 days </w:t>
            </w:r>
          </w:p>
          <w:p w14:paraId="6108B171"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18.2 (18.0 to 18.4)</w:t>
            </w:r>
          </w:p>
          <w:p w14:paraId="258C1A76" w14:textId="77777777" w:rsidR="00881FE9" w:rsidRPr="00DE452B" w:rsidRDefault="00881FE9" w:rsidP="002039ED">
            <w:pPr>
              <w:rPr>
                <w:rFonts w:asciiTheme="minorHAnsi" w:hAnsiTheme="minorHAnsi" w:cstheme="minorHAnsi"/>
                <w:sz w:val="16"/>
                <w:szCs w:val="16"/>
                <w:vertAlign w:val="superscript"/>
              </w:rPr>
            </w:pPr>
            <w:r w:rsidRPr="00DE452B">
              <w:rPr>
                <w:rFonts w:asciiTheme="minorHAnsi" w:hAnsiTheme="minorHAnsi" w:cstheme="minorHAnsi"/>
                <w:sz w:val="16"/>
                <w:szCs w:val="16"/>
              </w:rPr>
              <w:t>NM: 17.7 (17.6 to 17.8)</w:t>
            </w:r>
          </w:p>
          <w:p w14:paraId="0ADFF59D"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lastRenderedPageBreak/>
              <w:t xml:space="preserve">Smoked ≥10 days in past 30 days </w:t>
            </w:r>
          </w:p>
          <w:p w14:paraId="4CDE4C38"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18.1 (17.9 to 18.3)</w:t>
            </w:r>
          </w:p>
          <w:p w14:paraId="071EE56D" w14:textId="77777777" w:rsidR="00881FE9" w:rsidRPr="00DE452B" w:rsidRDefault="00881FE9" w:rsidP="002039ED">
            <w:pPr>
              <w:rPr>
                <w:rFonts w:asciiTheme="minorHAnsi" w:hAnsiTheme="minorHAnsi" w:cstheme="minorHAnsi"/>
                <w:sz w:val="16"/>
                <w:szCs w:val="16"/>
                <w:vertAlign w:val="superscript"/>
              </w:rPr>
            </w:pPr>
            <w:r w:rsidRPr="00DE452B">
              <w:rPr>
                <w:rFonts w:asciiTheme="minorHAnsi" w:hAnsiTheme="minorHAnsi" w:cstheme="minorHAnsi"/>
                <w:sz w:val="16"/>
                <w:szCs w:val="16"/>
              </w:rPr>
              <w:t>NM: 17.6 (17.5 to 17.8)</w:t>
            </w:r>
          </w:p>
          <w:p w14:paraId="47543B59"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Smoked daily in past 30 days </w:t>
            </w:r>
          </w:p>
          <w:p w14:paraId="05759A61"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17.9 (17.7 to 18.2)</w:t>
            </w:r>
          </w:p>
          <w:p w14:paraId="0BB034F0"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NM: 17.5 (17.3 to 17.6)</w:t>
            </w:r>
          </w:p>
        </w:tc>
        <w:tc>
          <w:tcPr>
            <w:tcW w:w="625" w:type="pct"/>
          </w:tcPr>
          <w:p w14:paraId="01EB896C"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lastRenderedPageBreak/>
              <w:t>NR</w:t>
            </w:r>
          </w:p>
        </w:tc>
        <w:tc>
          <w:tcPr>
            <w:tcW w:w="416" w:type="pct"/>
          </w:tcPr>
          <w:p w14:paraId="4403AA7C"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5BB01E01"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0E7BFDBC"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NR</w:t>
            </w:r>
          </w:p>
        </w:tc>
      </w:tr>
      <w:tr w:rsidR="00881FE9" w:rsidRPr="00DE452B" w14:paraId="669230E5" w14:textId="77777777" w:rsidTr="00382374">
        <w:tc>
          <w:tcPr>
            <w:tcW w:w="624" w:type="pct"/>
          </w:tcPr>
          <w:p w14:paraId="353A915F" w14:textId="20F4FB03" w:rsidR="00881FE9" w:rsidRPr="00DE452B" w:rsidRDefault="00D2134A" w:rsidP="002039ED">
            <w:pPr>
              <w:rPr>
                <w:rFonts w:asciiTheme="minorHAnsi" w:hAnsiTheme="minorHAnsi" w:cstheme="minorHAnsi"/>
                <w:sz w:val="16"/>
                <w:szCs w:val="16"/>
              </w:rPr>
            </w:pP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51" w:tooltip="Curtin, 2014 #13" w:history="1">
              <w:r w:rsidR="00A234A9">
                <w:rPr>
                  <w:rFonts w:cstheme="minorHAnsi"/>
                  <w:noProof/>
                  <w:sz w:val="16"/>
                  <w:szCs w:val="16"/>
                </w:rPr>
                <w:t>51</w:t>
              </w:r>
            </w:hyperlink>
            <w:r>
              <w:rPr>
                <w:rFonts w:cstheme="minorHAnsi"/>
                <w:noProof/>
                <w:sz w:val="16"/>
                <w:szCs w:val="16"/>
              </w:rPr>
              <w:t>)</w:t>
            </w:r>
            <w:r>
              <w:rPr>
                <w:rFonts w:cstheme="minorHAnsi"/>
                <w:sz w:val="16"/>
                <w:szCs w:val="16"/>
              </w:rPr>
              <w:fldChar w:fldCharType="end"/>
            </w:r>
          </w:p>
          <w:p w14:paraId="22E7BA49"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NHIS</w:t>
            </w:r>
            <w:r w:rsidRPr="00DE452B">
              <w:rPr>
                <w:rFonts w:asciiTheme="minorHAnsi" w:hAnsiTheme="minorHAnsi" w:cstheme="minorHAnsi"/>
                <w:sz w:val="16"/>
                <w:szCs w:val="16"/>
                <w:vertAlign w:val="superscript"/>
              </w:rPr>
              <w:t>b</w:t>
            </w:r>
          </w:p>
          <w:p w14:paraId="2EE25504"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None</w:t>
            </w:r>
          </w:p>
        </w:tc>
        <w:tc>
          <w:tcPr>
            <w:tcW w:w="589" w:type="pct"/>
          </w:tcPr>
          <w:p w14:paraId="3BE453C5"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First started to smoke regularly</w:t>
            </w:r>
          </w:p>
        </w:tc>
        <w:tc>
          <w:tcPr>
            <w:tcW w:w="661" w:type="pct"/>
          </w:tcPr>
          <w:p w14:paraId="416E73D3"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Age at start of regular smoking in past-month smokers </w:t>
            </w:r>
          </w:p>
          <w:p w14:paraId="455E3587" w14:textId="77777777" w:rsidR="00881FE9" w:rsidRPr="00EA69AA" w:rsidRDefault="00881FE9" w:rsidP="002039ED">
            <w:pPr>
              <w:rPr>
                <w:rFonts w:asciiTheme="minorHAnsi" w:hAnsiTheme="minorHAnsi" w:cstheme="minorHAnsi"/>
                <w:sz w:val="16"/>
                <w:szCs w:val="16"/>
                <w:lang w:val="fr-FR"/>
              </w:rPr>
            </w:pPr>
            <w:r w:rsidRPr="00EA69AA">
              <w:rPr>
                <w:rFonts w:asciiTheme="minorHAnsi" w:hAnsiTheme="minorHAnsi" w:cstheme="minorHAnsi"/>
                <w:sz w:val="16"/>
                <w:szCs w:val="16"/>
                <w:lang w:val="fr-FR"/>
              </w:rPr>
              <w:t xml:space="preserve">M: 15.8, SE=0.15, 95% CI: 15.51 to 16.09 </w:t>
            </w:r>
          </w:p>
          <w:p w14:paraId="4A3847A5" w14:textId="77777777" w:rsidR="00881FE9" w:rsidRPr="00EA69AA" w:rsidRDefault="00881FE9" w:rsidP="002039ED">
            <w:pPr>
              <w:rPr>
                <w:rFonts w:asciiTheme="minorHAnsi" w:hAnsiTheme="minorHAnsi" w:cstheme="minorHAnsi"/>
                <w:sz w:val="16"/>
                <w:szCs w:val="16"/>
                <w:u w:val="single"/>
                <w:lang w:val="fr-FR"/>
              </w:rPr>
            </w:pPr>
            <w:r w:rsidRPr="00EA69AA">
              <w:rPr>
                <w:rFonts w:asciiTheme="minorHAnsi" w:hAnsiTheme="minorHAnsi" w:cstheme="minorHAnsi"/>
                <w:sz w:val="16"/>
                <w:szCs w:val="16"/>
                <w:lang w:val="fr-FR"/>
              </w:rPr>
              <w:t xml:space="preserve">NM: 15.7 </w:t>
            </w:r>
            <w:proofErr w:type="spellStart"/>
            <w:r w:rsidRPr="00EA69AA">
              <w:rPr>
                <w:rFonts w:asciiTheme="minorHAnsi" w:hAnsiTheme="minorHAnsi" w:cstheme="minorHAnsi"/>
                <w:sz w:val="16"/>
                <w:szCs w:val="16"/>
                <w:lang w:val="fr-FR"/>
              </w:rPr>
              <w:t>years</w:t>
            </w:r>
            <w:proofErr w:type="spellEnd"/>
            <w:r w:rsidRPr="00EA69AA">
              <w:rPr>
                <w:rFonts w:asciiTheme="minorHAnsi" w:hAnsiTheme="minorHAnsi" w:cstheme="minorHAnsi"/>
                <w:sz w:val="16"/>
                <w:szCs w:val="16"/>
                <w:lang w:val="fr-FR"/>
              </w:rPr>
              <w:t>, SE=0.13, 95% CI: -0.36 to 0.14</w:t>
            </w:r>
          </w:p>
        </w:tc>
        <w:tc>
          <w:tcPr>
            <w:tcW w:w="625" w:type="pct"/>
          </w:tcPr>
          <w:p w14:paraId="6C216958"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58D33E18"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3B01F290"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54C361F7"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NR</w:t>
            </w:r>
          </w:p>
        </w:tc>
      </w:tr>
      <w:tr w:rsidR="00881FE9" w:rsidRPr="00DE452B" w14:paraId="1822940D" w14:textId="77777777" w:rsidTr="00382374">
        <w:tc>
          <w:tcPr>
            <w:tcW w:w="624" w:type="pct"/>
          </w:tcPr>
          <w:p w14:paraId="116ABE2D" w14:textId="68CBD4AF" w:rsidR="00881FE9" w:rsidRPr="00DE452B" w:rsidRDefault="00D2134A" w:rsidP="003F5ADD">
            <w:pPr>
              <w:rPr>
                <w:rFonts w:asciiTheme="minorHAnsi" w:hAnsiTheme="minorHAnsi" w:cstheme="minorHAnsi"/>
                <w:sz w:val="16"/>
                <w:szCs w:val="16"/>
              </w:rPr>
            </w:pPr>
            <w:r>
              <w:rPr>
                <w:rFonts w:cstheme="minorHAnsi"/>
                <w:sz w:val="16"/>
                <w:szCs w:val="16"/>
              </w:rPr>
              <w:fldChar w:fldCharType="begin">
                <w:fldData xml:space="preserve">PEVuZE5vdGU+PENpdGU+PEF1dGhvcj5DdXJ0aW48L0F1dGhvcj48WWVhcj4yMDE0PC9ZZWFyPjxS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PEVuZE5vdGU+PENpdGU+PEF1dGhvcj5DdXJ0aW48L0F1dGhvcj48WWVhcj4yMDE0PC9ZZWFyPjxS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52" w:tooltip="Curtin, 2014 #14" w:history="1">
              <w:r w:rsidR="00A234A9">
                <w:rPr>
                  <w:rFonts w:cstheme="minorHAnsi"/>
                  <w:noProof/>
                  <w:sz w:val="16"/>
                  <w:szCs w:val="16"/>
                </w:rPr>
                <w:t>52</w:t>
              </w:r>
            </w:hyperlink>
            <w:r>
              <w:rPr>
                <w:rFonts w:cstheme="minorHAnsi"/>
                <w:noProof/>
                <w:sz w:val="16"/>
                <w:szCs w:val="16"/>
              </w:rPr>
              <w:t>)</w:t>
            </w:r>
            <w:r>
              <w:rPr>
                <w:rFonts w:cstheme="minorHAnsi"/>
                <w:sz w:val="16"/>
                <w:szCs w:val="16"/>
              </w:rPr>
              <w:fldChar w:fldCharType="end"/>
            </w:r>
            <w:r w:rsidR="00881FE9" w:rsidRPr="00DE452B">
              <w:rPr>
                <w:rFonts w:asciiTheme="minorHAnsi" w:hAnsiTheme="minorHAnsi" w:cstheme="minorHAnsi"/>
                <w:sz w:val="16"/>
                <w:szCs w:val="16"/>
              </w:rPr>
              <w:t xml:space="preserve"> NHIS</w:t>
            </w:r>
            <w:r w:rsidR="00881FE9" w:rsidRPr="00DE452B">
              <w:rPr>
                <w:rFonts w:asciiTheme="minorHAnsi" w:hAnsiTheme="minorHAnsi" w:cstheme="minorHAnsi"/>
                <w:sz w:val="16"/>
                <w:szCs w:val="16"/>
                <w:vertAlign w:val="superscript"/>
              </w:rPr>
              <w:t>b</w:t>
            </w:r>
          </w:p>
          <w:p w14:paraId="470E76ED"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Adult</w:t>
            </w:r>
          </w:p>
        </w:tc>
        <w:tc>
          <w:tcPr>
            <w:tcW w:w="589" w:type="pct"/>
          </w:tcPr>
          <w:p w14:paraId="10F52CE1" w14:textId="77777777" w:rsidR="00881FE9" w:rsidRPr="00DE452B" w:rsidRDefault="00621FF9" w:rsidP="003F5ADD">
            <w:pPr>
              <w:rPr>
                <w:rFonts w:asciiTheme="minorHAnsi" w:hAnsiTheme="minorHAnsi" w:cstheme="minorHAnsi"/>
                <w:sz w:val="16"/>
                <w:szCs w:val="16"/>
              </w:rPr>
            </w:pPr>
            <w:r w:rsidRPr="00DE452B">
              <w:rPr>
                <w:rFonts w:asciiTheme="minorHAnsi" w:hAnsiTheme="minorHAnsi" w:cstheme="minorHAnsi"/>
                <w:sz w:val="16"/>
                <w:szCs w:val="16"/>
              </w:rPr>
              <w:t>Answering either daily, regular (10+ days during the past 30), or past (1+ days during the past 30) month to the question, “On how many of the past 30 days did you smoke a cigarette?”</w:t>
            </w:r>
          </w:p>
        </w:tc>
        <w:tc>
          <w:tcPr>
            <w:tcW w:w="661" w:type="pct"/>
          </w:tcPr>
          <w:p w14:paraId="28C771DB"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rPr>
              <w:t>NR</w:t>
            </w:r>
          </w:p>
        </w:tc>
        <w:tc>
          <w:tcPr>
            <w:tcW w:w="625" w:type="pct"/>
          </w:tcPr>
          <w:p w14:paraId="0667A84B"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51AFEE88"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655EB477"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7D3E29FE"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u w:val="single"/>
              </w:rPr>
              <w:t>Daily smokers over past month</w:t>
            </w:r>
          </w:p>
          <w:p w14:paraId="54DE03A3"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Overall:</w:t>
            </w:r>
          </w:p>
          <w:p w14:paraId="643E628C"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 xml:space="preserve">M: 28.9% (27.8% to 30.1%) </w:t>
            </w:r>
          </w:p>
          <w:p w14:paraId="485788FF"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 xml:space="preserve">NM: 71.1% (69.9% to 72.2%) </w:t>
            </w:r>
          </w:p>
          <w:p w14:paraId="612F8D4E" w14:textId="77777777" w:rsidR="00881FE9" w:rsidRPr="00DE452B" w:rsidRDefault="00881FE9" w:rsidP="003F5ADD">
            <w:pPr>
              <w:rPr>
                <w:rFonts w:asciiTheme="minorHAnsi" w:hAnsiTheme="minorHAnsi" w:cstheme="minorHAnsi"/>
                <w:sz w:val="16"/>
                <w:szCs w:val="16"/>
              </w:rPr>
            </w:pPr>
          </w:p>
          <w:p w14:paraId="784CCE09"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Gender:</w:t>
            </w:r>
          </w:p>
          <w:p w14:paraId="35893445"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Male M: 24.7% (23.2% to 26.2%)</w:t>
            </w:r>
          </w:p>
          <w:p w14:paraId="6BA6FE6D"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Female M: 33.8% (32.1% to 35.6%)</w:t>
            </w:r>
          </w:p>
          <w:p w14:paraId="007B80C1"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Male NM: 75.3% (73.8% to 76.8%)</w:t>
            </w:r>
          </w:p>
          <w:p w14:paraId="1D0727FC"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Female NM: 66.2% (64.4% to 67.9%)</w:t>
            </w:r>
          </w:p>
          <w:p w14:paraId="3695A70B" w14:textId="77777777" w:rsidR="00881FE9" w:rsidRPr="00DE452B" w:rsidRDefault="00881FE9" w:rsidP="003F5ADD">
            <w:pPr>
              <w:rPr>
                <w:rFonts w:asciiTheme="minorHAnsi" w:hAnsiTheme="minorHAnsi" w:cstheme="minorHAnsi"/>
                <w:sz w:val="16"/>
                <w:szCs w:val="16"/>
              </w:rPr>
            </w:pPr>
          </w:p>
          <w:p w14:paraId="263634B1"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Race/ethnicity:</w:t>
            </w:r>
          </w:p>
          <w:p w14:paraId="08902473" w14:textId="77777777" w:rsidR="00881FE9" w:rsidRPr="00DE452B" w:rsidRDefault="00A849BC" w:rsidP="003F5ADD">
            <w:pPr>
              <w:rPr>
                <w:rFonts w:asciiTheme="minorHAnsi" w:hAnsiTheme="minorHAnsi" w:cstheme="minorHAnsi"/>
                <w:sz w:val="16"/>
                <w:szCs w:val="16"/>
              </w:rPr>
            </w:pPr>
            <w:r w:rsidRPr="00DE452B">
              <w:rPr>
                <w:rFonts w:asciiTheme="minorHAnsi" w:hAnsiTheme="minorHAnsi" w:cstheme="minorHAnsi"/>
                <w:sz w:val="16"/>
                <w:szCs w:val="16"/>
              </w:rPr>
              <w:t>NH White</w:t>
            </w:r>
            <w:r w:rsidR="00881FE9" w:rsidRPr="00DE452B">
              <w:rPr>
                <w:rFonts w:asciiTheme="minorHAnsi" w:hAnsiTheme="minorHAnsi" w:cstheme="minorHAnsi"/>
                <w:sz w:val="16"/>
                <w:szCs w:val="16"/>
              </w:rPr>
              <w:t xml:space="preserve"> M: 21.6% (20.4% to 22.8%)</w:t>
            </w:r>
          </w:p>
          <w:p w14:paraId="1CD30175" w14:textId="77777777" w:rsidR="00881FE9" w:rsidRPr="00DE452B" w:rsidRDefault="00A849BC" w:rsidP="003F5ADD">
            <w:pPr>
              <w:rPr>
                <w:rFonts w:asciiTheme="minorHAnsi" w:hAnsiTheme="minorHAnsi" w:cstheme="minorHAnsi"/>
                <w:sz w:val="16"/>
                <w:szCs w:val="16"/>
              </w:rPr>
            </w:pPr>
            <w:r w:rsidRPr="00DE452B">
              <w:rPr>
                <w:rFonts w:asciiTheme="minorHAnsi" w:hAnsiTheme="minorHAnsi" w:cstheme="minorHAnsi"/>
                <w:sz w:val="16"/>
                <w:szCs w:val="16"/>
              </w:rPr>
              <w:t>NH Black</w:t>
            </w:r>
            <w:r w:rsidR="00881FE9" w:rsidRPr="00DE452B">
              <w:rPr>
                <w:rFonts w:asciiTheme="minorHAnsi" w:hAnsiTheme="minorHAnsi" w:cstheme="minorHAnsi"/>
                <w:sz w:val="16"/>
                <w:szCs w:val="16"/>
              </w:rPr>
              <w:t xml:space="preserve"> M: 78.4% (75.7% to 81.0%)</w:t>
            </w:r>
          </w:p>
          <w:p w14:paraId="65EBA963"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Other M: 29.9% (26.3% to 33.4%)</w:t>
            </w:r>
          </w:p>
          <w:p w14:paraId="1CCE2A89" w14:textId="77777777" w:rsidR="00881FE9" w:rsidRPr="00DE452B" w:rsidRDefault="00A849BC" w:rsidP="003F5ADD">
            <w:pPr>
              <w:rPr>
                <w:rFonts w:asciiTheme="minorHAnsi" w:hAnsiTheme="minorHAnsi" w:cstheme="minorHAnsi"/>
                <w:sz w:val="16"/>
                <w:szCs w:val="16"/>
              </w:rPr>
            </w:pPr>
            <w:r w:rsidRPr="00DE452B">
              <w:rPr>
                <w:rFonts w:asciiTheme="minorHAnsi" w:hAnsiTheme="minorHAnsi" w:cstheme="minorHAnsi"/>
                <w:sz w:val="16"/>
                <w:szCs w:val="16"/>
              </w:rPr>
              <w:t>NH White</w:t>
            </w:r>
            <w:r w:rsidR="00881FE9" w:rsidRPr="00DE452B">
              <w:rPr>
                <w:rFonts w:asciiTheme="minorHAnsi" w:hAnsiTheme="minorHAnsi" w:cstheme="minorHAnsi"/>
                <w:sz w:val="16"/>
                <w:szCs w:val="16"/>
              </w:rPr>
              <w:t xml:space="preserve"> NM: 78.4% (77.2% to 79.6%)</w:t>
            </w:r>
          </w:p>
          <w:p w14:paraId="2C428F01" w14:textId="77777777" w:rsidR="00881FE9" w:rsidRPr="00DE452B" w:rsidRDefault="00A849BC" w:rsidP="003F5ADD">
            <w:pPr>
              <w:rPr>
                <w:rFonts w:asciiTheme="minorHAnsi" w:hAnsiTheme="minorHAnsi" w:cstheme="minorHAnsi"/>
                <w:sz w:val="16"/>
                <w:szCs w:val="16"/>
              </w:rPr>
            </w:pPr>
            <w:r w:rsidRPr="00DE452B">
              <w:rPr>
                <w:rFonts w:asciiTheme="minorHAnsi" w:hAnsiTheme="minorHAnsi" w:cstheme="minorHAnsi"/>
                <w:sz w:val="16"/>
                <w:szCs w:val="16"/>
              </w:rPr>
              <w:t>NH Black</w:t>
            </w:r>
            <w:r w:rsidR="00881FE9" w:rsidRPr="00DE452B">
              <w:rPr>
                <w:rFonts w:asciiTheme="minorHAnsi" w:hAnsiTheme="minorHAnsi" w:cstheme="minorHAnsi"/>
                <w:sz w:val="16"/>
                <w:szCs w:val="16"/>
              </w:rPr>
              <w:t xml:space="preserve"> NM: 21.6% (19.0% to 24.3%)</w:t>
            </w:r>
          </w:p>
          <w:p w14:paraId="1074ECE9"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Other NM: 70.1% (66.6% to 73.7%)</w:t>
            </w:r>
          </w:p>
          <w:p w14:paraId="70B16E6C" w14:textId="77777777" w:rsidR="00881FE9" w:rsidRPr="00DE452B" w:rsidRDefault="00881FE9" w:rsidP="003F5ADD">
            <w:pPr>
              <w:rPr>
                <w:rFonts w:asciiTheme="minorHAnsi" w:hAnsiTheme="minorHAnsi" w:cstheme="minorHAnsi"/>
                <w:sz w:val="16"/>
                <w:szCs w:val="16"/>
              </w:rPr>
            </w:pPr>
          </w:p>
          <w:p w14:paraId="61E625E2"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Current age (yrs):</w:t>
            </w:r>
          </w:p>
          <w:p w14:paraId="55484AA8"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20 to 25 M: 37.8% (34.0% to 41.7%)</w:t>
            </w:r>
          </w:p>
          <w:p w14:paraId="5164FD06"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26 to 29 M: 35.6% (31.7% to 39.4%)</w:t>
            </w:r>
          </w:p>
          <w:p w14:paraId="2A4BC1E6"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≥30 M: 26.8% (25.5% to 28.0%)</w:t>
            </w:r>
          </w:p>
          <w:p w14:paraId="375A4B8E"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20 to 25 NM: 62.2% (58.3% to 66.0%)</w:t>
            </w:r>
          </w:p>
          <w:p w14:paraId="1E114681"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26 to 29 NM: 64.4% (60.6% to 68.3%)</w:t>
            </w:r>
          </w:p>
          <w:p w14:paraId="17CA7405"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≥30 NM: 73.2% (72.0% to 74.5%)</w:t>
            </w:r>
          </w:p>
          <w:p w14:paraId="4CD19D49" w14:textId="77777777" w:rsidR="00881FE9" w:rsidRPr="00DE452B" w:rsidRDefault="00881FE9" w:rsidP="003F5ADD">
            <w:pPr>
              <w:rPr>
                <w:rFonts w:asciiTheme="minorHAnsi" w:hAnsiTheme="minorHAnsi" w:cstheme="minorHAnsi"/>
                <w:sz w:val="16"/>
                <w:szCs w:val="16"/>
              </w:rPr>
            </w:pPr>
          </w:p>
          <w:p w14:paraId="208BDF93"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u w:val="single"/>
              </w:rPr>
              <w:t>Regular smokers over past month (10+ days during the past 30)</w:t>
            </w:r>
          </w:p>
          <w:p w14:paraId="310CCD04"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Overall:</w:t>
            </w:r>
          </w:p>
          <w:p w14:paraId="5321D849"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 xml:space="preserve">M: 29.2% (28.1% to 30.3%) </w:t>
            </w:r>
          </w:p>
          <w:p w14:paraId="54734D72"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 xml:space="preserve">NM: 70.8% (69.7% to 71.9%) </w:t>
            </w:r>
          </w:p>
          <w:p w14:paraId="666F01F4" w14:textId="77777777" w:rsidR="00881FE9" w:rsidRPr="00DE452B" w:rsidRDefault="00881FE9" w:rsidP="003F5ADD">
            <w:pPr>
              <w:rPr>
                <w:rFonts w:asciiTheme="minorHAnsi" w:hAnsiTheme="minorHAnsi" w:cstheme="minorHAnsi"/>
                <w:sz w:val="16"/>
                <w:szCs w:val="16"/>
              </w:rPr>
            </w:pPr>
          </w:p>
          <w:p w14:paraId="4BAACAED"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Gender:</w:t>
            </w:r>
          </w:p>
          <w:p w14:paraId="7237C567"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Male M: 25.1% (23.7% to 26.5%)</w:t>
            </w:r>
          </w:p>
          <w:p w14:paraId="609D026B"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Female M: 33.9% (32.2% to 35.6%)</w:t>
            </w:r>
          </w:p>
          <w:p w14:paraId="0272A269"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Male NM: 74.9% (73.5% to 76.3%)</w:t>
            </w:r>
          </w:p>
          <w:p w14:paraId="02CD39F7"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Female NM: 66.1% (64.4% to 67.8%)</w:t>
            </w:r>
          </w:p>
          <w:p w14:paraId="16356578" w14:textId="77777777" w:rsidR="00881FE9" w:rsidRPr="00DE452B" w:rsidRDefault="00881FE9" w:rsidP="003F5ADD">
            <w:pPr>
              <w:rPr>
                <w:rFonts w:asciiTheme="minorHAnsi" w:hAnsiTheme="minorHAnsi" w:cstheme="minorHAnsi"/>
                <w:sz w:val="16"/>
                <w:szCs w:val="16"/>
              </w:rPr>
            </w:pPr>
          </w:p>
          <w:p w14:paraId="19826191"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Race/ethnicity:</w:t>
            </w:r>
          </w:p>
          <w:p w14:paraId="39E5B3A3" w14:textId="77777777" w:rsidR="00881FE9" w:rsidRPr="00DE452B" w:rsidRDefault="00A849BC" w:rsidP="003F5ADD">
            <w:pPr>
              <w:rPr>
                <w:rFonts w:asciiTheme="minorHAnsi" w:hAnsiTheme="minorHAnsi" w:cstheme="minorHAnsi"/>
                <w:sz w:val="16"/>
                <w:szCs w:val="16"/>
              </w:rPr>
            </w:pPr>
            <w:r w:rsidRPr="00DE452B">
              <w:rPr>
                <w:rFonts w:asciiTheme="minorHAnsi" w:hAnsiTheme="minorHAnsi" w:cstheme="minorHAnsi"/>
                <w:sz w:val="16"/>
                <w:szCs w:val="16"/>
              </w:rPr>
              <w:t>NH White</w:t>
            </w:r>
            <w:r w:rsidR="00881FE9" w:rsidRPr="00DE452B">
              <w:rPr>
                <w:rFonts w:asciiTheme="minorHAnsi" w:hAnsiTheme="minorHAnsi" w:cstheme="minorHAnsi"/>
                <w:sz w:val="16"/>
                <w:szCs w:val="16"/>
              </w:rPr>
              <w:t xml:space="preserve"> M: 21.6% (20.4% to 22.7%)</w:t>
            </w:r>
          </w:p>
          <w:p w14:paraId="3C295232" w14:textId="77777777" w:rsidR="00881FE9" w:rsidRPr="00DE452B" w:rsidRDefault="00A849BC" w:rsidP="003F5ADD">
            <w:pPr>
              <w:rPr>
                <w:rFonts w:asciiTheme="minorHAnsi" w:hAnsiTheme="minorHAnsi" w:cstheme="minorHAnsi"/>
                <w:sz w:val="16"/>
                <w:szCs w:val="16"/>
              </w:rPr>
            </w:pPr>
            <w:r w:rsidRPr="00DE452B">
              <w:rPr>
                <w:rFonts w:asciiTheme="minorHAnsi" w:hAnsiTheme="minorHAnsi" w:cstheme="minorHAnsi"/>
                <w:sz w:val="16"/>
                <w:szCs w:val="16"/>
              </w:rPr>
              <w:t>NH Black</w:t>
            </w:r>
            <w:r w:rsidR="00881FE9" w:rsidRPr="00DE452B">
              <w:rPr>
                <w:rFonts w:asciiTheme="minorHAnsi" w:hAnsiTheme="minorHAnsi" w:cstheme="minorHAnsi"/>
                <w:sz w:val="16"/>
                <w:szCs w:val="16"/>
              </w:rPr>
              <w:t xml:space="preserve"> M: 78.2% (75.7% to 80.6%)</w:t>
            </w:r>
          </w:p>
          <w:p w14:paraId="18431199"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Other M: 30.0% (26.8% to 33.2%)</w:t>
            </w:r>
          </w:p>
          <w:p w14:paraId="6006CE5B" w14:textId="77777777" w:rsidR="00881FE9" w:rsidRPr="00DE452B" w:rsidRDefault="00A849BC" w:rsidP="003F5ADD">
            <w:pPr>
              <w:rPr>
                <w:rFonts w:asciiTheme="minorHAnsi" w:hAnsiTheme="minorHAnsi" w:cstheme="minorHAnsi"/>
                <w:sz w:val="16"/>
                <w:szCs w:val="16"/>
              </w:rPr>
            </w:pPr>
            <w:r w:rsidRPr="00DE452B">
              <w:rPr>
                <w:rFonts w:asciiTheme="minorHAnsi" w:hAnsiTheme="minorHAnsi" w:cstheme="minorHAnsi"/>
                <w:sz w:val="16"/>
                <w:szCs w:val="16"/>
              </w:rPr>
              <w:t>NH White</w:t>
            </w:r>
            <w:r w:rsidR="00881FE9" w:rsidRPr="00DE452B">
              <w:rPr>
                <w:rFonts w:asciiTheme="minorHAnsi" w:hAnsiTheme="minorHAnsi" w:cstheme="minorHAnsi"/>
                <w:sz w:val="16"/>
                <w:szCs w:val="16"/>
              </w:rPr>
              <w:t xml:space="preserve"> NM: 78.4% (77.3% to 79.6%)</w:t>
            </w:r>
          </w:p>
          <w:p w14:paraId="0027669C" w14:textId="77777777" w:rsidR="00881FE9" w:rsidRPr="00DE452B" w:rsidRDefault="00A849BC" w:rsidP="003F5ADD">
            <w:pPr>
              <w:rPr>
                <w:rFonts w:asciiTheme="minorHAnsi" w:hAnsiTheme="minorHAnsi" w:cstheme="minorHAnsi"/>
                <w:sz w:val="16"/>
                <w:szCs w:val="16"/>
              </w:rPr>
            </w:pPr>
            <w:r w:rsidRPr="00DE452B">
              <w:rPr>
                <w:rFonts w:asciiTheme="minorHAnsi" w:hAnsiTheme="minorHAnsi" w:cstheme="minorHAnsi"/>
                <w:sz w:val="16"/>
                <w:szCs w:val="16"/>
              </w:rPr>
              <w:t>NH Black</w:t>
            </w:r>
            <w:r w:rsidR="00881FE9" w:rsidRPr="00DE452B">
              <w:rPr>
                <w:rFonts w:asciiTheme="minorHAnsi" w:hAnsiTheme="minorHAnsi" w:cstheme="minorHAnsi"/>
                <w:sz w:val="16"/>
                <w:szCs w:val="16"/>
              </w:rPr>
              <w:t xml:space="preserve"> NM: 21.8% (19.4% to 24.3%)</w:t>
            </w:r>
          </w:p>
          <w:p w14:paraId="02981138"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Other NM: 70.0% (66.8% to 73.2%)</w:t>
            </w:r>
          </w:p>
          <w:p w14:paraId="1ED93AB5" w14:textId="77777777" w:rsidR="00881FE9" w:rsidRPr="00DE452B" w:rsidRDefault="00881FE9" w:rsidP="003F5ADD">
            <w:pPr>
              <w:rPr>
                <w:rFonts w:asciiTheme="minorHAnsi" w:hAnsiTheme="minorHAnsi" w:cstheme="minorHAnsi"/>
                <w:sz w:val="16"/>
                <w:szCs w:val="16"/>
              </w:rPr>
            </w:pPr>
          </w:p>
          <w:p w14:paraId="0EADFDCC"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Current age (yrs):</w:t>
            </w:r>
          </w:p>
          <w:p w14:paraId="43EE3CB6"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20 to 25 M: 37.4% (33.7% to 41.0%)</w:t>
            </w:r>
          </w:p>
          <w:p w14:paraId="259BD9CA"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26 to 29 M: 35.8% (32.2% to 39.4%)</w:t>
            </w:r>
          </w:p>
          <w:p w14:paraId="66FED713"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≥30 M: 26.9% (25.8% to 28.1%)</w:t>
            </w:r>
          </w:p>
          <w:p w14:paraId="598DD2AF"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20 to 25 NM: 62.6% (59.0% to 66.3%)</w:t>
            </w:r>
          </w:p>
          <w:p w14:paraId="30D87B29"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26 to 29 NM: 64.2% (60.6% to 67.8%)</w:t>
            </w:r>
          </w:p>
          <w:p w14:paraId="7BF9A9D5"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≥30 NM: 73.1% (71.9% to 74.2%)</w:t>
            </w:r>
          </w:p>
          <w:p w14:paraId="33F55DB2"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u w:val="single"/>
              </w:rPr>
              <w:t>Past-month smokers over past month (1+ days during the past 30)</w:t>
            </w:r>
          </w:p>
          <w:p w14:paraId="67183F51"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Overall:</w:t>
            </w:r>
          </w:p>
          <w:p w14:paraId="2841F579"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 xml:space="preserve">M: 29.3% (28.2% to 30.3%) </w:t>
            </w:r>
          </w:p>
          <w:p w14:paraId="0572DDC8"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 xml:space="preserve">NM: 70.7% (69.7% to 71.8%) </w:t>
            </w:r>
          </w:p>
          <w:p w14:paraId="22B2E553" w14:textId="77777777" w:rsidR="00881FE9" w:rsidRPr="00DE452B" w:rsidRDefault="00881FE9" w:rsidP="003F5ADD">
            <w:pPr>
              <w:rPr>
                <w:rFonts w:asciiTheme="minorHAnsi" w:hAnsiTheme="minorHAnsi" w:cstheme="minorHAnsi"/>
                <w:sz w:val="16"/>
                <w:szCs w:val="16"/>
              </w:rPr>
            </w:pPr>
          </w:p>
          <w:p w14:paraId="44146650"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Gender:</w:t>
            </w:r>
          </w:p>
          <w:p w14:paraId="5DA5D7A3"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Male M: 25.1% (23.7% to 26.5%)</w:t>
            </w:r>
          </w:p>
          <w:p w14:paraId="3E4E7A7B"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Female M: 34.2% (32.5% to 35.8%)</w:t>
            </w:r>
          </w:p>
          <w:p w14:paraId="63BD9A98"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Male NM: 74.9% (73.5% to 76.3%)</w:t>
            </w:r>
          </w:p>
          <w:p w14:paraId="7BE0B838"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Female NM: 65.8% (64.2% to 67.5%)</w:t>
            </w:r>
          </w:p>
          <w:p w14:paraId="770837F9" w14:textId="77777777" w:rsidR="00881FE9" w:rsidRPr="00DE452B" w:rsidRDefault="00881FE9" w:rsidP="003F5ADD">
            <w:pPr>
              <w:rPr>
                <w:rFonts w:asciiTheme="minorHAnsi" w:hAnsiTheme="minorHAnsi" w:cstheme="minorHAnsi"/>
                <w:sz w:val="16"/>
                <w:szCs w:val="16"/>
              </w:rPr>
            </w:pPr>
          </w:p>
          <w:p w14:paraId="11584093"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Race/ethnicity:</w:t>
            </w:r>
          </w:p>
          <w:p w14:paraId="01B1F749" w14:textId="77777777" w:rsidR="00881FE9" w:rsidRPr="00DE452B" w:rsidRDefault="00A849BC" w:rsidP="003F5ADD">
            <w:pPr>
              <w:rPr>
                <w:rFonts w:asciiTheme="minorHAnsi" w:hAnsiTheme="minorHAnsi" w:cstheme="minorHAnsi"/>
                <w:sz w:val="16"/>
                <w:szCs w:val="16"/>
              </w:rPr>
            </w:pPr>
            <w:r w:rsidRPr="00DE452B">
              <w:rPr>
                <w:rFonts w:asciiTheme="minorHAnsi" w:hAnsiTheme="minorHAnsi" w:cstheme="minorHAnsi"/>
                <w:sz w:val="16"/>
                <w:szCs w:val="16"/>
              </w:rPr>
              <w:t>NH White</w:t>
            </w:r>
            <w:r w:rsidR="00881FE9" w:rsidRPr="00DE452B">
              <w:rPr>
                <w:rFonts w:asciiTheme="minorHAnsi" w:hAnsiTheme="minorHAnsi" w:cstheme="minorHAnsi"/>
                <w:sz w:val="16"/>
                <w:szCs w:val="16"/>
              </w:rPr>
              <w:t xml:space="preserve"> M: 21.7% (20.5% to 22.8%)</w:t>
            </w:r>
          </w:p>
          <w:p w14:paraId="2368619F" w14:textId="77777777" w:rsidR="00881FE9" w:rsidRPr="00DE452B" w:rsidRDefault="00A849BC" w:rsidP="003F5ADD">
            <w:pPr>
              <w:rPr>
                <w:rFonts w:asciiTheme="minorHAnsi" w:hAnsiTheme="minorHAnsi" w:cstheme="minorHAnsi"/>
                <w:sz w:val="16"/>
                <w:szCs w:val="16"/>
              </w:rPr>
            </w:pPr>
            <w:r w:rsidRPr="00DE452B">
              <w:rPr>
                <w:rFonts w:asciiTheme="minorHAnsi" w:hAnsiTheme="minorHAnsi" w:cstheme="minorHAnsi"/>
                <w:sz w:val="16"/>
                <w:szCs w:val="16"/>
              </w:rPr>
              <w:lastRenderedPageBreak/>
              <w:t>NH Black</w:t>
            </w:r>
            <w:r w:rsidR="00881FE9" w:rsidRPr="00DE452B">
              <w:rPr>
                <w:rFonts w:asciiTheme="minorHAnsi" w:hAnsiTheme="minorHAnsi" w:cstheme="minorHAnsi"/>
                <w:sz w:val="16"/>
                <w:szCs w:val="16"/>
              </w:rPr>
              <w:t xml:space="preserve"> M: 77.9% (75.5% to 80.3%)</w:t>
            </w:r>
          </w:p>
          <w:p w14:paraId="7675C9C8"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Other M: 29.4% (26.5% to 32.3%)</w:t>
            </w:r>
          </w:p>
          <w:p w14:paraId="1FCAF744" w14:textId="77777777" w:rsidR="00881FE9" w:rsidRPr="00DE452B" w:rsidRDefault="00A849BC" w:rsidP="003F5ADD">
            <w:pPr>
              <w:rPr>
                <w:rFonts w:asciiTheme="minorHAnsi" w:hAnsiTheme="minorHAnsi" w:cstheme="minorHAnsi"/>
                <w:sz w:val="16"/>
                <w:szCs w:val="16"/>
              </w:rPr>
            </w:pPr>
            <w:r w:rsidRPr="00DE452B">
              <w:rPr>
                <w:rFonts w:asciiTheme="minorHAnsi" w:hAnsiTheme="minorHAnsi" w:cstheme="minorHAnsi"/>
                <w:sz w:val="16"/>
                <w:szCs w:val="16"/>
              </w:rPr>
              <w:t>NH White</w:t>
            </w:r>
            <w:r w:rsidR="00881FE9" w:rsidRPr="00DE452B">
              <w:rPr>
                <w:rFonts w:asciiTheme="minorHAnsi" w:hAnsiTheme="minorHAnsi" w:cstheme="minorHAnsi"/>
                <w:sz w:val="16"/>
                <w:szCs w:val="16"/>
              </w:rPr>
              <w:t xml:space="preserve"> NM: 78.3% (77.2% to 79.5%)</w:t>
            </w:r>
          </w:p>
          <w:p w14:paraId="487CBE0D" w14:textId="77777777" w:rsidR="00881FE9" w:rsidRPr="00DE452B" w:rsidRDefault="000F2603" w:rsidP="003F5ADD">
            <w:pPr>
              <w:rPr>
                <w:rFonts w:asciiTheme="minorHAnsi" w:hAnsiTheme="minorHAnsi" w:cstheme="minorHAnsi"/>
                <w:sz w:val="16"/>
                <w:szCs w:val="16"/>
              </w:rPr>
            </w:pPr>
            <w:r w:rsidRPr="00DE452B">
              <w:rPr>
                <w:rFonts w:asciiTheme="minorHAnsi" w:hAnsiTheme="minorHAnsi" w:cstheme="minorHAnsi"/>
                <w:sz w:val="16"/>
                <w:szCs w:val="16"/>
              </w:rPr>
              <w:t>NH Black</w:t>
            </w:r>
            <w:r w:rsidR="00881FE9" w:rsidRPr="00DE452B">
              <w:rPr>
                <w:rFonts w:asciiTheme="minorHAnsi" w:hAnsiTheme="minorHAnsi" w:cstheme="minorHAnsi"/>
                <w:sz w:val="16"/>
                <w:szCs w:val="16"/>
              </w:rPr>
              <w:t xml:space="preserve"> NM: 22.1% (19.7% to 24.5%)</w:t>
            </w:r>
          </w:p>
          <w:p w14:paraId="7493C419"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Other NM: 70.6% (67.7% to 73.5%)</w:t>
            </w:r>
          </w:p>
          <w:p w14:paraId="63D6E8F1" w14:textId="77777777" w:rsidR="00881FE9" w:rsidRPr="00DE452B" w:rsidRDefault="00881FE9" w:rsidP="003F5ADD">
            <w:pPr>
              <w:rPr>
                <w:rFonts w:asciiTheme="minorHAnsi" w:hAnsiTheme="minorHAnsi" w:cstheme="minorHAnsi"/>
                <w:sz w:val="16"/>
                <w:szCs w:val="16"/>
              </w:rPr>
            </w:pPr>
          </w:p>
          <w:p w14:paraId="46B35B1D"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Current age (yrs):</w:t>
            </w:r>
          </w:p>
          <w:p w14:paraId="69BB4126"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20 to 25 M: 37.2% (33.8% to 40.7%)</w:t>
            </w:r>
          </w:p>
          <w:p w14:paraId="4FBF31EF"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26 to 29 M: 34.9% (31.5% to 38.3%)</w:t>
            </w:r>
          </w:p>
          <w:p w14:paraId="74EB8393"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≥30 M: 27.1% (26.0% to 28.3%)</w:t>
            </w:r>
          </w:p>
          <w:p w14:paraId="0A2391DF"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20 to 25 NM: 62.8% (59.3% to 66.2%)</w:t>
            </w:r>
          </w:p>
          <w:p w14:paraId="119FC80B"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26 to 29 NM: 65.1% (61.7% to 68.5%)</w:t>
            </w:r>
          </w:p>
          <w:p w14:paraId="39CA1208"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≥30 NM: 72.9% (71.7% to 74.0%)</w:t>
            </w:r>
          </w:p>
        </w:tc>
      </w:tr>
      <w:tr w:rsidR="00881FE9" w:rsidRPr="00DE452B" w14:paraId="5993A37D" w14:textId="77777777" w:rsidTr="00382374">
        <w:tc>
          <w:tcPr>
            <w:tcW w:w="624" w:type="pct"/>
          </w:tcPr>
          <w:p w14:paraId="019673B8" w14:textId="222F3D40" w:rsidR="00881FE9" w:rsidRPr="00DE452B" w:rsidRDefault="00D2134A" w:rsidP="003F5ADD">
            <w:pPr>
              <w:rPr>
                <w:rFonts w:asciiTheme="minorHAnsi" w:hAnsiTheme="minorHAnsi" w:cstheme="minorHAnsi"/>
                <w:sz w:val="16"/>
                <w:szCs w:val="16"/>
              </w:rPr>
            </w:pPr>
            <w:r>
              <w:rPr>
                <w:rFonts w:cstheme="minorHAnsi"/>
                <w:sz w:val="16"/>
                <w:szCs w:val="16"/>
              </w:rPr>
              <w:lastRenderedPageBreak/>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51" w:tooltip="Curtin, 2014 #13" w:history="1">
              <w:r w:rsidR="00A234A9">
                <w:rPr>
                  <w:rFonts w:cstheme="minorHAnsi"/>
                  <w:noProof/>
                  <w:sz w:val="16"/>
                  <w:szCs w:val="16"/>
                </w:rPr>
                <w:t>51</w:t>
              </w:r>
            </w:hyperlink>
            <w:r>
              <w:rPr>
                <w:rFonts w:cstheme="minorHAnsi"/>
                <w:noProof/>
                <w:sz w:val="16"/>
                <w:szCs w:val="16"/>
              </w:rPr>
              <w:t>)</w:t>
            </w:r>
            <w:r>
              <w:rPr>
                <w:rFonts w:cstheme="minorHAnsi"/>
                <w:sz w:val="16"/>
                <w:szCs w:val="16"/>
              </w:rPr>
              <w:fldChar w:fldCharType="end"/>
            </w:r>
          </w:p>
          <w:p w14:paraId="03E207C7"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NHIS</w:t>
            </w:r>
            <w:r w:rsidRPr="00DE452B">
              <w:rPr>
                <w:rFonts w:asciiTheme="minorHAnsi" w:hAnsiTheme="minorHAnsi" w:cstheme="minorHAnsi"/>
                <w:sz w:val="16"/>
                <w:szCs w:val="16"/>
                <w:vertAlign w:val="superscript"/>
              </w:rPr>
              <w:t>b</w:t>
            </w:r>
          </w:p>
          <w:p w14:paraId="11511E09"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Adult</w:t>
            </w:r>
          </w:p>
        </w:tc>
        <w:tc>
          <w:tcPr>
            <w:tcW w:w="589" w:type="pct"/>
          </w:tcPr>
          <w:p w14:paraId="6FF9FBD7" w14:textId="77777777" w:rsidR="00881FE9" w:rsidRPr="00DE452B" w:rsidRDefault="00621FF9" w:rsidP="003F5ADD">
            <w:pPr>
              <w:rPr>
                <w:rFonts w:asciiTheme="minorHAnsi" w:hAnsiTheme="minorHAnsi" w:cstheme="minorHAnsi"/>
                <w:sz w:val="16"/>
                <w:szCs w:val="16"/>
              </w:rPr>
            </w:pPr>
            <w:r w:rsidRPr="00DE452B">
              <w:rPr>
                <w:rFonts w:asciiTheme="minorHAnsi" w:hAnsiTheme="minorHAnsi" w:cstheme="minorHAnsi"/>
                <w:sz w:val="16"/>
                <w:szCs w:val="16"/>
              </w:rPr>
              <w:t>Answering either daily, regular (10+ days during the past 30), or past (1+ days during the past 30) month to the question, “On how many of the past 30 days did you smoke a cigarette?”</w:t>
            </w:r>
          </w:p>
        </w:tc>
        <w:tc>
          <w:tcPr>
            <w:tcW w:w="661" w:type="pct"/>
          </w:tcPr>
          <w:p w14:paraId="643F6D5B"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rPr>
              <w:t>NR</w:t>
            </w:r>
          </w:p>
        </w:tc>
        <w:tc>
          <w:tcPr>
            <w:tcW w:w="625" w:type="pct"/>
          </w:tcPr>
          <w:p w14:paraId="70533105"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428C7B69"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226748E2"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6F63C27E"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Daily vs. non-daily smoking, OR (95% CI) for NM (ref=M): </w:t>
            </w:r>
          </w:p>
          <w:p w14:paraId="6129450C"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 xml:space="preserve">1.09 (0.96 to 1.24), </w:t>
            </w:r>
          </w:p>
          <w:p w14:paraId="074ABF25"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(p=0.17)</w:t>
            </w:r>
          </w:p>
        </w:tc>
      </w:tr>
      <w:tr w:rsidR="00881FE9" w:rsidRPr="00DE452B" w14:paraId="4BEDA19A" w14:textId="77777777" w:rsidTr="00382374">
        <w:tc>
          <w:tcPr>
            <w:tcW w:w="624" w:type="pct"/>
          </w:tcPr>
          <w:p w14:paraId="0FF3E355" w14:textId="63C451C3" w:rsidR="00881FE9" w:rsidRPr="00DE452B" w:rsidRDefault="00D2134A" w:rsidP="002039ED">
            <w:pPr>
              <w:rPr>
                <w:rFonts w:asciiTheme="minorHAnsi" w:hAnsiTheme="minorHAnsi" w:cstheme="minorHAnsi"/>
                <w:sz w:val="16"/>
                <w:szCs w:val="16"/>
              </w:rPr>
            </w:pP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51" w:tooltip="Curtin, 2014 #13" w:history="1">
              <w:r w:rsidR="00A234A9">
                <w:rPr>
                  <w:rFonts w:cstheme="minorHAnsi"/>
                  <w:noProof/>
                  <w:sz w:val="16"/>
                  <w:szCs w:val="16"/>
                </w:rPr>
                <w:t>51</w:t>
              </w:r>
            </w:hyperlink>
            <w:r>
              <w:rPr>
                <w:rFonts w:cstheme="minorHAnsi"/>
                <w:noProof/>
                <w:sz w:val="16"/>
                <w:szCs w:val="16"/>
              </w:rPr>
              <w:t>)</w:t>
            </w:r>
            <w:r>
              <w:rPr>
                <w:rFonts w:cstheme="minorHAnsi"/>
                <w:sz w:val="16"/>
                <w:szCs w:val="16"/>
              </w:rPr>
              <w:fldChar w:fldCharType="end"/>
            </w:r>
          </w:p>
          <w:p w14:paraId="1A64DD18"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 xml:space="preserve">TUS-CPS (full </w:t>
            </w:r>
            <w:proofErr w:type="gramStart"/>
            <w:r w:rsidRPr="00DE452B">
              <w:rPr>
                <w:rFonts w:asciiTheme="minorHAnsi" w:hAnsiTheme="minorHAnsi" w:cstheme="minorHAnsi"/>
                <w:sz w:val="16"/>
                <w:szCs w:val="16"/>
              </w:rPr>
              <w:t>sample)</w:t>
            </w:r>
            <w:r w:rsidR="00D50EBC" w:rsidRPr="00DE452B">
              <w:rPr>
                <w:rFonts w:asciiTheme="minorHAnsi" w:hAnsiTheme="minorHAnsi" w:cstheme="minorHAnsi"/>
                <w:sz w:val="16"/>
                <w:szCs w:val="16"/>
                <w:vertAlign w:val="superscript"/>
              </w:rPr>
              <w:t>b</w:t>
            </w:r>
            <w:proofErr w:type="gramEnd"/>
          </w:p>
          <w:p w14:paraId="2A829173"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None</w:t>
            </w:r>
          </w:p>
        </w:tc>
        <w:tc>
          <w:tcPr>
            <w:tcW w:w="589" w:type="pct"/>
          </w:tcPr>
          <w:p w14:paraId="6E12B74D"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First started smoking regularly</w:t>
            </w:r>
          </w:p>
        </w:tc>
        <w:tc>
          <w:tcPr>
            <w:tcW w:w="661" w:type="pct"/>
          </w:tcPr>
          <w:p w14:paraId="5F0EEC99"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Started smoking regularly</w:t>
            </w:r>
          </w:p>
          <w:p w14:paraId="5A978B83"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15.7, SE=0.03; 95% CI: 15.61 to 15.71</w:t>
            </w:r>
          </w:p>
          <w:p w14:paraId="02D009F1" w14:textId="77777777" w:rsidR="00881FE9" w:rsidRPr="00DE452B" w:rsidRDefault="00881FE9" w:rsidP="002039ED">
            <w:pPr>
              <w:rPr>
                <w:rFonts w:asciiTheme="minorHAnsi" w:hAnsiTheme="minorHAnsi" w:cstheme="minorHAnsi"/>
                <w:sz w:val="16"/>
                <w:szCs w:val="16"/>
                <w:u w:val="single"/>
                <w:vertAlign w:val="superscript"/>
              </w:rPr>
            </w:pPr>
            <w:r w:rsidRPr="00DE452B">
              <w:rPr>
                <w:rFonts w:asciiTheme="minorHAnsi" w:hAnsiTheme="minorHAnsi" w:cstheme="minorHAnsi"/>
                <w:sz w:val="16"/>
                <w:szCs w:val="16"/>
              </w:rPr>
              <w:t>NM: 15.4, SE=0.02; 95% CI: -0.26 to -0.19, p&lt;0.001.</w:t>
            </w:r>
          </w:p>
          <w:p w14:paraId="021A24DE" w14:textId="77777777" w:rsidR="00881FE9" w:rsidRPr="00DE452B" w:rsidRDefault="00881FE9" w:rsidP="002039ED">
            <w:pPr>
              <w:rPr>
                <w:rFonts w:asciiTheme="minorHAnsi" w:hAnsiTheme="minorHAnsi" w:cstheme="minorHAnsi"/>
                <w:sz w:val="16"/>
                <w:szCs w:val="16"/>
                <w:u w:val="single"/>
              </w:rPr>
            </w:pPr>
          </w:p>
          <w:p w14:paraId="4005029C"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Smoked ≥1 day in past 30 days </w:t>
            </w:r>
          </w:p>
          <w:p w14:paraId="1B4200B9"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17.9 (17.9 to 18.0)</w:t>
            </w:r>
          </w:p>
          <w:p w14:paraId="4E22742D" w14:textId="77777777" w:rsidR="00881FE9" w:rsidRPr="00DE452B" w:rsidRDefault="00881FE9" w:rsidP="002039ED">
            <w:pPr>
              <w:rPr>
                <w:rFonts w:asciiTheme="minorHAnsi" w:hAnsiTheme="minorHAnsi" w:cstheme="minorHAnsi"/>
                <w:sz w:val="16"/>
                <w:szCs w:val="16"/>
                <w:u w:val="single"/>
                <w:vertAlign w:val="superscript"/>
              </w:rPr>
            </w:pPr>
            <w:r w:rsidRPr="00DE452B">
              <w:rPr>
                <w:rFonts w:asciiTheme="minorHAnsi" w:hAnsiTheme="minorHAnsi" w:cstheme="minorHAnsi"/>
                <w:sz w:val="16"/>
                <w:szCs w:val="16"/>
              </w:rPr>
              <w:t>NM: 17.5 (17.5 to 17.5)</w:t>
            </w:r>
          </w:p>
          <w:p w14:paraId="1ACFBA51" w14:textId="77777777" w:rsidR="00881FE9" w:rsidRPr="00DE452B" w:rsidRDefault="00881FE9" w:rsidP="002039ED">
            <w:pPr>
              <w:rPr>
                <w:rFonts w:asciiTheme="minorHAnsi" w:hAnsiTheme="minorHAnsi" w:cstheme="minorHAnsi"/>
                <w:sz w:val="16"/>
                <w:szCs w:val="16"/>
                <w:u w:val="single"/>
              </w:rPr>
            </w:pPr>
          </w:p>
          <w:p w14:paraId="2E2B7258"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Smoked ≥10 days in past 30 days </w:t>
            </w:r>
          </w:p>
          <w:p w14:paraId="53CE674B"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17.9 (17.9 to 17.9)</w:t>
            </w:r>
          </w:p>
          <w:p w14:paraId="305D9378" w14:textId="77777777" w:rsidR="00881FE9" w:rsidRPr="00DE452B" w:rsidRDefault="00881FE9" w:rsidP="002039ED">
            <w:pPr>
              <w:rPr>
                <w:rFonts w:asciiTheme="minorHAnsi" w:hAnsiTheme="minorHAnsi" w:cstheme="minorHAnsi"/>
                <w:sz w:val="16"/>
                <w:szCs w:val="16"/>
                <w:vertAlign w:val="superscript"/>
              </w:rPr>
            </w:pPr>
            <w:r w:rsidRPr="00DE452B">
              <w:rPr>
                <w:rFonts w:asciiTheme="minorHAnsi" w:hAnsiTheme="minorHAnsi" w:cstheme="minorHAnsi"/>
                <w:sz w:val="16"/>
                <w:szCs w:val="16"/>
              </w:rPr>
              <w:t>NM: 17.5 (17.5 to 17.5</w:t>
            </w:r>
          </w:p>
          <w:p w14:paraId="10EF39AA" w14:textId="77777777" w:rsidR="00881FE9" w:rsidRPr="00DE452B" w:rsidRDefault="00881FE9" w:rsidP="002039ED">
            <w:pPr>
              <w:rPr>
                <w:rFonts w:asciiTheme="minorHAnsi" w:hAnsiTheme="minorHAnsi" w:cstheme="minorHAnsi"/>
                <w:sz w:val="16"/>
                <w:szCs w:val="16"/>
                <w:u w:val="single"/>
              </w:rPr>
            </w:pPr>
          </w:p>
          <w:p w14:paraId="4483E4C8"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lastRenderedPageBreak/>
              <w:t xml:space="preserve">Smoked daily in past 30 days </w:t>
            </w:r>
          </w:p>
          <w:p w14:paraId="12ECA513"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17.7 (17.7 to 17.8)</w:t>
            </w:r>
          </w:p>
          <w:p w14:paraId="1B858A45"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NM: 17.3 (17.3 to 17.3)</w:t>
            </w:r>
          </w:p>
        </w:tc>
        <w:tc>
          <w:tcPr>
            <w:tcW w:w="625" w:type="pct"/>
          </w:tcPr>
          <w:p w14:paraId="6D162DAA"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lastRenderedPageBreak/>
              <w:t>NR</w:t>
            </w:r>
          </w:p>
        </w:tc>
        <w:tc>
          <w:tcPr>
            <w:tcW w:w="416" w:type="pct"/>
          </w:tcPr>
          <w:p w14:paraId="06E2C03B"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43F55972"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3675453A"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NR</w:t>
            </w:r>
          </w:p>
        </w:tc>
      </w:tr>
      <w:tr w:rsidR="00881FE9" w:rsidRPr="00DE452B" w14:paraId="69CD35D0" w14:textId="77777777" w:rsidTr="00382374">
        <w:tc>
          <w:tcPr>
            <w:tcW w:w="624" w:type="pct"/>
          </w:tcPr>
          <w:p w14:paraId="765D817C" w14:textId="56723527" w:rsidR="00881FE9" w:rsidRPr="00DE452B" w:rsidRDefault="00D2134A" w:rsidP="002039ED">
            <w:pPr>
              <w:rPr>
                <w:rFonts w:asciiTheme="minorHAnsi" w:hAnsiTheme="minorHAnsi" w:cstheme="minorHAnsi"/>
                <w:sz w:val="16"/>
                <w:szCs w:val="16"/>
              </w:rPr>
            </w:pP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51" w:tooltip="Curtin, 2014 #13" w:history="1">
              <w:r w:rsidR="00A234A9">
                <w:rPr>
                  <w:rFonts w:cstheme="minorHAnsi"/>
                  <w:noProof/>
                  <w:sz w:val="16"/>
                  <w:szCs w:val="16"/>
                </w:rPr>
                <w:t>51</w:t>
              </w:r>
            </w:hyperlink>
            <w:r>
              <w:rPr>
                <w:rFonts w:cstheme="minorHAnsi"/>
                <w:noProof/>
                <w:sz w:val="16"/>
                <w:szCs w:val="16"/>
              </w:rPr>
              <w:t>)</w:t>
            </w:r>
            <w:r>
              <w:rPr>
                <w:rFonts w:cstheme="minorHAnsi"/>
                <w:sz w:val="16"/>
                <w:szCs w:val="16"/>
              </w:rPr>
              <w:fldChar w:fldCharType="end"/>
            </w:r>
          </w:p>
          <w:p w14:paraId="7C3D6B81"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 xml:space="preserve">TUS-CPS (full </w:t>
            </w:r>
            <w:proofErr w:type="gramStart"/>
            <w:r w:rsidRPr="00DE452B">
              <w:rPr>
                <w:rFonts w:asciiTheme="minorHAnsi" w:hAnsiTheme="minorHAnsi" w:cstheme="minorHAnsi"/>
                <w:sz w:val="16"/>
                <w:szCs w:val="16"/>
              </w:rPr>
              <w:t>sample)</w:t>
            </w:r>
            <w:r w:rsidRPr="00DE452B">
              <w:rPr>
                <w:rFonts w:asciiTheme="minorHAnsi" w:hAnsiTheme="minorHAnsi" w:cstheme="minorHAnsi"/>
                <w:sz w:val="16"/>
                <w:szCs w:val="16"/>
                <w:vertAlign w:val="superscript"/>
              </w:rPr>
              <w:t>b</w:t>
            </w:r>
            <w:proofErr w:type="gramEnd"/>
          </w:p>
          <w:p w14:paraId="5B521EA2"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None</w:t>
            </w:r>
          </w:p>
        </w:tc>
        <w:tc>
          <w:tcPr>
            <w:tcW w:w="589" w:type="pct"/>
          </w:tcPr>
          <w:p w14:paraId="786E26E8"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Age first started to smoke cigs fairly regularly</w:t>
            </w:r>
          </w:p>
          <w:p w14:paraId="34D78E5D" w14:textId="77777777" w:rsidR="00621FF9" w:rsidRPr="00DE452B" w:rsidRDefault="00621FF9" w:rsidP="002039ED">
            <w:pPr>
              <w:rPr>
                <w:rFonts w:asciiTheme="minorHAnsi" w:hAnsiTheme="minorHAnsi" w:cstheme="minorHAnsi"/>
                <w:sz w:val="16"/>
                <w:szCs w:val="16"/>
              </w:rPr>
            </w:pPr>
          </w:p>
          <w:p w14:paraId="4C7D57D5" w14:textId="77777777" w:rsidR="00621FF9" w:rsidRPr="00DE452B" w:rsidRDefault="00621FF9" w:rsidP="002039ED">
            <w:pPr>
              <w:rPr>
                <w:rFonts w:asciiTheme="minorHAnsi" w:hAnsiTheme="minorHAnsi" w:cstheme="minorHAnsi"/>
                <w:sz w:val="16"/>
                <w:szCs w:val="16"/>
              </w:rPr>
            </w:pPr>
            <w:r w:rsidRPr="00DE452B">
              <w:rPr>
                <w:rFonts w:asciiTheme="minorHAnsi" w:hAnsiTheme="minorHAnsi" w:cstheme="minorHAnsi"/>
                <w:sz w:val="16"/>
                <w:szCs w:val="16"/>
              </w:rPr>
              <w:t>Answering either daily, regular (10+ days during the past 30), or past (1+ days during the past 30) month to the question, “On how many of the past 30 days did you smoke cigarettes?”</w:t>
            </w:r>
          </w:p>
        </w:tc>
        <w:tc>
          <w:tcPr>
            <w:tcW w:w="661" w:type="pct"/>
          </w:tcPr>
          <w:p w14:paraId="7F9F5C3E" w14:textId="77777777" w:rsidR="00881FE9" w:rsidRPr="00DE452B" w:rsidRDefault="00881FE9">
            <w:pPr>
              <w:rPr>
                <w:rFonts w:asciiTheme="minorHAnsi" w:hAnsiTheme="minorHAnsi" w:cstheme="minorHAnsi"/>
                <w:sz w:val="16"/>
                <w:szCs w:val="16"/>
              </w:rPr>
            </w:pPr>
            <w:r w:rsidRPr="00DE452B">
              <w:rPr>
                <w:rFonts w:asciiTheme="minorHAnsi" w:hAnsiTheme="minorHAnsi" w:cstheme="minorHAnsi"/>
                <w:sz w:val="16"/>
                <w:szCs w:val="16"/>
              </w:rPr>
              <w:t xml:space="preserve">(see adjusted results, Table </w:t>
            </w:r>
            <w:r w:rsidR="00B97391">
              <w:rPr>
                <w:rFonts w:asciiTheme="minorHAnsi" w:hAnsiTheme="minorHAnsi" w:cstheme="minorHAnsi"/>
                <w:sz w:val="16"/>
                <w:szCs w:val="16"/>
              </w:rPr>
              <w:t>10</w:t>
            </w:r>
            <w:r w:rsidRPr="00DE452B">
              <w:rPr>
                <w:rFonts w:asciiTheme="minorHAnsi" w:hAnsiTheme="minorHAnsi" w:cstheme="minorHAnsi"/>
                <w:sz w:val="16"/>
                <w:szCs w:val="16"/>
              </w:rPr>
              <w:t>-2)</w:t>
            </w:r>
          </w:p>
        </w:tc>
        <w:tc>
          <w:tcPr>
            <w:tcW w:w="625" w:type="pct"/>
          </w:tcPr>
          <w:p w14:paraId="1FA2BCDF"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413484B6"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16D421D2"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632237C0"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 xml:space="preserve">% current smokers who initiated smoking &lt;2 </w:t>
            </w:r>
            <w:r w:rsidR="00667B57">
              <w:rPr>
                <w:rFonts w:asciiTheme="minorHAnsi" w:hAnsiTheme="minorHAnsi" w:cstheme="minorHAnsi"/>
                <w:sz w:val="16"/>
                <w:szCs w:val="16"/>
              </w:rPr>
              <w:t>yrs</w:t>
            </w:r>
            <w:r w:rsidR="00667B57" w:rsidRPr="00DE452B">
              <w:rPr>
                <w:rFonts w:asciiTheme="minorHAnsi" w:hAnsiTheme="minorHAnsi" w:cstheme="minorHAnsi"/>
                <w:sz w:val="16"/>
                <w:szCs w:val="16"/>
              </w:rPr>
              <w:t xml:space="preserve"> </w:t>
            </w:r>
            <w:r w:rsidRPr="00DE452B">
              <w:rPr>
                <w:rFonts w:asciiTheme="minorHAnsi" w:hAnsiTheme="minorHAnsi" w:cstheme="minorHAnsi"/>
                <w:sz w:val="16"/>
                <w:szCs w:val="16"/>
              </w:rPr>
              <w:t>earlier, by days per month and CPD</w:t>
            </w:r>
          </w:p>
          <w:p w14:paraId="32C19F03"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1-10 days, 1-5 CPD</w:t>
            </w:r>
          </w:p>
          <w:p w14:paraId="48FDFCE6"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36.9% (19.7 to 54.1)</w:t>
            </w:r>
          </w:p>
          <w:p w14:paraId="52DBCFFB"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NM: 63.1% (45.9 to 80.3)</w:t>
            </w:r>
          </w:p>
          <w:p w14:paraId="55C6B483"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11-29 days, 1-5 CPD</w:t>
            </w:r>
          </w:p>
          <w:p w14:paraId="4307E7BF"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39.5% (29.1 to 49.9)</w:t>
            </w:r>
          </w:p>
          <w:p w14:paraId="21526248"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NM: 60.5% (50.1 to 70.9)</w:t>
            </w:r>
          </w:p>
          <w:p w14:paraId="70911A1A" w14:textId="77777777" w:rsidR="00881FE9" w:rsidRPr="00DE452B" w:rsidRDefault="00881FE9" w:rsidP="002039ED">
            <w:pPr>
              <w:rPr>
                <w:rFonts w:asciiTheme="minorHAnsi" w:hAnsiTheme="minorHAnsi" w:cstheme="minorHAnsi"/>
                <w:i/>
                <w:sz w:val="16"/>
                <w:szCs w:val="16"/>
              </w:rPr>
            </w:pPr>
            <w:r w:rsidRPr="00DE452B">
              <w:rPr>
                <w:rFonts w:asciiTheme="minorHAnsi" w:hAnsiTheme="minorHAnsi" w:cstheme="minorHAnsi"/>
                <w:sz w:val="16"/>
                <w:szCs w:val="16"/>
                <w:u w:val="single"/>
              </w:rPr>
              <w:t>11-29 days, 6-19</w:t>
            </w:r>
            <w:r w:rsidRPr="00DE452B">
              <w:rPr>
                <w:rFonts w:asciiTheme="minorHAnsi" w:hAnsiTheme="minorHAnsi" w:cstheme="minorHAnsi"/>
                <w:i/>
                <w:sz w:val="16"/>
                <w:szCs w:val="16"/>
              </w:rPr>
              <w:t xml:space="preserve"> CPD</w:t>
            </w:r>
          </w:p>
          <w:p w14:paraId="09A34F42"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32.1% (12.0 to 52.1)</w:t>
            </w:r>
          </w:p>
          <w:p w14:paraId="59245B89"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NM: 67.9% (47.9 to 88.0)</w:t>
            </w:r>
          </w:p>
          <w:p w14:paraId="62D87853"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Daily, 1-5 CPD</w:t>
            </w:r>
          </w:p>
          <w:p w14:paraId="258CF506"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40.5% (28.9 to 52.2)</w:t>
            </w:r>
          </w:p>
          <w:p w14:paraId="2BA0BE19"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NM: 59.5% (47.8 to 71.1)</w:t>
            </w:r>
          </w:p>
          <w:p w14:paraId="50A99388"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Daily, 6-19 CPD</w:t>
            </w:r>
          </w:p>
          <w:p w14:paraId="148DA911"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35.6% (29.3 to 41.9)</w:t>
            </w:r>
          </w:p>
          <w:p w14:paraId="199BB0CB"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NM: 64.4% (58.1 to 70.7)</w:t>
            </w:r>
          </w:p>
          <w:p w14:paraId="04DA1765" w14:textId="77777777" w:rsidR="00881FE9" w:rsidRPr="00DE452B" w:rsidRDefault="00881FE9" w:rsidP="002039ED">
            <w:pPr>
              <w:rPr>
                <w:rFonts w:asciiTheme="minorHAnsi" w:hAnsiTheme="minorHAnsi" w:cstheme="minorHAnsi"/>
                <w:sz w:val="16"/>
                <w:szCs w:val="16"/>
                <w:u w:val="single"/>
              </w:rPr>
            </w:pPr>
            <w:r w:rsidRPr="00DE452B">
              <w:rPr>
                <w:rFonts w:asciiTheme="minorHAnsi" w:hAnsiTheme="minorHAnsi" w:cstheme="minorHAnsi"/>
                <w:sz w:val="16"/>
                <w:szCs w:val="16"/>
                <w:u w:val="single"/>
              </w:rPr>
              <w:t>Daily, ≥20 CPD</w:t>
            </w:r>
          </w:p>
          <w:p w14:paraId="3DC02148"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M: 35.5% (26.4 to 44.5)</w:t>
            </w:r>
          </w:p>
          <w:p w14:paraId="0EC9ABB7" w14:textId="77777777" w:rsidR="00881FE9" w:rsidRPr="00DE452B" w:rsidRDefault="00881FE9" w:rsidP="002039ED">
            <w:pPr>
              <w:rPr>
                <w:rFonts w:asciiTheme="minorHAnsi" w:hAnsiTheme="minorHAnsi" w:cstheme="minorHAnsi"/>
                <w:sz w:val="16"/>
                <w:szCs w:val="16"/>
              </w:rPr>
            </w:pPr>
            <w:r w:rsidRPr="00DE452B">
              <w:rPr>
                <w:rFonts w:asciiTheme="minorHAnsi" w:hAnsiTheme="minorHAnsi" w:cstheme="minorHAnsi"/>
                <w:sz w:val="16"/>
                <w:szCs w:val="16"/>
              </w:rPr>
              <w:t>NM: 64.6 (55.6 to 73.6)</w:t>
            </w:r>
          </w:p>
        </w:tc>
      </w:tr>
      <w:tr w:rsidR="00881FE9" w:rsidRPr="00DE452B" w14:paraId="0CEB467D" w14:textId="77777777" w:rsidTr="00382374">
        <w:tc>
          <w:tcPr>
            <w:tcW w:w="624" w:type="pct"/>
          </w:tcPr>
          <w:p w14:paraId="00965E75" w14:textId="2FC7A97E" w:rsidR="00881FE9" w:rsidRPr="00DE452B" w:rsidRDefault="00D2134A" w:rsidP="003F5ADD">
            <w:pPr>
              <w:rPr>
                <w:rFonts w:asciiTheme="minorHAnsi" w:hAnsiTheme="minorHAnsi" w:cstheme="minorHAnsi"/>
                <w:sz w:val="16"/>
                <w:szCs w:val="16"/>
              </w:rPr>
            </w:pPr>
            <w:r>
              <w:rPr>
                <w:rFonts w:cstheme="minorHAnsi"/>
                <w:sz w:val="16"/>
                <w:szCs w:val="16"/>
              </w:rPr>
              <w:fldChar w:fldCharType="begin">
                <w:fldData xml:space="preserve">PEVuZE5vdGU+PENpdGU+PEF1dGhvcj5DdXJ0aW48L0F1dGhvcj48WWVhcj4yMDE0PC9ZZWFyPjxS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PEVuZE5vdGU+PENpdGU+PEF1dGhvcj5DdXJ0aW48L0F1dGhvcj48WWVhcj4yMDE0PC9ZZWFyPjxS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52" w:tooltip="Curtin, 2014 #14" w:history="1">
              <w:r w:rsidR="00A234A9">
                <w:rPr>
                  <w:rFonts w:cstheme="minorHAnsi"/>
                  <w:noProof/>
                  <w:sz w:val="16"/>
                  <w:szCs w:val="16"/>
                </w:rPr>
                <w:t>52</w:t>
              </w:r>
            </w:hyperlink>
            <w:r>
              <w:rPr>
                <w:rFonts w:cstheme="minorHAnsi"/>
                <w:noProof/>
                <w:sz w:val="16"/>
                <w:szCs w:val="16"/>
              </w:rPr>
              <w:t>)</w:t>
            </w:r>
            <w:r>
              <w:rPr>
                <w:rFonts w:cstheme="minorHAnsi"/>
                <w:sz w:val="16"/>
                <w:szCs w:val="16"/>
              </w:rPr>
              <w:fldChar w:fldCharType="end"/>
            </w:r>
          </w:p>
          <w:p w14:paraId="23B26594"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TUS-CPS</w:t>
            </w:r>
            <w:r w:rsidRPr="00DE452B">
              <w:rPr>
                <w:rFonts w:asciiTheme="minorHAnsi" w:hAnsiTheme="minorHAnsi" w:cstheme="minorHAnsi"/>
                <w:sz w:val="16"/>
                <w:szCs w:val="16"/>
                <w:vertAlign w:val="superscript"/>
              </w:rPr>
              <w:t>b</w:t>
            </w:r>
          </w:p>
          <w:p w14:paraId="0DEFA5A7"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Youth and Adults</w:t>
            </w:r>
          </w:p>
        </w:tc>
        <w:tc>
          <w:tcPr>
            <w:tcW w:w="589" w:type="pct"/>
          </w:tcPr>
          <w:p w14:paraId="3DB2B034" w14:textId="77777777" w:rsidR="00881FE9" w:rsidRPr="00DE452B" w:rsidRDefault="00621FF9" w:rsidP="003F5ADD">
            <w:pPr>
              <w:rPr>
                <w:rFonts w:asciiTheme="minorHAnsi" w:hAnsiTheme="minorHAnsi" w:cstheme="minorHAnsi"/>
                <w:sz w:val="16"/>
                <w:szCs w:val="16"/>
              </w:rPr>
            </w:pPr>
            <w:r w:rsidRPr="00DE452B">
              <w:rPr>
                <w:rFonts w:asciiTheme="minorHAnsi" w:hAnsiTheme="minorHAnsi" w:cstheme="minorHAnsi"/>
                <w:sz w:val="16"/>
                <w:szCs w:val="16"/>
              </w:rPr>
              <w:t>Answering either daily, regular (10+ days during the past 30), or past (1+ days during the past 30) month to the question, “On how many of the past 30 days did you smoke cigarettes?”</w:t>
            </w:r>
          </w:p>
        </w:tc>
        <w:tc>
          <w:tcPr>
            <w:tcW w:w="661" w:type="pct"/>
          </w:tcPr>
          <w:p w14:paraId="0B1E8363"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625" w:type="pct"/>
          </w:tcPr>
          <w:p w14:paraId="2CA32982"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0A7C3114"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59737F5E"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3EEA0E58"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u w:val="single"/>
              </w:rPr>
              <w:t>Daily smokers over past month</w:t>
            </w:r>
          </w:p>
          <w:p w14:paraId="34350D9A"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Overall:</w:t>
            </w:r>
          </w:p>
          <w:p w14:paraId="7257994B"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 xml:space="preserve">M: 27.35% (27.2% to 27.5%) </w:t>
            </w:r>
          </w:p>
          <w:p w14:paraId="25A0D5F9"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 xml:space="preserve">NM: 72.65% (72.5% to 72.8%) </w:t>
            </w:r>
          </w:p>
          <w:p w14:paraId="263D7186" w14:textId="77777777" w:rsidR="00881FE9" w:rsidRPr="00DE452B" w:rsidRDefault="00881FE9" w:rsidP="003F5ADD">
            <w:pPr>
              <w:rPr>
                <w:rFonts w:asciiTheme="minorHAnsi" w:hAnsiTheme="minorHAnsi" w:cstheme="minorHAnsi"/>
                <w:sz w:val="16"/>
                <w:szCs w:val="16"/>
              </w:rPr>
            </w:pPr>
          </w:p>
          <w:p w14:paraId="1E38E0C6"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Gender:</w:t>
            </w:r>
          </w:p>
          <w:p w14:paraId="0713BD29"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Male M: 23.14% (22.9% to 23.4%)</w:t>
            </w:r>
          </w:p>
          <w:p w14:paraId="1B4C8E56"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Female M: 32.1% (31.8% to 32.4%)</w:t>
            </w:r>
          </w:p>
          <w:p w14:paraId="62FD34CF"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Male NM: 76.86% (76.6% to 77.1%)</w:t>
            </w:r>
          </w:p>
          <w:p w14:paraId="26DFD28D"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Female NM: 67.9% (67.6% to 68.2%)</w:t>
            </w:r>
          </w:p>
          <w:p w14:paraId="739D2D88" w14:textId="77777777" w:rsidR="00881FE9" w:rsidRPr="00DE452B" w:rsidRDefault="00881FE9" w:rsidP="003F5ADD">
            <w:pPr>
              <w:rPr>
                <w:rFonts w:asciiTheme="minorHAnsi" w:hAnsiTheme="minorHAnsi" w:cstheme="minorHAnsi"/>
                <w:sz w:val="16"/>
                <w:szCs w:val="16"/>
              </w:rPr>
            </w:pPr>
          </w:p>
          <w:p w14:paraId="6FE8B117"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Race/ethnicity:</w:t>
            </w:r>
          </w:p>
          <w:p w14:paraId="4CDEB4C5" w14:textId="77777777" w:rsidR="00881FE9" w:rsidRPr="00DE452B" w:rsidRDefault="000F2603" w:rsidP="003F5ADD">
            <w:pPr>
              <w:rPr>
                <w:rFonts w:asciiTheme="minorHAnsi" w:hAnsiTheme="minorHAnsi" w:cstheme="minorHAnsi"/>
                <w:sz w:val="16"/>
                <w:szCs w:val="16"/>
              </w:rPr>
            </w:pPr>
            <w:r w:rsidRPr="00DE452B">
              <w:rPr>
                <w:rFonts w:asciiTheme="minorHAnsi" w:hAnsiTheme="minorHAnsi" w:cstheme="minorHAnsi"/>
                <w:sz w:val="16"/>
                <w:szCs w:val="16"/>
              </w:rPr>
              <w:t>NH White</w:t>
            </w:r>
            <w:r w:rsidR="00881FE9" w:rsidRPr="00DE452B">
              <w:rPr>
                <w:rFonts w:asciiTheme="minorHAnsi" w:hAnsiTheme="minorHAnsi" w:cstheme="minorHAnsi"/>
                <w:sz w:val="16"/>
                <w:szCs w:val="16"/>
              </w:rPr>
              <w:t xml:space="preserve"> M: 21.26% (21.1% to 21.5%)</w:t>
            </w:r>
          </w:p>
          <w:p w14:paraId="16C9B552" w14:textId="77777777" w:rsidR="00881FE9" w:rsidRPr="00DE452B" w:rsidRDefault="000F2603" w:rsidP="003F5ADD">
            <w:pPr>
              <w:rPr>
                <w:rFonts w:asciiTheme="minorHAnsi" w:hAnsiTheme="minorHAnsi" w:cstheme="minorHAnsi"/>
                <w:sz w:val="16"/>
                <w:szCs w:val="16"/>
              </w:rPr>
            </w:pPr>
            <w:r w:rsidRPr="00DE452B">
              <w:rPr>
                <w:rFonts w:asciiTheme="minorHAnsi" w:hAnsiTheme="minorHAnsi" w:cstheme="minorHAnsi"/>
                <w:sz w:val="16"/>
                <w:szCs w:val="16"/>
              </w:rPr>
              <w:t>NH Black</w:t>
            </w:r>
            <w:r w:rsidR="00881FE9" w:rsidRPr="00DE452B">
              <w:rPr>
                <w:rFonts w:asciiTheme="minorHAnsi" w:hAnsiTheme="minorHAnsi" w:cstheme="minorHAnsi"/>
                <w:sz w:val="16"/>
                <w:szCs w:val="16"/>
              </w:rPr>
              <w:t xml:space="preserve"> M: 73.6% (73.0% to 74.2%)</w:t>
            </w:r>
          </w:p>
          <w:p w14:paraId="533DD6C4"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Other M: 28.11% (27.6% to 28.7%)</w:t>
            </w:r>
          </w:p>
          <w:p w14:paraId="0664FE17" w14:textId="77777777" w:rsidR="00881FE9" w:rsidRPr="00DE452B" w:rsidRDefault="000F2603" w:rsidP="003F5ADD">
            <w:pPr>
              <w:rPr>
                <w:rFonts w:asciiTheme="minorHAnsi" w:hAnsiTheme="minorHAnsi" w:cstheme="minorHAnsi"/>
                <w:sz w:val="16"/>
                <w:szCs w:val="16"/>
              </w:rPr>
            </w:pPr>
            <w:r w:rsidRPr="00DE452B">
              <w:rPr>
                <w:rFonts w:asciiTheme="minorHAnsi" w:hAnsiTheme="minorHAnsi" w:cstheme="minorHAnsi"/>
                <w:sz w:val="16"/>
                <w:szCs w:val="16"/>
              </w:rPr>
              <w:t>NH White</w:t>
            </w:r>
            <w:r w:rsidR="00881FE9" w:rsidRPr="00DE452B">
              <w:rPr>
                <w:rFonts w:asciiTheme="minorHAnsi" w:hAnsiTheme="minorHAnsi" w:cstheme="minorHAnsi"/>
                <w:sz w:val="16"/>
                <w:szCs w:val="16"/>
              </w:rPr>
              <w:t xml:space="preserve"> NM: 78.74% (78.5% to 78.9%)</w:t>
            </w:r>
          </w:p>
          <w:p w14:paraId="6B746682" w14:textId="77777777" w:rsidR="00881FE9" w:rsidRPr="00DE452B" w:rsidRDefault="000F2603" w:rsidP="003F5ADD">
            <w:pPr>
              <w:rPr>
                <w:rFonts w:asciiTheme="minorHAnsi" w:hAnsiTheme="minorHAnsi" w:cstheme="minorHAnsi"/>
                <w:sz w:val="16"/>
                <w:szCs w:val="16"/>
              </w:rPr>
            </w:pPr>
            <w:r w:rsidRPr="00DE452B">
              <w:rPr>
                <w:rFonts w:asciiTheme="minorHAnsi" w:hAnsiTheme="minorHAnsi" w:cstheme="minorHAnsi"/>
                <w:sz w:val="16"/>
                <w:szCs w:val="16"/>
              </w:rPr>
              <w:t>NH Black</w:t>
            </w:r>
            <w:r w:rsidR="00881FE9" w:rsidRPr="00DE452B">
              <w:rPr>
                <w:rFonts w:asciiTheme="minorHAnsi" w:hAnsiTheme="minorHAnsi" w:cstheme="minorHAnsi"/>
                <w:sz w:val="16"/>
                <w:szCs w:val="16"/>
              </w:rPr>
              <w:t xml:space="preserve"> NM: 26.4% (25.8% to 27.0%)</w:t>
            </w:r>
          </w:p>
          <w:p w14:paraId="6B8D853B"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Other NM: 71.89% (71.3% to 72.4%)</w:t>
            </w:r>
          </w:p>
          <w:p w14:paraId="2F3D19F4" w14:textId="77777777" w:rsidR="00881FE9" w:rsidRPr="00DE452B" w:rsidRDefault="00881FE9" w:rsidP="003F5ADD">
            <w:pPr>
              <w:rPr>
                <w:rFonts w:asciiTheme="minorHAnsi" w:hAnsiTheme="minorHAnsi" w:cstheme="minorHAnsi"/>
                <w:sz w:val="16"/>
                <w:szCs w:val="16"/>
              </w:rPr>
            </w:pPr>
          </w:p>
          <w:p w14:paraId="5619604F"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Current age (yrs):</w:t>
            </w:r>
          </w:p>
          <w:p w14:paraId="26909928"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15 to 19 M: 36.7% (35.6% to 37.8%)</w:t>
            </w:r>
          </w:p>
          <w:p w14:paraId="145060EF"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20 to 25 M: 31.03% (30.4% to 31.6%)</w:t>
            </w:r>
          </w:p>
          <w:p w14:paraId="6AA37CA6"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26 to 29 M: 27.92% (27.3% to 28.6%)</w:t>
            </w:r>
          </w:p>
          <w:p w14:paraId="1CF1E59E"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≥30 M: 26.13% (25.9% to 26.3%)</w:t>
            </w:r>
          </w:p>
          <w:p w14:paraId="070294CD"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15 to 19 NM: 63.3% (62.2% to 64.4%)</w:t>
            </w:r>
          </w:p>
          <w:p w14:paraId="09132B02"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20 to 25 NM: 68.97% (68.4% to 69.6%)</w:t>
            </w:r>
          </w:p>
          <w:p w14:paraId="3F65977C"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26 to 29 NM: 72.08% (71.4% to 72.7%)</w:t>
            </w:r>
          </w:p>
          <w:p w14:paraId="37714CE2"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≥30 NM: 73.87% (73.7% to 74.1%)</w:t>
            </w:r>
          </w:p>
          <w:p w14:paraId="109F55F8" w14:textId="77777777" w:rsidR="00881FE9" w:rsidRPr="00DE452B" w:rsidRDefault="00881FE9" w:rsidP="003F5ADD">
            <w:pPr>
              <w:rPr>
                <w:rFonts w:asciiTheme="minorHAnsi" w:hAnsiTheme="minorHAnsi" w:cstheme="minorHAnsi"/>
                <w:sz w:val="16"/>
                <w:szCs w:val="16"/>
              </w:rPr>
            </w:pPr>
          </w:p>
          <w:p w14:paraId="4BB1B2BB"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u w:val="single"/>
              </w:rPr>
              <w:t>Regular smokers over past month (10+ days during the past 30)</w:t>
            </w:r>
          </w:p>
          <w:p w14:paraId="7B228D24"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Overall:</w:t>
            </w:r>
          </w:p>
          <w:p w14:paraId="778D9CC7"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 xml:space="preserve">M: 27.84% (27.6% to 28.0%) </w:t>
            </w:r>
          </w:p>
          <w:p w14:paraId="0EC4847E"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 xml:space="preserve">NM: 72.16% (71.7% to 72.6%) </w:t>
            </w:r>
          </w:p>
          <w:p w14:paraId="241B958A" w14:textId="77777777" w:rsidR="00881FE9" w:rsidRPr="00DE452B" w:rsidRDefault="00881FE9" w:rsidP="003F5ADD">
            <w:pPr>
              <w:rPr>
                <w:rFonts w:asciiTheme="minorHAnsi" w:hAnsiTheme="minorHAnsi" w:cstheme="minorHAnsi"/>
                <w:sz w:val="16"/>
                <w:szCs w:val="16"/>
              </w:rPr>
            </w:pPr>
          </w:p>
          <w:p w14:paraId="514498B6"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Gender:</w:t>
            </w:r>
          </w:p>
          <w:p w14:paraId="4FA36631"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Male M: 23.78% (23.5% to 24.0%)</w:t>
            </w:r>
          </w:p>
          <w:p w14:paraId="4A944B1A"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Female M: 32.43% (32.2% to 32.7%)</w:t>
            </w:r>
          </w:p>
          <w:p w14:paraId="36121477"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Male NM: 76.22% (76.0% to 76.5%)</w:t>
            </w:r>
          </w:p>
          <w:p w14:paraId="6EA7E1E9"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Female NM: 67.57% (67.3% to 67.8%)</w:t>
            </w:r>
          </w:p>
          <w:p w14:paraId="399288D4" w14:textId="77777777" w:rsidR="00881FE9" w:rsidRPr="00DE452B" w:rsidRDefault="00881FE9" w:rsidP="003F5ADD">
            <w:pPr>
              <w:rPr>
                <w:rFonts w:asciiTheme="minorHAnsi" w:hAnsiTheme="minorHAnsi" w:cstheme="minorHAnsi"/>
                <w:sz w:val="16"/>
                <w:szCs w:val="16"/>
              </w:rPr>
            </w:pPr>
          </w:p>
          <w:p w14:paraId="4597F71F"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Race/ethnicity:</w:t>
            </w:r>
          </w:p>
          <w:p w14:paraId="71F02C63" w14:textId="77777777" w:rsidR="00881FE9" w:rsidRPr="00DE452B" w:rsidRDefault="000F2603" w:rsidP="003F5ADD">
            <w:pPr>
              <w:rPr>
                <w:rFonts w:asciiTheme="minorHAnsi" w:hAnsiTheme="minorHAnsi" w:cstheme="minorHAnsi"/>
                <w:sz w:val="16"/>
                <w:szCs w:val="16"/>
              </w:rPr>
            </w:pPr>
            <w:r w:rsidRPr="00DE452B">
              <w:rPr>
                <w:rFonts w:asciiTheme="minorHAnsi" w:hAnsiTheme="minorHAnsi" w:cstheme="minorHAnsi"/>
                <w:sz w:val="16"/>
                <w:szCs w:val="16"/>
              </w:rPr>
              <w:t>NH White</w:t>
            </w:r>
            <w:r w:rsidR="00881FE9" w:rsidRPr="00DE452B">
              <w:rPr>
                <w:rFonts w:asciiTheme="minorHAnsi" w:hAnsiTheme="minorHAnsi" w:cstheme="minorHAnsi"/>
                <w:sz w:val="16"/>
                <w:szCs w:val="16"/>
              </w:rPr>
              <w:t xml:space="preserve"> M: 21.42% (21.2% to 21.6%)</w:t>
            </w:r>
          </w:p>
          <w:p w14:paraId="25E3C0C9" w14:textId="77777777" w:rsidR="00881FE9" w:rsidRPr="00DE452B" w:rsidRDefault="000F2603" w:rsidP="003F5ADD">
            <w:pPr>
              <w:rPr>
                <w:rFonts w:asciiTheme="minorHAnsi" w:hAnsiTheme="minorHAnsi" w:cstheme="minorHAnsi"/>
                <w:sz w:val="16"/>
                <w:szCs w:val="16"/>
              </w:rPr>
            </w:pPr>
            <w:r w:rsidRPr="00DE452B">
              <w:rPr>
                <w:rFonts w:asciiTheme="minorHAnsi" w:hAnsiTheme="minorHAnsi" w:cstheme="minorHAnsi"/>
                <w:sz w:val="16"/>
                <w:szCs w:val="16"/>
              </w:rPr>
              <w:t>NH Black</w:t>
            </w:r>
            <w:r w:rsidR="00881FE9" w:rsidRPr="00DE452B">
              <w:rPr>
                <w:rFonts w:asciiTheme="minorHAnsi" w:hAnsiTheme="minorHAnsi" w:cstheme="minorHAnsi"/>
                <w:sz w:val="16"/>
                <w:szCs w:val="16"/>
              </w:rPr>
              <w:t xml:space="preserve"> M: 73.79% (73.2% to 74.4%)</w:t>
            </w:r>
          </w:p>
          <w:p w14:paraId="2D67AB5F"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Other M: 28.13% (27.6% to 28.6%)</w:t>
            </w:r>
          </w:p>
          <w:p w14:paraId="7D2638DE" w14:textId="77777777" w:rsidR="00881FE9" w:rsidRPr="00DE452B" w:rsidRDefault="000F2603" w:rsidP="003F5ADD">
            <w:pPr>
              <w:rPr>
                <w:rFonts w:asciiTheme="minorHAnsi" w:hAnsiTheme="minorHAnsi" w:cstheme="minorHAnsi"/>
                <w:sz w:val="16"/>
                <w:szCs w:val="16"/>
              </w:rPr>
            </w:pPr>
            <w:r w:rsidRPr="00DE452B">
              <w:rPr>
                <w:rFonts w:asciiTheme="minorHAnsi" w:hAnsiTheme="minorHAnsi" w:cstheme="minorHAnsi"/>
                <w:sz w:val="16"/>
                <w:szCs w:val="16"/>
              </w:rPr>
              <w:t>NH White</w:t>
            </w:r>
            <w:r w:rsidR="00881FE9" w:rsidRPr="00DE452B">
              <w:rPr>
                <w:rFonts w:asciiTheme="minorHAnsi" w:hAnsiTheme="minorHAnsi" w:cstheme="minorHAnsi"/>
                <w:sz w:val="16"/>
                <w:szCs w:val="16"/>
              </w:rPr>
              <w:t xml:space="preserve"> NM: 78.58% (78.4% to 78.8%)</w:t>
            </w:r>
          </w:p>
          <w:p w14:paraId="3E60A94A" w14:textId="77777777" w:rsidR="00881FE9" w:rsidRPr="00DE452B" w:rsidRDefault="000F2603" w:rsidP="003F5ADD">
            <w:pPr>
              <w:rPr>
                <w:rFonts w:asciiTheme="minorHAnsi" w:hAnsiTheme="minorHAnsi" w:cstheme="minorHAnsi"/>
                <w:sz w:val="16"/>
                <w:szCs w:val="16"/>
              </w:rPr>
            </w:pPr>
            <w:r w:rsidRPr="00DE452B">
              <w:rPr>
                <w:rFonts w:asciiTheme="minorHAnsi" w:hAnsiTheme="minorHAnsi" w:cstheme="minorHAnsi"/>
                <w:sz w:val="16"/>
                <w:szCs w:val="16"/>
              </w:rPr>
              <w:t>NH Black</w:t>
            </w:r>
            <w:r w:rsidR="00881FE9" w:rsidRPr="00DE452B">
              <w:rPr>
                <w:rFonts w:asciiTheme="minorHAnsi" w:hAnsiTheme="minorHAnsi" w:cstheme="minorHAnsi"/>
                <w:sz w:val="16"/>
                <w:szCs w:val="16"/>
              </w:rPr>
              <w:t xml:space="preserve"> NM: 26.21% (25.6% to 26.8%)</w:t>
            </w:r>
          </w:p>
          <w:p w14:paraId="1D4B537A"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Other NM: 71.87% (71.4% to 72.4%)</w:t>
            </w:r>
          </w:p>
          <w:p w14:paraId="6DCE2FC2" w14:textId="77777777" w:rsidR="00881FE9" w:rsidRPr="00DE452B" w:rsidRDefault="00881FE9" w:rsidP="003F5ADD">
            <w:pPr>
              <w:rPr>
                <w:rFonts w:asciiTheme="minorHAnsi" w:hAnsiTheme="minorHAnsi" w:cstheme="minorHAnsi"/>
                <w:sz w:val="16"/>
                <w:szCs w:val="16"/>
              </w:rPr>
            </w:pPr>
          </w:p>
          <w:p w14:paraId="1A0B0769"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Current age (yrs):</w:t>
            </w:r>
          </w:p>
          <w:p w14:paraId="34280A35"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15 to 19 M: 36.98% (35.9% to 38.0%)</w:t>
            </w:r>
          </w:p>
          <w:p w14:paraId="7F1C5C88"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20 to 25 M: 30.76% (30.2% to 31.3%)</w:t>
            </w:r>
          </w:p>
          <w:p w14:paraId="7E16BFF8"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26 to 29 M: 27.84% (27.2% to 28.4%)</w:t>
            </w:r>
          </w:p>
          <w:p w14:paraId="49CF82F5"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≥30 M: 26.74% (26.6% to 26.9%)</w:t>
            </w:r>
          </w:p>
          <w:p w14:paraId="38DFC034"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15 to 19 NM: 63.02% (62.0% to 64.1%)</w:t>
            </w:r>
          </w:p>
          <w:p w14:paraId="7ADD6480"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20 to 25 NM: 69.24% (68.7% to 69.8%)</w:t>
            </w:r>
          </w:p>
          <w:p w14:paraId="1A658BFF"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26 to 29 NM: 72.16% (71.6% to 72.8%)</w:t>
            </w:r>
          </w:p>
          <w:p w14:paraId="44B8751A"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≥30 NM: 73.26% (73.1% to 73.4%)</w:t>
            </w:r>
          </w:p>
          <w:p w14:paraId="73713A83"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u w:val="single"/>
              </w:rPr>
              <w:t>Past-month smokers over past month (1+ days during the past 30)</w:t>
            </w:r>
          </w:p>
          <w:p w14:paraId="59DEAC26"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lastRenderedPageBreak/>
              <w:t>Overall:</w:t>
            </w:r>
          </w:p>
          <w:p w14:paraId="4E7F11AF"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 xml:space="preserve">M: 27.75% (27.6% to 27.9%) </w:t>
            </w:r>
          </w:p>
          <w:p w14:paraId="7BD64548"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 xml:space="preserve">NM: 72.25% (72.1% to 72.4%) </w:t>
            </w:r>
          </w:p>
          <w:p w14:paraId="662CCBC5" w14:textId="77777777" w:rsidR="00881FE9" w:rsidRPr="00DE452B" w:rsidRDefault="00881FE9" w:rsidP="003F5ADD">
            <w:pPr>
              <w:rPr>
                <w:rFonts w:asciiTheme="minorHAnsi" w:hAnsiTheme="minorHAnsi" w:cstheme="minorHAnsi"/>
                <w:sz w:val="16"/>
                <w:szCs w:val="16"/>
              </w:rPr>
            </w:pPr>
          </w:p>
          <w:p w14:paraId="5F924511"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Gender:</w:t>
            </w:r>
          </w:p>
          <w:p w14:paraId="09708AB9"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Male M: 23.63% (23.4% to 23.8%)</w:t>
            </w:r>
          </w:p>
          <w:p w14:paraId="3D86A41D"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Female M: 32.44% (32.2% to 32.7%)</w:t>
            </w:r>
          </w:p>
          <w:p w14:paraId="7152BC42"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Male NM: 76.37% (76.2% to 76.6%)</w:t>
            </w:r>
          </w:p>
          <w:p w14:paraId="0E0D1402"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Female NM: 67.56% (67.3% to 67.8%)</w:t>
            </w:r>
          </w:p>
          <w:p w14:paraId="26C55716" w14:textId="77777777" w:rsidR="00881FE9" w:rsidRPr="00DE452B" w:rsidRDefault="00881FE9" w:rsidP="003F5ADD">
            <w:pPr>
              <w:rPr>
                <w:rFonts w:asciiTheme="minorHAnsi" w:hAnsiTheme="minorHAnsi" w:cstheme="minorHAnsi"/>
                <w:sz w:val="16"/>
                <w:szCs w:val="16"/>
              </w:rPr>
            </w:pPr>
          </w:p>
          <w:p w14:paraId="7BAAAFF8"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Race/ethnicity:</w:t>
            </w:r>
          </w:p>
          <w:p w14:paraId="5E2DBA26" w14:textId="77777777" w:rsidR="00881FE9" w:rsidRPr="00DE452B" w:rsidRDefault="000F2603" w:rsidP="003F5ADD">
            <w:pPr>
              <w:rPr>
                <w:rFonts w:asciiTheme="minorHAnsi" w:hAnsiTheme="minorHAnsi" w:cstheme="minorHAnsi"/>
                <w:sz w:val="16"/>
                <w:szCs w:val="16"/>
              </w:rPr>
            </w:pPr>
            <w:r w:rsidRPr="00DE452B">
              <w:rPr>
                <w:rFonts w:asciiTheme="minorHAnsi" w:hAnsiTheme="minorHAnsi" w:cstheme="minorHAnsi"/>
                <w:sz w:val="16"/>
                <w:szCs w:val="16"/>
              </w:rPr>
              <w:t>NH White</w:t>
            </w:r>
            <w:r w:rsidR="00881FE9" w:rsidRPr="00DE452B">
              <w:rPr>
                <w:rFonts w:asciiTheme="minorHAnsi" w:hAnsiTheme="minorHAnsi" w:cstheme="minorHAnsi"/>
                <w:sz w:val="16"/>
                <w:szCs w:val="16"/>
              </w:rPr>
              <w:t xml:space="preserve"> M: 21.31% (21.1% to 21.5%)</w:t>
            </w:r>
          </w:p>
          <w:p w14:paraId="1B4B23CA" w14:textId="77777777" w:rsidR="00881FE9" w:rsidRPr="00DE452B" w:rsidRDefault="000F2603" w:rsidP="003F5ADD">
            <w:pPr>
              <w:rPr>
                <w:rFonts w:asciiTheme="minorHAnsi" w:hAnsiTheme="minorHAnsi" w:cstheme="minorHAnsi"/>
                <w:sz w:val="16"/>
                <w:szCs w:val="16"/>
              </w:rPr>
            </w:pPr>
            <w:r w:rsidRPr="00DE452B">
              <w:rPr>
                <w:rFonts w:asciiTheme="minorHAnsi" w:hAnsiTheme="minorHAnsi" w:cstheme="minorHAnsi"/>
                <w:sz w:val="16"/>
                <w:szCs w:val="16"/>
              </w:rPr>
              <w:t>NH Black</w:t>
            </w:r>
            <w:r w:rsidR="00881FE9" w:rsidRPr="00DE452B">
              <w:rPr>
                <w:rFonts w:asciiTheme="minorHAnsi" w:hAnsiTheme="minorHAnsi" w:cstheme="minorHAnsi"/>
                <w:sz w:val="16"/>
                <w:szCs w:val="16"/>
              </w:rPr>
              <w:t xml:space="preserve"> M: 73.88% (73.3% to 74.4%)</w:t>
            </w:r>
          </w:p>
          <w:p w14:paraId="2CA8CA03"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Other M: 27.88% (27.4% to 28.3%)</w:t>
            </w:r>
          </w:p>
          <w:p w14:paraId="625A8F75" w14:textId="77777777" w:rsidR="00881FE9" w:rsidRPr="00DE452B" w:rsidRDefault="000F2603" w:rsidP="003F5ADD">
            <w:pPr>
              <w:rPr>
                <w:rFonts w:asciiTheme="minorHAnsi" w:hAnsiTheme="minorHAnsi" w:cstheme="minorHAnsi"/>
                <w:sz w:val="16"/>
                <w:szCs w:val="16"/>
              </w:rPr>
            </w:pPr>
            <w:r w:rsidRPr="00DE452B">
              <w:rPr>
                <w:rFonts w:asciiTheme="minorHAnsi" w:hAnsiTheme="minorHAnsi" w:cstheme="minorHAnsi"/>
                <w:sz w:val="16"/>
                <w:szCs w:val="16"/>
              </w:rPr>
              <w:t>NH White</w:t>
            </w:r>
            <w:r w:rsidR="00881FE9" w:rsidRPr="00DE452B">
              <w:rPr>
                <w:rFonts w:asciiTheme="minorHAnsi" w:hAnsiTheme="minorHAnsi" w:cstheme="minorHAnsi"/>
                <w:sz w:val="16"/>
                <w:szCs w:val="16"/>
              </w:rPr>
              <w:t xml:space="preserve"> NM: 78.69% (78.5% to 78.9%)</w:t>
            </w:r>
          </w:p>
          <w:p w14:paraId="473E6873" w14:textId="77777777" w:rsidR="00881FE9" w:rsidRPr="00DE452B" w:rsidRDefault="000F2603" w:rsidP="003F5ADD">
            <w:pPr>
              <w:rPr>
                <w:rFonts w:asciiTheme="minorHAnsi" w:hAnsiTheme="minorHAnsi" w:cstheme="minorHAnsi"/>
                <w:sz w:val="16"/>
                <w:szCs w:val="16"/>
              </w:rPr>
            </w:pPr>
            <w:r w:rsidRPr="00DE452B">
              <w:rPr>
                <w:rFonts w:asciiTheme="minorHAnsi" w:hAnsiTheme="minorHAnsi" w:cstheme="minorHAnsi"/>
                <w:sz w:val="16"/>
                <w:szCs w:val="16"/>
              </w:rPr>
              <w:t>NH Black</w:t>
            </w:r>
            <w:r w:rsidR="00881FE9" w:rsidRPr="00DE452B">
              <w:rPr>
                <w:rFonts w:asciiTheme="minorHAnsi" w:hAnsiTheme="minorHAnsi" w:cstheme="minorHAnsi"/>
                <w:sz w:val="16"/>
                <w:szCs w:val="16"/>
              </w:rPr>
              <w:t xml:space="preserve"> NM: 26.12% (25.6% to 26.7%)</w:t>
            </w:r>
          </w:p>
          <w:p w14:paraId="4039E1AA"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Other NM: 72.12% (71.7% to 72.6%)</w:t>
            </w:r>
          </w:p>
          <w:p w14:paraId="07930117" w14:textId="77777777" w:rsidR="00881FE9" w:rsidRPr="00DE452B" w:rsidRDefault="00881FE9" w:rsidP="003F5ADD">
            <w:pPr>
              <w:rPr>
                <w:rFonts w:asciiTheme="minorHAnsi" w:hAnsiTheme="minorHAnsi" w:cstheme="minorHAnsi"/>
                <w:sz w:val="16"/>
                <w:szCs w:val="16"/>
              </w:rPr>
            </w:pPr>
          </w:p>
          <w:p w14:paraId="2D9D8A07"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Current age (yrs):</w:t>
            </w:r>
          </w:p>
          <w:p w14:paraId="0FC4EAA4"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15 to 19 M: 36.93% (35.9% to 37.9%)</w:t>
            </w:r>
          </w:p>
          <w:p w14:paraId="106A3C9E"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20 to 25 M: 30.62% (30.1% to 31.2%)</w:t>
            </w:r>
          </w:p>
          <w:p w14:paraId="56A4453A"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26 to 29 M: 27.31% (26.7% to 27.9%)</w:t>
            </w:r>
          </w:p>
          <w:p w14:paraId="77009503"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≥30 M: 26.7% (26.5% to 26.9%)</w:t>
            </w:r>
          </w:p>
          <w:p w14:paraId="6C619736"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15 to 19 NM: 63.07% (62.1% to 64.1%)</w:t>
            </w:r>
          </w:p>
          <w:p w14:paraId="76F2EE05"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20 to 25 NM: 69.38% (68.8% to 69.9%)</w:t>
            </w:r>
          </w:p>
          <w:p w14:paraId="60A23C50"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26 to 29 NM: 72.69% (72.1% to 73.3%)</w:t>
            </w:r>
          </w:p>
          <w:p w14:paraId="4AF0A4B3"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≥30 NM: 73.3% (73.1% to 73.5%)</w:t>
            </w:r>
          </w:p>
        </w:tc>
      </w:tr>
      <w:tr w:rsidR="00621FF9" w:rsidRPr="00DE452B" w14:paraId="6BA83E30" w14:textId="77777777" w:rsidTr="00382374">
        <w:tc>
          <w:tcPr>
            <w:tcW w:w="624" w:type="pct"/>
          </w:tcPr>
          <w:p w14:paraId="38FBEC9F" w14:textId="2400B691" w:rsidR="00621FF9" w:rsidRPr="00DE452B" w:rsidRDefault="00D2134A" w:rsidP="00621FF9">
            <w:pPr>
              <w:rPr>
                <w:rFonts w:asciiTheme="minorHAnsi" w:hAnsiTheme="minorHAnsi" w:cstheme="minorHAnsi"/>
                <w:sz w:val="16"/>
                <w:szCs w:val="16"/>
              </w:rPr>
            </w:pPr>
            <w:r>
              <w:rPr>
                <w:rFonts w:cstheme="minorHAnsi"/>
                <w:sz w:val="16"/>
                <w:szCs w:val="16"/>
              </w:rPr>
              <w:lastRenderedPageBreak/>
              <w:fldChar w:fldCharType="begin">
                <w:fldData xml:space="preserve">PEVuZE5vdGU+PENpdGU+PEF1dGhvcj5DdXJ0aW48L0F1dGhvcj48WWVhcj4yMDE0PC9ZZWFyPjxS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PEVuZE5vdGU+PENpdGU+PEF1dGhvcj5DdXJ0aW48L0F1dGhvcj48WWVhcj4yMDE0PC9ZZWFyPjxS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52" w:tooltip="Curtin, 2014 #14" w:history="1">
              <w:r w:rsidR="00A234A9">
                <w:rPr>
                  <w:rFonts w:cstheme="minorHAnsi"/>
                  <w:noProof/>
                  <w:sz w:val="16"/>
                  <w:szCs w:val="16"/>
                </w:rPr>
                <w:t>52</w:t>
              </w:r>
            </w:hyperlink>
            <w:r>
              <w:rPr>
                <w:rFonts w:cstheme="minorHAnsi"/>
                <w:noProof/>
                <w:sz w:val="16"/>
                <w:szCs w:val="16"/>
              </w:rPr>
              <w:t>)</w:t>
            </w:r>
            <w:r>
              <w:rPr>
                <w:rFonts w:cstheme="minorHAnsi"/>
                <w:sz w:val="16"/>
                <w:szCs w:val="16"/>
              </w:rPr>
              <w:fldChar w:fldCharType="end"/>
            </w:r>
          </w:p>
          <w:p w14:paraId="33B166FB"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TUS-CPS</w:t>
            </w:r>
            <w:r w:rsidRPr="00DE452B">
              <w:rPr>
                <w:rFonts w:asciiTheme="minorHAnsi" w:hAnsiTheme="minorHAnsi" w:cstheme="minorHAnsi"/>
                <w:sz w:val="16"/>
                <w:szCs w:val="16"/>
                <w:vertAlign w:val="superscript"/>
              </w:rPr>
              <w:t>b</w:t>
            </w:r>
          </w:p>
          <w:p w14:paraId="37C86F25"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Adults</w:t>
            </w:r>
          </w:p>
        </w:tc>
        <w:tc>
          <w:tcPr>
            <w:tcW w:w="589" w:type="pct"/>
          </w:tcPr>
          <w:p w14:paraId="1F5CAE9E"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Answering either daily, regular (10+ days during the past 30), or past (1+ days during the past 30) month to the question, “On how many of the past 30 days did you smoke cigarettes?”</w:t>
            </w:r>
          </w:p>
        </w:tc>
        <w:tc>
          <w:tcPr>
            <w:tcW w:w="661" w:type="pct"/>
          </w:tcPr>
          <w:p w14:paraId="41A3A483"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NR</w:t>
            </w:r>
          </w:p>
        </w:tc>
        <w:tc>
          <w:tcPr>
            <w:tcW w:w="625" w:type="pct"/>
          </w:tcPr>
          <w:p w14:paraId="3DEB0983"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7CD8AAD9"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1F1F32E2"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0AEFB8E2" w14:textId="77777777" w:rsidR="00621FF9" w:rsidRPr="00DE452B" w:rsidRDefault="00621FF9" w:rsidP="00621FF9">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Daily vs. non-daily smoking, OR (95% CI) for NM (ref=M): </w:t>
            </w:r>
          </w:p>
          <w:p w14:paraId="29947318"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OR=1.12 (1.10 to 1.15),</w:t>
            </w:r>
          </w:p>
          <w:p w14:paraId="3F103403"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(p&lt;0.0001)</w:t>
            </w:r>
          </w:p>
        </w:tc>
      </w:tr>
      <w:tr w:rsidR="00621FF9" w:rsidRPr="00DE452B" w14:paraId="76BD4480" w14:textId="77777777" w:rsidTr="00382374">
        <w:tc>
          <w:tcPr>
            <w:tcW w:w="624" w:type="pct"/>
          </w:tcPr>
          <w:p w14:paraId="3066B53E" w14:textId="696599C3" w:rsidR="00621FF9" w:rsidRPr="00DE452B" w:rsidRDefault="00D2134A" w:rsidP="00621FF9">
            <w:pPr>
              <w:rPr>
                <w:rFonts w:asciiTheme="minorHAnsi" w:hAnsiTheme="minorHAnsi" w:cstheme="minorHAnsi"/>
                <w:sz w:val="16"/>
                <w:szCs w:val="16"/>
              </w:rPr>
            </w:pP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51" w:tooltip="Curtin, 2014 #13" w:history="1">
              <w:r w:rsidR="00A234A9">
                <w:rPr>
                  <w:rFonts w:cstheme="minorHAnsi"/>
                  <w:noProof/>
                  <w:sz w:val="16"/>
                  <w:szCs w:val="16"/>
                </w:rPr>
                <w:t>51</w:t>
              </w:r>
            </w:hyperlink>
            <w:r>
              <w:rPr>
                <w:rFonts w:cstheme="minorHAnsi"/>
                <w:noProof/>
                <w:sz w:val="16"/>
                <w:szCs w:val="16"/>
              </w:rPr>
              <w:t>)</w:t>
            </w:r>
            <w:r>
              <w:rPr>
                <w:rFonts w:cstheme="minorHAnsi"/>
                <w:sz w:val="16"/>
                <w:szCs w:val="16"/>
              </w:rPr>
              <w:fldChar w:fldCharType="end"/>
            </w:r>
          </w:p>
          <w:p w14:paraId="6F43E476"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TUS-CPS</w:t>
            </w:r>
            <w:r w:rsidRPr="00DE452B">
              <w:rPr>
                <w:rFonts w:asciiTheme="minorHAnsi" w:hAnsiTheme="minorHAnsi" w:cstheme="minorHAnsi"/>
                <w:sz w:val="16"/>
                <w:szCs w:val="16"/>
                <w:vertAlign w:val="superscript"/>
              </w:rPr>
              <w:t>b</w:t>
            </w:r>
          </w:p>
          <w:p w14:paraId="1AA07403"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Youth</w:t>
            </w:r>
          </w:p>
        </w:tc>
        <w:tc>
          <w:tcPr>
            <w:tcW w:w="589" w:type="pct"/>
          </w:tcPr>
          <w:p w14:paraId="188F555C"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 xml:space="preserve">Answering either daily, regular (10+ days during the past 30), or past (1+ days during the past 30) </w:t>
            </w:r>
            <w:r w:rsidRPr="00DE452B">
              <w:rPr>
                <w:rFonts w:asciiTheme="minorHAnsi" w:hAnsiTheme="minorHAnsi" w:cstheme="minorHAnsi"/>
                <w:sz w:val="16"/>
                <w:szCs w:val="16"/>
              </w:rPr>
              <w:lastRenderedPageBreak/>
              <w:t>month to the question, “On how many of the past 30 days did you smoke cigarettes?”</w:t>
            </w:r>
          </w:p>
        </w:tc>
        <w:tc>
          <w:tcPr>
            <w:tcW w:w="661" w:type="pct"/>
          </w:tcPr>
          <w:p w14:paraId="4DCA5BB9"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lastRenderedPageBreak/>
              <w:t>NR</w:t>
            </w:r>
          </w:p>
        </w:tc>
        <w:tc>
          <w:tcPr>
            <w:tcW w:w="625" w:type="pct"/>
          </w:tcPr>
          <w:p w14:paraId="672DB5FA"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5FAB15A1"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4169AB36"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0DDA1BC6" w14:textId="77777777" w:rsidR="00621FF9" w:rsidRPr="00DE452B" w:rsidRDefault="00621FF9" w:rsidP="00621FF9">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OR of being a daily vs. non-daily smoker, compared with menthol: </w:t>
            </w:r>
          </w:p>
          <w:p w14:paraId="036836A7"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 xml:space="preserve">OR=1.05 (0.94 to 1.17), </w:t>
            </w:r>
          </w:p>
          <w:p w14:paraId="50054F3A"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(p=0.42)</w:t>
            </w:r>
          </w:p>
        </w:tc>
      </w:tr>
      <w:tr w:rsidR="00881FE9" w:rsidRPr="00DE452B" w14:paraId="27340F0D" w14:textId="77777777" w:rsidTr="00382374">
        <w:tc>
          <w:tcPr>
            <w:tcW w:w="624" w:type="pct"/>
          </w:tcPr>
          <w:p w14:paraId="55F9D9EF" w14:textId="2513A831" w:rsidR="00881FE9" w:rsidRPr="00DE452B" w:rsidRDefault="00D2134A" w:rsidP="003F5ADD">
            <w:pPr>
              <w:rPr>
                <w:rFonts w:asciiTheme="minorHAnsi" w:hAnsiTheme="minorHAnsi" w:cstheme="minorHAnsi"/>
                <w:sz w:val="16"/>
                <w:szCs w:val="16"/>
              </w:rPr>
            </w:pPr>
            <w:r>
              <w:rPr>
                <w:rFonts w:cstheme="minorHAnsi"/>
                <w:sz w:val="16"/>
                <w:szCs w:val="16"/>
              </w:rPr>
              <w:fldChar w:fldCharType="begin"/>
            </w:r>
            <w:r>
              <w:rPr>
                <w:rFonts w:cstheme="minorHAnsi"/>
                <w:sz w:val="16"/>
                <w:szCs w:val="16"/>
              </w:rPr>
              <w:instrText xml:space="preserve"> ADDIN EN.CITE &lt;EndNote&gt;&lt;Cite&gt;&lt;Author&gt;DiFranza&lt;/Author&gt;&lt;Year&gt;2004&lt;/Year&gt;&lt;RecNum&gt;83&lt;/RecNum&gt;&lt;DisplayText&gt;(54)&lt;/DisplayText&gt;&lt;record&gt;&lt;rec-number&gt;83&lt;/rec-number&gt;&lt;foreign-keys&gt;&lt;key app="EN" db-id="a2vz2dfp8xrad6exes75zwpiw5rxwa0vwapv" timestamp="0"&gt;83&lt;/key&gt;&lt;/foreign-keys&gt;&lt;ref-type name="Journal Article"&gt;17&lt;/ref-type&gt;&lt;contributors&gt;&lt;authors&gt;&lt;author&gt;DiFranza, J.R.&lt;/author&gt;&lt;author&gt;Savageau, J.A.&lt;/author&gt;&lt;author&gt;Fletcher, K.&lt;/author&gt;&lt;author&gt;Ockene, J.K.&lt;/author&gt;&lt;author&gt;Rigotti, N.A.&lt;/author&gt;&lt;author&gt;McNeill, A.D.&lt;/author&gt;&lt;author&gt;Coleman, M.&lt;/author&gt;&lt;author&gt;Wood, C.&lt;/author&gt;&lt;/authors&gt;&lt;/contributors&gt;&lt;titles&gt;&lt;title&gt;Recollections and repercussions of the first inhaled cigarette&lt;/title&gt;&lt;secondary-title&gt;Addictive Behaviors&lt;/secondary-title&gt;&lt;/titles&gt;&lt;periodical&gt;&lt;full-title&gt;Addictive Behaviors&lt;/full-title&gt;&lt;/periodical&gt;&lt;pages&gt;261-272&lt;/pages&gt;&lt;volume&gt;29&lt;/volume&gt;&lt;number&gt;2&lt;/number&gt;&lt;dates&gt;&lt;year&gt;2004&lt;/year&gt;&lt;/dates&gt;&lt;isbn&gt;03064603&lt;/isbn&gt;&lt;urls&gt;&lt;/urls&gt;&lt;electronic-resource-num&gt;10.1016/j.addbeh.2003.08.002&lt;/electronic-resource-num&gt;&lt;research-notes&gt;#413&lt;/research-notes&gt;&lt;/record&gt;&lt;/Cite&gt;&lt;/EndNote&gt;</w:instrText>
            </w:r>
            <w:r>
              <w:rPr>
                <w:rFonts w:cstheme="minorHAnsi"/>
                <w:sz w:val="16"/>
                <w:szCs w:val="16"/>
              </w:rPr>
              <w:fldChar w:fldCharType="separate"/>
            </w:r>
            <w:r>
              <w:rPr>
                <w:rFonts w:cstheme="minorHAnsi"/>
                <w:noProof/>
                <w:sz w:val="16"/>
                <w:szCs w:val="16"/>
              </w:rPr>
              <w:t>(</w:t>
            </w:r>
            <w:hyperlink w:anchor="_ENREF_54" w:tooltip="DiFranza, 2004 #83" w:history="1">
              <w:r w:rsidR="00A234A9">
                <w:rPr>
                  <w:rFonts w:cstheme="minorHAnsi"/>
                  <w:noProof/>
                  <w:sz w:val="16"/>
                  <w:szCs w:val="16"/>
                </w:rPr>
                <w:t>54</w:t>
              </w:r>
            </w:hyperlink>
            <w:r>
              <w:rPr>
                <w:rFonts w:cstheme="minorHAnsi"/>
                <w:noProof/>
                <w:sz w:val="16"/>
                <w:szCs w:val="16"/>
              </w:rPr>
              <w:t>)</w:t>
            </w:r>
            <w:r>
              <w:rPr>
                <w:rFonts w:cstheme="minorHAnsi"/>
                <w:sz w:val="16"/>
                <w:szCs w:val="16"/>
              </w:rPr>
              <w:fldChar w:fldCharType="end"/>
            </w:r>
          </w:p>
          <w:p w14:paraId="6D2A9457"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DANDY</w:t>
            </w:r>
          </w:p>
          <w:p w14:paraId="1589CABD"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Youth</w:t>
            </w:r>
          </w:p>
        </w:tc>
        <w:tc>
          <w:tcPr>
            <w:tcW w:w="589" w:type="pct"/>
          </w:tcPr>
          <w:p w14:paraId="62337552"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First inhaled cig</w:t>
            </w:r>
          </w:p>
        </w:tc>
        <w:tc>
          <w:tcPr>
            <w:tcW w:w="661" w:type="pct"/>
          </w:tcPr>
          <w:p w14:paraId="6B28C19F"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625" w:type="pct"/>
          </w:tcPr>
          <w:p w14:paraId="1598F41D"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Among the 120 participants who could recall this info, M cigs accounted for 42% of the first inhaled cigs.</w:t>
            </w:r>
          </w:p>
        </w:tc>
        <w:tc>
          <w:tcPr>
            <w:tcW w:w="416" w:type="pct"/>
          </w:tcPr>
          <w:p w14:paraId="27D9C00C"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67A95915"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66CB7AD4"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r>
      <w:tr w:rsidR="00881FE9" w:rsidRPr="00DE452B" w14:paraId="416B4B43" w14:textId="77777777" w:rsidTr="00382374">
        <w:tc>
          <w:tcPr>
            <w:tcW w:w="624" w:type="pct"/>
          </w:tcPr>
          <w:p w14:paraId="13323F1D" w14:textId="21FD1A4F" w:rsidR="00881FE9" w:rsidRPr="00DE452B" w:rsidRDefault="00D2134A" w:rsidP="003F5ADD">
            <w:pPr>
              <w:rPr>
                <w:rFonts w:asciiTheme="minorHAnsi" w:hAnsiTheme="minorHAnsi" w:cstheme="minorHAnsi"/>
                <w:sz w:val="16"/>
                <w:szCs w:val="16"/>
              </w:rPr>
            </w:pPr>
            <w:r>
              <w:rPr>
                <w:rFonts w:cstheme="minorHAnsi"/>
                <w:sz w:val="16"/>
                <w:szCs w:val="16"/>
              </w:rPr>
              <w:fldChar w:fldCharType="begin">
                <w:fldData xml:space="preserve">PEVuZE5vdGU+PENpdGU+PEF1dGhvcj5GYWdhbjwvQXV0aG9yPjxZZWFyPjIwMTU8L1llYXI+PFJl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PEVuZE5vdGU+PENpdGU+PEF1dGhvcj5GYWdhbjwvQXV0aG9yPjxZZWFyPjIwMTU8L1llYXI+PFJl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55" w:tooltip="Fagan, 2015 #5" w:history="1">
              <w:r w:rsidR="00A234A9">
                <w:rPr>
                  <w:rFonts w:cstheme="minorHAnsi"/>
                  <w:noProof/>
                  <w:sz w:val="16"/>
                  <w:szCs w:val="16"/>
                </w:rPr>
                <w:t>55</w:t>
              </w:r>
            </w:hyperlink>
            <w:r>
              <w:rPr>
                <w:rFonts w:cstheme="minorHAnsi"/>
                <w:noProof/>
                <w:sz w:val="16"/>
                <w:szCs w:val="16"/>
              </w:rPr>
              <w:t xml:space="preserve">, </w:t>
            </w:r>
            <w:hyperlink w:anchor="_ENREF_56" w:tooltip="Fagan, 2016 #4" w:history="1">
              <w:r w:rsidR="00A234A9">
                <w:rPr>
                  <w:rFonts w:cstheme="minorHAnsi"/>
                  <w:noProof/>
                  <w:sz w:val="16"/>
                  <w:szCs w:val="16"/>
                </w:rPr>
                <w:t>56</w:t>
              </w:r>
            </w:hyperlink>
            <w:r>
              <w:rPr>
                <w:rFonts w:cstheme="minorHAnsi"/>
                <w:noProof/>
                <w:sz w:val="16"/>
                <w:szCs w:val="16"/>
              </w:rPr>
              <w:t>)</w:t>
            </w:r>
            <w:r>
              <w:rPr>
                <w:rFonts w:cstheme="minorHAnsi"/>
                <w:sz w:val="16"/>
                <w:szCs w:val="16"/>
              </w:rPr>
              <w:fldChar w:fldCharType="end"/>
            </w:r>
          </w:p>
          <w:p w14:paraId="09AC09C4"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None</w:t>
            </w:r>
          </w:p>
          <w:p w14:paraId="27FF4998"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Young adults</w:t>
            </w:r>
          </w:p>
          <w:p w14:paraId="07B71833" w14:textId="77777777" w:rsidR="00881FE9" w:rsidRPr="00DE452B" w:rsidRDefault="00881FE9" w:rsidP="003F5ADD">
            <w:pPr>
              <w:rPr>
                <w:rFonts w:asciiTheme="minorHAnsi" w:hAnsiTheme="minorHAnsi" w:cstheme="minorHAnsi"/>
                <w:sz w:val="16"/>
                <w:szCs w:val="16"/>
              </w:rPr>
            </w:pPr>
          </w:p>
        </w:tc>
        <w:tc>
          <w:tcPr>
            <w:tcW w:w="589" w:type="pct"/>
          </w:tcPr>
          <w:p w14:paraId="1628170D"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Started smoking daily</w:t>
            </w:r>
          </w:p>
        </w:tc>
        <w:tc>
          <w:tcPr>
            <w:tcW w:w="661" w:type="pct"/>
          </w:tcPr>
          <w:p w14:paraId="1B08FBE2"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M: 16.8 (3.3); NM: 17.2 (3.6); (p=0.43) (Fagan, 2016)</w:t>
            </w:r>
          </w:p>
          <w:p w14:paraId="42B3BC62"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M: 16.7 (3.3); NM: 17.2 (3.5); (p=0.41) (Fagan, 2015)</w:t>
            </w:r>
          </w:p>
        </w:tc>
        <w:tc>
          <w:tcPr>
            <w:tcW w:w="625" w:type="pct"/>
          </w:tcPr>
          <w:p w14:paraId="044EC6AF"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5D28DB33"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036E1324"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30E0F6DD"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r>
      <w:tr w:rsidR="00881FE9" w:rsidRPr="00DE452B" w14:paraId="3B916037" w14:textId="77777777" w:rsidTr="00382374">
        <w:tc>
          <w:tcPr>
            <w:tcW w:w="624" w:type="pct"/>
          </w:tcPr>
          <w:p w14:paraId="4C330E0C" w14:textId="2ED553A8" w:rsidR="00881FE9" w:rsidRPr="00DE452B" w:rsidRDefault="00D2134A" w:rsidP="003F5ADD">
            <w:pPr>
              <w:rPr>
                <w:rFonts w:asciiTheme="minorHAnsi" w:hAnsiTheme="minorHAnsi" w:cstheme="minorHAnsi"/>
                <w:sz w:val="16"/>
                <w:szCs w:val="16"/>
              </w:rPr>
            </w:pPr>
            <w:r>
              <w:rPr>
                <w:rFonts w:cstheme="minorHAnsi"/>
                <w:sz w:val="16"/>
                <w:szCs w:val="16"/>
              </w:rPr>
              <w:fldChar w:fldCharType="begin">
                <w:fldData xml:space="preserve">PEVuZE5vdGU+PENpdGU+PEF1dGhvcj5GYWdhbjwvQXV0aG9yPjxZZWFyPjIwMTA8L1llYXI+PFJl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PEVuZE5vdGU+PENpdGU+PEF1dGhvcj5GYWdhbjwvQXV0aG9yPjxZZWFyPjIwMTA8L1llYXI+PFJl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57" w:tooltip="Fagan, 2010 #56" w:history="1">
              <w:r w:rsidR="00A234A9">
                <w:rPr>
                  <w:rFonts w:cstheme="minorHAnsi"/>
                  <w:noProof/>
                  <w:sz w:val="16"/>
                  <w:szCs w:val="16"/>
                </w:rPr>
                <w:t>57</w:t>
              </w:r>
            </w:hyperlink>
            <w:r>
              <w:rPr>
                <w:rFonts w:cstheme="minorHAnsi"/>
                <w:noProof/>
                <w:sz w:val="16"/>
                <w:szCs w:val="16"/>
              </w:rPr>
              <w:t>)</w:t>
            </w:r>
            <w:r>
              <w:rPr>
                <w:rFonts w:cstheme="minorHAnsi"/>
                <w:sz w:val="16"/>
                <w:szCs w:val="16"/>
              </w:rPr>
              <w:fldChar w:fldCharType="end"/>
            </w:r>
          </w:p>
          <w:p w14:paraId="5DAED1DA" w14:textId="77777777" w:rsidR="00881FE9" w:rsidRPr="00DE452B" w:rsidRDefault="00881FE9" w:rsidP="003F5ADD">
            <w:pPr>
              <w:rPr>
                <w:rFonts w:asciiTheme="minorHAnsi" w:hAnsiTheme="minorHAnsi" w:cstheme="minorHAnsi"/>
                <w:sz w:val="16"/>
                <w:szCs w:val="16"/>
                <w:vertAlign w:val="superscript"/>
              </w:rPr>
            </w:pPr>
            <w:r w:rsidRPr="00DE452B">
              <w:rPr>
                <w:rFonts w:asciiTheme="minorHAnsi" w:hAnsiTheme="minorHAnsi" w:cstheme="minorHAnsi"/>
                <w:sz w:val="16"/>
                <w:szCs w:val="16"/>
              </w:rPr>
              <w:t>TUS-CPS</w:t>
            </w:r>
            <w:r w:rsidRPr="00DE452B">
              <w:rPr>
                <w:rFonts w:asciiTheme="minorHAnsi" w:hAnsiTheme="minorHAnsi" w:cstheme="minorHAnsi"/>
                <w:sz w:val="16"/>
                <w:szCs w:val="16"/>
                <w:vertAlign w:val="superscript"/>
              </w:rPr>
              <w:t>b</w:t>
            </w:r>
          </w:p>
          <w:p w14:paraId="16B57CD4"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None</w:t>
            </w:r>
          </w:p>
        </w:tc>
        <w:tc>
          <w:tcPr>
            <w:tcW w:w="589" w:type="pct"/>
          </w:tcPr>
          <w:p w14:paraId="4B828251"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Age first started smoking cigs fairly regularly</w:t>
            </w:r>
          </w:p>
        </w:tc>
        <w:tc>
          <w:tcPr>
            <w:tcW w:w="661" w:type="pct"/>
          </w:tcPr>
          <w:p w14:paraId="68CE4B32" w14:textId="77777777" w:rsidR="00881FE9" w:rsidRPr="00382374" w:rsidRDefault="00881FE9" w:rsidP="003F5ADD">
            <w:pPr>
              <w:rPr>
                <w:rFonts w:asciiTheme="minorHAnsi" w:hAnsiTheme="minorHAnsi" w:cstheme="minorHAnsi"/>
                <w:sz w:val="16"/>
                <w:szCs w:val="16"/>
              </w:rPr>
            </w:pPr>
            <w:r w:rsidRPr="00382374">
              <w:rPr>
                <w:rFonts w:cstheme="minorHAnsi"/>
                <w:sz w:val="16"/>
                <w:szCs w:val="16"/>
              </w:rPr>
              <w:t>M:</w:t>
            </w:r>
          </w:p>
          <w:p w14:paraId="4D279AF9" w14:textId="77777777" w:rsidR="00881FE9" w:rsidRPr="00382374" w:rsidRDefault="00881FE9" w:rsidP="003F5ADD">
            <w:pPr>
              <w:rPr>
                <w:rFonts w:asciiTheme="minorHAnsi" w:hAnsiTheme="minorHAnsi" w:cstheme="minorHAnsi"/>
                <w:sz w:val="16"/>
                <w:szCs w:val="16"/>
              </w:rPr>
            </w:pPr>
            <w:r w:rsidRPr="00382374">
              <w:rPr>
                <w:rFonts w:cstheme="minorHAnsi"/>
                <w:sz w:val="16"/>
                <w:szCs w:val="16"/>
              </w:rPr>
              <w:t>&lt;15: 17.94%</w:t>
            </w:r>
          </w:p>
          <w:p w14:paraId="03712C2F" w14:textId="77777777" w:rsidR="00881FE9" w:rsidRPr="00382374" w:rsidRDefault="00881FE9" w:rsidP="003F5ADD">
            <w:pPr>
              <w:rPr>
                <w:rFonts w:asciiTheme="minorHAnsi" w:hAnsiTheme="minorHAnsi" w:cstheme="minorHAnsi"/>
                <w:sz w:val="16"/>
                <w:szCs w:val="16"/>
              </w:rPr>
            </w:pPr>
            <w:r w:rsidRPr="00382374">
              <w:rPr>
                <w:rFonts w:cstheme="minorHAnsi"/>
                <w:sz w:val="16"/>
                <w:szCs w:val="16"/>
              </w:rPr>
              <w:t>15-17: 36.71%</w:t>
            </w:r>
          </w:p>
          <w:p w14:paraId="27B8C5DE" w14:textId="77777777" w:rsidR="00881FE9" w:rsidRPr="00382374" w:rsidRDefault="00881FE9" w:rsidP="003F5ADD">
            <w:pPr>
              <w:rPr>
                <w:rFonts w:asciiTheme="minorHAnsi" w:hAnsiTheme="minorHAnsi" w:cstheme="minorHAnsi"/>
                <w:sz w:val="16"/>
                <w:szCs w:val="16"/>
              </w:rPr>
            </w:pPr>
            <w:r w:rsidRPr="00382374">
              <w:rPr>
                <w:rFonts w:cstheme="minorHAnsi"/>
                <w:sz w:val="16"/>
                <w:szCs w:val="16"/>
              </w:rPr>
              <w:t>≥18: 44.15%</w:t>
            </w:r>
          </w:p>
          <w:p w14:paraId="768B915D" w14:textId="77777777" w:rsidR="00881FE9" w:rsidRPr="00382374" w:rsidRDefault="00881FE9" w:rsidP="003F5ADD">
            <w:pPr>
              <w:rPr>
                <w:rFonts w:asciiTheme="minorHAnsi" w:hAnsiTheme="minorHAnsi" w:cstheme="minorHAnsi"/>
                <w:sz w:val="16"/>
                <w:szCs w:val="16"/>
              </w:rPr>
            </w:pPr>
          </w:p>
          <w:p w14:paraId="63549412" w14:textId="77777777" w:rsidR="00881FE9" w:rsidRPr="00382374" w:rsidRDefault="00881FE9" w:rsidP="003F5ADD">
            <w:pPr>
              <w:rPr>
                <w:rFonts w:asciiTheme="minorHAnsi" w:hAnsiTheme="minorHAnsi" w:cstheme="minorHAnsi"/>
                <w:sz w:val="16"/>
                <w:szCs w:val="16"/>
              </w:rPr>
            </w:pPr>
            <w:r w:rsidRPr="00382374">
              <w:rPr>
                <w:rFonts w:cstheme="minorHAnsi"/>
                <w:sz w:val="16"/>
                <w:szCs w:val="16"/>
              </w:rPr>
              <w:t xml:space="preserve">NM: </w:t>
            </w:r>
          </w:p>
          <w:p w14:paraId="3EC156F9" w14:textId="77777777" w:rsidR="00881FE9" w:rsidRPr="00382374" w:rsidRDefault="00881FE9" w:rsidP="003F5ADD">
            <w:pPr>
              <w:rPr>
                <w:rFonts w:asciiTheme="minorHAnsi" w:hAnsiTheme="minorHAnsi" w:cstheme="minorHAnsi"/>
                <w:sz w:val="16"/>
                <w:szCs w:val="16"/>
              </w:rPr>
            </w:pPr>
            <w:r w:rsidRPr="00382374">
              <w:rPr>
                <w:rFonts w:cstheme="minorHAnsi"/>
                <w:sz w:val="16"/>
                <w:szCs w:val="16"/>
              </w:rPr>
              <w:t>&lt;15: 19.65%</w:t>
            </w:r>
          </w:p>
          <w:p w14:paraId="1A325F88" w14:textId="77777777" w:rsidR="00881FE9" w:rsidRPr="00382374" w:rsidRDefault="00881FE9" w:rsidP="003F5ADD">
            <w:pPr>
              <w:rPr>
                <w:rFonts w:asciiTheme="minorHAnsi" w:hAnsiTheme="minorHAnsi" w:cstheme="minorHAnsi"/>
                <w:sz w:val="16"/>
                <w:szCs w:val="16"/>
              </w:rPr>
            </w:pPr>
            <w:r w:rsidRPr="00382374">
              <w:rPr>
                <w:rFonts w:cstheme="minorHAnsi"/>
                <w:sz w:val="16"/>
                <w:szCs w:val="16"/>
              </w:rPr>
              <w:t>15-17: 38.54%</w:t>
            </w:r>
          </w:p>
          <w:p w14:paraId="1987AC6A" w14:textId="77777777" w:rsidR="00881FE9" w:rsidRPr="00382374" w:rsidRDefault="00881FE9" w:rsidP="003F5ADD">
            <w:pPr>
              <w:rPr>
                <w:rFonts w:asciiTheme="minorHAnsi" w:hAnsiTheme="minorHAnsi" w:cstheme="minorHAnsi"/>
                <w:sz w:val="16"/>
                <w:szCs w:val="16"/>
              </w:rPr>
            </w:pPr>
            <w:r w:rsidRPr="00382374">
              <w:rPr>
                <w:rFonts w:cstheme="minorHAnsi"/>
                <w:sz w:val="16"/>
                <w:szCs w:val="16"/>
              </w:rPr>
              <w:t>≥18: 40.92%</w:t>
            </w:r>
          </w:p>
          <w:p w14:paraId="04EE2758" w14:textId="77777777" w:rsidR="00881FE9" w:rsidRPr="00382374" w:rsidRDefault="00881FE9" w:rsidP="003F5ADD">
            <w:pPr>
              <w:rPr>
                <w:rFonts w:asciiTheme="minorHAnsi" w:hAnsiTheme="minorHAnsi" w:cstheme="minorHAnsi"/>
                <w:sz w:val="16"/>
                <w:szCs w:val="16"/>
              </w:rPr>
            </w:pPr>
          </w:p>
          <w:p w14:paraId="3F67FD5C" w14:textId="77777777" w:rsidR="00881FE9" w:rsidRPr="00382374" w:rsidRDefault="00881FE9" w:rsidP="003F5ADD">
            <w:pPr>
              <w:rPr>
                <w:rFonts w:asciiTheme="minorHAnsi" w:hAnsiTheme="minorHAnsi" w:cstheme="minorHAnsi"/>
                <w:sz w:val="16"/>
                <w:szCs w:val="16"/>
              </w:rPr>
            </w:pPr>
            <w:r w:rsidRPr="00382374">
              <w:rPr>
                <w:rFonts w:cstheme="minorHAnsi"/>
                <w:sz w:val="16"/>
                <w:szCs w:val="16"/>
              </w:rPr>
              <w:t xml:space="preserve">No Usual Type: </w:t>
            </w:r>
          </w:p>
          <w:p w14:paraId="136F9A93" w14:textId="77777777" w:rsidR="00881FE9" w:rsidRPr="00382374" w:rsidRDefault="00881FE9" w:rsidP="003F5ADD">
            <w:pPr>
              <w:rPr>
                <w:rFonts w:asciiTheme="minorHAnsi" w:hAnsiTheme="minorHAnsi" w:cstheme="minorHAnsi"/>
                <w:sz w:val="16"/>
                <w:szCs w:val="16"/>
              </w:rPr>
            </w:pPr>
            <w:r w:rsidRPr="00382374">
              <w:rPr>
                <w:rFonts w:cstheme="minorHAnsi"/>
                <w:sz w:val="16"/>
                <w:szCs w:val="16"/>
              </w:rPr>
              <w:t>&lt;15: 19.24%</w:t>
            </w:r>
          </w:p>
          <w:p w14:paraId="3B89BF50" w14:textId="77777777" w:rsidR="00881FE9" w:rsidRPr="00382374" w:rsidRDefault="00881FE9" w:rsidP="003F5ADD">
            <w:pPr>
              <w:rPr>
                <w:rFonts w:asciiTheme="minorHAnsi" w:hAnsiTheme="minorHAnsi" w:cstheme="minorHAnsi"/>
                <w:sz w:val="16"/>
                <w:szCs w:val="16"/>
              </w:rPr>
            </w:pPr>
            <w:r w:rsidRPr="00382374">
              <w:rPr>
                <w:rFonts w:cstheme="minorHAnsi"/>
                <w:sz w:val="16"/>
                <w:szCs w:val="16"/>
              </w:rPr>
              <w:t>15-17: 38.01%</w:t>
            </w:r>
          </w:p>
          <w:p w14:paraId="2E7D2599" w14:textId="77777777" w:rsidR="00881FE9" w:rsidRPr="00DE452B" w:rsidRDefault="00881FE9" w:rsidP="003F5ADD">
            <w:pPr>
              <w:rPr>
                <w:rFonts w:asciiTheme="minorHAnsi" w:hAnsiTheme="minorHAnsi" w:cstheme="minorHAnsi"/>
                <w:sz w:val="16"/>
                <w:szCs w:val="16"/>
                <w:u w:val="single"/>
              </w:rPr>
            </w:pPr>
            <w:r w:rsidRPr="00382374">
              <w:rPr>
                <w:rFonts w:cstheme="minorHAnsi"/>
                <w:sz w:val="16"/>
                <w:szCs w:val="16"/>
              </w:rPr>
              <w:t>≥18: 41.72%</w:t>
            </w:r>
          </w:p>
        </w:tc>
        <w:tc>
          <w:tcPr>
            <w:tcW w:w="625" w:type="pct"/>
          </w:tcPr>
          <w:p w14:paraId="121827A4"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43B575E0"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2377EE2A"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4AF8884A"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r>
      <w:tr w:rsidR="00881FE9" w:rsidRPr="00DE452B" w14:paraId="2693B988" w14:textId="77777777" w:rsidTr="00382374">
        <w:tc>
          <w:tcPr>
            <w:tcW w:w="624" w:type="pct"/>
          </w:tcPr>
          <w:p w14:paraId="5324F5F2" w14:textId="21CE2502" w:rsidR="00881FE9" w:rsidRPr="00DE452B" w:rsidRDefault="00D2134A" w:rsidP="003F5ADD">
            <w:pPr>
              <w:rPr>
                <w:rFonts w:asciiTheme="minorHAnsi" w:hAnsiTheme="minorHAnsi" w:cstheme="minorHAnsi"/>
                <w:sz w:val="16"/>
                <w:szCs w:val="16"/>
              </w:rPr>
            </w:pPr>
            <w:r>
              <w:rPr>
                <w:rFonts w:cstheme="minorHAnsi"/>
                <w:sz w:val="16"/>
                <w:szCs w:val="16"/>
              </w:rPr>
              <w:fldChar w:fldCharType="begin">
                <w:fldData xml:space="preserve">PEVuZE5vdGU+PENpdGU+PEF1dGhvcj5GYXNlcnU8L0F1dGhvcj48WWVhcj4yMDExPC9ZZWFyPjxS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PEVuZE5vdGU+PENpdGU+PEF1dGhvcj5GYXNlcnU8L0F1dGhvcj48WWVhcj4yMDExPC9ZZWFyPjxS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58" w:tooltip="Faseru, 2011 #40" w:history="1">
              <w:r w:rsidR="00A234A9">
                <w:rPr>
                  <w:rFonts w:cstheme="minorHAnsi"/>
                  <w:noProof/>
                  <w:sz w:val="16"/>
                  <w:szCs w:val="16"/>
                </w:rPr>
                <w:t>58</w:t>
              </w:r>
            </w:hyperlink>
            <w:r>
              <w:rPr>
                <w:rFonts w:cstheme="minorHAnsi"/>
                <w:noProof/>
                <w:sz w:val="16"/>
                <w:szCs w:val="16"/>
              </w:rPr>
              <w:t xml:space="preserve">, </w:t>
            </w:r>
            <w:hyperlink w:anchor="_ENREF_59" w:tooltip="Faseru, 2013 #29" w:history="1">
              <w:r w:rsidR="00A234A9">
                <w:rPr>
                  <w:rFonts w:cstheme="minorHAnsi"/>
                  <w:noProof/>
                  <w:sz w:val="16"/>
                  <w:szCs w:val="16"/>
                </w:rPr>
                <w:t>59</w:t>
              </w:r>
            </w:hyperlink>
            <w:r>
              <w:rPr>
                <w:rFonts w:cstheme="minorHAnsi"/>
                <w:noProof/>
                <w:sz w:val="16"/>
                <w:szCs w:val="16"/>
              </w:rPr>
              <w:t>)</w:t>
            </w:r>
            <w:r>
              <w:rPr>
                <w:rFonts w:cstheme="minorHAnsi"/>
                <w:sz w:val="16"/>
                <w:szCs w:val="16"/>
              </w:rPr>
              <w:fldChar w:fldCharType="end"/>
            </w:r>
          </w:p>
          <w:p w14:paraId="4BFC2832"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None</w:t>
            </w:r>
          </w:p>
          <w:p w14:paraId="239ED37E"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Black light smokers</w:t>
            </w:r>
          </w:p>
        </w:tc>
        <w:tc>
          <w:tcPr>
            <w:tcW w:w="589" w:type="pct"/>
          </w:tcPr>
          <w:p w14:paraId="1F244DA3"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Age of first cig (Faseru et al, 2011)</w:t>
            </w:r>
          </w:p>
          <w:p w14:paraId="4EC316EB" w14:textId="77777777" w:rsidR="00881FE9" w:rsidRPr="00DE452B" w:rsidRDefault="00881FE9" w:rsidP="003F5ADD">
            <w:pPr>
              <w:rPr>
                <w:rFonts w:asciiTheme="minorHAnsi" w:hAnsiTheme="minorHAnsi" w:cstheme="minorHAnsi"/>
                <w:sz w:val="16"/>
                <w:szCs w:val="16"/>
              </w:rPr>
            </w:pPr>
          </w:p>
          <w:p w14:paraId="2D5311C2"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Age started smoking regularly (Faseru, 2013)</w:t>
            </w:r>
          </w:p>
        </w:tc>
        <w:tc>
          <w:tcPr>
            <w:tcW w:w="661" w:type="pct"/>
          </w:tcPr>
          <w:p w14:paraId="66DD17E4"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u w:val="single"/>
              </w:rPr>
              <w:t>Age of first cig</w:t>
            </w:r>
          </w:p>
          <w:p w14:paraId="4AEA6C8E"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M: 17.7 (6.8)</w:t>
            </w:r>
          </w:p>
          <w:p w14:paraId="1E535E8D"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NM: 17.9 (5.8)</w:t>
            </w:r>
          </w:p>
          <w:p w14:paraId="7F5F0E53"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(p=0.67)</w:t>
            </w:r>
          </w:p>
          <w:p w14:paraId="7CB594D0"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u w:val="single"/>
              </w:rPr>
              <w:t>Age started smoking regularly</w:t>
            </w:r>
          </w:p>
          <w:p w14:paraId="5D1AE9C5"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M: 21.2 (7.7)</w:t>
            </w:r>
          </w:p>
          <w:p w14:paraId="6C870E4B"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NM: 21.7 (6.8)</w:t>
            </w:r>
          </w:p>
          <w:p w14:paraId="143C4A63"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(p=0.38)</w:t>
            </w:r>
          </w:p>
        </w:tc>
        <w:tc>
          <w:tcPr>
            <w:tcW w:w="625" w:type="pct"/>
          </w:tcPr>
          <w:p w14:paraId="67FE643F"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2558AC24"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55D0A018"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3F9A8958"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r>
      <w:tr w:rsidR="00881FE9" w:rsidRPr="00DE452B" w14:paraId="5391038A" w14:textId="77777777" w:rsidTr="00382374">
        <w:tc>
          <w:tcPr>
            <w:tcW w:w="624" w:type="pct"/>
          </w:tcPr>
          <w:p w14:paraId="0C41519A" w14:textId="0AD3D783" w:rsidR="00881FE9" w:rsidRPr="00DE452B" w:rsidRDefault="00D2134A" w:rsidP="003F5ADD">
            <w:pPr>
              <w:rPr>
                <w:rFonts w:asciiTheme="minorHAnsi" w:hAnsiTheme="minorHAnsi" w:cstheme="minorHAnsi"/>
                <w:sz w:val="16"/>
                <w:szCs w:val="16"/>
              </w:rPr>
            </w:pPr>
            <w:r>
              <w:rPr>
                <w:rFonts w:cstheme="minorHAnsi"/>
                <w:sz w:val="16"/>
                <w:szCs w:val="16"/>
              </w:rPr>
              <w:lastRenderedPageBreak/>
              <w:fldChar w:fldCharType="begin">
                <w:fldData xml:space="preserve">PEVuZE5vdGU+PENpdGU+PEF1dGhvcj5GZXJuYW5kZXI8L0F1dGhvcj48WWVhcj4yMDEwPC9ZZWFy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PEVuZE5vdGU+PENpdGU+PEF1dGhvcj5GZXJuYW5kZXI8L0F1dGhvcj48WWVhcj4yMDEwPC9ZZWFy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60" w:tooltip="Fernander, 2010 #54" w:history="1">
              <w:r w:rsidR="00A234A9">
                <w:rPr>
                  <w:rFonts w:cstheme="minorHAnsi"/>
                  <w:noProof/>
                  <w:sz w:val="16"/>
                  <w:szCs w:val="16"/>
                </w:rPr>
                <w:t>60</w:t>
              </w:r>
            </w:hyperlink>
            <w:r>
              <w:rPr>
                <w:rFonts w:cstheme="minorHAnsi"/>
                <w:noProof/>
                <w:sz w:val="16"/>
                <w:szCs w:val="16"/>
              </w:rPr>
              <w:t>)</w:t>
            </w:r>
            <w:r>
              <w:rPr>
                <w:rFonts w:cstheme="minorHAnsi"/>
                <w:sz w:val="16"/>
                <w:szCs w:val="16"/>
              </w:rPr>
              <w:fldChar w:fldCharType="end"/>
            </w:r>
          </w:p>
          <w:p w14:paraId="40E44774" w14:textId="77777777" w:rsidR="00881FE9" w:rsidRPr="00DE452B" w:rsidRDefault="00881FE9" w:rsidP="003F5ADD">
            <w:pPr>
              <w:rPr>
                <w:rFonts w:asciiTheme="minorHAnsi" w:hAnsiTheme="minorHAnsi" w:cstheme="minorHAnsi"/>
                <w:b/>
                <w:sz w:val="16"/>
                <w:szCs w:val="16"/>
              </w:rPr>
            </w:pPr>
            <w:r w:rsidRPr="00DE452B">
              <w:rPr>
                <w:rFonts w:asciiTheme="minorHAnsi" w:hAnsiTheme="minorHAnsi" w:cstheme="minorHAnsi"/>
                <w:sz w:val="16"/>
                <w:szCs w:val="16"/>
              </w:rPr>
              <w:t>TUS-CPS</w:t>
            </w:r>
            <w:r w:rsidRPr="00DE452B">
              <w:rPr>
                <w:rFonts w:asciiTheme="minorHAnsi" w:hAnsiTheme="minorHAnsi" w:cstheme="minorHAnsi"/>
                <w:sz w:val="16"/>
                <w:szCs w:val="16"/>
                <w:vertAlign w:val="superscript"/>
              </w:rPr>
              <w:t>b</w:t>
            </w:r>
            <w:r w:rsidRPr="00DE452B" w:rsidDel="009D4CA2">
              <w:rPr>
                <w:rFonts w:asciiTheme="minorHAnsi" w:hAnsiTheme="minorHAnsi" w:cstheme="minorHAnsi"/>
                <w:sz w:val="16"/>
                <w:szCs w:val="16"/>
                <w:vertAlign w:val="superscript"/>
              </w:rPr>
              <w:t xml:space="preserve"> </w:t>
            </w:r>
          </w:p>
          <w:p w14:paraId="10960410"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None</w:t>
            </w:r>
          </w:p>
        </w:tc>
        <w:tc>
          <w:tcPr>
            <w:tcW w:w="589" w:type="pct"/>
          </w:tcPr>
          <w:p w14:paraId="662681E6"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Age first started smoking cigs fairly regularly</w:t>
            </w:r>
          </w:p>
          <w:p w14:paraId="6E523536" w14:textId="77777777" w:rsidR="00621FF9" w:rsidRPr="00DE452B" w:rsidRDefault="00621FF9" w:rsidP="003F5ADD">
            <w:pPr>
              <w:rPr>
                <w:rFonts w:asciiTheme="minorHAnsi" w:hAnsiTheme="minorHAnsi" w:cstheme="minorHAnsi"/>
                <w:sz w:val="16"/>
                <w:szCs w:val="16"/>
              </w:rPr>
            </w:pPr>
          </w:p>
          <w:p w14:paraId="62D03E98" w14:textId="77777777" w:rsidR="00621FF9" w:rsidRPr="00DE452B" w:rsidRDefault="00621FF9" w:rsidP="003F5ADD">
            <w:pPr>
              <w:rPr>
                <w:rFonts w:asciiTheme="minorHAnsi" w:hAnsiTheme="minorHAnsi" w:cstheme="minorHAnsi"/>
                <w:sz w:val="16"/>
                <w:szCs w:val="16"/>
              </w:rPr>
            </w:pPr>
            <w:r w:rsidRPr="00DE452B">
              <w:rPr>
                <w:rFonts w:asciiTheme="minorHAnsi" w:hAnsiTheme="minorHAnsi" w:cstheme="minorHAnsi"/>
                <w:sz w:val="16"/>
                <w:szCs w:val="16"/>
              </w:rPr>
              <w:t>Self-reported smoking frequency coded as every day, or some days</w:t>
            </w:r>
          </w:p>
        </w:tc>
        <w:tc>
          <w:tcPr>
            <w:tcW w:w="661" w:type="pct"/>
          </w:tcPr>
          <w:p w14:paraId="69FE2F4C" w14:textId="77777777" w:rsidR="00881FE9" w:rsidRPr="00382374" w:rsidRDefault="00881FE9" w:rsidP="003F5ADD">
            <w:pPr>
              <w:rPr>
                <w:rFonts w:asciiTheme="minorHAnsi" w:hAnsiTheme="minorHAnsi" w:cstheme="minorHAnsi"/>
                <w:sz w:val="16"/>
                <w:szCs w:val="16"/>
              </w:rPr>
            </w:pPr>
            <w:r w:rsidRPr="00382374">
              <w:rPr>
                <w:rFonts w:cstheme="minorHAnsi"/>
                <w:sz w:val="16"/>
                <w:szCs w:val="16"/>
              </w:rPr>
              <w:t>M:</w:t>
            </w:r>
          </w:p>
          <w:p w14:paraId="57696DE5"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&lt;18: 53.2%</w:t>
            </w:r>
          </w:p>
          <w:p w14:paraId="02A9CAA1"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≥18: 46.8%</w:t>
            </w:r>
          </w:p>
          <w:p w14:paraId="46CF2D33" w14:textId="77777777" w:rsidR="00881FE9" w:rsidRPr="00382374" w:rsidRDefault="00881FE9" w:rsidP="003F5ADD">
            <w:pPr>
              <w:rPr>
                <w:rFonts w:asciiTheme="minorHAnsi" w:hAnsiTheme="minorHAnsi" w:cstheme="minorHAnsi"/>
                <w:sz w:val="16"/>
                <w:szCs w:val="16"/>
              </w:rPr>
            </w:pPr>
            <w:r w:rsidRPr="00382374">
              <w:rPr>
                <w:rFonts w:cstheme="minorHAnsi"/>
                <w:sz w:val="16"/>
                <w:szCs w:val="16"/>
              </w:rPr>
              <w:t xml:space="preserve">NM: </w:t>
            </w:r>
          </w:p>
          <w:p w14:paraId="1505C58A"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&lt;18: 56.2%</w:t>
            </w:r>
          </w:p>
          <w:p w14:paraId="1977F89B"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≥18: 43.8%</w:t>
            </w:r>
          </w:p>
        </w:tc>
        <w:tc>
          <w:tcPr>
            <w:tcW w:w="625" w:type="pct"/>
          </w:tcPr>
          <w:p w14:paraId="2A891200"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p w14:paraId="67844C9C" w14:textId="77777777" w:rsidR="00881FE9" w:rsidRPr="00DE452B" w:rsidRDefault="00881FE9" w:rsidP="003F5ADD">
            <w:pPr>
              <w:rPr>
                <w:rFonts w:asciiTheme="minorHAnsi" w:hAnsiTheme="minorHAnsi" w:cstheme="minorHAnsi"/>
                <w:sz w:val="16"/>
                <w:szCs w:val="16"/>
              </w:rPr>
            </w:pPr>
          </w:p>
          <w:p w14:paraId="597BE8DE" w14:textId="77777777" w:rsidR="00881FE9" w:rsidRPr="00DE452B" w:rsidRDefault="00881FE9" w:rsidP="003F5ADD">
            <w:pPr>
              <w:rPr>
                <w:rFonts w:asciiTheme="minorHAnsi" w:hAnsiTheme="minorHAnsi" w:cstheme="minorHAnsi"/>
                <w:sz w:val="16"/>
                <w:szCs w:val="16"/>
              </w:rPr>
            </w:pPr>
          </w:p>
          <w:p w14:paraId="01A17195" w14:textId="77777777" w:rsidR="00881FE9" w:rsidRPr="00DE452B" w:rsidRDefault="00881FE9" w:rsidP="003F5ADD">
            <w:pPr>
              <w:rPr>
                <w:rFonts w:asciiTheme="minorHAnsi" w:hAnsiTheme="minorHAnsi" w:cstheme="minorHAnsi"/>
                <w:sz w:val="16"/>
                <w:szCs w:val="16"/>
              </w:rPr>
            </w:pPr>
          </w:p>
        </w:tc>
        <w:tc>
          <w:tcPr>
            <w:tcW w:w="416" w:type="pct"/>
          </w:tcPr>
          <w:p w14:paraId="298F07F2"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6F3085D6"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338B4D8E" w14:textId="77777777" w:rsidR="00881FE9" w:rsidRPr="00DE452B" w:rsidRDefault="00881FE9" w:rsidP="00881FE9">
            <w:pPr>
              <w:rPr>
                <w:rFonts w:asciiTheme="minorHAnsi" w:hAnsiTheme="minorHAnsi" w:cstheme="minorHAnsi"/>
                <w:sz w:val="16"/>
                <w:szCs w:val="16"/>
                <w:u w:val="single"/>
              </w:rPr>
            </w:pPr>
            <w:r w:rsidRPr="00DE452B">
              <w:rPr>
                <w:rFonts w:asciiTheme="minorHAnsi" w:hAnsiTheme="minorHAnsi" w:cstheme="minorHAnsi"/>
                <w:sz w:val="16"/>
                <w:szCs w:val="16"/>
                <w:u w:val="single"/>
              </w:rPr>
              <w:t>Daily smokers</w:t>
            </w:r>
          </w:p>
          <w:p w14:paraId="022B048D"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M: 79.6% (95% CI 0.8)</w:t>
            </w:r>
          </w:p>
          <w:p w14:paraId="475A3F08"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NM: 81.4% (95% CI 0.4)</w:t>
            </w:r>
          </w:p>
          <w:p w14:paraId="6C30FD62" w14:textId="77777777" w:rsidR="00881FE9" w:rsidRPr="00DE452B" w:rsidRDefault="00881FE9" w:rsidP="00881FE9">
            <w:pPr>
              <w:rPr>
                <w:rFonts w:asciiTheme="minorHAnsi" w:hAnsiTheme="minorHAnsi" w:cstheme="minorHAnsi"/>
                <w:sz w:val="16"/>
                <w:szCs w:val="16"/>
                <w:u w:val="single"/>
              </w:rPr>
            </w:pPr>
            <w:r w:rsidRPr="00DE452B">
              <w:rPr>
                <w:rFonts w:asciiTheme="minorHAnsi" w:hAnsiTheme="minorHAnsi" w:cstheme="minorHAnsi"/>
                <w:sz w:val="16"/>
                <w:szCs w:val="16"/>
                <w:u w:val="single"/>
              </w:rPr>
              <w:t>Some days</w:t>
            </w:r>
          </w:p>
          <w:p w14:paraId="2E758387"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M: 20.4% (95% CI 0.8)</w:t>
            </w:r>
          </w:p>
          <w:p w14:paraId="6D438D4F"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NM: 18.6% (95% CI 0.4)</w:t>
            </w:r>
          </w:p>
        </w:tc>
      </w:tr>
      <w:tr w:rsidR="00881FE9" w:rsidRPr="00DE452B" w14:paraId="2CF8F7C3" w14:textId="77777777" w:rsidTr="00382374">
        <w:tc>
          <w:tcPr>
            <w:tcW w:w="624" w:type="pct"/>
          </w:tcPr>
          <w:p w14:paraId="7D419813" w14:textId="645FCDF0" w:rsidR="00881FE9" w:rsidRPr="00DE452B" w:rsidRDefault="00D2134A" w:rsidP="003F5ADD">
            <w:pPr>
              <w:rPr>
                <w:rFonts w:asciiTheme="minorHAnsi" w:hAnsiTheme="minorHAnsi" w:cstheme="minorHAnsi"/>
                <w:sz w:val="16"/>
                <w:szCs w:val="16"/>
              </w:rPr>
            </w:pPr>
            <w:r>
              <w:rPr>
                <w:rFonts w:cstheme="minorHAnsi"/>
                <w:sz w:val="16"/>
                <w:szCs w:val="16"/>
              </w:rPr>
              <w:fldChar w:fldCharType="begin"/>
            </w:r>
            <w:r>
              <w:rPr>
                <w:rFonts w:cstheme="minorHAnsi"/>
                <w:sz w:val="16"/>
                <w:szCs w:val="16"/>
              </w:rPr>
              <w:instrText xml:space="preserve"> ADDIN EN.CITE &lt;EndNote&gt;&lt;Cite&gt;&lt;Author&gt;Gandhi&lt;/Author&gt;&lt;Year&gt;2009&lt;/Year&gt;&lt;RecNum&gt;67&lt;/RecNum&gt;&lt;DisplayText&gt;(61)&lt;/DisplayText&gt;&lt;record&gt;&lt;rec-number&gt;67&lt;/rec-number&gt;&lt;foreign-keys&gt;&lt;key app="EN" db-id="a2vz2dfp8xrad6exes75zwpiw5rxwa0vwapv" timestamp="0"&gt;67&lt;/key&gt;&lt;/foreign-keys&gt;&lt;ref-type name="Journal Article"&gt;17&lt;/ref-type&gt;&lt;contributors&gt;&lt;authors&gt;&lt;author&gt;Gandhi, K. K.&lt;/author&gt;&lt;author&gt;Foulds, J.&lt;/author&gt;&lt;author&gt;Steinberg, M. B.&lt;/author&gt;&lt;author&gt;Lu, S. E.&lt;/author&gt;&lt;author&gt;Williams, J. M.&lt;/author&gt;&lt;/authors&gt;&lt;/contributors&gt;&lt;auth-address&gt;Division of Addiction Psychiatry, UMDNJ-Robert Wood Johnson Medical School, New Brunswick, NJ 08901, USA. kunal.gandhi@umdnj.edu&lt;/auth-address&gt;&lt;titles&gt;&lt;title&gt;Lower quit rates among African American and Latino menthol cigarette smokers at a tobacco treatment clinic&lt;/title&gt;&lt;secondary-title&gt;Int J Clin Pract&lt;/secondary-title&gt;&lt;/titles&gt;&lt;pages&gt;360-7&lt;/pages&gt;&lt;volume&gt;63&lt;/volume&gt;&lt;number&gt;3&lt;/number&gt;&lt;keywords&gt;&lt;keyword&gt;Adult&lt;/keyword&gt;&lt;keyword&gt;African Americans/*statistics &amp;amp; numerical data&lt;/keyword&gt;&lt;keyword&gt;Cohort Studies&lt;/keyword&gt;&lt;keyword&gt;Educational Status&lt;/keyword&gt;&lt;keyword&gt;European Continental Ancestry Group/statistics &amp;amp; numerical data&lt;/keyword&gt;&lt;keyword&gt;Female&lt;/keyword&gt;&lt;keyword&gt;Hispanic Americans/*statistics &amp;amp; numerical data&lt;/keyword&gt;&lt;keyword&gt;Humans&lt;/keyword&gt;&lt;keyword&gt;Male&lt;/keyword&gt;&lt;keyword&gt;Menthol&lt;/keyword&gt;&lt;keyword&gt;New Jersey&lt;/keyword&gt;&lt;keyword&gt;Retrospective Studies&lt;/keyword&gt;&lt;keyword&gt;Smoking/ethnology/*prevention &amp;amp; control&lt;/keyword&gt;&lt;keyword&gt;Smoking Cessation/*ethnology/statistics &amp;amp; numerical data&lt;/keyword&gt;&lt;keyword&gt;Socioeconomic Factors&lt;/keyword&gt;&lt;keyword&gt;Treatment Outcome&lt;/keyword&gt;&lt;/keywords&gt;&lt;dates&gt;&lt;year&gt;2009&lt;/year&gt;&lt;pub-dates&gt;&lt;date&gt;Mar&lt;/date&gt;&lt;/pub-dates&gt;&lt;/dates&gt;&lt;isbn&gt;1742-1241 (Electronic)&amp;#xD;1368-5031 (Linking)&lt;/isbn&gt;&lt;accession-num&gt;19222622&lt;/accession-num&gt;&lt;urls&gt;&lt;related-urls&gt;&lt;url&gt;http://www.ncbi.nlm.nih.gov/pubmed/19222622&lt;/url&gt;&lt;/related-urls&gt;&lt;/urls&gt;&lt;electronic-resource-num&gt;10.1111/j.1742-1241.2008.01969.x&lt;/electronic-resource-num&gt;&lt;research-notes&gt;#335&lt;/research-notes&gt;&lt;/record&gt;&lt;/Cite&gt;&lt;/EndNote&gt;</w:instrText>
            </w:r>
            <w:r>
              <w:rPr>
                <w:rFonts w:cstheme="minorHAnsi"/>
                <w:sz w:val="16"/>
                <w:szCs w:val="16"/>
              </w:rPr>
              <w:fldChar w:fldCharType="separate"/>
            </w:r>
            <w:r>
              <w:rPr>
                <w:rFonts w:cstheme="minorHAnsi"/>
                <w:noProof/>
                <w:sz w:val="16"/>
                <w:szCs w:val="16"/>
              </w:rPr>
              <w:t>(</w:t>
            </w:r>
            <w:hyperlink w:anchor="_ENREF_61" w:tooltip="Gandhi, 2009 #67" w:history="1">
              <w:r w:rsidR="00A234A9">
                <w:rPr>
                  <w:rFonts w:cstheme="minorHAnsi"/>
                  <w:noProof/>
                  <w:sz w:val="16"/>
                  <w:szCs w:val="16"/>
                </w:rPr>
                <w:t>61</w:t>
              </w:r>
            </w:hyperlink>
            <w:r>
              <w:rPr>
                <w:rFonts w:cstheme="minorHAnsi"/>
                <w:noProof/>
                <w:sz w:val="16"/>
                <w:szCs w:val="16"/>
              </w:rPr>
              <w:t>)</w:t>
            </w:r>
            <w:r>
              <w:rPr>
                <w:rFonts w:cstheme="minorHAnsi"/>
                <w:sz w:val="16"/>
                <w:szCs w:val="16"/>
              </w:rPr>
              <w:fldChar w:fldCharType="end"/>
            </w:r>
          </w:p>
          <w:p w14:paraId="58741407"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None</w:t>
            </w:r>
          </w:p>
          <w:p w14:paraId="78312595"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None</w:t>
            </w:r>
          </w:p>
        </w:tc>
        <w:tc>
          <w:tcPr>
            <w:tcW w:w="589" w:type="pct"/>
          </w:tcPr>
          <w:p w14:paraId="107BCB8E"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Age first used tobacco</w:t>
            </w:r>
          </w:p>
        </w:tc>
        <w:tc>
          <w:tcPr>
            <w:tcW w:w="661" w:type="pct"/>
          </w:tcPr>
          <w:p w14:paraId="783CB4F7"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M: 14.9 (4.0)</w:t>
            </w:r>
          </w:p>
          <w:p w14:paraId="4BF75247"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NM: 15.2 (4.2)</w:t>
            </w:r>
          </w:p>
          <w:p w14:paraId="6A1C5305"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(p=0.10)</w:t>
            </w:r>
          </w:p>
        </w:tc>
        <w:tc>
          <w:tcPr>
            <w:tcW w:w="625" w:type="pct"/>
          </w:tcPr>
          <w:p w14:paraId="5BA9CFDD"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1C984474"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1886D096"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06FCD80C"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r>
      <w:tr w:rsidR="00881FE9" w:rsidRPr="00DE452B" w14:paraId="6EC700B1" w14:textId="77777777" w:rsidTr="00382374">
        <w:tc>
          <w:tcPr>
            <w:tcW w:w="624" w:type="pct"/>
          </w:tcPr>
          <w:p w14:paraId="6645BE8B" w14:textId="7C5E7FA2" w:rsidR="00881FE9" w:rsidRPr="00DE452B" w:rsidRDefault="00D2134A" w:rsidP="003F5ADD">
            <w:pPr>
              <w:rPr>
                <w:rFonts w:asciiTheme="minorHAnsi" w:hAnsiTheme="minorHAnsi" w:cstheme="minorHAnsi"/>
                <w:sz w:val="16"/>
                <w:szCs w:val="16"/>
              </w:rPr>
            </w:pPr>
            <w:r>
              <w:rPr>
                <w:rFonts w:cstheme="minorHAnsi"/>
                <w:sz w:val="16"/>
                <w:szCs w:val="16"/>
              </w:rPr>
              <w:fldChar w:fldCharType="begin">
                <w:fldData xml:space="preserve">PEVuZE5vdGU+PENpdGU+PEF1dGhvcj5HaW92aW5vPC9BdXRob3I+PFllYXI+MjAxNTwvWWVhcj48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PEVuZE5vdGU+PENpdGU+PEF1dGhvcj5HaW92aW5vPC9BdXRob3I+PFllYXI+MjAxNTwvWWVhcj48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62" w:tooltip="Giovino, 2015 #10" w:history="1">
              <w:r w:rsidR="00A234A9">
                <w:rPr>
                  <w:rFonts w:cstheme="minorHAnsi"/>
                  <w:noProof/>
                  <w:sz w:val="16"/>
                  <w:szCs w:val="16"/>
                </w:rPr>
                <w:t>62</w:t>
              </w:r>
            </w:hyperlink>
            <w:r>
              <w:rPr>
                <w:rFonts w:cstheme="minorHAnsi"/>
                <w:noProof/>
                <w:sz w:val="16"/>
                <w:szCs w:val="16"/>
              </w:rPr>
              <w:t>)</w:t>
            </w:r>
            <w:r>
              <w:rPr>
                <w:rFonts w:cstheme="minorHAnsi"/>
                <w:sz w:val="16"/>
                <w:szCs w:val="16"/>
              </w:rPr>
              <w:fldChar w:fldCharType="end"/>
            </w:r>
          </w:p>
          <w:p w14:paraId="1CABB802"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NSDUH</w:t>
            </w:r>
            <w:r w:rsidR="00D50EBC" w:rsidRPr="00DE452B">
              <w:rPr>
                <w:rFonts w:asciiTheme="minorHAnsi" w:hAnsiTheme="minorHAnsi" w:cstheme="minorHAnsi"/>
                <w:sz w:val="16"/>
                <w:szCs w:val="16"/>
                <w:vertAlign w:val="superscript"/>
              </w:rPr>
              <w:t>b</w:t>
            </w:r>
          </w:p>
          <w:p w14:paraId="02BEF295"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None</w:t>
            </w:r>
          </w:p>
        </w:tc>
        <w:tc>
          <w:tcPr>
            <w:tcW w:w="589" w:type="pct"/>
          </w:tcPr>
          <w:p w14:paraId="726CE709"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Smoking categorized as: 1-5 days, 6-29 days, 30 days</w:t>
            </w:r>
          </w:p>
          <w:p w14:paraId="56E84B37" w14:textId="77777777" w:rsidR="00621FF9" w:rsidRPr="00DE452B" w:rsidRDefault="00621FF9" w:rsidP="00621FF9">
            <w:pPr>
              <w:rPr>
                <w:rFonts w:asciiTheme="minorHAnsi" w:hAnsiTheme="minorHAnsi" w:cstheme="minorHAnsi"/>
                <w:sz w:val="16"/>
                <w:szCs w:val="16"/>
              </w:rPr>
            </w:pPr>
          </w:p>
          <w:p w14:paraId="289A72FF"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Daily smokers were smokers who smoked for 30 days in the past 30 days</w:t>
            </w:r>
          </w:p>
          <w:p w14:paraId="483A5756" w14:textId="77777777" w:rsidR="00621FF9" w:rsidRPr="00DE452B" w:rsidRDefault="00621FF9" w:rsidP="00621FF9">
            <w:pPr>
              <w:rPr>
                <w:rFonts w:asciiTheme="minorHAnsi" w:hAnsiTheme="minorHAnsi" w:cstheme="minorHAnsi"/>
                <w:sz w:val="16"/>
                <w:szCs w:val="16"/>
              </w:rPr>
            </w:pPr>
          </w:p>
          <w:p w14:paraId="013548A6" w14:textId="77777777" w:rsidR="00881FE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Non-daily smokers were either 1-5 days or 6-29 days</w:t>
            </w:r>
          </w:p>
        </w:tc>
        <w:tc>
          <w:tcPr>
            <w:tcW w:w="661" w:type="pct"/>
          </w:tcPr>
          <w:p w14:paraId="7430C9F0"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625" w:type="pct"/>
          </w:tcPr>
          <w:p w14:paraId="0EC000E4"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76EEDDDA"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44C1E8C9"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5E0C32C5" w14:textId="77777777" w:rsidR="00881FE9" w:rsidRPr="00DE452B" w:rsidRDefault="00881FE9" w:rsidP="00881FE9">
            <w:pPr>
              <w:rPr>
                <w:rFonts w:asciiTheme="minorHAnsi" w:hAnsiTheme="minorHAnsi" w:cstheme="minorHAnsi"/>
                <w:sz w:val="16"/>
                <w:szCs w:val="16"/>
                <w:u w:val="single"/>
              </w:rPr>
            </w:pPr>
            <w:r w:rsidRPr="00DE452B">
              <w:rPr>
                <w:rFonts w:asciiTheme="minorHAnsi" w:hAnsiTheme="minorHAnsi" w:cstheme="minorHAnsi"/>
                <w:sz w:val="16"/>
                <w:szCs w:val="16"/>
                <w:u w:val="single"/>
              </w:rPr>
              <w:t>Daily smokers</w:t>
            </w:r>
          </w:p>
          <w:p w14:paraId="1504A1E9"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M: 31.92% (30.71% to 33.13%)</w:t>
            </w:r>
          </w:p>
          <w:p w14:paraId="6DC42229" w14:textId="77777777" w:rsidR="00881FE9" w:rsidRPr="00DE452B" w:rsidRDefault="00881FE9" w:rsidP="00881FE9">
            <w:pPr>
              <w:rPr>
                <w:rFonts w:asciiTheme="minorHAnsi" w:hAnsiTheme="minorHAnsi" w:cstheme="minorHAnsi"/>
                <w:sz w:val="16"/>
                <w:szCs w:val="16"/>
                <w:u w:val="single"/>
              </w:rPr>
            </w:pPr>
            <w:r w:rsidRPr="00DE452B">
              <w:rPr>
                <w:rFonts w:asciiTheme="minorHAnsi" w:hAnsiTheme="minorHAnsi" w:cstheme="minorHAnsi"/>
                <w:sz w:val="16"/>
                <w:szCs w:val="16"/>
                <w:u w:val="single"/>
              </w:rPr>
              <w:t>Smoked 6-29 days in past month</w:t>
            </w:r>
          </w:p>
          <w:p w14:paraId="185F79C8"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M: 41.30% (39.44% to 43.13%)</w:t>
            </w:r>
          </w:p>
          <w:p w14:paraId="21CF9CF0" w14:textId="77777777" w:rsidR="00881FE9" w:rsidRPr="00DE452B" w:rsidRDefault="00881FE9" w:rsidP="00881FE9">
            <w:pPr>
              <w:rPr>
                <w:rFonts w:asciiTheme="minorHAnsi" w:hAnsiTheme="minorHAnsi" w:cstheme="minorHAnsi"/>
                <w:sz w:val="16"/>
                <w:szCs w:val="16"/>
                <w:u w:val="single"/>
              </w:rPr>
            </w:pPr>
            <w:r w:rsidRPr="00DE452B">
              <w:rPr>
                <w:rFonts w:asciiTheme="minorHAnsi" w:hAnsiTheme="minorHAnsi" w:cstheme="minorHAnsi"/>
                <w:sz w:val="16"/>
                <w:szCs w:val="16"/>
                <w:u w:val="single"/>
              </w:rPr>
              <w:t>Smoked 1-5 days in past month</w:t>
            </w:r>
          </w:p>
          <w:p w14:paraId="34C46E44"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M: 39.50% (37.35% to 41.65%)</w:t>
            </w:r>
          </w:p>
        </w:tc>
      </w:tr>
      <w:tr w:rsidR="00881FE9" w:rsidRPr="00DE452B" w14:paraId="44D80E0D" w14:textId="77777777" w:rsidTr="00382374">
        <w:tc>
          <w:tcPr>
            <w:tcW w:w="624" w:type="pct"/>
          </w:tcPr>
          <w:p w14:paraId="637265E8" w14:textId="1F011867" w:rsidR="00881FE9" w:rsidRPr="00DE452B" w:rsidRDefault="00D2134A" w:rsidP="003F5ADD">
            <w:pPr>
              <w:rPr>
                <w:rFonts w:asciiTheme="minorHAnsi" w:hAnsiTheme="minorHAnsi" w:cstheme="minorHAnsi"/>
                <w:sz w:val="16"/>
                <w:szCs w:val="16"/>
              </w:rPr>
            </w:pPr>
            <w:r>
              <w:rPr>
                <w:rFonts w:cstheme="minorHAnsi"/>
                <w:sz w:val="16"/>
                <w:szCs w:val="16"/>
              </w:rPr>
              <w:fldChar w:fldCharType="begin"/>
            </w:r>
            <w:r>
              <w:rPr>
                <w:rFonts w:cstheme="minorHAnsi"/>
                <w:sz w:val="16"/>
                <w:szCs w:val="16"/>
              </w:rPr>
              <w:instrText xml:space="preserve"> ADDIN EN.CITE &lt;EndNote&gt;&lt;Cite&gt;&lt;Author&gt;Hersey&lt;/Author&gt;&lt;Year&gt;2010&lt;/Year&gt;&lt;RecNum&gt;103&lt;/RecNum&gt;&lt;DisplayText&gt;(63)&lt;/DisplayText&gt;&lt;record&gt;&lt;rec-number&gt;103&lt;/rec-number&gt;&lt;foreign-keys&gt;&lt;key app="EN" db-id="a2vz2dfp8xrad6exes75zwpiw5rxwa0vwapv" timestamp="0"&gt;103&lt;/key&gt;&lt;/foreign-keys&gt;&lt;ref-type name="Journal Article"&gt;17&lt;/ref-type&gt;&lt;contributors&gt;&lt;authors&gt;&lt;author&gt;Hersey, J. C.&lt;/author&gt;&lt;author&gt;Nonnemaker, J.&lt;/author&gt;&lt;author&gt;Homsi, G.&lt;/author&gt;&lt;author&gt;Allen, J.&lt;/author&gt;&lt;/authors&gt;&lt;/contributors&gt;&lt;titles&gt;&lt;title&gt;Menthol cigarettes, saliva cotinine, and nicotine dependence in adolescents&lt;/title&gt;&lt;/titles&gt;&lt;dates&gt;&lt;year&gt;2010&lt;/year&gt;&lt;/dates&gt;&lt;publisher&gt;RTI International&lt;/publisher&gt;&lt;urls&gt;&lt;/urls&gt;&lt;research-notes&gt;#827&lt;/research-notes&gt;&lt;/record&gt;&lt;/Cite&gt;&lt;/EndNote&gt;</w:instrText>
            </w:r>
            <w:r>
              <w:rPr>
                <w:rFonts w:cstheme="minorHAnsi"/>
                <w:sz w:val="16"/>
                <w:szCs w:val="16"/>
              </w:rPr>
              <w:fldChar w:fldCharType="separate"/>
            </w:r>
            <w:r>
              <w:rPr>
                <w:rFonts w:cstheme="minorHAnsi"/>
                <w:noProof/>
                <w:sz w:val="16"/>
                <w:szCs w:val="16"/>
              </w:rPr>
              <w:t>(</w:t>
            </w:r>
            <w:hyperlink w:anchor="_ENREF_63" w:tooltip="Hersey, 2010 #103" w:history="1">
              <w:r w:rsidR="00A234A9">
                <w:rPr>
                  <w:rFonts w:cstheme="minorHAnsi"/>
                  <w:noProof/>
                  <w:sz w:val="16"/>
                  <w:szCs w:val="16"/>
                </w:rPr>
                <w:t>63</w:t>
              </w:r>
            </w:hyperlink>
            <w:r>
              <w:rPr>
                <w:rFonts w:cstheme="minorHAnsi"/>
                <w:noProof/>
                <w:sz w:val="16"/>
                <w:szCs w:val="16"/>
              </w:rPr>
              <w:t>)</w:t>
            </w:r>
            <w:r>
              <w:rPr>
                <w:rFonts w:cstheme="minorHAnsi"/>
                <w:sz w:val="16"/>
                <w:szCs w:val="16"/>
              </w:rPr>
              <w:fldChar w:fldCharType="end"/>
            </w:r>
          </w:p>
          <w:p w14:paraId="36BC6CCB"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NBVS</w:t>
            </w:r>
          </w:p>
          <w:p w14:paraId="75A676B8"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Youth</w:t>
            </w:r>
          </w:p>
        </w:tc>
        <w:tc>
          <w:tcPr>
            <w:tcW w:w="589" w:type="pct"/>
          </w:tcPr>
          <w:p w14:paraId="0E255BEB"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 xml:space="preserve">Duration of smoking (&lt;1 year and ≥1 year), mean CPD (number of </w:t>
            </w:r>
            <w:r w:rsidR="004627C5">
              <w:rPr>
                <w:rFonts w:asciiTheme="minorHAnsi" w:hAnsiTheme="minorHAnsi" w:cstheme="minorHAnsi"/>
                <w:sz w:val="16"/>
                <w:szCs w:val="16"/>
              </w:rPr>
              <w:t>cigs</w:t>
            </w:r>
            <w:r w:rsidR="004627C5" w:rsidRPr="00DE452B">
              <w:rPr>
                <w:rFonts w:asciiTheme="minorHAnsi" w:hAnsiTheme="minorHAnsi" w:cstheme="minorHAnsi"/>
                <w:sz w:val="16"/>
                <w:szCs w:val="16"/>
              </w:rPr>
              <w:t xml:space="preserve"> </w:t>
            </w:r>
            <w:r w:rsidRPr="00DE452B">
              <w:rPr>
                <w:rFonts w:asciiTheme="minorHAnsi" w:hAnsiTheme="minorHAnsi" w:cstheme="minorHAnsi"/>
                <w:sz w:val="16"/>
                <w:szCs w:val="16"/>
              </w:rPr>
              <w:t>smoked on days smoked)</w:t>
            </w:r>
          </w:p>
        </w:tc>
        <w:tc>
          <w:tcPr>
            <w:tcW w:w="661" w:type="pct"/>
          </w:tcPr>
          <w:p w14:paraId="4A440F93"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625" w:type="pct"/>
          </w:tcPr>
          <w:p w14:paraId="30166600"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6653E18B"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3B007FA4"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1D2D90DF"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u w:val="single"/>
              </w:rPr>
              <w:t xml:space="preserve">Smoked &lt;1 </w:t>
            </w:r>
            <w:r w:rsidR="00667B57">
              <w:rPr>
                <w:rFonts w:asciiTheme="minorHAnsi" w:hAnsiTheme="minorHAnsi" w:cstheme="minorHAnsi"/>
                <w:sz w:val="16"/>
                <w:szCs w:val="16"/>
                <w:u w:val="single"/>
              </w:rPr>
              <w:t>yr</w:t>
            </w:r>
          </w:p>
          <w:p w14:paraId="781B69C4" w14:textId="77777777" w:rsidR="00881FE9" w:rsidRPr="00DE452B" w:rsidRDefault="00881FE9" w:rsidP="003F5ADD">
            <w:pPr>
              <w:rPr>
                <w:rFonts w:asciiTheme="minorHAnsi" w:hAnsiTheme="minorHAnsi" w:cstheme="minorHAnsi"/>
                <w:i/>
                <w:sz w:val="16"/>
                <w:szCs w:val="16"/>
              </w:rPr>
            </w:pPr>
            <w:r w:rsidRPr="00DE452B">
              <w:rPr>
                <w:rFonts w:asciiTheme="minorHAnsi" w:hAnsiTheme="minorHAnsi" w:cstheme="minorHAnsi"/>
                <w:i/>
                <w:sz w:val="16"/>
                <w:szCs w:val="16"/>
              </w:rPr>
              <w:t>Total sample</w:t>
            </w:r>
          </w:p>
          <w:p w14:paraId="4EB56B3B"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M: 25.2%</w:t>
            </w:r>
          </w:p>
          <w:p w14:paraId="20DF86FC"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NM: 21.2%</w:t>
            </w:r>
          </w:p>
          <w:p w14:paraId="3A4A2F23"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u w:val="single"/>
              </w:rPr>
              <w:t xml:space="preserve">Smoked ≥1 </w:t>
            </w:r>
            <w:r w:rsidR="00667B57">
              <w:rPr>
                <w:rFonts w:asciiTheme="minorHAnsi" w:hAnsiTheme="minorHAnsi" w:cstheme="minorHAnsi"/>
                <w:sz w:val="16"/>
                <w:szCs w:val="16"/>
                <w:u w:val="single"/>
              </w:rPr>
              <w:t>yr</w:t>
            </w:r>
          </w:p>
          <w:p w14:paraId="4AFF3764" w14:textId="77777777" w:rsidR="00881FE9" w:rsidRPr="00DE452B" w:rsidRDefault="00881FE9" w:rsidP="003F5ADD">
            <w:pPr>
              <w:rPr>
                <w:rFonts w:asciiTheme="minorHAnsi" w:hAnsiTheme="minorHAnsi" w:cstheme="minorHAnsi"/>
                <w:i/>
                <w:sz w:val="16"/>
                <w:szCs w:val="16"/>
              </w:rPr>
            </w:pPr>
            <w:r w:rsidRPr="00DE452B">
              <w:rPr>
                <w:rFonts w:asciiTheme="minorHAnsi" w:hAnsiTheme="minorHAnsi" w:cstheme="minorHAnsi"/>
                <w:i/>
                <w:sz w:val="16"/>
                <w:szCs w:val="16"/>
              </w:rPr>
              <w:t>Total sample</w:t>
            </w:r>
          </w:p>
          <w:p w14:paraId="3BFCE3D3"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M: 74.8%</w:t>
            </w:r>
          </w:p>
          <w:p w14:paraId="6FBCF017"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NM: 78.8%</w:t>
            </w:r>
          </w:p>
          <w:p w14:paraId="3E538569"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CPD (Smoked &lt;1 </w:t>
            </w:r>
            <w:r w:rsidR="00667B57">
              <w:rPr>
                <w:rFonts w:asciiTheme="minorHAnsi" w:hAnsiTheme="minorHAnsi" w:cstheme="minorHAnsi"/>
                <w:sz w:val="16"/>
                <w:szCs w:val="16"/>
                <w:u w:val="single"/>
              </w:rPr>
              <w:t>yr</w:t>
            </w:r>
            <w:r w:rsidRPr="00DE452B">
              <w:rPr>
                <w:rFonts w:asciiTheme="minorHAnsi" w:hAnsiTheme="minorHAnsi" w:cstheme="minorHAnsi"/>
                <w:sz w:val="16"/>
                <w:szCs w:val="16"/>
                <w:u w:val="single"/>
              </w:rPr>
              <w:t>)</w:t>
            </w:r>
          </w:p>
          <w:p w14:paraId="2531EC15" w14:textId="77777777" w:rsidR="00881FE9" w:rsidRPr="00DE452B" w:rsidRDefault="00881FE9" w:rsidP="003F5ADD">
            <w:pPr>
              <w:rPr>
                <w:rFonts w:asciiTheme="minorHAnsi" w:hAnsiTheme="minorHAnsi" w:cstheme="minorHAnsi"/>
                <w:i/>
                <w:sz w:val="16"/>
                <w:szCs w:val="16"/>
              </w:rPr>
            </w:pPr>
            <w:r w:rsidRPr="00DE452B">
              <w:rPr>
                <w:rFonts w:asciiTheme="minorHAnsi" w:hAnsiTheme="minorHAnsi" w:cstheme="minorHAnsi"/>
                <w:i/>
                <w:sz w:val="16"/>
                <w:szCs w:val="16"/>
              </w:rPr>
              <w:t>Total sample</w:t>
            </w:r>
          </w:p>
          <w:p w14:paraId="073A9A6E"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M: 3.94 (95% CI: 2.47 to 5.41)</w:t>
            </w:r>
          </w:p>
          <w:p w14:paraId="6E43154C"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NM: 5.85 (95% CI: 4.30 to 7.39)</w:t>
            </w:r>
          </w:p>
          <w:p w14:paraId="1E94EC50"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p-value: 0.08</w:t>
            </w:r>
          </w:p>
          <w:p w14:paraId="523A7B86"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u w:val="single"/>
              </w:rPr>
              <w:t xml:space="preserve">CPD (Smoked ≥1 </w:t>
            </w:r>
            <w:r w:rsidR="00667B57">
              <w:rPr>
                <w:rFonts w:asciiTheme="minorHAnsi" w:hAnsiTheme="minorHAnsi" w:cstheme="minorHAnsi"/>
                <w:sz w:val="16"/>
                <w:szCs w:val="16"/>
                <w:u w:val="single"/>
              </w:rPr>
              <w:t>yr</w:t>
            </w:r>
            <w:r w:rsidRPr="00DE452B">
              <w:rPr>
                <w:rFonts w:asciiTheme="minorHAnsi" w:hAnsiTheme="minorHAnsi" w:cstheme="minorHAnsi"/>
                <w:sz w:val="16"/>
                <w:szCs w:val="16"/>
                <w:u w:val="single"/>
              </w:rPr>
              <w:t>)</w:t>
            </w:r>
          </w:p>
          <w:p w14:paraId="28A1A1F1" w14:textId="77777777" w:rsidR="00881FE9" w:rsidRPr="00DE452B" w:rsidRDefault="00881FE9" w:rsidP="003F5ADD">
            <w:pPr>
              <w:rPr>
                <w:rFonts w:asciiTheme="minorHAnsi" w:hAnsiTheme="minorHAnsi" w:cstheme="minorHAnsi"/>
                <w:i/>
                <w:sz w:val="16"/>
                <w:szCs w:val="16"/>
              </w:rPr>
            </w:pPr>
            <w:r w:rsidRPr="00DE452B">
              <w:rPr>
                <w:rFonts w:asciiTheme="minorHAnsi" w:hAnsiTheme="minorHAnsi" w:cstheme="minorHAnsi"/>
                <w:i/>
                <w:sz w:val="16"/>
                <w:szCs w:val="16"/>
              </w:rPr>
              <w:t>Total sample</w:t>
            </w:r>
          </w:p>
          <w:p w14:paraId="5BCE615B"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M: 6.56 (95% CI: 5.59 to 7.53)</w:t>
            </w:r>
          </w:p>
          <w:p w14:paraId="1779D2DA"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NM: 7.21 (95% CI: 6.49 to 7.92)</w:t>
            </w:r>
          </w:p>
          <w:p w14:paraId="379AB329"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p-value: 0.29</w:t>
            </w:r>
          </w:p>
        </w:tc>
      </w:tr>
      <w:tr w:rsidR="00881FE9" w:rsidRPr="00DE452B" w14:paraId="00FBFD60" w14:textId="77777777" w:rsidTr="00382374">
        <w:tc>
          <w:tcPr>
            <w:tcW w:w="624" w:type="pct"/>
          </w:tcPr>
          <w:p w14:paraId="2F9FE09D" w14:textId="085550ED" w:rsidR="00881FE9" w:rsidRPr="00DE452B" w:rsidRDefault="00D2134A" w:rsidP="003F5ADD">
            <w:pPr>
              <w:rPr>
                <w:rFonts w:asciiTheme="minorHAnsi" w:hAnsiTheme="minorHAnsi" w:cstheme="minorHAnsi"/>
                <w:sz w:val="16"/>
                <w:szCs w:val="16"/>
              </w:rPr>
            </w:pPr>
            <w:r>
              <w:rPr>
                <w:rFonts w:cstheme="minorHAnsi"/>
                <w:sz w:val="16"/>
                <w:szCs w:val="16"/>
              </w:rPr>
              <w:lastRenderedPageBreak/>
              <w:fldChar w:fldCharType="begin"/>
            </w:r>
            <w:r>
              <w:rPr>
                <w:rFonts w:cstheme="minorHAnsi"/>
                <w:sz w:val="16"/>
                <w:szCs w:val="16"/>
              </w:rPr>
              <w:instrText xml:space="preserve"> ADDIN EN.CITE &lt;EndNote&gt;&lt;Cite&gt;&lt;Author&gt;Hersey&lt;/Author&gt;&lt;Year&gt;2006&lt;/Year&gt;&lt;RecNum&gt;80&lt;/RecNum&gt;&lt;DisplayText&gt;(64)&lt;/DisplayText&gt;&lt;record&gt;&lt;rec-number&gt;80&lt;/rec-number&gt;&lt;foreign-keys&gt;&lt;key app="EN" db-id="a2vz2dfp8xrad6exes75zwpiw5rxwa0vwapv" timestamp="0"&gt;80&lt;/key&gt;&lt;/foreign-keys&gt;&lt;ref-type name="Journal Article"&gt;17&lt;/ref-type&gt;&lt;contributors&gt;&lt;authors&gt;&lt;author&gt;Hersey, J. C.&lt;/author&gt;&lt;author&gt;Ng, S. W.&lt;/author&gt;&lt;author&gt;Nonnemaker, J. M.&lt;/author&gt;&lt;author&gt;Mowery, P.&lt;/author&gt;&lt;author&gt;Thomas, K. Y.&lt;/author&gt;&lt;author&gt;Vilsaint, M. C.&lt;/author&gt;&lt;author&gt;Allen, J. A.&lt;/author&gt;&lt;author&gt;Haviland, M. L.&lt;/author&gt;&lt;/authors&gt;&lt;/contributors&gt;&lt;auth-address&gt;RTI International, Washington, DC 20036, USA. hersey@rti.org&lt;/auth-address&gt;&lt;titles&gt;&lt;title&gt;Are menthol cigarettes a starter product for youth?&lt;/title&gt;&lt;secondary-title&gt;Nicotine Tob Res&lt;/secondary-title&gt;&lt;/titles&gt;&lt;periodical&gt;&lt;full-title&gt;Nicotine Tob Res&lt;/full-title&gt;&lt;/periodical&gt;&lt;pages&gt;403-13&lt;/pages&gt;&lt;volume&gt;8&lt;/volume&gt;&lt;number&gt;3&lt;/number&gt;&lt;keywords&gt;&lt;keyword&gt;Adolescent&lt;/keyword&gt;&lt;keyword&gt;Adolescent Behavior&lt;/keyword&gt;&lt;keyword&gt;Behavior, Addictive/*epidemiology&lt;/keyword&gt;&lt;keyword&gt;Causality&lt;/keyword&gt;&lt;keyword&gt;Comorbidity&lt;/keyword&gt;&lt;keyword&gt;Female&lt;/keyword&gt;&lt;keyword&gt;Flavoring Agents/administration &amp;amp; dosage&lt;/keyword&gt;&lt;keyword&gt;Humans&lt;/keyword&gt;&lt;keyword&gt;Male&lt;/keyword&gt;&lt;keyword&gt;Menthol/*administration &amp;amp; dosage&lt;/keyword&gt;&lt;keyword&gt;Population Surveillance&lt;/keyword&gt;&lt;keyword&gt;Smoking/*epidemiology/psychology&lt;/keyword&gt;&lt;keyword&gt;*Tobacco Industry&lt;/keyword&gt;&lt;keyword&gt;Tobacco Use Disorder/*epidemiology&lt;/keyword&gt;&lt;keyword&gt;United States/epidemiology&lt;/keyword&gt;&lt;/keywords&gt;&lt;dates&gt;&lt;year&gt;2006&lt;/year&gt;&lt;pub-dates&gt;&lt;date&gt;Jun&lt;/date&gt;&lt;/pub-dates&gt;&lt;/dates&gt;&lt;isbn&gt;1462-2203 (Print)&amp;#xD;1462-2203 (Linking)&lt;/isbn&gt;&lt;accession-num&gt;16801298&lt;/accession-num&gt;&lt;urls&gt;&lt;related-urls&gt;&lt;url&gt;http://www.ncbi.nlm.nih.gov/pubmed/16801298&lt;/url&gt;&lt;/related-urls&gt;&lt;/urls&gt;&lt;electronic-resource-num&gt;10.1080/14622200600670389&lt;/electronic-resource-num&gt;&lt;research-notes&gt;#389&lt;/research-notes&gt;&lt;/record&gt;&lt;/Cite&gt;&lt;/EndNote&gt;</w:instrText>
            </w:r>
            <w:r>
              <w:rPr>
                <w:rFonts w:cstheme="minorHAnsi"/>
                <w:sz w:val="16"/>
                <w:szCs w:val="16"/>
              </w:rPr>
              <w:fldChar w:fldCharType="separate"/>
            </w:r>
            <w:r>
              <w:rPr>
                <w:rFonts w:cstheme="minorHAnsi"/>
                <w:noProof/>
                <w:sz w:val="16"/>
                <w:szCs w:val="16"/>
              </w:rPr>
              <w:t>(</w:t>
            </w:r>
            <w:hyperlink w:anchor="_ENREF_64" w:tooltip="Hersey, 2006 #80" w:history="1">
              <w:r w:rsidR="00A234A9">
                <w:rPr>
                  <w:rFonts w:cstheme="minorHAnsi"/>
                  <w:noProof/>
                  <w:sz w:val="16"/>
                  <w:szCs w:val="16"/>
                </w:rPr>
                <w:t>64</w:t>
              </w:r>
            </w:hyperlink>
            <w:r>
              <w:rPr>
                <w:rFonts w:cstheme="minorHAnsi"/>
                <w:noProof/>
                <w:sz w:val="16"/>
                <w:szCs w:val="16"/>
              </w:rPr>
              <w:t>)</w:t>
            </w:r>
            <w:r>
              <w:rPr>
                <w:rFonts w:cstheme="minorHAnsi"/>
                <w:sz w:val="16"/>
                <w:szCs w:val="16"/>
              </w:rPr>
              <w:fldChar w:fldCharType="end"/>
            </w:r>
          </w:p>
          <w:p w14:paraId="2378C359"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NYTS</w:t>
            </w:r>
            <w:r w:rsidRPr="00DE452B">
              <w:rPr>
                <w:rFonts w:asciiTheme="minorHAnsi" w:hAnsiTheme="minorHAnsi" w:cstheme="minorHAnsi"/>
                <w:sz w:val="16"/>
                <w:szCs w:val="16"/>
                <w:vertAlign w:val="superscript"/>
              </w:rPr>
              <w:t>b</w:t>
            </w:r>
          </w:p>
          <w:p w14:paraId="6AEAFEC7"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Youth</w:t>
            </w:r>
          </w:p>
        </w:tc>
        <w:tc>
          <w:tcPr>
            <w:tcW w:w="589" w:type="pct"/>
          </w:tcPr>
          <w:p w14:paraId="543D0324"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Smoked 1-19 days in past month versus smoking ≥20 days in past month</w:t>
            </w:r>
          </w:p>
          <w:p w14:paraId="43AE56D1" w14:textId="77777777" w:rsidR="00881FE9" w:rsidRPr="00DE452B" w:rsidRDefault="00881FE9" w:rsidP="003F5ADD">
            <w:pPr>
              <w:rPr>
                <w:rFonts w:asciiTheme="minorHAnsi" w:hAnsiTheme="minorHAnsi" w:cstheme="minorHAnsi"/>
                <w:sz w:val="16"/>
                <w:szCs w:val="16"/>
              </w:rPr>
            </w:pPr>
          </w:p>
        </w:tc>
        <w:tc>
          <w:tcPr>
            <w:tcW w:w="661" w:type="pct"/>
          </w:tcPr>
          <w:p w14:paraId="1245687E"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625" w:type="pct"/>
          </w:tcPr>
          <w:p w14:paraId="0BC67814"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57F9439F"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10A418FC"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025F3672" w14:textId="77777777" w:rsidR="00881FE9" w:rsidRPr="00DE452B" w:rsidRDefault="00881FE9" w:rsidP="00881FE9">
            <w:pPr>
              <w:rPr>
                <w:rFonts w:asciiTheme="minorHAnsi" w:hAnsiTheme="minorHAnsi" w:cstheme="minorHAnsi"/>
                <w:sz w:val="16"/>
                <w:szCs w:val="16"/>
                <w:u w:val="single"/>
              </w:rPr>
            </w:pPr>
            <w:r w:rsidRPr="00DE452B">
              <w:rPr>
                <w:rFonts w:asciiTheme="minorHAnsi" w:hAnsiTheme="minorHAnsi" w:cstheme="minorHAnsi"/>
                <w:sz w:val="16"/>
                <w:szCs w:val="16"/>
                <w:u w:val="single"/>
              </w:rPr>
              <w:t>Smoked 1-19 days in past month</w:t>
            </w:r>
          </w:p>
          <w:p w14:paraId="19B85E0D"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M: 54.9% (50.2 to 59.4)</w:t>
            </w:r>
          </w:p>
          <w:p w14:paraId="50FCD9C3"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NM: 48.6% (45.2 to 52.0)</w:t>
            </w:r>
          </w:p>
          <w:p w14:paraId="0F3AF1CC" w14:textId="77777777" w:rsidR="00881FE9" w:rsidRPr="00DE452B" w:rsidRDefault="00881FE9" w:rsidP="00881FE9">
            <w:pPr>
              <w:rPr>
                <w:rFonts w:asciiTheme="minorHAnsi" w:hAnsiTheme="minorHAnsi" w:cstheme="minorHAnsi"/>
                <w:sz w:val="16"/>
                <w:szCs w:val="16"/>
                <w:u w:val="single"/>
              </w:rPr>
            </w:pPr>
            <w:r w:rsidRPr="00DE452B">
              <w:rPr>
                <w:rFonts w:asciiTheme="minorHAnsi" w:hAnsiTheme="minorHAnsi" w:cstheme="minorHAnsi"/>
                <w:sz w:val="16"/>
                <w:szCs w:val="16"/>
                <w:u w:val="single"/>
              </w:rPr>
              <w:t>Smoked ≥20 days in past month</w:t>
            </w:r>
          </w:p>
          <w:p w14:paraId="635ADE6C"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M: 45.1% (40.6 to 49.8)</w:t>
            </w:r>
          </w:p>
          <w:p w14:paraId="3013C1BB"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NM: 51.4% (48.0 to 54.8)</w:t>
            </w:r>
          </w:p>
        </w:tc>
      </w:tr>
      <w:tr w:rsidR="00881FE9" w:rsidRPr="00DE452B" w14:paraId="22FB807A" w14:textId="77777777" w:rsidTr="00382374">
        <w:tc>
          <w:tcPr>
            <w:tcW w:w="624" w:type="pct"/>
          </w:tcPr>
          <w:p w14:paraId="5E340891" w14:textId="0A43A509" w:rsidR="00881FE9" w:rsidRPr="00DE452B" w:rsidRDefault="00D2134A" w:rsidP="003F5ADD">
            <w:pPr>
              <w:rPr>
                <w:rFonts w:asciiTheme="minorHAnsi" w:hAnsiTheme="minorHAnsi" w:cstheme="minorHAnsi"/>
                <w:sz w:val="16"/>
                <w:szCs w:val="16"/>
              </w:rPr>
            </w:pPr>
            <w:r>
              <w:rPr>
                <w:rFonts w:cstheme="minorHAnsi"/>
                <w:sz w:val="16"/>
                <w:szCs w:val="16"/>
              </w:rPr>
              <w:fldChar w:fldCharType="begin"/>
            </w:r>
            <w:r>
              <w:rPr>
                <w:rFonts w:cstheme="minorHAnsi"/>
                <w:sz w:val="16"/>
                <w:szCs w:val="16"/>
              </w:rPr>
              <w:instrText xml:space="preserve"> ADDIN EN.CITE &lt;EndNote&gt;&lt;Cite&gt;&lt;Author&gt;Hyland&lt;/Author&gt;&lt;Year&gt;2002&lt;/Year&gt;&lt;RecNum&gt;87&lt;/RecNum&gt;&lt;DisplayText&gt;(65, 66)&lt;/DisplayText&gt;&lt;record&gt;&lt;rec-number&gt;87&lt;/rec-number&gt;&lt;foreign-keys&gt;&lt;key app="EN" db-id="a2vz2dfp8xrad6exes75zwpiw5rxwa0vwapv" timestamp="0"&gt;87&lt;/key&gt;&lt;/foreign-keys&gt;&lt;ref-type name="Journal Article"&gt;17&lt;/ref-type&gt;&lt;contributors&gt;&lt;authors&gt;&lt;author&gt;Hyland, A. &lt;/author&gt;&lt;author&gt;Garten, S. &lt;/author&gt;&lt;author&gt;Giovino, G. A.&lt;/author&gt;&lt;author&gt;Cummings, K. M.&lt;/author&gt;&lt;/authors&gt;&lt;/contributors&gt;&lt;titles&gt;&lt;title&gt;Mentholated cigarettes and smoking cessation: Findings from COMMIT&lt;/title&gt;&lt;secondary-title&gt;Tob Control&lt;/secondary-title&gt;&lt;/titles&gt;&lt;periodical&gt;&lt;full-title&gt;Tob Control&lt;/full-title&gt;&lt;/periodical&gt;&lt;pages&gt;135-139&lt;/pages&gt;&lt;volume&gt;11&lt;/volume&gt;&lt;section&gt;135&lt;/section&gt;&lt;dates&gt;&lt;year&gt;2002&lt;/year&gt;&lt;/dates&gt;&lt;urls&gt;&lt;/urls&gt;&lt;research-notes&gt;#442&lt;/research-notes&gt;&lt;/record&gt;&lt;/Cite&gt;&lt;Cite&gt;&lt;Author&gt;Hyland&lt;/Author&gt;&lt;Year&gt;2010&lt;/Year&gt;&lt;RecNum&gt;100&lt;/RecNum&gt;&lt;record&gt;&lt;rec-number&gt;100&lt;/rec-number&gt;&lt;foreign-keys&gt;&lt;key app="EN" db-id="a2vz2dfp8xrad6exes75zwpiw5rxwa0vwapv" timestamp="0"&gt;100&lt;/key&gt;&lt;/foreign-keys&gt;&lt;ref-type name="Report"&gt;27&lt;/ref-type&gt;&lt;contributors&gt;&lt;authors&gt;&lt;author&gt;Hyland, A.&lt;/author&gt;&lt;author&gt;Rivard, C.&lt;/author&gt;&lt;/authors&gt;&lt;/contributors&gt;&lt;titles&gt;&lt;title&gt;Analysis of mentholated cigarettes using the COMMIT data -- summary&lt;/title&gt;&lt;/titles&gt;&lt;dates&gt;&lt;year&gt;2010&lt;/year&gt;&lt;/dates&gt;&lt;publisher&gt;Department of Health Behavior, Roswell Park Cancer Institute&lt;/publisher&gt;&lt;urls&gt;&lt;/urls&gt;&lt;research-notes&gt;#818&lt;/research-notes&gt;&lt;/record&gt;&lt;/Cite&gt;&lt;/EndNote&gt;</w:instrText>
            </w:r>
            <w:r>
              <w:rPr>
                <w:rFonts w:cstheme="minorHAnsi"/>
                <w:sz w:val="16"/>
                <w:szCs w:val="16"/>
              </w:rPr>
              <w:fldChar w:fldCharType="separate"/>
            </w:r>
            <w:r>
              <w:rPr>
                <w:rFonts w:cstheme="minorHAnsi"/>
                <w:noProof/>
                <w:sz w:val="16"/>
                <w:szCs w:val="16"/>
              </w:rPr>
              <w:t>(</w:t>
            </w:r>
            <w:hyperlink w:anchor="_ENREF_65" w:tooltip="Hyland, 2002 #87" w:history="1">
              <w:r w:rsidR="00A234A9">
                <w:rPr>
                  <w:rFonts w:cstheme="minorHAnsi"/>
                  <w:noProof/>
                  <w:sz w:val="16"/>
                  <w:szCs w:val="16"/>
                </w:rPr>
                <w:t>65</w:t>
              </w:r>
            </w:hyperlink>
            <w:r>
              <w:rPr>
                <w:rFonts w:cstheme="minorHAnsi"/>
                <w:noProof/>
                <w:sz w:val="16"/>
                <w:szCs w:val="16"/>
              </w:rPr>
              <w:t xml:space="preserve">, </w:t>
            </w:r>
            <w:hyperlink w:anchor="_ENREF_66" w:tooltip="Hyland, 2010 #100" w:history="1">
              <w:r w:rsidR="00A234A9">
                <w:rPr>
                  <w:rFonts w:cstheme="minorHAnsi"/>
                  <w:noProof/>
                  <w:sz w:val="16"/>
                  <w:szCs w:val="16"/>
                </w:rPr>
                <w:t>66</w:t>
              </w:r>
            </w:hyperlink>
            <w:r>
              <w:rPr>
                <w:rFonts w:cstheme="minorHAnsi"/>
                <w:noProof/>
                <w:sz w:val="16"/>
                <w:szCs w:val="16"/>
              </w:rPr>
              <w:t>)</w:t>
            </w:r>
            <w:r>
              <w:rPr>
                <w:rFonts w:cstheme="minorHAnsi"/>
                <w:sz w:val="16"/>
                <w:szCs w:val="16"/>
              </w:rPr>
              <w:fldChar w:fldCharType="end"/>
            </w:r>
            <w:r w:rsidR="00881FE9" w:rsidRPr="00DE452B">
              <w:rPr>
                <w:rFonts w:asciiTheme="minorHAnsi" w:hAnsiTheme="minorHAnsi" w:cstheme="minorHAnsi"/>
                <w:sz w:val="16"/>
                <w:szCs w:val="16"/>
                <w:vertAlign w:val="superscript"/>
              </w:rPr>
              <w:t>f</w:t>
            </w:r>
            <w:r w:rsidR="00881FE9" w:rsidRPr="00DE452B">
              <w:rPr>
                <w:rFonts w:asciiTheme="minorHAnsi" w:hAnsiTheme="minorHAnsi" w:cstheme="minorHAnsi"/>
                <w:sz w:val="16"/>
                <w:szCs w:val="16"/>
              </w:rPr>
              <w:t xml:space="preserve"> </w:t>
            </w:r>
          </w:p>
          <w:p w14:paraId="0D398177"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None</w:t>
            </w:r>
          </w:p>
          <w:p w14:paraId="7228688D"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None</w:t>
            </w:r>
          </w:p>
        </w:tc>
        <w:tc>
          <w:tcPr>
            <w:tcW w:w="589" w:type="pct"/>
          </w:tcPr>
          <w:p w14:paraId="133FDD84"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Age started smoking</w:t>
            </w:r>
          </w:p>
        </w:tc>
        <w:tc>
          <w:tcPr>
            <w:tcW w:w="661" w:type="pct"/>
          </w:tcPr>
          <w:p w14:paraId="1421C0D6" w14:textId="77777777" w:rsidR="00253CDB" w:rsidRPr="00691084" w:rsidRDefault="00253CDB" w:rsidP="00253CDB">
            <w:pPr>
              <w:rPr>
                <w:rFonts w:asciiTheme="minorHAnsi" w:hAnsiTheme="minorHAnsi" w:cstheme="minorHAnsi"/>
                <w:sz w:val="16"/>
                <w:szCs w:val="16"/>
                <w:u w:val="single"/>
              </w:rPr>
            </w:pPr>
            <w:r w:rsidRPr="00691084">
              <w:rPr>
                <w:rFonts w:asciiTheme="minorHAnsi" w:hAnsiTheme="minorHAnsi" w:cstheme="minorHAnsi"/>
                <w:sz w:val="16"/>
                <w:szCs w:val="16"/>
                <w:u w:val="single"/>
              </w:rPr>
              <w:t xml:space="preserve">M: </w:t>
            </w:r>
          </w:p>
          <w:p w14:paraId="6DEF87D7" w14:textId="77777777" w:rsidR="00253CDB" w:rsidRPr="00691084" w:rsidRDefault="00253CDB" w:rsidP="00253CDB">
            <w:pPr>
              <w:rPr>
                <w:rFonts w:asciiTheme="minorHAnsi" w:hAnsiTheme="minorHAnsi" w:cstheme="minorHAnsi"/>
                <w:sz w:val="16"/>
                <w:szCs w:val="16"/>
              </w:rPr>
            </w:pPr>
            <w:r w:rsidRPr="00691084">
              <w:rPr>
                <w:rFonts w:asciiTheme="minorHAnsi" w:hAnsiTheme="minorHAnsi" w:cstheme="minorHAnsi"/>
                <w:sz w:val="16"/>
                <w:szCs w:val="16"/>
              </w:rPr>
              <w:t>≤15: 23.2%</w:t>
            </w:r>
          </w:p>
          <w:p w14:paraId="193B227E" w14:textId="77777777" w:rsidR="00253CDB" w:rsidRPr="00691084" w:rsidRDefault="00253CDB" w:rsidP="00253CDB">
            <w:pPr>
              <w:rPr>
                <w:rFonts w:asciiTheme="minorHAnsi" w:hAnsiTheme="minorHAnsi" w:cstheme="minorHAnsi"/>
                <w:sz w:val="16"/>
                <w:szCs w:val="16"/>
              </w:rPr>
            </w:pPr>
            <w:r w:rsidRPr="00691084">
              <w:rPr>
                <w:rFonts w:asciiTheme="minorHAnsi" w:hAnsiTheme="minorHAnsi" w:cstheme="minorHAnsi"/>
                <w:sz w:val="16"/>
                <w:szCs w:val="16"/>
              </w:rPr>
              <w:t>16-19: 23.7%</w:t>
            </w:r>
          </w:p>
          <w:p w14:paraId="0CA6F818" w14:textId="77777777" w:rsidR="00253CDB" w:rsidRPr="00691084" w:rsidRDefault="00253CDB" w:rsidP="00253CDB">
            <w:pPr>
              <w:rPr>
                <w:rFonts w:asciiTheme="minorHAnsi" w:hAnsiTheme="minorHAnsi" w:cstheme="minorHAnsi"/>
                <w:sz w:val="16"/>
                <w:szCs w:val="16"/>
              </w:rPr>
            </w:pPr>
            <w:r w:rsidRPr="00691084">
              <w:rPr>
                <w:rFonts w:asciiTheme="minorHAnsi" w:hAnsiTheme="minorHAnsi" w:cstheme="minorHAnsi"/>
                <w:sz w:val="16"/>
                <w:szCs w:val="16"/>
              </w:rPr>
              <w:t>≥20: 25.5</w:t>
            </w:r>
          </w:p>
          <w:p w14:paraId="7C886CA8" w14:textId="77777777" w:rsidR="00253CDB" w:rsidRPr="00691084" w:rsidRDefault="00253CDB" w:rsidP="00253CDB">
            <w:pPr>
              <w:rPr>
                <w:rFonts w:asciiTheme="minorHAnsi" w:hAnsiTheme="minorHAnsi" w:cstheme="minorHAnsi"/>
                <w:sz w:val="16"/>
                <w:szCs w:val="16"/>
                <w:u w:val="single"/>
              </w:rPr>
            </w:pPr>
            <w:r w:rsidRPr="00691084">
              <w:rPr>
                <w:rFonts w:asciiTheme="minorHAnsi" w:hAnsiTheme="minorHAnsi" w:cstheme="minorHAnsi"/>
                <w:sz w:val="16"/>
                <w:szCs w:val="16"/>
                <w:u w:val="single"/>
              </w:rPr>
              <w:t xml:space="preserve">NM: </w:t>
            </w:r>
          </w:p>
          <w:p w14:paraId="18BD753A" w14:textId="77777777" w:rsidR="00253CDB" w:rsidRPr="00691084" w:rsidRDefault="00253CDB" w:rsidP="00253CDB">
            <w:pPr>
              <w:rPr>
                <w:rFonts w:asciiTheme="minorHAnsi" w:hAnsiTheme="minorHAnsi" w:cstheme="minorHAnsi"/>
                <w:sz w:val="16"/>
                <w:szCs w:val="16"/>
              </w:rPr>
            </w:pPr>
            <w:r w:rsidRPr="00691084">
              <w:rPr>
                <w:rFonts w:asciiTheme="minorHAnsi" w:hAnsiTheme="minorHAnsi" w:cstheme="minorHAnsi"/>
                <w:sz w:val="16"/>
                <w:szCs w:val="16"/>
              </w:rPr>
              <w:t>≤15: 76.8%</w:t>
            </w:r>
          </w:p>
          <w:p w14:paraId="3746DFDA" w14:textId="77777777" w:rsidR="00253CDB" w:rsidRPr="00691084" w:rsidRDefault="00253CDB" w:rsidP="00253CDB">
            <w:pPr>
              <w:rPr>
                <w:rFonts w:asciiTheme="minorHAnsi" w:hAnsiTheme="minorHAnsi" w:cstheme="minorHAnsi"/>
                <w:sz w:val="16"/>
                <w:szCs w:val="16"/>
              </w:rPr>
            </w:pPr>
            <w:r w:rsidRPr="00691084">
              <w:rPr>
                <w:rFonts w:asciiTheme="minorHAnsi" w:hAnsiTheme="minorHAnsi" w:cstheme="minorHAnsi"/>
                <w:sz w:val="16"/>
                <w:szCs w:val="16"/>
              </w:rPr>
              <w:t>16-19: 76.3%</w:t>
            </w:r>
          </w:p>
          <w:p w14:paraId="3506875C" w14:textId="77777777" w:rsidR="00253CDB" w:rsidRPr="00691084" w:rsidRDefault="00253CDB" w:rsidP="00253CDB">
            <w:pPr>
              <w:rPr>
                <w:rFonts w:asciiTheme="minorHAnsi" w:hAnsiTheme="minorHAnsi" w:cstheme="minorHAnsi"/>
                <w:sz w:val="16"/>
                <w:szCs w:val="16"/>
              </w:rPr>
            </w:pPr>
            <w:r w:rsidRPr="00691084">
              <w:rPr>
                <w:rFonts w:asciiTheme="minorHAnsi" w:hAnsiTheme="minorHAnsi" w:cstheme="minorHAnsi"/>
                <w:sz w:val="16"/>
                <w:szCs w:val="16"/>
              </w:rPr>
              <w:t>≥20: 74.5%</w:t>
            </w:r>
          </w:p>
          <w:p w14:paraId="5683B41B" w14:textId="77777777" w:rsidR="00881FE9" w:rsidRPr="00DE452B" w:rsidRDefault="00881FE9" w:rsidP="003F5ADD">
            <w:pPr>
              <w:rPr>
                <w:rFonts w:asciiTheme="minorHAnsi" w:hAnsiTheme="minorHAnsi" w:cstheme="minorHAnsi"/>
                <w:sz w:val="16"/>
                <w:szCs w:val="16"/>
              </w:rPr>
            </w:pPr>
          </w:p>
        </w:tc>
        <w:tc>
          <w:tcPr>
            <w:tcW w:w="625" w:type="pct"/>
          </w:tcPr>
          <w:p w14:paraId="15A147ED"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675119F3"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Summary over 3 years (1988, 1993, 2001):</w:t>
            </w:r>
          </w:p>
          <w:p w14:paraId="2D5D6ABA"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Switched to Menthol = 4.2%</w:t>
            </w:r>
          </w:p>
        </w:tc>
        <w:tc>
          <w:tcPr>
            <w:tcW w:w="574" w:type="pct"/>
          </w:tcPr>
          <w:p w14:paraId="73D4272D"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Summary over 3 years (1988, 1993, 2001):</w:t>
            </w:r>
          </w:p>
          <w:p w14:paraId="2CEFDFBC"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Switched to NM** = 6.4%</w:t>
            </w:r>
          </w:p>
          <w:p w14:paraId="096708D7" w14:textId="77777777" w:rsidR="00881FE9" w:rsidRPr="00DE452B" w:rsidRDefault="00881FE9" w:rsidP="003F5ADD">
            <w:pPr>
              <w:rPr>
                <w:rFonts w:asciiTheme="minorHAnsi" w:hAnsiTheme="minorHAnsi" w:cstheme="minorHAnsi"/>
                <w:sz w:val="16"/>
                <w:szCs w:val="16"/>
              </w:rPr>
            </w:pPr>
          </w:p>
          <w:p w14:paraId="50CAD5E7"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 The total of those who switched to NM includes those who switched to M in 1993, and back to NM in 2001 (n=17). The total of those who switched to M included those who switched to NM in 1993, and then switched back to M in 2001 (n=12).</w:t>
            </w:r>
          </w:p>
        </w:tc>
        <w:tc>
          <w:tcPr>
            <w:tcW w:w="1510" w:type="pct"/>
          </w:tcPr>
          <w:p w14:paraId="107CE8CB"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r>
      <w:tr w:rsidR="00881FE9" w:rsidRPr="00DE452B" w14:paraId="4948E4A0" w14:textId="77777777" w:rsidTr="00382374">
        <w:tc>
          <w:tcPr>
            <w:tcW w:w="624" w:type="pct"/>
          </w:tcPr>
          <w:p w14:paraId="257C7BCC" w14:textId="7DD48FEE" w:rsidR="00881FE9" w:rsidRPr="00DE452B" w:rsidRDefault="00D2134A" w:rsidP="003F5ADD">
            <w:pPr>
              <w:rPr>
                <w:rFonts w:asciiTheme="minorHAnsi" w:hAnsiTheme="minorHAnsi" w:cstheme="minorHAnsi"/>
                <w:sz w:val="16"/>
                <w:szCs w:val="16"/>
              </w:rPr>
            </w:pPr>
            <w:r>
              <w:rPr>
                <w:rFonts w:cstheme="minorHAnsi"/>
                <w:sz w:val="16"/>
                <w:szCs w:val="16"/>
              </w:rPr>
              <w:fldChar w:fldCharType="begin"/>
            </w:r>
            <w:r>
              <w:rPr>
                <w:rFonts w:cstheme="minorHAnsi"/>
                <w:sz w:val="16"/>
                <w:szCs w:val="16"/>
              </w:rPr>
              <w:instrText xml:space="preserve"> ADDIN EN.CITE &lt;EndNote&gt;&lt;Cite&gt;&lt;Author&gt;Jain&lt;/Author&gt;&lt;Year&gt;2014&lt;/Year&gt;&lt;RecNum&gt;21&lt;/RecNum&gt;&lt;DisplayText&gt;(67)&lt;/DisplayText&gt;&lt;record&gt;&lt;rec-number&gt;21&lt;/rec-number&gt;&lt;foreign-keys&gt;&lt;key app="EN" db-id="a2vz2dfp8xrad6exes75zwpiw5rxwa0vwapv" timestamp="0"&gt;21&lt;/key&gt;&lt;/foreign-keys&gt;&lt;ref-type name="Journal Article"&gt;17&lt;/ref-type&gt;&lt;contributors&gt;&lt;authors&gt;&lt;author&gt;Jain, R. B.&lt;/author&gt;&lt;/authors&gt;&lt;/contributors&gt;&lt;auth-address&gt;Lawrenceville, GA 30044, United States. Electronic address: Jain.ram.b@gmail.com.&lt;/auth-address&gt;&lt;titles&gt;&lt;title&gt;Trends in serum cotinine concentrations among daily cigarette smokers: data from NHANES 1999-2010&lt;/title&gt;&lt;secondary-title&gt;Sci Total Environ&lt;/secondary-title&gt;&lt;/titles&gt;&lt;pages&gt;72-7&lt;/pages&gt;&lt;volume&gt;472&lt;/volume&gt;&lt;keywords&gt;&lt;keyword&gt;Adult&lt;/keyword&gt;&lt;keyword&gt;Cotinine/*blood&lt;/keyword&gt;&lt;keyword&gt;Female&lt;/keyword&gt;&lt;keyword&gt;Humans&lt;/keyword&gt;&lt;keyword&gt;Male&lt;/keyword&gt;&lt;keyword&gt;*Nutrition Surveys&lt;/keyword&gt;&lt;keyword&gt;Smoking/*blood/epidemiology&lt;/keyword&gt;&lt;keyword&gt;Tobacco Smoke Pollution/statistics &amp;amp; numerical data&lt;/keyword&gt;&lt;keyword&gt;Nicotine&lt;/keyword&gt;&lt;keyword&gt;Serum cotinine&lt;/keyword&gt;&lt;keyword&gt;Smoking&lt;/keyword&gt;&lt;/keywords&gt;&lt;dates&gt;&lt;year&gt;2014&lt;/year&gt;&lt;pub-dates&gt;&lt;date&gt;Feb 15&lt;/date&gt;&lt;/pub-dates&gt;&lt;/dates&gt;&lt;isbn&gt;1879-1026 (Electronic)&amp;#xD;0048-9697 (Linking)&lt;/isbn&gt;&lt;accession-num&gt;24291557&lt;/accession-num&gt;&lt;urls&gt;&lt;related-urls&gt;&lt;url&gt;http://www.ncbi.nlm.nih.gov/pubmed/24291557&lt;/url&gt;&lt;/related-urls&gt;&lt;/urls&gt;&lt;electronic-resource-num&gt;10.1016/j.scitotenv.2013.11.002&lt;/electronic-resource-num&gt;&lt;research-notes&gt;#110&lt;/research-notes&gt;&lt;/record&gt;&lt;/Cite&gt;&lt;/EndNote&gt;</w:instrText>
            </w:r>
            <w:r>
              <w:rPr>
                <w:rFonts w:cstheme="minorHAnsi"/>
                <w:sz w:val="16"/>
                <w:szCs w:val="16"/>
              </w:rPr>
              <w:fldChar w:fldCharType="separate"/>
            </w:r>
            <w:r>
              <w:rPr>
                <w:rFonts w:cstheme="minorHAnsi"/>
                <w:noProof/>
                <w:sz w:val="16"/>
                <w:szCs w:val="16"/>
              </w:rPr>
              <w:t>(</w:t>
            </w:r>
            <w:hyperlink w:anchor="_ENREF_67" w:tooltip="Jain, 2014 #21" w:history="1">
              <w:r w:rsidR="00A234A9">
                <w:rPr>
                  <w:rFonts w:cstheme="minorHAnsi"/>
                  <w:noProof/>
                  <w:sz w:val="16"/>
                  <w:szCs w:val="16"/>
                </w:rPr>
                <w:t>67</w:t>
              </w:r>
            </w:hyperlink>
            <w:r>
              <w:rPr>
                <w:rFonts w:cstheme="minorHAnsi"/>
                <w:noProof/>
                <w:sz w:val="16"/>
                <w:szCs w:val="16"/>
              </w:rPr>
              <w:t>)</w:t>
            </w:r>
            <w:r>
              <w:rPr>
                <w:rFonts w:cstheme="minorHAnsi"/>
                <w:sz w:val="16"/>
                <w:szCs w:val="16"/>
              </w:rPr>
              <w:fldChar w:fldCharType="end"/>
            </w:r>
          </w:p>
          <w:p w14:paraId="33A612C8"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NHANES</w:t>
            </w:r>
          </w:p>
          <w:p w14:paraId="052B5C0D"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None</w:t>
            </w:r>
          </w:p>
        </w:tc>
        <w:tc>
          <w:tcPr>
            <w:tcW w:w="589" w:type="pct"/>
          </w:tcPr>
          <w:p w14:paraId="6B770695"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Age regularly started smoking at current level</w:t>
            </w:r>
          </w:p>
        </w:tc>
        <w:tc>
          <w:tcPr>
            <w:tcW w:w="661" w:type="pct"/>
          </w:tcPr>
          <w:p w14:paraId="5044743E"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u w:val="single"/>
              </w:rPr>
              <w:t>Geometric mean (SD):</w:t>
            </w:r>
          </w:p>
          <w:p w14:paraId="6D2C60F0"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M: 17.8 (17.4 to 18.1)</w:t>
            </w:r>
          </w:p>
          <w:p w14:paraId="5A8FBF09"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NM: 17.2 (17.0 to 17.5)</w:t>
            </w:r>
          </w:p>
          <w:p w14:paraId="57A0B32E"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(p&lt;0.01)</w:t>
            </w:r>
          </w:p>
        </w:tc>
        <w:tc>
          <w:tcPr>
            <w:tcW w:w="625" w:type="pct"/>
          </w:tcPr>
          <w:p w14:paraId="4B06CFAA"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5F59926F"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0A5398D3"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441A8ABA"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r>
      <w:tr w:rsidR="00881FE9" w:rsidRPr="00DE452B" w14:paraId="51E8CBE1" w14:textId="77777777" w:rsidTr="00382374">
        <w:tc>
          <w:tcPr>
            <w:tcW w:w="624" w:type="pct"/>
          </w:tcPr>
          <w:p w14:paraId="0C77ACEA" w14:textId="5F48C7D4" w:rsidR="00881FE9" w:rsidRPr="00382374" w:rsidRDefault="00D2134A" w:rsidP="003F5ADD">
            <w:pPr>
              <w:rPr>
                <w:rFonts w:asciiTheme="minorHAnsi" w:hAnsiTheme="minorHAnsi" w:cstheme="minorHAnsi"/>
                <w:b/>
                <w:sz w:val="16"/>
                <w:szCs w:val="16"/>
              </w:rPr>
            </w:pPr>
            <w:r>
              <w:rPr>
                <w:rFonts w:cstheme="minorHAnsi"/>
                <w:sz w:val="16"/>
                <w:szCs w:val="16"/>
              </w:rPr>
              <w:fldChar w:fldCharType="begin">
                <w:fldData xml:space="preserve">PEVuZE5vdGU+PENpdGU+PEF1dGhvcj5Kb25lczwvQXV0aG9yPjxZZWFyPjIwMTM8L1llYXI+PFJl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PEVuZE5vdGU+PENpdGU+PEF1dGhvcj5Kb25lczwvQXV0aG9yPjxZZWFyPjIwMTM8L1llYXI+PFJl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68" w:tooltip="Jones, 2013 #30" w:history="1">
              <w:r w:rsidR="00A234A9">
                <w:rPr>
                  <w:rFonts w:cstheme="minorHAnsi"/>
                  <w:noProof/>
                  <w:sz w:val="16"/>
                  <w:szCs w:val="16"/>
                </w:rPr>
                <w:t>68</w:t>
              </w:r>
            </w:hyperlink>
            <w:r>
              <w:rPr>
                <w:rFonts w:cstheme="minorHAnsi"/>
                <w:noProof/>
                <w:sz w:val="16"/>
                <w:szCs w:val="16"/>
              </w:rPr>
              <w:t>)</w:t>
            </w:r>
            <w:r>
              <w:rPr>
                <w:rFonts w:cstheme="minorHAnsi"/>
                <w:sz w:val="16"/>
                <w:szCs w:val="16"/>
              </w:rPr>
              <w:fldChar w:fldCharType="end"/>
            </w:r>
          </w:p>
          <w:p w14:paraId="663137DD"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NHANES</w:t>
            </w:r>
            <w:r w:rsidRPr="00DE452B">
              <w:rPr>
                <w:rFonts w:asciiTheme="minorHAnsi" w:hAnsiTheme="minorHAnsi" w:cstheme="minorHAnsi"/>
                <w:sz w:val="16"/>
                <w:szCs w:val="16"/>
                <w:vertAlign w:val="superscript"/>
              </w:rPr>
              <w:t>b</w:t>
            </w:r>
          </w:p>
          <w:p w14:paraId="09391598"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None</w:t>
            </w:r>
          </w:p>
        </w:tc>
        <w:tc>
          <w:tcPr>
            <w:tcW w:w="589" w:type="pct"/>
          </w:tcPr>
          <w:p w14:paraId="6DFE28CE"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 xml:space="preserve">Self-reported smoking coded as every day, or some days </w:t>
            </w:r>
          </w:p>
          <w:p w14:paraId="4A7056B4" w14:textId="77777777" w:rsidR="00881FE9" w:rsidRPr="00DE452B" w:rsidRDefault="00881FE9" w:rsidP="003F5ADD">
            <w:pPr>
              <w:rPr>
                <w:rFonts w:asciiTheme="minorHAnsi" w:hAnsiTheme="minorHAnsi" w:cstheme="minorHAnsi"/>
                <w:sz w:val="16"/>
                <w:szCs w:val="16"/>
              </w:rPr>
            </w:pPr>
          </w:p>
        </w:tc>
        <w:tc>
          <w:tcPr>
            <w:tcW w:w="661" w:type="pct"/>
          </w:tcPr>
          <w:p w14:paraId="52BB1892" w14:textId="77777777" w:rsidR="00881FE9" w:rsidRPr="00382374" w:rsidRDefault="00881FE9" w:rsidP="003F5ADD">
            <w:pPr>
              <w:rPr>
                <w:rFonts w:asciiTheme="minorHAnsi" w:hAnsiTheme="minorHAnsi" w:cstheme="minorHAnsi"/>
                <w:sz w:val="16"/>
                <w:szCs w:val="16"/>
              </w:rPr>
            </w:pPr>
            <w:r w:rsidRPr="00382374">
              <w:rPr>
                <w:rFonts w:cstheme="minorHAnsi"/>
                <w:sz w:val="16"/>
                <w:szCs w:val="16"/>
              </w:rPr>
              <w:t>M:</w:t>
            </w:r>
          </w:p>
          <w:p w14:paraId="6EAA896E"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&lt;15: 19.6%</w:t>
            </w:r>
          </w:p>
          <w:p w14:paraId="1F672C7C"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15-16: 24.7%</w:t>
            </w:r>
          </w:p>
          <w:p w14:paraId="54225DB3"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17-19: 30.7%</w:t>
            </w:r>
          </w:p>
          <w:p w14:paraId="45716EE6"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20+: 25.1%</w:t>
            </w:r>
          </w:p>
          <w:p w14:paraId="2BB84359" w14:textId="77777777" w:rsidR="00881FE9" w:rsidRPr="00382374" w:rsidRDefault="00881FE9" w:rsidP="003F5ADD">
            <w:pPr>
              <w:rPr>
                <w:rFonts w:asciiTheme="minorHAnsi" w:hAnsiTheme="minorHAnsi" w:cstheme="minorHAnsi"/>
                <w:sz w:val="16"/>
                <w:szCs w:val="16"/>
              </w:rPr>
            </w:pPr>
            <w:r w:rsidRPr="00382374">
              <w:rPr>
                <w:rFonts w:cstheme="minorHAnsi"/>
                <w:sz w:val="16"/>
                <w:szCs w:val="16"/>
              </w:rPr>
              <w:t>NM:</w:t>
            </w:r>
          </w:p>
          <w:p w14:paraId="56FC8659"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&lt;15: 23.8%</w:t>
            </w:r>
          </w:p>
          <w:p w14:paraId="30BAD614"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15-16: 26.3%</w:t>
            </w:r>
          </w:p>
          <w:p w14:paraId="0AB39DA1"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17-19: 28.5%</w:t>
            </w:r>
          </w:p>
          <w:p w14:paraId="27B2CD3B"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20+ 21.5%</w:t>
            </w:r>
          </w:p>
          <w:p w14:paraId="11781C90"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(p=0.09)</w:t>
            </w:r>
          </w:p>
        </w:tc>
        <w:tc>
          <w:tcPr>
            <w:tcW w:w="625" w:type="pct"/>
          </w:tcPr>
          <w:p w14:paraId="47EC88C5"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5847B9D8"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52B169DC"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7B370751" w14:textId="77777777" w:rsidR="00881FE9" w:rsidRPr="00DE452B" w:rsidRDefault="00881FE9" w:rsidP="00881FE9">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Daily smokers </w:t>
            </w:r>
          </w:p>
          <w:p w14:paraId="0920ABEF"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M: 89.4%</w:t>
            </w:r>
          </w:p>
          <w:p w14:paraId="4570ACE4"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 xml:space="preserve">NM: 88.0% </w:t>
            </w:r>
          </w:p>
          <w:p w14:paraId="0EA58218" w14:textId="77777777" w:rsidR="00881FE9" w:rsidRPr="00DE452B" w:rsidRDefault="00881FE9" w:rsidP="00881FE9">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Some days smokers </w:t>
            </w:r>
          </w:p>
          <w:p w14:paraId="7E7C8F55"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M: 12.0%</w:t>
            </w:r>
          </w:p>
          <w:p w14:paraId="0B93AE10"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 xml:space="preserve">NM: 10.6% </w:t>
            </w:r>
          </w:p>
          <w:p w14:paraId="3B894ACB" w14:textId="77777777" w:rsidR="00881FE9" w:rsidRPr="00DE452B" w:rsidRDefault="00881FE9" w:rsidP="00881FE9">
            <w:pPr>
              <w:rPr>
                <w:rFonts w:asciiTheme="minorHAnsi" w:hAnsiTheme="minorHAnsi" w:cstheme="minorHAnsi"/>
                <w:sz w:val="16"/>
                <w:szCs w:val="16"/>
              </w:rPr>
            </w:pPr>
          </w:p>
          <w:p w14:paraId="1D072351"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(p=0.27)</w:t>
            </w:r>
          </w:p>
          <w:p w14:paraId="35E29E89" w14:textId="77777777" w:rsidR="00881FE9" w:rsidRPr="00DE452B" w:rsidRDefault="00881FE9" w:rsidP="003F5ADD">
            <w:pPr>
              <w:rPr>
                <w:rFonts w:asciiTheme="minorHAnsi" w:hAnsiTheme="minorHAnsi" w:cstheme="minorHAnsi"/>
                <w:sz w:val="16"/>
                <w:szCs w:val="16"/>
              </w:rPr>
            </w:pPr>
          </w:p>
        </w:tc>
      </w:tr>
      <w:tr w:rsidR="00881FE9" w:rsidRPr="00DE452B" w14:paraId="7748EBA2" w14:textId="77777777" w:rsidTr="00382374">
        <w:tc>
          <w:tcPr>
            <w:tcW w:w="624" w:type="pct"/>
          </w:tcPr>
          <w:p w14:paraId="6AE255F8" w14:textId="41E14D81" w:rsidR="00881FE9" w:rsidRPr="00DE452B" w:rsidRDefault="00D2134A" w:rsidP="003F5ADD">
            <w:pPr>
              <w:rPr>
                <w:rFonts w:asciiTheme="minorHAnsi" w:hAnsiTheme="minorHAnsi" w:cstheme="minorHAnsi"/>
                <w:sz w:val="16"/>
                <w:szCs w:val="16"/>
              </w:rPr>
            </w:pPr>
            <w:r>
              <w:rPr>
                <w:rFonts w:cstheme="minorHAnsi"/>
                <w:sz w:val="16"/>
                <w:szCs w:val="16"/>
              </w:rPr>
              <w:fldChar w:fldCharType="begin">
                <w:fldData xml:space="preserve">PEVuZE5vdGU+PENpdGU+PEF1dGhvcj5LYXN6YTwvQXV0aG9yPjxZZWFyPjIwMTQ8L1llYXI+PFJl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PEVuZE5vdGU+PENpdGU+PEF1dGhvcj5LYXN6YTwvQXV0aG9yPjxZZWFyPjIwMTQ8L1llYXI+PFJl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69" w:tooltip="Kasza, 2014 #16" w:history="1">
              <w:r w:rsidR="00A234A9">
                <w:rPr>
                  <w:rFonts w:cstheme="minorHAnsi"/>
                  <w:noProof/>
                  <w:sz w:val="16"/>
                  <w:szCs w:val="16"/>
                </w:rPr>
                <w:t>69</w:t>
              </w:r>
            </w:hyperlink>
            <w:r>
              <w:rPr>
                <w:rFonts w:cstheme="minorHAnsi"/>
                <w:noProof/>
                <w:sz w:val="16"/>
                <w:szCs w:val="16"/>
              </w:rPr>
              <w:t>)</w:t>
            </w:r>
            <w:r>
              <w:rPr>
                <w:rFonts w:cstheme="minorHAnsi"/>
                <w:sz w:val="16"/>
                <w:szCs w:val="16"/>
              </w:rPr>
              <w:fldChar w:fldCharType="end"/>
            </w:r>
          </w:p>
          <w:p w14:paraId="08090621" w14:textId="77777777" w:rsidR="00881FE9" w:rsidRPr="00DE452B" w:rsidRDefault="00881FE9" w:rsidP="003F5ADD">
            <w:pPr>
              <w:rPr>
                <w:rFonts w:asciiTheme="minorHAnsi" w:hAnsiTheme="minorHAnsi" w:cstheme="minorHAnsi"/>
                <w:sz w:val="16"/>
                <w:szCs w:val="16"/>
                <w:vertAlign w:val="superscript"/>
              </w:rPr>
            </w:pPr>
            <w:r w:rsidRPr="00DE452B">
              <w:rPr>
                <w:rFonts w:asciiTheme="minorHAnsi" w:hAnsiTheme="minorHAnsi" w:cstheme="minorHAnsi"/>
                <w:sz w:val="16"/>
                <w:szCs w:val="16"/>
              </w:rPr>
              <w:t>ITC-4 (U.S. data only)</w:t>
            </w:r>
          </w:p>
          <w:p w14:paraId="5D3CDD5A"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lastRenderedPageBreak/>
              <w:t>Adults</w:t>
            </w:r>
          </w:p>
        </w:tc>
        <w:tc>
          <w:tcPr>
            <w:tcW w:w="589" w:type="pct"/>
          </w:tcPr>
          <w:p w14:paraId="0304BCD6"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lastRenderedPageBreak/>
              <w:t>NR</w:t>
            </w:r>
          </w:p>
        </w:tc>
        <w:tc>
          <w:tcPr>
            <w:tcW w:w="661" w:type="pct"/>
          </w:tcPr>
          <w:p w14:paraId="67CD09DF"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625" w:type="pct"/>
          </w:tcPr>
          <w:p w14:paraId="4000AFB1"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7560F78F"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u w:val="single"/>
              </w:rPr>
              <w:t>Total sample: 3%</w:t>
            </w:r>
            <w:r w:rsidRPr="00DE452B">
              <w:rPr>
                <w:rFonts w:asciiTheme="minorHAnsi" w:hAnsiTheme="minorHAnsi" w:cstheme="minorHAnsi"/>
                <w:sz w:val="16"/>
                <w:szCs w:val="16"/>
              </w:rPr>
              <w:t xml:space="preserve"> </w:t>
            </w:r>
          </w:p>
          <w:p w14:paraId="2406161F"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lastRenderedPageBreak/>
              <w:t>Of those, 31% switched back to NM</w:t>
            </w:r>
          </w:p>
          <w:p w14:paraId="188B6FC4"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Women: 3% </w:t>
            </w:r>
          </w:p>
          <w:p w14:paraId="384B7723"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Of those, 32% switched back to NM</w:t>
            </w:r>
          </w:p>
          <w:p w14:paraId="422657C0"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u w:val="single"/>
              </w:rPr>
              <w:t>Men: 2%</w:t>
            </w:r>
          </w:p>
          <w:p w14:paraId="54013904"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Of those, 28% switched back to NM</w:t>
            </w:r>
          </w:p>
          <w:p w14:paraId="4DF5273E"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NH White: 2% </w:t>
            </w:r>
          </w:p>
          <w:p w14:paraId="50EF58BA"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Of those, 24% switched back to NM</w:t>
            </w:r>
          </w:p>
          <w:p w14:paraId="092BC44C"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Black: 18% </w:t>
            </w:r>
          </w:p>
          <w:p w14:paraId="6F163A39"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Of those, 36% switched back to NM</w:t>
            </w:r>
          </w:p>
          <w:p w14:paraId="42C499C3"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Hispanic: 6% </w:t>
            </w:r>
          </w:p>
          <w:p w14:paraId="0B4BADD4"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Of those, 75% switched back to NM</w:t>
            </w:r>
          </w:p>
          <w:p w14:paraId="71584546"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u w:val="single"/>
              </w:rPr>
              <w:t>By age:</w:t>
            </w:r>
          </w:p>
          <w:p w14:paraId="62669586"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 xml:space="preserve">18-24: 5% </w:t>
            </w:r>
          </w:p>
          <w:p w14:paraId="148322B4"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 xml:space="preserve">25-39: 2% </w:t>
            </w:r>
          </w:p>
          <w:p w14:paraId="05D711E2"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 xml:space="preserve">40-54: 3% </w:t>
            </w:r>
          </w:p>
          <w:p w14:paraId="26D5D150"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55+: 2%</w:t>
            </w:r>
          </w:p>
        </w:tc>
        <w:tc>
          <w:tcPr>
            <w:tcW w:w="574" w:type="pct"/>
          </w:tcPr>
          <w:p w14:paraId="73CBA51A"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u w:val="single"/>
              </w:rPr>
              <w:lastRenderedPageBreak/>
              <w:t xml:space="preserve">Total sample: 8% </w:t>
            </w:r>
          </w:p>
          <w:p w14:paraId="6689DBBE"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lastRenderedPageBreak/>
              <w:t>Of those, 65% switched back to M</w:t>
            </w:r>
          </w:p>
          <w:p w14:paraId="51BFE742"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Women: 8% </w:t>
            </w:r>
          </w:p>
          <w:p w14:paraId="4A17A3A5"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Of those, 65% switched back to M</w:t>
            </w:r>
          </w:p>
          <w:p w14:paraId="07EDD486"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Men: 8% </w:t>
            </w:r>
          </w:p>
          <w:p w14:paraId="49FEDB84"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Of those, 67% switched back to M</w:t>
            </w:r>
          </w:p>
          <w:p w14:paraId="513831B1"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NH White: 8% </w:t>
            </w:r>
          </w:p>
          <w:p w14:paraId="73D72BDD"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Of those, 67% switched back to M</w:t>
            </w:r>
          </w:p>
          <w:p w14:paraId="20BAB1F3"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Black: 7% </w:t>
            </w:r>
          </w:p>
          <w:p w14:paraId="35498A13"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Of those, 85% switched back to M</w:t>
            </w:r>
          </w:p>
          <w:p w14:paraId="6142C9BA"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Hispanic: 16% </w:t>
            </w:r>
          </w:p>
          <w:p w14:paraId="5A41C1B4"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Of those, 25% switched back to M</w:t>
            </w:r>
          </w:p>
          <w:p w14:paraId="27B10E21" w14:textId="77777777" w:rsidR="00881FE9" w:rsidRPr="00DE452B" w:rsidRDefault="00881FE9" w:rsidP="003F5ADD">
            <w:pPr>
              <w:rPr>
                <w:rFonts w:asciiTheme="minorHAnsi" w:hAnsiTheme="minorHAnsi" w:cstheme="minorHAnsi"/>
                <w:sz w:val="16"/>
                <w:szCs w:val="16"/>
                <w:u w:val="single"/>
              </w:rPr>
            </w:pPr>
            <w:r w:rsidRPr="00DE452B">
              <w:rPr>
                <w:rFonts w:asciiTheme="minorHAnsi" w:hAnsiTheme="minorHAnsi" w:cstheme="minorHAnsi"/>
                <w:sz w:val="16"/>
                <w:szCs w:val="16"/>
                <w:u w:val="single"/>
              </w:rPr>
              <w:t>By age:</w:t>
            </w:r>
          </w:p>
          <w:p w14:paraId="4E77C581"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 xml:space="preserve">18-24: 8% </w:t>
            </w:r>
          </w:p>
          <w:p w14:paraId="63E0C492"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 xml:space="preserve">25-39: 11% </w:t>
            </w:r>
          </w:p>
          <w:p w14:paraId="40E205A8"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 xml:space="preserve">40-54: 7% </w:t>
            </w:r>
          </w:p>
          <w:p w14:paraId="39FFD819"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t>55+: 9%</w:t>
            </w:r>
          </w:p>
        </w:tc>
        <w:tc>
          <w:tcPr>
            <w:tcW w:w="1510" w:type="pct"/>
          </w:tcPr>
          <w:p w14:paraId="2711F74C" w14:textId="77777777" w:rsidR="00881FE9" w:rsidRPr="00DE452B" w:rsidRDefault="00881FE9" w:rsidP="003F5ADD">
            <w:pPr>
              <w:rPr>
                <w:rFonts w:asciiTheme="minorHAnsi" w:hAnsiTheme="minorHAnsi" w:cstheme="minorHAnsi"/>
                <w:sz w:val="16"/>
                <w:szCs w:val="16"/>
              </w:rPr>
            </w:pPr>
            <w:r w:rsidRPr="00DE452B">
              <w:rPr>
                <w:rFonts w:asciiTheme="minorHAnsi" w:hAnsiTheme="minorHAnsi" w:cstheme="minorHAnsi"/>
                <w:sz w:val="16"/>
                <w:szCs w:val="16"/>
              </w:rPr>
              <w:lastRenderedPageBreak/>
              <w:t>NR</w:t>
            </w:r>
          </w:p>
        </w:tc>
      </w:tr>
      <w:tr w:rsidR="00881FE9" w:rsidRPr="00DE452B" w14:paraId="55DB7760" w14:textId="77777777" w:rsidTr="00382374">
        <w:tc>
          <w:tcPr>
            <w:tcW w:w="624" w:type="pct"/>
          </w:tcPr>
          <w:p w14:paraId="43849B90" w14:textId="2D7628C0" w:rsidR="00881FE9" w:rsidRPr="00DE452B" w:rsidRDefault="00D2134A" w:rsidP="00881FE9">
            <w:pPr>
              <w:rPr>
                <w:rFonts w:asciiTheme="minorHAnsi" w:hAnsiTheme="minorHAnsi" w:cstheme="minorHAnsi"/>
                <w:sz w:val="16"/>
                <w:szCs w:val="16"/>
              </w:rPr>
            </w:pPr>
            <w:r>
              <w:rPr>
                <w:rFonts w:cstheme="minorHAnsi"/>
                <w:sz w:val="16"/>
                <w:szCs w:val="16"/>
              </w:rPr>
              <w:fldChar w:fldCharType="begin">
                <w:fldData xml:space="preserve">PEVuZE5vdGU+PENpdGU+PEF1dGhvcj5MYXdyZW5jZTwvQXV0aG9yPjxZZWFyPjIwMTA8L1llYXI+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PEVuZE5vdGU+PENpdGU+PEF1dGhvcj5MYXdyZW5jZTwvQXV0aG9yPjxZZWFyPjIwMTA8L1llYXI+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70" w:tooltip="Lawrence, 2010 #52" w:history="1">
              <w:r w:rsidR="00A234A9">
                <w:rPr>
                  <w:rFonts w:cstheme="minorHAnsi"/>
                  <w:noProof/>
                  <w:sz w:val="16"/>
                  <w:szCs w:val="16"/>
                </w:rPr>
                <w:t>70</w:t>
              </w:r>
            </w:hyperlink>
            <w:r>
              <w:rPr>
                <w:rFonts w:cstheme="minorHAnsi"/>
                <w:noProof/>
                <w:sz w:val="16"/>
                <w:szCs w:val="16"/>
              </w:rPr>
              <w:t>)</w:t>
            </w:r>
            <w:r>
              <w:rPr>
                <w:rFonts w:cstheme="minorHAnsi"/>
                <w:sz w:val="16"/>
                <w:szCs w:val="16"/>
              </w:rPr>
              <w:fldChar w:fldCharType="end"/>
            </w:r>
          </w:p>
          <w:p w14:paraId="5150CAF0" w14:textId="77777777" w:rsidR="00881FE9" w:rsidRPr="00DE452B" w:rsidRDefault="00881FE9" w:rsidP="00881FE9">
            <w:pPr>
              <w:rPr>
                <w:rFonts w:asciiTheme="minorHAnsi" w:hAnsiTheme="minorHAnsi" w:cstheme="minorHAnsi"/>
                <w:sz w:val="16"/>
                <w:szCs w:val="16"/>
                <w:vertAlign w:val="superscript"/>
              </w:rPr>
            </w:pPr>
            <w:r w:rsidRPr="00DE452B">
              <w:rPr>
                <w:rFonts w:asciiTheme="minorHAnsi" w:hAnsiTheme="minorHAnsi" w:cstheme="minorHAnsi"/>
                <w:sz w:val="16"/>
                <w:szCs w:val="16"/>
              </w:rPr>
              <w:t>TUS-CPS</w:t>
            </w:r>
            <w:r w:rsidRPr="00DE452B">
              <w:rPr>
                <w:rFonts w:asciiTheme="minorHAnsi" w:hAnsiTheme="minorHAnsi" w:cstheme="minorHAnsi"/>
                <w:sz w:val="16"/>
                <w:szCs w:val="16"/>
                <w:vertAlign w:val="superscript"/>
              </w:rPr>
              <w:t>b</w:t>
            </w:r>
            <w:r w:rsidRPr="00DE452B" w:rsidDel="009D4CA2">
              <w:rPr>
                <w:rFonts w:asciiTheme="minorHAnsi" w:hAnsiTheme="minorHAnsi" w:cstheme="minorHAnsi"/>
                <w:sz w:val="16"/>
                <w:szCs w:val="16"/>
                <w:vertAlign w:val="superscript"/>
              </w:rPr>
              <w:t xml:space="preserve"> </w:t>
            </w:r>
          </w:p>
          <w:p w14:paraId="23863B0C"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Adults</w:t>
            </w:r>
          </w:p>
        </w:tc>
        <w:tc>
          <w:tcPr>
            <w:tcW w:w="589" w:type="pct"/>
          </w:tcPr>
          <w:p w14:paraId="6F93F760"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Onset of regular smoking</w:t>
            </w:r>
          </w:p>
          <w:p w14:paraId="1A860AAC" w14:textId="77777777" w:rsidR="00621FF9" w:rsidRPr="00DE452B" w:rsidRDefault="00621FF9" w:rsidP="00881FE9">
            <w:pPr>
              <w:rPr>
                <w:rFonts w:asciiTheme="minorHAnsi" w:hAnsiTheme="minorHAnsi" w:cstheme="minorHAnsi"/>
                <w:sz w:val="16"/>
                <w:szCs w:val="16"/>
              </w:rPr>
            </w:pPr>
          </w:p>
          <w:p w14:paraId="2354386F"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 xml:space="preserve">Self-reported smoking coded as every day, or some days </w:t>
            </w:r>
          </w:p>
          <w:p w14:paraId="7105CCE4" w14:textId="77777777" w:rsidR="00621FF9" w:rsidRPr="00DE452B" w:rsidRDefault="00621FF9" w:rsidP="00881FE9">
            <w:pPr>
              <w:rPr>
                <w:rFonts w:asciiTheme="minorHAnsi" w:hAnsiTheme="minorHAnsi" w:cstheme="minorHAnsi"/>
                <w:sz w:val="16"/>
                <w:szCs w:val="16"/>
              </w:rPr>
            </w:pPr>
          </w:p>
        </w:tc>
        <w:tc>
          <w:tcPr>
            <w:tcW w:w="661" w:type="pct"/>
          </w:tcPr>
          <w:p w14:paraId="06924D7A" w14:textId="77777777" w:rsidR="00881FE9" w:rsidRPr="00382374" w:rsidRDefault="00881FE9" w:rsidP="00881FE9">
            <w:pPr>
              <w:rPr>
                <w:rFonts w:asciiTheme="minorHAnsi" w:hAnsiTheme="minorHAnsi" w:cstheme="minorHAnsi"/>
                <w:sz w:val="16"/>
                <w:szCs w:val="16"/>
              </w:rPr>
            </w:pPr>
            <w:r w:rsidRPr="00382374">
              <w:rPr>
                <w:rFonts w:cstheme="minorHAnsi"/>
                <w:sz w:val="16"/>
                <w:szCs w:val="16"/>
              </w:rPr>
              <w:t>M:</w:t>
            </w:r>
          </w:p>
          <w:p w14:paraId="35B30488"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&lt;14: 17.1%</w:t>
            </w:r>
          </w:p>
          <w:p w14:paraId="2FC1ACA0"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15-17: 34.8%</w:t>
            </w:r>
          </w:p>
          <w:p w14:paraId="34083A16"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≥18: 45.5%</w:t>
            </w:r>
          </w:p>
          <w:p w14:paraId="3AA92E2B"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Never smoked regularly: 2.6%</w:t>
            </w:r>
          </w:p>
          <w:p w14:paraId="075CE8BD" w14:textId="77777777" w:rsidR="00881FE9" w:rsidRPr="00382374" w:rsidRDefault="00881FE9" w:rsidP="00881FE9">
            <w:pPr>
              <w:rPr>
                <w:rFonts w:asciiTheme="minorHAnsi" w:hAnsiTheme="minorHAnsi" w:cstheme="minorHAnsi"/>
                <w:sz w:val="16"/>
                <w:szCs w:val="16"/>
              </w:rPr>
            </w:pPr>
            <w:r w:rsidRPr="00382374">
              <w:rPr>
                <w:rFonts w:cstheme="minorHAnsi"/>
                <w:sz w:val="16"/>
                <w:szCs w:val="16"/>
              </w:rPr>
              <w:t>NM:</w:t>
            </w:r>
          </w:p>
          <w:p w14:paraId="12594838"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&lt;14: 18.6%</w:t>
            </w:r>
          </w:p>
          <w:p w14:paraId="0634509B"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15-17: 36.3%</w:t>
            </w:r>
          </w:p>
          <w:p w14:paraId="20050FFF"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≥18: 42.6%</w:t>
            </w:r>
          </w:p>
          <w:p w14:paraId="7D435A43"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Never smoked regularly: 2.5%</w:t>
            </w:r>
          </w:p>
        </w:tc>
        <w:tc>
          <w:tcPr>
            <w:tcW w:w="625" w:type="pct"/>
          </w:tcPr>
          <w:p w14:paraId="1BEAB820"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p w14:paraId="16A659CD" w14:textId="77777777" w:rsidR="00881FE9" w:rsidRPr="00DE452B" w:rsidRDefault="00881FE9" w:rsidP="00881FE9">
            <w:pPr>
              <w:rPr>
                <w:rFonts w:asciiTheme="minorHAnsi" w:hAnsiTheme="minorHAnsi" w:cstheme="minorHAnsi"/>
                <w:sz w:val="16"/>
                <w:szCs w:val="16"/>
              </w:rPr>
            </w:pPr>
          </w:p>
        </w:tc>
        <w:tc>
          <w:tcPr>
            <w:tcW w:w="416" w:type="pct"/>
          </w:tcPr>
          <w:p w14:paraId="06CFCD77"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6D0A0659"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34A28669" w14:textId="77777777" w:rsidR="00881FE9" w:rsidRPr="00DE452B" w:rsidRDefault="00881FE9" w:rsidP="00881FE9">
            <w:pPr>
              <w:rPr>
                <w:rFonts w:asciiTheme="minorHAnsi" w:hAnsiTheme="minorHAnsi" w:cstheme="minorHAnsi"/>
                <w:sz w:val="16"/>
                <w:szCs w:val="16"/>
                <w:u w:val="single"/>
              </w:rPr>
            </w:pPr>
            <w:r w:rsidRPr="00DE452B">
              <w:rPr>
                <w:rFonts w:asciiTheme="minorHAnsi" w:hAnsiTheme="minorHAnsi" w:cstheme="minorHAnsi"/>
                <w:sz w:val="16"/>
                <w:szCs w:val="16"/>
                <w:u w:val="single"/>
              </w:rPr>
              <w:t>Daily smokers</w:t>
            </w:r>
          </w:p>
          <w:p w14:paraId="5A0B2A35"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M: 78.8%</w:t>
            </w:r>
          </w:p>
          <w:p w14:paraId="795F18B4"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NM: 81.0%</w:t>
            </w:r>
          </w:p>
          <w:p w14:paraId="5043AF58" w14:textId="77777777" w:rsidR="00881FE9" w:rsidRPr="00DE452B" w:rsidRDefault="00881FE9" w:rsidP="00881FE9">
            <w:pPr>
              <w:rPr>
                <w:rFonts w:asciiTheme="minorHAnsi" w:hAnsiTheme="minorHAnsi" w:cstheme="minorHAnsi"/>
                <w:sz w:val="16"/>
                <w:szCs w:val="16"/>
                <w:u w:val="single"/>
              </w:rPr>
            </w:pPr>
            <w:r w:rsidRPr="00DE452B">
              <w:rPr>
                <w:rFonts w:asciiTheme="minorHAnsi" w:hAnsiTheme="minorHAnsi" w:cstheme="minorHAnsi"/>
                <w:sz w:val="16"/>
                <w:szCs w:val="16"/>
                <w:u w:val="single"/>
              </w:rPr>
              <w:t>Non-daily smokers</w:t>
            </w:r>
          </w:p>
          <w:p w14:paraId="4FAAA9D8"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M: 19.7%</w:t>
            </w:r>
          </w:p>
          <w:p w14:paraId="6142AC5E"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NM: 18.2%</w:t>
            </w:r>
          </w:p>
        </w:tc>
      </w:tr>
      <w:tr w:rsidR="00253CDB" w:rsidRPr="00DE452B" w14:paraId="01EDAE25" w14:textId="77777777" w:rsidTr="00B97391">
        <w:tc>
          <w:tcPr>
            <w:tcW w:w="624" w:type="pct"/>
          </w:tcPr>
          <w:p w14:paraId="5F7F86EC" w14:textId="2DEE85B4" w:rsidR="00253CDB" w:rsidRPr="00382374" w:rsidRDefault="00D2134A" w:rsidP="00B97391">
            <w:pPr>
              <w:rPr>
                <w:rFonts w:asciiTheme="minorHAnsi" w:hAnsiTheme="minorHAnsi" w:cstheme="minorHAnsi"/>
                <w:sz w:val="16"/>
                <w:szCs w:val="16"/>
              </w:rPr>
            </w:pPr>
            <w:r>
              <w:rPr>
                <w:rFonts w:cstheme="minorHAnsi"/>
                <w:sz w:val="16"/>
                <w:szCs w:val="16"/>
              </w:rPr>
              <w:lastRenderedPageBreak/>
              <w:fldChar w:fldCharType="begin"/>
            </w:r>
            <w:r>
              <w:rPr>
                <w:rFonts w:cstheme="minorHAnsi"/>
                <w:sz w:val="16"/>
                <w:szCs w:val="16"/>
              </w:rPr>
              <w:instrText xml:space="preserve"> ADDIN EN.CITE &lt;EndNote&gt;&lt;Cite&gt;&lt;Author&gt;Muilenburg&lt;/Author&gt;&lt;Year&gt;2008&lt;/Year&gt;&lt;RecNum&gt;71&lt;/RecNum&gt;&lt;DisplayText&gt;(71)&lt;/DisplayText&gt;&lt;record&gt;&lt;rec-number&gt;71&lt;/rec-number&gt;&lt;foreign-keys&gt;&lt;key app="EN" db-id="a2vz2dfp8xrad6exes75zwpiw5rxwa0vwapv" timestamp="0"&gt;71&lt;/key&gt;&lt;/foreign-keys&gt;&lt;ref-type name="Journal Article"&gt;17&lt;/ref-type&gt;&lt;contributors&gt;&lt;authors&gt;&lt;author&gt;Muilenburg, J. L.&lt;/author&gt;&lt;author&gt;Legge, J. S., Jr.&lt;/author&gt;&lt;/authors&gt;&lt;/contributors&gt;&lt;auth-address&gt;Department of Health Promotion and Behavior, College of Public Health, University of Georgia, Athens, Georgia 30602, USA.&lt;/auth-address&gt;&lt;titles&gt;&lt;title&gt;African American adolescents and menthol cigarettes: smoking behavior among secondary school students&lt;/title&gt;&lt;secondary-title&gt;J Adolesc Health&lt;/secondary-title&gt;&lt;/titles&gt;&lt;pages&gt;570-5&lt;/pages&gt;&lt;volume&gt;43&lt;/volume&gt;&lt;number&gt;6&lt;/number&gt;&lt;keywords&gt;&lt;keyword&gt;Adolescent&lt;/keyword&gt;&lt;keyword&gt;Adolescent Behavior/*ethnology&lt;/keyword&gt;&lt;keyword&gt;African Americans/*statistics &amp;amp; numerical data&lt;/keyword&gt;&lt;keyword&gt;Age Distribution&lt;/keyword&gt;&lt;keyword&gt;Case-Control Studies&lt;/keyword&gt;&lt;keyword&gt;Child&lt;/keyword&gt;&lt;keyword&gt;European Continental Ancestry Group/statistics &amp;amp; numerical data&lt;/keyword&gt;&lt;keyword&gt;Female&lt;/keyword&gt;&lt;keyword&gt;Health Behavior/ethnology&lt;/keyword&gt;&lt;keyword&gt;Health Surveys&lt;/keyword&gt;&lt;keyword&gt;Humans&lt;/keyword&gt;&lt;keyword&gt;Male&lt;/keyword&gt;&lt;keyword&gt;Menthol&lt;/keyword&gt;&lt;keyword&gt;Sex Distribution&lt;/keyword&gt;&lt;keyword&gt;Smoking/*ethnology&lt;/keyword&gt;&lt;keyword&gt;Social Environment&lt;/keyword&gt;&lt;keyword&gt;Southeastern United States/epidemiology&lt;/keyword&gt;&lt;keyword&gt;Students/*statistics &amp;amp; numerical data&lt;/keyword&gt;&lt;keyword&gt;Young Adult&lt;/keyword&gt;&lt;/keywords&gt;&lt;dates&gt;&lt;year&gt;2008&lt;/year&gt;&lt;pub-dates&gt;&lt;date&gt;Dec&lt;/date&gt;&lt;/pub-dates&gt;&lt;/dates&gt;&lt;isbn&gt;1879-1972 (Electronic)&amp;#xD;1054-139X (Linking)&lt;/isbn&gt;&lt;accession-num&gt;19027645&lt;/accession-num&gt;&lt;urls&gt;&lt;related-urls&gt;&lt;url&gt;http://www.ncbi.nlm.nih.gov/pubmed/19027645&lt;/url&gt;&lt;/related-urls&gt;&lt;/urls&gt;&lt;electronic-resource-num&gt;10.1016/j.jadohealth.2008.08.017&lt;/electronic-resource-num&gt;&lt;research-notes&gt;#343&lt;/research-notes&gt;&lt;/record&gt;&lt;/Cite&gt;&lt;/EndNote&gt;</w:instrText>
            </w:r>
            <w:r>
              <w:rPr>
                <w:rFonts w:cstheme="minorHAnsi"/>
                <w:sz w:val="16"/>
                <w:szCs w:val="16"/>
              </w:rPr>
              <w:fldChar w:fldCharType="separate"/>
            </w:r>
            <w:r>
              <w:rPr>
                <w:rFonts w:cstheme="minorHAnsi"/>
                <w:noProof/>
                <w:sz w:val="16"/>
                <w:szCs w:val="16"/>
              </w:rPr>
              <w:t>(</w:t>
            </w:r>
            <w:hyperlink w:anchor="_ENREF_71" w:tooltip="Muilenburg, 2008 #71" w:history="1">
              <w:r w:rsidR="00A234A9">
                <w:rPr>
                  <w:rFonts w:cstheme="minorHAnsi"/>
                  <w:noProof/>
                  <w:sz w:val="16"/>
                  <w:szCs w:val="16"/>
                </w:rPr>
                <w:t>71</w:t>
              </w:r>
            </w:hyperlink>
            <w:r>
              <w:rPr>
                <w:rFonts w:cstheme="minorHAnsi"/>
                <w:noProof/>
                <w:sz w:val="16"/>
                <w:szCs w:val="16"/>
              </w:rPr>
              <w:t>)</w:t>
            </w:r>
            <w:r>
              <w:rPr>
                <w:rFonts w:cstheme="minorHAnsi"/>
                <w:sz w:val="16"/>
                <w:szCs w:val="16"/>
              </w:rPr>
              <w:fldChar w:fldCharType="end"/>
            </w:r>
          </w:p>
          <w:p w14:paraId="3A67FEE6" w14:textId="77777777" w:rsidR="00253CDB" w:rsidRPr="00382374" w:rsidRDefault="00253CDB" w:rsidP="00B97391">
            <w:pPr>
              <w:rPr>
                <w:rFonts w:asciiTheme="minorHAnsi" w:hAnsiTheme="minorHAnsi" w:cstheme="minorHAnsi"/>
                <w:sz w:val="16"/>
                <w:szCs w:val="16"/>
              </w:rPr>
            </w:pPr>
            <w:r w:rsidRPr="00D50EBC">
              <w:rPr>
                <w:rFonts w:cstheme="minorHAnsi"/>
                <w:sz w:val="16"/>
                <w:szCs w:val="16"/>
              </w:rPr>
              <w:t>NYTS</w:t>
            </w:r>
          </w:p>
          <w:p w14:paraId="42AA9E5D" w14:textId="77777777" w:rsidR="00253CDB" w:rsidRPr="00DE452B" w:rsidRDefault="00253CDB" w:rsidP="00B97391">
            <w:pPr>
              <w:rPr>
                <w:rFonts w:cstheme="minorHAnsi"/>
                <w:sz w:val="16"/>
                <w:szCs w:val="16"/>
              </w:rPr>
            </w:pPr>
            <w:r w:rsidRPr="00D50EBC">
              <w:rPr>
                <w:rFonts w:cstheme="minorHAnsi"/>
                <w:sz w:val="16"/>
                <w:szCs w:val="16"/>
              </w:rPr>
              <w:t>Youth</w:t>
            </w:r>
          </w:p>
        </w:tc>
        <w:tc>
          <w:tcPr>
            <w:tcW w:w="589" w:type="pct"/>
          </w:tcPr>
          <w:p w14:paraId="268A2356" w14:textId="77777777" w:rsidR="00253CDB" w:rsidRPr="00DE452B" w:rsidRDefault="00253CDB" w:rsidP="00B97391">
            <w:pPr>
              <w:rPr>
                <w:rFonts w:cstheme="minorHAnsi"/>
                <w:sz w:val="16"/>
                <w:szCs w:val="16"/>
              </w:rPr>
            </w:pPr>
            <w:r w:rsidRPr="00382374">
              <w:rPr>
                <w:rFonts w:asciiTheme="minorHAnsi" w:hAnsiTheme="minorHAnsi" w:cstheme="minorHAnsi"/>
                <w:sz w:val="16"/>
                <w:szCs w:val="16"/>
              </w:rPr>
              <w:t xml:space="preserve">Daily </w:t>
            </w:r>
            <w:r w:rsidRPr="00D50EBC">
              <w:rPr>
                <w:rFonts w:cstheme="minorHAnsi"/>
                <w:sz w:val="16"/>
                <w:szCs w:val="16"/>
              </w:rPr>
              <w:t xml:space="preserve">defined as, </w:t>
            </w:r>
            <w:r w:rsidRPr="00382374">
              <w:rPr>
                <w:rFonts w:asciiTheme="minorHAnsi" w:hAnsiTheme="minorHAnsi" w:cstheme="minorHAnsi"/>
                <w:sz w:val="16"/>
                <w:szCs w:val="16"/>
              </w:rPr>
              <w:t xml:space="preserve">at least one </w:t>
            </w:r>
            <w:r>
              <w:rPr>
                <w:rFonts w:asciiTheme="minorHAnsi" w:hAnsiTheme="minorHAnsi" w:cstheme="minorHAnsi"/>
                <w:sz w:val="16"/>
                <w:szCs w:val="16"/>
              </w:rPr>
              <w:t>cig</w:t>
            </w:r>
            <w:r w:rsidRPr="00382374">
              <w:rPr>
                <w:rFonts w:asciiTheme="minorHAnsi" w:hAnsiTheme="minorHAnsi" w:cstheme="minorHAnsi"/>
                <w:sz w:val="16"/>
                <w:szCs w:val="16"/>
              </w:rPr>
              <w:t xml:space="preserve"> every day for 30 days.</w:t>
            </w:r>
          </w:p>
        </w:tc>
        <w:tc>
          <w:tcPr>
            <w:tcW w:w="661" w:type="pct"/>
          </w:tcPr>
          <w:p w14:paraId="1C7A7402" w14:textId="77777777" w:rsidR="00253CDB" w:rsidRPr="00DE452B" w:rsidRDefault="00253CDB" w:rsidP="00B97391">
            <w:pPr>
              <w:rPr>
                <w:rFonts w:cstheme="minorHAnsi"/>
                <w:sz w:val="16"/>
                <w:szCs w:val="16"/>
              </w:rPr>
            </w:pPr>
            <w:r>
              <w:rPr>
                <w:rFonts w:cstheme="minorHAnsi"/>
                <w:sz w:val="16"/>
                <w:szCs w:val="16"/>
              </w:rPr>
              <w:t>NR</w:t>
            </w:r>
          </w:p>
        </w:tc>
        <w:tc>
          <w:tcPr>
            <w:tcW w:w="625" w:type="pct"/>
          </w:tcPr>
          <w:p w14:paraId="20C13B6F" w14:textId="77777777" w:rsidR="00253CDB" w:rsidRPr="00B627BA" w:rsidRDefault="00253CDB" w:rsidP="00B97391">
            <w:pPr>
              <w:rPr>
                <w:rFonts w:cstheme="minorHAnsi"/>
                <w:sz w:val="16"/>
                <w:szCs w:val="16"/>
              </w:rPr>
            </w:pPr>
            <w:r w:rsidRPr="00B627BA">
              <w:rPr>
                <w:rFonts w:cstheme="minorHAnsi"/>
                <w:sz w:val="16"/>
                <w:szCs w:val="16"/>
              </w:rPr>
              <w:t>NR</w:t>
            </w:r>
          </w:p>
        </w:tc>
        <w:tc>
          <w:tcPr>
            <w:tcW w:w="416" w:type="pct"/>
          </w:tcPr>
          <w:p w14:paraId="3011C879" w14:textId="77777777" w:rsidR="00253CDB" w:rsidRPr="00B627BA" w:rsidRDefault="00253CDB" w:rsidP="00B97391">
            <w:pPr>
              <w:rPr>
                <w:rFonts w:cstheme="minorHAnsi"/>
                <w:sz w:val="16"/>
                <w:szCs w:val="16"/>
              </w:rPr>
            </w:pPr>
            <w:r w:rsidRPr="00B627BA">
              <w:rPr>
                <w:rFonts w:cstheme="minorHAnsi"/>
                <w:sz w:val="16"/>
                <w:szCs w:val="16"/>
              </w:rPr>
              <w:t>NR</w:t>
            </w:r>
          </w:p>
        </w:tc>
        <w:tc>
          <w:tcPr>
            <w:tcW w:w="574" w:type="pct"/>
          </w:tcPr>
          <w:p w14:paraId="354497CF" w14:textId="77777777" w:rsidR="00253CDB" w:rsidRPr="00B627BA" w:rsidRDefault="00253CDB" w:rsidP="00B97391">
            <w:pPr>
              <w:rPr>
                <w:rFonts w:cstheme="minorHAnsi"/>
                <w:sz w:val="16"/>
                <w:szCs w:val="16"/>
              </w:rPr>
            </w:pPr>
            <w:r w:rsidRPr="00B627BA">
              <w:rPr>
                <w:rFonts w:cstheme="minorHAnsi"/>
                <w:sz w:val="16"/>
                <w:szCs w:val="16"/>
              </w:rPr>
              <w:t>NR</w:t>
            </w:r>
          </w:p>
        </w:tc>
        <w:tc>
          <w:tcPr>
            <w:tcW w:w="1510" w:type="pct"/>
          </w:tcPr>
          <w:p w14:paraId="2380AF7A" w14:textId="77777777" w:rsidR="00253CDB" w:rsidRPr="00382374" w:rsidRDefault="00253CDB" w:rsidP="00B97391">
            <w:pPr>
              <w:rPr>
                <w:rFonts w:asciiTheme="minorHAnsi" w:hAnsiTheme="minorHAnsi" w:cstheme="minorHAnsi"/>
                <w:sz w:val="16"/>
                <w:szCs w:val="16"/>
                <w:u w:val="single"/>
              </w:rPr>
            </w:pPr>
            <w:r w:rsidRPr="00D50EBC">
              <w:rPr>
                <w:rFonts w:cstheme="minorHAnsi"/>
                <w:sz w:val="16"/>
                <w:szCs w:val="16"/>
                <w:u w:val="single"/>
              </w:rPr>
              <w:t xml:space="preserve">Ever smoked daily, </w:t>
            </w:r>
            <w:r>
              <w:rPr>
                <w:rFonts w:cstheme="minorHAnsi"/>
                <w:sz w:val="16"/>
                <w:szCs w:val="16"/>
                <w:u w:val="single"/>
              </w:rPr>
              <w:t>A</w:t>
            </w:r>
            <w:r w:rsidRPr="00D50EBC">
              <w:rPr>
                <w:rFonts w:cstheme="minorHAnsi"/>
                <w:sz w:val="16"/>
                <w:szCs w:val="16"/>
                <w:u w:val="single"/>
              </w:rPr>
              <w:t xml:space="preserve">OR (Z scores) for M (ref=NM): </w:t>
            </w:r>
          </w:p>
          <w:p w14:paraId="1AD8958B" w14:textId="77777777" w:rsidR="00253CDB" w:rsidRPr="00DE452B" w:rsidRDefault="00253CDB" w:rsidP="00B97391">
            <w:pPr>
              <w:rPr>
                <w:rFonts w:cstheme="minorHAnsi"/>
                <w:sz w:val="16"/>
                <w:szCs w:val="16"/>
              </w:rPr>
            </w:pPr>
            <w:r w:rsidRPr="00D50EBC">
              <w:rPr>
                <w:rFonts w:cstheme="minorHAnsi"/>
                <w:sz w:val="16"/>
                <w:szCs w:val="16"/>
              </w:rPr>
              <w:t>3.41 (4.75), p≤0.01</w:t>
            </w:r>
          </w:p>
        </w:tc>
      </w:tr>
      <w:tr w:rsidR="00881FE9" w:rsidRPr="00DE452B" w14:paraId="14CC4601" w14:textId="77777777" w:rsidTr="00382374">
        <w:tc>
          <w:tcPr>
            <w:tcW w:w="624" w:type="pct"/>
          </w:tcPr>
          <w:p w14:paraId="163E8135" w14:textId="7529A741" w:rsidR="00881FE9" w:rsidRPr="00DE452B" w:rsidRDefault="00D2134A" w:rsidP="00881FE9">
            <w:pPr>
              <w:rPr>
                <w:rFonts w:asciiTheme="minorHAnsi" w:hAnsiTheme="minorHAnsi" w:cstheme="minorHAnsi"/>
                <w:sz w:val="16"/>
                <w:szCs w:val="16"/>
              </w:rPr>
            </w:pPr>
            <w:r>
              <w:rPr>
                <w:rFonts w:cstheme="minorHAnsi"/>
                <w:sz w:val="16"/>
                <w:szCs w:val="16"/>
              </w:rPr>
              <w:fldChar w:fldCharType="begin"/>
            </w:r>
            <w:r>
              <w:rPr>
                <w:rFonts w:cstheme="minorHAnsi"/>
                <w:sz w:val="16"/>
                <w:szCs w:val="16"/>
              </w:rPr>
              <w:instrText xml:space="preserve"> ADDIN EN.CITE &lt;EndNote&gt;&lt;Cite&gt;&lt;Author&gt;Nonnemaker&lt;/Author&gt;&lt;Year&gt;2012&lt;/Year&gt;&lt;RecNum&gt;31&lt;/RecNum&gt;&lt;DisplayText&gt;(72)&lt;/DisplayText&gt;&lt;record&gt;&lt;rec-number&gt;31&lt;/rec-number&gt;&lt;foreign-keys&gt;&lt;key app="EN" db-id="a2vz2dfp8xrad6exes75zwpiw5rxwa0vwapv" timestamp="0"&gt;31&lt;/key&gt;&lt;/foreign-keys&gt;&lt;ref-type name="Journal Article"&gt;17&lt;/ref-type&gt;&lt;contributors&gt;&lt;authors&gt;&lt;author&gt;Nonnemaker, J.&lt;/author&gt;&lt;author&gt;Hersey, J.&lt;/author&gt;&lt;author&gt;Homsi, G.&lt;/author&gt;&lt;author&gt;Busey, A.&lt;/author&gt;&lt;author&gt;Allen, J.&lt;/author&gt;&lt;author&gt;Vallone, D.&lt;/author&gt;&lt;/authors&gt;&lt;/contributors&gt;&lt;auth-address&gt;RTI International, Research Triangle Park, NC 27709-2194, USA. jnonnemaker@rti.org&lt;/auth-address&gt;&lt;titles&gt;&lt;title&gt;Initiation with menthol cigarettes and youth smoking uptake&lt;/title&gt;&lt;secondary-title&gt;Addiction&lt;/secondary-title&gt;&lt;/titles&gt;&lt;periodical&gt;&lt;full-title&gt;Addiction&lt;/full-title&gt;&lt;/periodical&gt;&lt;pages&gt;171-8&lt;/pages&gt;&lt;volume&gt;108&lt;/volume&gt;&lt;number&gt;1&lt;/number&gt;&lt;keywords&gt;&lt;keyword&gt;Adolescent&lt;/keyword&gt;&lt;keyword&gt;Age Distribution&lt;/keyword&gt;&lt;keyword&gt;Child&lt;/keyword&gt;&lt;keyword&gt;Female&lt;/keyword&gt;&lt;keyword&gt;Flavoring Agents/*adverse effects&lt;/keyword&gt;&lt;keyword&gt;Humans&lt;/keyword&gt;&lt;keyword&gt;Longitudinal Studies&lt;/keyword&gt;&lt;keyword&gt;Male&lt;/keyword&gt;&lt;keyword&gt;Menthol/*adverse effects&lt;/keyword&gt;&lt;keyword&gt;Risk Factors&lt;/keyword&gt;&lt;keyword&gt;Sex Distribution&lt;/keyword&gt;&lt;keyword&gt;Smoking/*adverse effects&lt;/keyword&gt;&lt;keyword&gt;Smoking Cessation/psychology/statistics &amp;amp; numerical data&lt;/keyword&gt;&lt;keyword&gt;Tobacco Products/*adverse effects&lt;/keyword&gt;&lt;keyword&gt;Tobacco Use Disorder/*etiology&lt;/keyword&gt;&lt;keyword&gt;United States&lt;/keyword&gt;&lt;/keywords&gt;&lt;dates&gt;&lt;year&gt;2012&lt;/year&gt;&lt;pub-dates&gt;&lt;date&gt;Jan&lt;/date&gt;&lt;/pub-dates&gt;&lt;/dates&gt;&lt;isbn&gt;1360-0443 (Electronic)&amp;#xD;0965-2140 (Linking)&lt;/isbn&gt;&lt;accession-num&gt;22862154&lt;/accession-num&gt;&lt;urls&gt;&lt;related-urls&gt;&lt;url&gt;http://www.ncbi.nlm.nih.gov/pubmed/22862154&lt;/url&gt;&lt;/related-urls&gt;&lt;/urls&gt;&lt;electronic-resource-num&gt;10.1111/j.1360-0443.2012.04045.x&lt;/electronic-resource-num&gt;&lt;research-notes&gt;#160&lt;/research-notes&gt;&lt;/record&gt;&lt;/Cite&gt;&lt;/EndNote&gt;</w:instrText>
            </w:r>
            <w:r>
              <w:rPr>
                <w:rFonts w:cstheme="minorHAnsi"/>
                <w:sz w:val="16"/>
                <w:szCs w:val="16"/>
              </w:rPr>
              <w:fldChar w:fldCharType="separate"/>
            </w:r>
            <w:r>
              <w:rPr>
                <w:rFonts w:cstheme="minorHAnsi"/>
                <w:noProof/>
                <w:sz w:val="16"/>
                <w:szCs w:val="16"/>
              </w:rPr>
              <w:t>(</w:t>
            </w:r>
            <w:hyperlink w:anchor="_ENREF_72" w:tooltip="Nonnemaker, 2012 #31" w:history="1">
              <w:r w:rsidR="00A234A9">
                <w:rPr>
                  <w:rFonts w:cstheme="minorHAnsi"/>
                  <w:noProof/>
                  <w:sz w:val="16"/>
                  <w:szCs w:val="16"/>
                </w:rPr>
                <w:t>72</w:t>
              </w:r>
            </w:hyperlink>
            <w:r>
              <w:rPr>
                <w:rFonts w:cstheme="minorHAnsi"/>
                <w:noProof/>
                <w:sz w:val="16"/>
                <w:szCs w:val="16"/>
              </w:rPr>
              <w:t>)</w:t>
            </w:r>
            <w:r>
              <w:rPr>
                <w:rFonts w:cstheme="minorHAnsi"/>
                <w:sz w:val="16"/>
                <w:szCs w:val="16"/>
              </w:rPr>
              <w:fldChar w:fldCharType="end"/>
            </w:r>
          </w:p>
          <w:p w14:paraId="76EF97D5"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ALLTURS</w:t>
            </w:r>
            <w:r w:rsidR="00D50EBC" w:rsidRPr="00DE452B">
              <w:rPr>
                <w:rFonts w:asciiTheme="minorHAnsi" w:hAnsiTheme="minorHAnsi" w:cstheme="minorHAnsi"/>
                <w:sz w:val="16"/>
                <w:szCs w:val="16"/>
                <w:vertAlign w:val="superscript"/>
              </w:rPr>
              <w:t>b</w:t>
            </w:r>
          </w:p>
          <w:p w14:paraId="60A0C575"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Youth</w:t>
            </w:r>
          </w:p>
        </w:tc>
        <w:tc>
          <w:tcPr>
            <w:tcW w:w="589" w:type="pct"/>
          </w:tcPr>
          <w:p w14:paraId="12C3F5BE"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Overall NR; Established smokers: ≥100 lifetime cigs and smoked on ≥20 of the past 30 days.</w:t>
            </w:r>
          </w:p>
        </w:tc>
        <w:tc>
          <w:tcPr>
            <w:tcW w:w="661" w:type="pct"/>
          </w:tcPr>
          <w:p w14:paraId="02B74482"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625" w:type="pct"/>
          </w:tcPr>
          <w:p w14:paraId="4BCBD178"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u w:val="single"/>
              </w:rPr>
              <w:t>Non-established smokers</w:t>
            </w:r>
          </w:p>
          <w:p w14:paraId="652FC2CF"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Total sample: 32.6%</w:t>
            </w:r>
          </w:p>
          <w:p w14:paraId="74516459"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Women: 33.6%</w:t>
            </w:r>
          </w:p>
          <w:p w14:paraId="7183B2C6"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Men: 31.6%</w:t>
            </w:r>
          </w:p>
          <w:p w14:paraId="646E4D4A"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NH White: 31.8%</w:t>
            </w:r>
          </w:p>
          <w:p w14:paraId="7697F75B"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NH Black: 26.7%</w:t>
            </w:r>
          </w:p>
          <w:p w14:paraId="3EF95858"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Hispanic: 34.8%</w:t>
            </w:r>
          </w:p>
          <w:p w14:paraId="7EBEEC3A"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Other: 39.3%</w:t>
            </w:r>
          </w:p>
          <w:p w14:paraId="7D79591D"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u w:val="single"/>
              </w:rPr>
              <w:t xml:space="preserve">Current smokers at Wave 3 </w:t>
            </w:r>
          </w:p>
          <w:p w14:paraId="335CAB0B"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 xml:space="preserve">Total sample: 38.7% </w:t>
            </w:r>
          </w:p>
          <w:p w14:paraId="051A8211"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Women: 40.0%</w:t>
            </w:r>
          </w:p>
          <w:p w14:paraId="64FC7B13"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Men: 37.6%</w:t>
            </w:r>
          </w:p>
          <w:p w14:paraId="450A6AE2"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NH White: 35.6%</w:t>
            </w:r>
          </w:p>
          <w:p w14:paraId="3BB337EB"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NH Black: 51.8%</w:t>
            </w:r>
          </w:p>
          <w:p w14:paraId="657507B6"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Hispanic: 44.2%</w:t>
            </w:r>
          </w:p>
          <w:p w14:paraId="55B5CD0C"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Other: 39.2%</w:t>
            </w:r>
          </w:p>
        </w:tc>
        <w:tc>
          <w:tcPr>
            <w:tcW w:w="416" w:type="pct"/>
          </w:tcPr>
          <w:p w14:paraId="3A882FD5"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u w:val="single"/>
              </w:rPr>
              <w:t xml:space="preserve">Current smokers at Wave 3 </w:t>
            </w:r>
          </w:p>
          <w:p w14:paraId="159FDC7E"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Total sample: 21.0%</w:t>
            </w:r>
          </w:p>
          <w:p w14:paraId="30DA86A5"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Women: 21.2%</w:t>
            </w:r>
          </w:p>
          <w:p w14:paraId="4A6C3C9C"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Men: 20.8%</w:t>
            </w:r>
          </w:p>
          <w:p w14:paraId="355E1041"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NH White: 20.7%</w:t>
            </w:r>
          </w:p>
          <w:p w14:paraId="74A25072"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NH Black: 13.0%</w:t>
            </w:r>
          </w:p>
          <w:p w14:paraId="11F52685"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Hispanic: 18.2%</w:t>
            </w:r>
          </w:p>
          <w:p w14:paraId="04D36E99"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Other: 28.5%</w:t>
            </w:r>
          </w:p>
        </w:tc>
        <w:tc>
          <w:tcPr>
            <w:tcW w:w="574" w:type="pct"/>
          </w:tcPr>
          <w:p w14:paraId="3E46927D"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u w:val="single"/>
              </w:rPr>
              <w:t xml:space="preserve">Current smokers at Wave 3 </w:t>
            </w:r>
          </w:p>
          <w:p w14:paraId="346E9403"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Total sample: 15.4%</w:t>
            </w:r>
          </w:p>
          <w:p w14:paraId="1130FF53"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Women: 13.8%</w:t>
            </w:r>
          </w:p>
          <w:p w14:paraId="1FBFCA87"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Men: 16.9%</w:t>
            </w:r>
          </w:p>
          <w:p w14:paraId="1BC95970"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NH White: 16.4%</w:t>
            </w:r>
          </w:p>
          <w:p w14:paraId="1678E09A"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NH Black: 10.0%</w:t>
            </w:r>
          </w:p>
          <w:p w14:paraId="364D2F4A"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Hispanic: 22.0%</w:t>
            </w:r>
          </w:p>
          <w:p w14:paraId="4A1BFE54"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Other: 10.0%</w:t>
            </w:r>
          </w:p>
        </w:tc>
        <w:tc>
          <w:tcPr>
            <w:tcW w:w="1510" w:type="pct"/>
          </w:tcPr>
          <w:p w14:paraId="2EF8AB31"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r>
      <w:tr w:rsidR="00881FE9" w:rsidRPr="00DE452B" w14:paraId="07A4A89A" w14:textId="77777777" w:rsidTr="00382374">
        <w:tc>
          <w:tcPr>
            <w:tcW w:w="624" w:type="pct"/>
          </w:tcPr>
          <w:p w14:paraId="7BA6479C" w14:textId="4CF1E0F5" w:rsidR="00881FE9" w:rsidRPr="00DE452B" w:rsidRDefault="00D2134A" w:rsidP="00881FE9">
            <w:pPr>
              <w:rPr>
                <w:rFonts w:asciiTheme="minorHAnsi" w:hAnsiTheme="minorHAnsi" w:cstheme="minorHAnsi"/>
                <w:sz w:val="16"/>
                <w:szCs w:val="16"/>
              </w:rPr>
            </w:pPr>
            <w:r>
              <w:rPr>
                <w:rFonts w:cstheme="minorHAnsi"/>
                <w:sz w:val="16"/>
                <w:szCs w:val="16"/>
              </w:rPr>
              <w:fldChar w:fldCharType="begin"/>
            </w:r>
            <w:r>
              <w:rPr>
                <w:rFonts w:cstheme="minorHAnsi"/>
                <w:sz w:val="16"/>
                <w:szCs w:val="16"/>
              </w:rPr>
              <w:instrText xml:space="preserve"> ADDIN EN.CITE &lt;EndNote&gt;&lt;Cite&gt;&lt;Author&gt;Nonnemaker&lt;/Author&gt;&lt;Year&gt;2010&lt;/Year&gt;&lt;RecNum&gt;97&lt;/RecNum&gt;&lt;DisplayText&gt;(73)&lt;/DisplayText&gt;&lt;record&gt;&lt;rec-number&gt;97&lt;/rec-number&gt;&lt;foreign-keys&gt;&lt;key app="EN" db-id="a2vz2dfp8xrad6exes75zwpiw5rxwa0vwapv" timestamp="0"&gt;97&lt;/key&gt;&lt;/foreign-keys&gt;&lt;ref-type name="Report"&gt;27&lt;/ref-type&gt;&lt;contributors&gt;&lt;authors&gt;&lt;author&gt;Nonnemaker, J.&lt;/author&gt;&lt;author&gt;Hersey, J.&lt;/author&gt;&lt;author&gt;Homsi, G.&lt;/author&gt;&lt;author&gt;Busey, A.&lt;/author&gt;&lt;/authors&gt;&lt;/contributors&gt;&lt;titles&gt;&lt;title&gt;Menthol cigarettes and youth smoking updake&lt;/title&gt;&lt;/titles&gt;&lt;dates&gt;&lt;year&gt;2010&lt;/year&gt;&lt;/dates&gt;&lt;pub-location&gt;RTI International&lt;/pub-location&gt;&lt;urls&gt;&lt;/urls&gt;&lt;research-notes&gt;#812&lt;/research-notes&gt;&lt;/record&gt;&lt;/Cite&gt;&lt;/EndNote&gt;</w:instrText>
            </w:r>
            <w:r>
              <w:rPr>
                <w:rFonts w:cstheme="minorHAnsi"/>
                <w:sz w:val="16"/>
                <w:szCs w:val="16"/>
              </w:rPr>
              <w:fldChar w:fldCharType="separate"/>
            </w:r>
            <w:r>
              <w:rPr>
                <w:rFonts w:cstheme="minorHAnsi"/>
                <w:noProof/>
                <w:sz w:val="16"/>
                <w:szCs w:val="16"/>
              </w:rPr>
              <w:t>(</w:t>
            </w:r>
            <w:hyperlink w:anchor="_ENREF_73" w:tooltip="Nonnemaker, 2010 #97" w:history="1">
              <w:r w:rsidR="00A234A9">
                <w:rPr>
                  <w:rFonts w:cstheme="minorHAnsi"/>
                  <w:noProof/>
                  <w:sz w:val="16"/>
                  <w:szCs w:val="16"/>
                </w:rPr>
                <w:t>73</w:t>
              </w:r>
            </w:hyperlink>
            <w:r>
              <w:rPr>
                <w:rFonts w:cstheme="minorHAnsi"/>
                <w:noProof/>
                <w:sz w:val="16"/>
                <w:szCs w:val="16"/>
              </w:rPr>
              <w:t>)</w:t>
            </w:r>
            <w:r>
              <w:rPr>
                <w:rFonts w:cstheme="minorHAnsi"/>
                <w:sz w:val="16"/>
                <w:szCs w:val="16"/>
              </w:rPr>
              <w:fldChar w:fldCharType="end"/>
            </w:r>
          </w:p>
          <w:p w14:paraId="3516352B"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ALLTURS</w:t>
            </w:r>
            <w:r w:rsidRPr="00DE452B">
              <w:rPr>
                <w:rFonts w:asciiTheme="minorHAnsi" w:hAnsiTheme="minorHAnsi" w:cstheme="minorHAnsi"/>
                <w:sz w:val="16"/>
                <w:szCs w:val="16"/>
                <w:vertAlign w:val="superscript"/>
              </w:rPr>
              <w:t>b</w:t>
            </w:r>
          </w:p>
          <w:p w14:paraId="30027216"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Youth</w:t>
            </w:r>
          </w:p>
        </w:tc>
        <w:tc>
          <w:tcPr>
            <w:tcW w:w="589" w:type="pct"/>
          </w:tcPr>
          <w:p w14:paraId="68DF8A0F"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Established smokers: ≥100 lifetime cigs and smoked on ≥20 of the past 30 days.</w:t>
            </w:r>
          </w:p>
          <w:p w14:paraId="62C05A02" w14:textId="77777777" w:rsidR="00621FF9" w:rsidRPr="00DE452B" w:rsidRDefault="00621FF9" w:rsidP="00881FE9">
            <w:pPr>
              <w:rPr>
                <w:rFonts w:asciiTheme="minorHAnsi" w:hAnsiTheme="minorHAnsi" w:cstheme="minorHAnsi"/>
                <w:sz w:val="16"/>
                <w:szCs w:val="16"/>
              </w:rPr>
            </w:pPr>
          </w:p>
          <w:p w14:paraId="0849E289"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Daily smokers:</w:t>
            </w:r>
          </w:p>
          <w:p w14:paraId="15845326"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Smoking on 30 of the past 30 days.</w:t>
            </w:r>
          </w:p>
        </w:tc>
        <w:tc>
          <w:tcPr>
            <w:tcW w:w="661" w:type="pct"/>
          </w:tcPr>
          <w:p w14:paraId="1076A72F"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625" w:type="pct"/>
          </w:tcPr>
          <w:p w14:paraId="32F86967"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Current smokers at wave 3 (including those who initiated in wave 3):</w:t>
            </w:r>
          </w:p>
          <w:p w14:paraId="7EF05826"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Total sample: 43.0%</w:t>
            </w:r>
          </w:p>
          <w:p w14:paraId="6572B1CC"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Women: 42.0%</w:t>
            </w:r>
          </w:p>
          <w:p w14:paraId="7C1BD305"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Men: 43.8%</w:t>
            </w:r>
          </w:p>
          <w:p w14:paraId="527B66F1"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NH White: 40.3%</w:t>
            </w:r>
          </w:p>
          <w:p w14:paraId="63291CC4"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NH Black: 50.0%</w:t>
            </w:r>
          </w:p>
          <w:p w14:paraId="3B4176A7"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Hispanic: 41.9%</w:t>
            </w:r>
          </w:p>
          <w:p w14:paraId="5971AA46"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Other, NH: 51.3%</w:t>
            </w:r>
          </w:p>
          <w:p w14:paraId="789E35D0" w14:textId="77777777" w:rsidR="00881FE9" w:rsidRPr="00DE452B" w:rsidRDefault="00881FE9" w:rsidP="00881FE9">
            <w:pPr>
              <w:rPr>
                <w:rFonts w:asciiTheme="minorHAnsi" w:hAnsiTheme="minorHAnsi" w:cstheme="minorHAnsi"/>
                <w:sz w:val="16"/>
                <w:szCs w:val="16"/>
              </w:rPr>
            </w:pPr>
          </w:p>
          <w:p w14:paraId="68836C77"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Current smokers at wave 3 (excluding those who initiated in wave 3):</w:t>
            </w:r>
          </w:p>
          <w:p w14:paraId="14E4ED78"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Total sample: 38.8%</w:t>
            </w:r>
          </w:p>
          <w:p w14:paraId="2D76DF13"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Women: 40.0%</w:t>
            </w:r>
          </w:p>
          <w:p w14:paraId="4458A482"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Men: 37.8%</w:t>
            </w:r>
          </w:p>
          <w:p w14:paraId="17ABE971"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NH White: 35.5%</w:t>
            </w:r>
          </w:p>
          <w:p w14:paraId="39276234"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NH Black: 51.8%</w:t>
            </w:r>
          </w:p>
          <w:p w14:paraId="36EF29AD"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lastRenderedPageBreak/>
              <w:t>Hispanic: 44.2%</w:t>
            </w:r>
          </w:p>
          <w:p w14:paraId="101EA1F3"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Other, NH: 40.5%</w:t>
            </w:r>
          </w:p>
        </w:tc>
        <w:tc>
          <w:tcPr>
            <w:tcW w:w="416" w:type="pct"/>
          </w:tcPr>
          <w:p w14:paraId="0237A16D"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u w:val="single"/>
              </w:rPr>
              <w:lastRenderedPageBreak/>
              <w:t xml:space="preserve">Current smokers at wave 3, excluding those who initiated in wave 3 </w:t>
            </w:r>
          </w:p>
          <w:p w14:paraId="2B388447"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Daily smokers: 26.2%</w:t>
            </w:r>
          </w:p>
          <w:p w14:paraId="32375BAE"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Established smokers: 40.1%</w:t>
            </w:r>
          </w:p>
        </w:tc>
        <w:tc>
          <w:tcPr>
            <w:tcW w:w="574" w:type="pct"/>
          </w:tcPr>
          <w:p w14:paraId="10C5026C"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u w:val="single"/>
              </w:rPr>
              <w:t xml:space="preserve">Current smokers at wave 3, excluding those who initiated in wave 3 </w:t>
            </w:r>
          </w:p>
          <w:p w14:paraId="70FAA566"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 xml:space="preserve">Daily smokers: </w:t>
            </w:r>
          </w:p>
          <w:p w14:paraId="5AA834C9"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46.0%</w:t>
            </w:r>
          </w:p>
          <w:p w14:paraId="01FDF13E"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Established smokers: 60.4%</w:t>
            </w:r>
          </w:p>
        </w:tc>
        <w:tc>
          <w:tcPr>
            <w:tcW w:w="1510" w:type="pct"/>
          </w:tcPr>
          <w:p w14:paraId="061C926C" w14:textId="77777777" w:rsidR="00881FE9" w:rsidRPr="00DE452B" w:rsidRDefault="00881FE9" w:rsidP="00881FE9">
            <w:pPr>
              <w:rPr>
                <w:rFonts w:asciiTheme="minorHAnsi" w:hAnsiTheme="minorHAnsi" w:cstheme="minorHAnsi"/>
                <w:sz w:val="16"/>
                <w:szCs w:val="16"/>
                <w:u w:val="single"/>
              </w:rPr>
            </w:pPr>
            <w:r w:rsidRPr="00DE452B">
              <w:rPr>
                <w:rFonts w:asciiTheme="minorHAnsi" w:hAnsiTheme="minorHAnsi" w:cstheme="minorHAnsi"/>
                <w:sz w:val="16"/>
                <w:szCs w:val="16"/>
                <w:u w:val="single"/>
              </w:rPr>
              <w:t>Smoke daily:</w:t>
            </w:r>
          </w:p>
          <w:p w14:paraId="1129E3E0" w14:textId="77777777" w:rsidR="00881FE9" w:rsidRPr="00382374" w:rsidRDefault="00881FE9" w:rsidP="00881FE9">
            <w:pPr>
              <w:rPr>
                <w:rFonts w:asciiTheme="minorHAnsi" w:hAnsiTheme="minorHAnsi" w:cstheme="minorHAnsi"/>
                <w:sz w:val="16"/>
                <w:szCs w:val="16"/>
              </w:rPr>
            </w:pPr>
            <w:r w:rsidRPr="00382374">
              <w:rPr>
                <w:rFonts w:cstheme="minorHAnsi"/>
                <w:sz w:val="16"/>
                <w:szCs w:val="16"/>
              </w:rPr>
              <w:t>Excluding those who initiate at Wave 3</w:t>
            </w:r>
          </w:p>
          <w:p w14:paraId="0F17BA0C" w14:textId="77777777" w:rsidR="00881FE9" w:rsidRPr="00382374" w:rsidRDefault="00881FE9" w:rsidP="00881FE9">
            <w:pPr>
              <w:rPr>
                <w:rFonts w:asciiTheme="minorHAnsi" w:hAnsiTheme="minorHAnsi" w:cstheme="minorHAnsi"/>
                <w:sz w:val="16"/>
                <w:szCs w:val="16"/>
              </w:rPr>
            </w:pPr>
            <w:r w:rsidRPr="00382374">
              <w:rPr>
                <w:rFonts w:cstheme="minorHAnsi"/>
                <w:sz w:val="16"/>
                <w:szCs w:val="16"/>
              </w:rPr>
              <w:t>M to M: 31.0%</w:t>
            </w:r>
          </w:p>
          <w:p w14:paraId="1C491300" w14:textId="77777777" w:rsidR="00881FE9" w:rsidRPr="00382374" w:rsidRDefault="00881FE9" w:rsidP="00881FE9">
            <w:pPr>
              <w:rPr>
                <w:rFonts w:asciiTheme="minorHAnsi" w:hAnsiTheme="minorHAnsi" w:cstheme="minorHAnsi"/>
                <w:sz w:val="16"/>
                <w:szCs w:val="16"/>
              </w:rPr>
            </w:pPr>
            <w:r w:rsidRPr="00382374">
              <w:rPr>
                <w:rFonts w:cstheme="minorHAnsi"/>
                <w:sz w:val="16"/>
                <w:szCs w:val="16"/>
              </w:rPr>
              <w:t>NM to NM: 24.5%</w:t>
            </w:r>
          </w:p>
          <w:p w14:paraId="3A6A9E69" w14:textId="77777777" w:rsidR="00881FE9" w:rsidRPr="00382374" w:rsidRDefault="00881FE9" w:rsidP="00881FE9">
            <w:pPr>
              <w:rPr>
                <w:rFonts w:asciiTheme="minorHAnsi" w:hAnsiTheme="minorHAnsi" w:cstheme="minorHAnsi"/>
                <w:sz w:val="16"/>
                <w:szCs w:val="16"/>
              </w:rPr>
            </w:pPr>
            <w:r w:rsidRPr="00382374">
              <w:rPr>
                <w:rFonts w:cstheme="minorHAnsi"/>
                <w:sz w:val="16"/>
                <w:szCs w:val="16"/>
              </w:rPr>
              <w:t>Including those who initiate at Wave 3</w:t>
            </w:r>
          </w:p>
          <w:p w14:paraId="274BF534" w14:textId="77777777" w:rsidR="00881FE9" w:rsidRPr="00382374" w:rsidRDefault="00881FE9" w:rsidP="00881FE9">
            <w:pPr>
              <w:rPr>
                <w:rFonts w:asciiTheme="minorHAnsi" w:hAnsiTheme="minorHAnsi" w:cstheme="minorHAnsi"/>
                <w:sz w:val="16"/>
                <w:szCs w:val="16"/>
              </w:rPr>
            </w:pPr>
            <w:r w:rsidRPr="00382374">
              <w:rPr>
                <w:rFonts w:cstheme="minorHAnsi"/>
                <w:sz w:val="16"/>
                <w:szCs w:val="16"/>
              </w:rPr>
              <w:t>M to M: 35.0%</w:t>
            </w:r>
          </w:p>
          <w:p w14:paraId="280A9FF6" w14:textId="77777777" w:rsidR="00881FE9" w:rsidRPr="00DE452B" w:rsidRDefault="00881FE9" w:rsidP="00881FE9">
            <w:pPr>
              <w:rPr>
                <w:rFonts w:asciiTheme="minorHAnsi" w:hAnsiTheme="minorHAnsi" w:cstheme="minorHAnsi"/>
                <w:sz w:val="16"/>
                <w:szCs w:val="16"/>
              </w:rPr>
            </w:pPr>
            <w:r w:rsidRPr="00382374">
              <w:rPr>
                <w:rFonts w:cstheme="minorHAnsi"/>
                <w:sz w:val="16"/>
                <w:szCs w:val="16"/>
              </w:rPr>
              <w:t>NM to NM: 21.1%</w:t>
            </w:r>
          </w:p>
          <w:p w14:paraId="3AA77290" w14:textId="77777777" w:rsidR="00881FE9" w:rsidRPr="00382374" w:rsidRDefault="00881FE9" w:rsidP="00881FE9">
            <w:pPr>
              <w:rPr>
                <w:rFonts w:asciiTheme="minorHAnsi" w:hAnsiTheme="minorHAnsi" w:cstheme="minorHAnsi"/>
                <w:sz w:val="16"/>
                <w:szCs w:val="16"/>
              </w:rPr>
            </w:pPr>
          </w:p>
          <w:p w14:paraId="44E2E21E" w14:textId="77777777" w:rsidR="00881FE9" w:rsidRPr="00DE452B" w:rsidRDefault="00881FE9" w:rsidP="00881FE9">
            <w:pPr>
              <w:rPr>
                <w:rFonts w:asciiTheme="minorHAnsi" w:hAnsiTheme="minorHAnsi" w:cstheme="minorHAnsi"/>
                <w:sz w:val="16"/>
                <w:szCs w:val="16"/>
                <w:u w:val="single"/>
              </w:rPr>
            </w:pPr>
            <w:r w:rsidRPr="00DE452B">
              <w:rPr>
                <w:rFonts w:asciiTheme="minorHAnsi" w:hAnsiTheme="minorHAnsi" w:cstheme="minorHAnsi"/>
                <w:sz w:val="16"/>
                <w:szCs w:val="16"/>
                <w:u w:val="single"/>
              </w:rPr>
              <w:t>Transition to lifetime smoking at wave 3 (including wave 3 initiators)</w:t>
            </w:r>
          </w:p>
          <w:p w14:paraId="4F0970A4"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OR=2.32, 95% CI: 1.64 to 3.28 (more likely when initiated to M than NM)</w:t>
            </w:r>
          </w:p>
          <w:p w14:paraId="383311F4" w14:textId="77777777" w:rsidR="00881FE9" w:rsidRPr="00DE452B" w:rsidRDefault="00881FE9" w:rsidP="00881FE9">
            <w:pPr>
              <w:rPr>
                <w:rFonts w:asciiTheme="minorHAnsi" w:hAnsiTheme="minorHAnsi" w:cstheme="minorHAnsi"/>
                <w:sz w:val="16"/>
                <w:szCs w:val="16"/>
              </w:rPr>
            </w:pPr>
          </w:p>
          <w:p w14:paraId="1A449755" w14:textId="77777777" w:rsidR="00881FE9" w:rsidRPr="00DE452B" w:rsidRDefault="00881FE9" w:rsidP="00881FE9">
            <w:pPr>
              <w:rPr>
                <w:rFonts w:asciiTheme="minorHAnsi" w:hAnsiTheme="minorHAnsi" w:cstheme="minorHAnsi"/>
                <w:sz w:val="16"/>
                <w:szCs w:val="16"/>
                <w:u w:val="single"/>
              </w:rPr>
            </w:pPr>
            <w:r w:rsidRPr="00DE452B">
              <w:rPr>
                <w:rFonts w:asciiTheme="minorHAnsi" w:hAnsiTheme="minorHAnsi" w:cstheme="minorHAnsi"/>
                <w:sz w:val="16"/>
                <w:szCs w:val="16"/>
                <w:u w:val="single"/>
              </w:rPr>
              <w:t>Transition to lifetime smoking at wave 3 (excluding wave 3 initiators)</w:t>
            </w:r>
          </w:p>
          <w:p w14:paraId="546E5B9D"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OR= 2.39, 95% CI: 1.25 to 4.58 (more likely when initiated to M than NM)</w:t>
            </w:r>
          </w:p>
          <w:p w14:paraId="28BD77AB" w14:textId="77777777" w:rsidR="00881FE9" w:rsidRPr="00DE452B" w:rsidRDefault="00881FE9" w:rsidP="00881FE9">
            <w:pPr>
              <w:rPr>
                <w:rFonts w:asciiTheme="minorHAnsi" w:hAnsiTheme="minorHAnsi" w:cstheme="minorHAnsi"/>
                <w:sz w:val="16"/>
                <w:szCs w:val="16"/>
              </w:rPr>
            </w:pPr>
          </w:p>
        </w:tc>
      </w:tr>
      <w:tr w:rsidR="00881FE9" w:rsidRPr="00DE452B" w14:paraId="07F183C3" w14:textId="77777777" w:rsidTr="00382374">
        <w:tc>
          <w:tcPr>
            <w:tcW w:w="624" w:type="pct"/>
          </w:tcPr>
          <w:p w14:paraId="52E4C861" w14:textId="3E78AECA" w:rsidR="00881FE9" w:rsidRPr="00DE452B" w:rsidRDefault="00D2134A" w:rsidP="00881FE9">
            <w:pPr>
              <w:rPr>
                <w:rFonts w:asciiTheme="minorHAnsi" w:hAnsiTheme="minorHAnsi" w:cstheme="minorHAnsi"/>
                <w:sz w:val="16"/>
                <w:szCs w:val="16"/>
              </w:rPr>
            </w:pPr>
            <w:r>
              <w:rPr>
                <w:rFonts w:cstheme="minorHAnsi"/>
                <w:sz w:val="16"/>
                <w:szCs w:val="16"/>
              </w:rPr>
              <w:fldChar w:fldCharType="begin"/>
            </w:r>
            <w:r>
              <w:rPr>
                <w:rFonts w:cstheme="minorHAnsi"/>
                <w:sz w:val="16"/>
                <w:szCs w:val="16"/>
              </w:rPr>
              <w:instrText xml:space="preserve"> ADDIN EN.CITE &lt;EndNote&gt;&lt;Cite&gt;&lt;Author&gt;Okuyemi&lt;/Author&gt;&lt;Year&gt;2007&lt;/Year&gt;&lt;RecNum&gt;74&lt;/RecNum&gt;&lt;DisplayText&gt;(74)&lt;/DisplayText&gt;&lt;record&gt;&lt;rec-number&gt;74&lt;/rec-number&gt;&lt;foreign-keys&gt;&lt;key app="EN" db-id="a2vz2dfp8xrad6exes75zwpiw5rxwa0vwapv" timestamp="0"&gt;74&lt;/key&gt;&lt;/foreign-keys&gt;&lt;ref-type name="Journal Article"&gt;17&lt;/ref-type&gt;&lt;contributors&gt;&lt;authors&gt;&lt;author&gt;Okuyemi, K. S.&lt;/author&gt;&lt;author&gt;Faseru, B.&lt;/author&gt;&lt;author&gt;Sanderson Cox, L.&lt;/author&gt;&lt;author&gt;Bronars, C. A.&lt;/author&gt;&lt;author&gt;Ahluwalia, J. S.&lt;/author&gt;&lt;/authors&gt;&lt;/contributors&gt;&lt;auth-address&gt;Program in Health Disparities Research, University of Minnesota Medical School, Minneapolis, MN 55455, USA. kokuyemi@umn.edu&lt;/auth-address&gt;&lt;titles&gt;&lt;title&gt;Relationship between menthol cigarettes and smoking cessation among African American light smokers&lt;/title&gt;&lt;secondary-title&gt;Addiction&lt;/secondary-title&gt;&lt;/titles&gt;&lt;periodical&gt;&lt;full-title&gt;Addiction&lt;/full-title&gt;&lt;/periodical&gt;&lt;pages&gt;1979-86&lt;/pages&gt;&lt;volume&gt;102&lt;/volume&gt;&lt;number&gt;12&lt;/number&gt;&lt;keywords&gt;&lt;keyword&gt;Adult&lt;/keyword&gt;&lt;keyword&gt;African Americans/*ethnology/psychology&lt;/keyword&gt;&lt;keyword&gt;Age Factors&lt;/keyword&gt;&lt;keyword&gt;Female&lt;/keyword&gt;&lt;keyword&gt;Health Education&lt;/keyword&gt;&lt;keyword&gt;Humans&lt;/keyword&gt;&lt;keyword&gt;Male&lt;/keyword&gt;&lt;keyword&gt;*Menthol&lt;/keyword&gt;&lt;keyword&gt;Middle Aged&lt;/keyword&gt;&lt;keyword&gt;Regression Analysis&lt;/keyword&gt;&lt;keyword&gt;Smoking/*adverse effects&lt;/keyword&gt;&lt;keyword&gt;Smoking Cessation/*ethnology/psychology/statistics &amp;amp; numerical data&lt;/keyword&gt;&lt;keyword&gt;Tobacco/*adverse effects&lt;/keyword&gt;&lt;/keywords&gt;&lt;dates&gt;&lt;year&gt;2007&lt;/year&gt;&lt;pub-dates&gt;&lt;date&gt;Dec&lt;/date&gt;&lt;/pub-dates&gt;&lt;/dates&gt;&lt;isbn&gt;0965-2140 (Print)&amp;#xD;0965-2140 (Linking)&lt;/isbn&gt;&lt;accession-num&gt;17916223&lt;/accession-num&gt;&lt;urls&gt;&lt;related-urls&gt;&lt;url&gt;http://www.ncbi.nlm.nih.gov/pubmed/17916223&lt;/url&gt;&lt;/related-urls&gt;&lt;/urls&gt;&lt;electronic-resource-num&gt;10.1111/j.1360-0443.2007.02010.x&lt;/electronic-resource-num&gt;&lt;research-notes&gt;#367&lt;/research-notes&gt;&lt;/record&gt;&lt;/Cite&gt;&lt;/EndNote&gt;</w:instrText>
            </w:r>
            <w:r>
              <w:rPr>
                <w:rFonts w:cstheme="minorHAnsi"/>
                <w:sz w:val="16"/>
                <w:szCs w:val="16"/>
              </w:rPr>
              <w:fldChar w:fldCharType="separate"/>
            </w:r>
            <w:r>
              <w:rPr>
                <w:rFonts w:cstheme="minorHAnsi"/>
                <w:noProof/>
                <w:sz w:val="16"/>
                <w:szCs w:val="16"/>
              </w:rPr>
              <w:t>(</w:t>
            </w:r>
            <w:hyperlink w:anchor="_ENREF_74" w:tooltip="Okuyemi, 2007 #74" w:history="1">
              <w:r w:rsidR="00A234A9">
                <w:rPr>
                  <w:rFonts w:cstheme="minorHAnsi"/>
                  <w:noProof/>
                  <w:sz w:val="16"/>
                  <w:szCs w:val="16"/>
                </w:rPr>
                <w:t>74</w:t>
              </w:r>
            </w:hyperlink>
            <w:r>
              <w:rPr>
                <w:rFonts w:cstheme="minorHAnsi"/>
                <w:noProof/>
                <w:sz w:val="16"/>
                <w:szCs w:val="16"/>
              </w:rPr>
              <w:t>)</w:t>
            </w:r>
            <w:r>
              <w:rPr>
                <w:rFonts w:cstheme="minorHAnsi"/>
                <w:sz w:val="16"/>
                <w:szCs w:val="16"/>
              </w:rPr>
              <w:fldChar w:fldCharType="end"/>
            </w:r>
            <w:r w:rsidR="00881FE9" w:rsidRPr="00DE452B">
              <w:rPr>
                <w:rFonts w:asciiTheme="minorHAnsi" w:hAnsiTheme="minorHAnsi" w:cstheme="minorHAnsi"/>
                <w:sz w:val="16"/>
                <w:szCs w:val="16"/>
              </w:rPr>
              <w:t xml:space="preserve"> None</w:t>
            </w:r>
          </w:p>
          <w:p w14:paraId="2DE80010"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Black light smokers</w:t>
            </w:r>
          </w:p>
        </w:tc>
        <w:tc>
          <w:tcPr>
            <w:tcW w:w="589" w:type="pct"/>
          </w:tcPr>
          <w:p w14:paraId="385742F3"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Age started smoking regularly</w:t>
            </w:r>
          </w:p>
        </w:tc>
        <w:tc>
          <w:tcPr>
            <w:tcW w:w="661" w:type="pct"/>
          </w:tcPr>
          <w:p w14:paraId="06B035A7"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M: 21.2 (6.8)</w:t>
            </w:r>
          </w:p>
          <w:p w14:paraId="3107052F"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NM: 21.1 (7.3)</w:t>
            </w:r>
          </w:p>
          <w:p w14:paraId="755EBAC8"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(p=0.97)</w:t>
            </w:r>
          </w:p>
        </w:tc>
        <w:tc>
          <w:tcPr>
            <w:tcW w:w="625" w:type="pct"/>
          </w:tcPr>
          <w:p w14:paraId="4E307B46"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34F60692"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5D66D638"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4D35119D"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r>
      <w:tr w:rsidR="00881FE9" w:rsidRPr="00DE452B" w14:paraId="7944B356" w14:textId="77777777" w:rsidTr="00382374">
        <w:tc>
          <w:tcPr>
            <w:tcW w:w="624" w:type="pct"/>
          </w:tcPr>
          <w:p w14:paraId="57588D81" w14:textId="609275A2" w:rsidR="00881FE9" w:rsidRPr="00DE452B" w:rsidRDefault="00D2134A" w:rsidP="00881FE9">
            <w:pPr>
              <w:rPr>
                <w:rFonts w:asciiTheme="minorHAnsi" w:hAnsiTheme="minorHAnsi" w:cstheme="minorHAnsi"/>
                <w:sz w:val="16"/>
                <w:szCs w:val="16"/>
              </w:rPr>
            </w:pPr>
            <w:r>
              <w:rPr>
                <w:rFonts w:cstheme="minorHAnsi"/>
                <w:sz w:val="16"/>
                <w:szCs w:val="16"/>
              </w:rPr>
              <w:fldChar w:fldCharType="begin"/>
            </w:r>
            <w:r>
              <w:rPr>
                <w:rFonts w:cstheme="minorHAnsi"/>
                <w:sz w:val="16"/>
                <w:szCs w:val="16"/>
              </w:rPr>
              <w:instrText xml:space="preserve"> ADDIN EN.CITE &lt;EndNote&gt;&lt;Cite&gt;&lt;Author&gt;Okuyemi&lt;/Author&gt;&lt;Year&gt;2004&lt;/Year&gt;&lt;RecNum&gt;81&lt;/RecNum&gt;&lt;DisplayText&gt;(75)&lt;/DisplayText&gt;&lt;record&gt;&lt;rec-number&gt;81&lt;/rec-number&gt;&lt;foreign-keys&gt;&lt;key app="EN" db-id="a2vz2dfp8xrad6exes75zwpiw5rxwa0vwapv" timestamp="0"&gt;81&lt;/key&gt;&lt;/foreign-keys&gt;&lt;ref-type name="Journal Article"&gt;17&lt;/ref-type&gt;&lt;contributors&gt;&lt;authors&gt;&lt;author&gt;Okuyemi, K. S.&lt;/author&gt;&lt;author&gt;Ebersole-Robinson, M. &lt;/author&gt;&lt;author&gt;Nazir, N. &lt;/author&gt;&lt;author&gt;Ahluwalia, J. S.&lt;/author&gt;&lt;/authors&gt;&lt;/contributors&gt;&lt;titles&gt;&lt;title&gt;African-American menthol and nonmenthol smokers: Differences in smoking and cessation experiences&lt;/title&gt;&lt;secondary-title&gt;J Natl Med Assoc&lt;/secondary-title&gt;&lt;/titles&gt;&lt;pages&gt;1208-1211&lt;/pages&gt;&lt;volume&gt;96&lt;/volume&gt;&lt;number&gt;9&lt;/number&gt;&lt;section&gt;1208&lt;/section&gt;&lt;dates&gt;&lt;year&gt;2004&lt;/year&gt;&lt;/dates&gt;&lt;urls&gt;&lt;/urls&gt;&lt;research-notes&gt;#405&lt;/research-notes&gt;&lt;/record&gt;&lt;/Cite&gt;&lt;/EndNote&gt;</w:instrText>
            </w:r>
            <w:r>
              <w:rPr>
                <w:rFonts w:cstheme="minorHAnsi"/>
                <w:sz w:val="16"/>
                <w:szCs w:val="16"/>
              </w:rPr>
              <w:fldChar w:fldCharType="separate"/>
            </w:r>
            <w:r>
              <w:rPr>
                <w:rFonts w:cstheme="minorHAnsi"/>
                <w:noProof/>
                <w:sz w:val="16"/>
                <w:szCs w:val="16"/>
              </w:rPr>
              <w:t>(</w:t>
            </w:r>
            <w:hyperlink w:anchor="_ENREF_75" w:tooltip="Okuyemi, 2004 #81" w:history="1">
              <w:r w:rsidR="00A234A9">
                <w:rPr>
                  <w:rFonts w:cstheme="minorHAnsi"/>
                  <w:noProof/>
                  <w:sz w:val="16"/>
                  <w:szCs w:val="16"/>
                </w:rPr>
                <w:t>75</w:t>
              </w:r>
            </w:hyperlink>
            <w:r>
              <w:rPr>
                <w:rFonts w:cstheme="minorHAnsi"/>
                <w:noProof/>
                <w:sz w:val="16"/>
                <w:szCs w:val="16"/>
              </w:rPr>
              <w:t>)</w:t>
            </w:r>
            <w:r>
              <w:rPr>
                <w:rFonts w:cstheme="minorHAnsi"/>
                <w:sz w:val="16"/>
                <w:szCs w:val="16"/>
              </w:rPr>
              <w:fldChar w:fldCharType="end"/>
            </w:r>
          </w:p>
          <w:p w14:paraId="7B397A82"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None</w:t>
            </w:r>
          </w:p>
          <w:p w14:paraId="671DB59A"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Blacks</w:t>
            </w:r>
          </w:p>
        </w:tc>
        <w:tc>
          <w:tcPr>
            <w:tcW w:w="589" w:type="pct"/>
          </w:tcPr>
          <w:p w14:paraId="79CCAFD5"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Age at first cig (initiation); regular smoking not defined</w:t>
            </w:r>
          </w:p>
        </w:tc>
        <w:tc>
          <w:tcPr>
            <w:tcW w:w="661" w:type="pct"/>
          </w:tcPr>
          <w:p w14:paraId="3C8264E2" w14:textId="77777777" w:rsidR="00881FE9" w:rsidRPr="00DE452B" w:rsidRDefault="00881FE9" w:rsidP="00881FE9">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Age at first cig </w:t>
            </w:r>
          </w:p>
          <w:p w14:paraId="7164F828"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Median (range)</w:t>
            </w:r>
          </w:p>
          <w:p w14:paraId="4991105D"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M: 15 (3 to 40)</w:t>
            </w:r>
          </w:p>
          <w:p w14:paraId="5D2DA71C"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NM: 16 (5 to 52)</w:t>
            </w:r>
          </w:p>
          <w:p w14:paraId="3B70C985"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(p=0.69)</w:t>
            </w:r>
          </w:p>
          <w:p w14:paraId="70EFBFD1" w14:textId="77777777" w:rsidR="00881FE9" w:rsidRPr="00DE452B" w:rsidRDefault="00881FE9" w:rsidP="00881FE9">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Age at start of regular smoking </w:t>
            </w:r>
          </w:p>
          <w:p w14:paraId="389EA039"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Median (range)</w:t>
            </w:r>
          </w:p>
          <w:p w14:paraId="387588BE"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M: 18 (9 to 44)</w:t>
            </w:r>
          </w:p>
          <w:p w14:paraId="100BB94B"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NM: 18 (5 to 59)</w:t>
            </w:r>
          </w:p>
          <w:p w14:paraId="2CD024AD"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(p=0.88)</w:t>
            </w:r>
          </w:p>
        </w:tc>
        <w:tc>
          <w:tcPr>
            <w:tcW w:w="625" w:type="pct"/>
          </w:tcPr>
          <w:p w14:paraId="481BBDB0"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6B48F5A8"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69051D5F"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0444C2B9"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p w14:paraId="5CEED453" w14:textId="77777777" w:rsidR="00881FE9" w:rsidRPr="00DE452B" w:rsidRDefault="00881FE9" w:rsidP="00881FE9">
            <w:pPr>
              <w:rPr>
                <w:rFonts w:asciiTheme="minorHAnsi" w:hAnsiTheme="minorHAnsi" w:cstheme="minorHAnsi"/>
                <w:sz w:val="16"/>
                <w:szCs w:val="16"/>
              </w:rPr>
            </w:pPr>
          </w:p>
          <w:p w14:paraId="515458EE" w14:textId="77777777" w:rsidR="00881FE9" w:rsidRPr="00DE452B" w:rsidRDefault="00881FE9" w:rsidP="00881FE9">
            <w:pPr>
              <w:rPr>
                <w:rFonts w:asciiTheme="minorHAnsi" w:hAnsiTheme="minorHAnsi" w:cstheme="minorHAnsi"/>
                <w:sz w:val="16"/>
                <w:szCs w:val="16"/>
              </w:rPr>
            </w:pPr>
          </w:p>
          <w:p w14:paraId="2BE48811" w14:textId="77777777" w:rsidR="00881FE9" w:rsidRPr="00DE452B" w:rsidRDefault="00881FE9" w:rsidP="00881FE9">
            <w:pPr>
              <w:rPr>
                <w:rFonts w:asciiTheme="minorHAnsi" w:hAnsiTheme="minorHAnsi" w:cstheme="minorHAnsi"/>
                <w:sz w:val="16"/>
                <w:szCs w:val="16"/>
              </w:rPr>
            </w:pPr>
          </w:p>
        </w:tc>
      </w:tr>
      <w:tr w:rsidR="00253CDB" w:rsidRPr="00DE452B" w14:paraId="5DE5D1D9" w14:textId="77777777" w:rsidTr="00B97391">
        <w:tc>
          <w:tcPr>
            <w:tcW w:w="624" w:type="pct"/>
          </w:tcPr>
          <w:p w14:paraId="5BA0EF2A" w14:textId="74D517EA" w:rsidR="00253CDB" w:rsidRPr="00691084" w:rsidRDefault="00D2134A" w:rsidP="00B97391">
            <w:pPr>
              <w:rPr>
                <w:rFonts w:asciiTheme="minorHAnsi" w:hAnsiTheme="minorHAnsi" w:cstheme="minorHAnsi"/>
                <w:sz w:val="16"/>
                <w:szCs w:val="16"/>
              </w:rPr>
            </w:pPr>
            <w:r>
              <w:rPr>
                <w:rFonts w:cstheme="minorHAnsi"/>
                <w:sz w:val="16"/>
                <w:szCs w:val="16"/>
              </w:rPr>
              <w:fldChar w:fldCharType="begin">
                <w:fldData xml:space="preserve">PEVuZE5vdGU+PENpdGU+PEF1dGhvcj5PbmNrZW48L0F1dGhvcj48WWVhcj4yMDE1PC9ZZWFyPjxS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PEVuZE5vdGU+PENpdGU+PEF1dGhvcj5PbmNrZW48L0F1dGhvcj48WWVhcj4yMDE1PC9ZZWFyPjxS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76" w:tooltip="Oncken, 2015 #6" w:history="1">
              <w:r w:rsidR="00A234A9">
                <w:rPr>
                  <w:rFonts w:cstheme="minorHAnsi"/>
                  <w:noProof/>
                  <w:sz w:val="16"/>
                  <w:szCs w:val="16"/>
                </w:rPr>
                <w:t>76</w:t>
              </w:r>
            </w:hyperlink>
            <w:r>
              <w:rPr>
                <w:rFonts w:cstheme="minorHAnsi"/>
                <w:noProof/>
                <w:sz w:val="16"/>
                <w:szCs w:val="16"/>
              </w:rPr>
              <w:t>)</w:t>
            </w:r>
            <w:r>
              <w:rPr>
                <w:rFonts w:cstheme="minorHAnsi"/>
                <w:sz w:val="16"/>
                <w:szCs w:val="16"/>
              </w:rPr>
              <w:fldChar w:fldCharType="end"/>
            </w:r>
          </w:p>
          <w:p w14:paraId="48040117" w14:textId="77777777" w:rsidR="00253CDB" w:rsidRPr="00691084" w:rsidRDefault="00253CDB" w:rsidP="00B97391">
            <w:pPr>
              <w:rPr>
                <w:rFonts w:asciiTheme="minorHAnsi" w:hAnsiTheme="minorHAnsi" w:cstheme="minorHAnsi"/>
                <w:sz w:val="16"/>
                <w:szCs w:val="16"/>
              </w:rPr>
            </w:pPr>
            <w:r w:rsidRPr="00691084">
              <w:rPr>
                <w:rFonts w:asciiTheme="minorHAnsi" w:hAnsiTheme="minorHAnsi" w:cstheme="minorHAnsi"/>
                <w:sz w:val="16"/>
                <w:szCs w:val="16"/>
              </w:rPr>
              <w:t>None</w:t>
            </w:r>
          </w:p>
          <w:p w14:paraId="5CAA993C" w14:textId="77777777" w:rsidR="00253CDB" w:rsidRPr="00DE452B" w:rsidRDefault="00253CDB" w:rsidP="00B97391">
            <w:pPr>
              <w:rPr>
                <w:rFonts w:cstheme="minorHAnsi"/>
                <w:sz w:val="16"/>
                <w:szCs w:val="16"/>
              </w:rPr>
            </w:pPr>
            <w:r w:rsidRPr="00691084">
              <w:rPr>
                <w:rFonts w:asciiTheme="minorHAnsi" w:hAnsiTheme="minorHAnsi" w:cstheme="minorHAnsi"/>
                <w:sz w:val="16"/>
                <w:szCs w:val="16"/>
              </w:rPr>
              <w:t>Pregnant White women age ≥16</w:t>
            </w:r>
          </w:p>
        </w:tc>
        <w:tc>
          <w:tcPr>
            <w:tcW w:w="589" w:type="pct"/>
          </w:tcPr>
          <w:p w14:paraId="17C57063" w14:textId="77777777" w:rsidR="00253CDB" w:rsidRPr="00DE452B" w:rsidRDefault="00253CDB" w:rsidP="00B97391">
            <w:pPr>
              <w:rPr>
                <w:rFonts w:cstheme="minorHAnsi"/>
                <w:sz w:val="16"/>
                <w:szCs w:val="16"/>
              </w:rPr>
            </w:pPr>
            <w:r w:rsidRPr="00691084">
              <w:rPr>
                <w:rFonts w:asciiTheme="minorHAnsi" w:hAnsiTheme="minorHAnsi" w:cstheme="minorHAnsi"/>
                <w:sz w:val="16"/>
                <w:szCs w:val="16"/>
              </w:rPr>
              <w:t>Age at first cigarette</w:t>
            </w:r>
          </w:p>
        </w:tc>
        <w:tc>
          <w:tcPr>
            <w:tcW w:w="661" w:type="pct"/>
          </w:tcPr>
          <w:p w14:paraId="0C75346D" w14:textId="77777777" w:rsidR="00253CDB" w:rsidRPr="00691084" w:rsidRDefault="00253CDB" w:rsidP="00B97391">
            <w:pPr>
              <w:rPr>
                <w:rFonts w:asciiTheme="minorHAnsi" w:hAnsiTheme="minorHAnsi" w:cstheme="minorHAnsi"/>
                <w:sz w:val="16"/>
                <w:szCs w:val="16"/>
                <w:u w:val="single"/>
              </w:rPr>
            </w:pPr>
            <w:r w:rsidRPr="00691084">
              <w:rPr>
                <w:rFonts w:asciiTheme="minorHAnsi" w:hAnsiTheme="minorHAnsi" w:cstheme="minorHAnsi"/>
                <w:sz w:val="16"/>
                <w:szCs w:val="16"/>
                <w:u w:val="single"/>
              </w:rPr>
              <w:t>NH White</w:t>
            </w:r>
          </w:p>
          <w:p w14:paraId="0768DE64" w14:textId="77777777" w:rsidR="00253CDB" w:rsidRPr="00691084" w:rsidRDefault="00253CDB" w:rsidP="00B97391">
            <w:pPr>
              <w:rPr>
                <w:rFonts w:asciiTheme="minorHAnsi" w:hAnsiTheme="minorHAnsi" w:cstheme="minorHAnsi"/>
                <w:sz w:val="16"/>
                <w:szCs w:val="16"/>
              </w:rPr>
            </w:pPr>
            <w:r w:rsidRPr="00691084">
              <w:rPr>
                <w:rFonts w:asciiTheme="minorHAnsi" w:hAnsiTheme="minorHAnsi" w:cstheme="minorHAnsi"/>
                <w:sz w:val="16"/>
                <w:szCs w:val="16"/>
              </w:rPr>
              <w:t>M: 15.0 (3.6)</w:t>
            </w:r>
          </w:p>
          <w:p w14:paraId="5D285CEC" w14:textId="77777777" w:rsidR="00253CDB" w:rsidRPr="00691084" w:rsidRDefault="00253CDB" w:rsidP="00B97391">
            <w:pPr>
              <w:rPr>
                <w:rFonts w:asciiTheme="minorHAnsi" w:hAnsiTheme="minorHAnsi" w:cstheme="minorHAnsi"/>
                <w:sz w:val="16"/>
                <w:szCs w:val="16"/>
              </w:rPr>
            </w:pPr>
            <w:r w:rsidRPr="00691084">
              <w:rPr>
                <w:rFonts w:asciiTheme="minorHAnsi" w:hAnsiTheme="minorHAnsi" w:cstheme="minorHAnsi"/>
                <w:sz w:val="16"/>
                <w:szCs w:val="16"/>
              </w:rPr>
              <w:t>NM: 15.6 (2.9)</w:t>
            </w:r>
          </w:p>
          <w:p w14:paraId="7081A538" w14:textId="77777777" w:rsidR="00253CDB" w:rsidRPr="00691084" w:rsidRDefault="00253CDB" w:rsidP="00B97391">
            <w:pPr>
              <w:rPr>
                <w:rFonts w:asciiTheme="minorHAnsi" w:hAnsiTheme="minorHAnsi" w:cstheme="minorHAnsi"/>
                <w:sz w:val="16"/>
                <w:szCs w:val="16"/>
                <w:u w:val="single"/>
              </w:rPr>
            </w:pPr>
            <w:r w:rsidRPr="00691084">
              <w:rPr>
                <w:rFonts w:asciiTheme="minorHAnsi" w:hAnsiTheme="minorHAnsi" w:cstheme="minorHAnsi"/>
                <w:sz w:val="16"/>
                <w:szCs w:val="16"/>
                <w:u w:val="single"/>
              </w:rPr>
              <w:t>Hispanic White</w:t>
            </w:r>
          </w:p>
          <w:p w14:paraId="38AC4D3B" w14:textId="77777777" w:rsidR="00253CDB" w:rsidRPr="00691084" w:rsidRDefault="00253CDB" w:rsidP="00B97391">
            <w:pPr>
              <w:rPr>
                <w:rFonts w:asciiTheme="minorHAnsi" w:hAnsiTheme="minorHAnsi" w:cstheme="minorHAnsi"/>
                <w:sz w:val="16"/>
                <w:szCs w:val="16"/>
              </w:rPr>
            </w:pPr>
            <w:r w:rsidRPr="00691084">
              <w:rPr>
                <w:rFonts w:asciiTheme="minorHAnsi" w:hAnsiTheme="minorHAnsi" w:cstheme="minorHAnsi"/>
                <w:sz w:val="16"/>
                <w:szCs w:val="16"/>
              </w:rPr>
              <w:t>M: 15.8 (3.2)</w:t>
            </w:r>
          </w:p>
          <w:p w14:paraId="451B9BE3" w14:textId="77777777" w:rsidR="00253CDB" w:rsidRPr="00DE452B" w:rsidRDefault="00253CDB" w:rsidP="00B97391">
            <w:pPr>
              <w:rPr>
                <w:rFonts w:cstheme="minorHAnsi"/>
                <w:sz w:val="16"/>
                <w:szCs w:val="16"/>
              </w:rPr>
            </w:pPr>
            <w:r w:rsidRPr="00691084">
              <w:rPr>
                <w:rFonts w:asciiTheme="minorHAnsi" w:hAnsiTheme="minorHAnsi" w:cstheme="minorHAnsi"/>
                <w:sz w:val="16"/>
                <w:szCs w:val="16"/>
              </w:rPr>
              <w:t>NM: 17.7 (3.6)</w:t>
            </w:r>
          </w:p>
        </w:tc>
        <w:tc>
          <w:tcPr>
            <w:tcW w:w="625" w:type="pct"/>
          </w:tcPr>
          <w:p w14:paraId="4F3829EE" w14:textId="77777777" w:rsidR="00253CDB" w:rsidRPr="00DE452B" w:rsidRDefault="00253CDB" w:rsidP="00B97391">
            <w:pPr>
              <w:rPr>
                <w:rFonts w:cstheme="minorHAnsi"/>
                <w:sz w:val="16"/>
                <w:szCs w:val="16"/>
              </w:rPr>
            </w:pPr>
            <w:r>
              <w:rPr>
                <w:rFonts w:cstheme="minorHAnsi"/>
                <w:sz w:val="16"/>
                <w:szCs w:val="16"/>
              </w:rPr>
              <w:t>NR</w:t>
            </w:r>
          </w:p>
        </w:tc>
        <w:tc>
          <w:tcPr>
            <w:tcW w:w="416" w:type="pct"/>
          </w:tcPr>
          <w:p w14:paraId="38AD80D4" w14:textId="77777777" w:rsidR="00253CDB" w:rsidRPr="00DE452B" w:rsidRDefault="00253CDB" w:rsidP="00B97391">
            <w:pPr>
              <w:rPr>
                <w:rFonts w:cstheme="minorHAnsi"/>
                <w:sz w:val="16"/>
                <w:szCs w:val="16"/>
              </w:rPr>
            </w:pPr>
            <w:r>
              <w:rPr>
                <w:rFonts w:cstheme="minorHAnsi"/>
                <w:sz w:val="16"/>
                <w:szCs w:val="16"/>
              </w:rPr>
              <w:t>NR</w:t>
            </w:r>
          </w:p>
        </w:tc>
        <w:tc>
          <w:tcPr>
            <w:tcW w:w="574" w:type="pct"/>
          </w:tcPr>
          <w:p w14:paraId="73341809" w14:textId="77777777" w:rsidR="00253CDB" w:rsidRPr="00DE452B" w:rsidRDefault="00253CDB" w:rsidP="00B97391">
            <w:pPr>
              <w:rPr>
                <w:rFonts w:cstheme="minorHAnsi"/>
                <w:sz w:val="16"/>
                <w:szCs w:val="16"/>
              </w:rPr>
            </w:pPr>
            <w:r>
              <w:rPr>
                <w:rFonts w:cstheme="minorHAnsi"/>
                <w:sz w:val="16"/>
                <w:szCs w:val="16"/>
              </w:rPr>
              <w:t>NR</w:t>
            </w:r>
          </w:p>
        </w:tc>
        <w:tc>
          <w:tcPr>
            <w:tcW w:w="1510" w:type="pct"/>
          </w:tcPr>
          <w:p w14:paraId="308AF500" w14:textId="77777777" w:rsidR="00253CDB" w:rsidRPr="00DE452B" w:rsidRDefault="00253CDB" w:rsidP="00B97391">
            <w:pPr>
              <w:rPr>
                <w:rFonts w:cstheme="minorHAnsi"/>
                <w:sz w:val="16"/>
                <w:szCs w:val="16"/>
              </w:rPr>
            </w:pPr>
            <w:r>
              <w:rPr>
                <w:rFonts w:cstheme="minorHAnsi"/>
                <w:sz w:val="16"/>
                <w:szCs w:val="16"/>
              </w:rPr>
              <w:t>NR</w:t>
            </w:r>
          </w:p>
        </w:tc>
      </w:tr>
      <w:tr w:rsidR="00881FE9" w:rsidRPr="00DE452B" w14:paraId="72240AE5" w14:textId="77777777" w:rsidTr="00382374">
        <w:tc>
          <w:tcPr>
            <w:tcW w:w="624" w:type="pct"/>
          </w:tcPr>
          <w:p w14:paraId="54B04B4C" w14:textId="64643250" w:rsidR="00881FE9" w:rsidRPr="00DE452B" w:rsidRDefault="00D2134A" w:rsidP="00881FE9">
            <w:pPr>
              <w:rPr>
                <w:rFonts w:asciiTheme="minorHAnsi" w:hAnsiTheme="minorHAnsi" w:cstheme="minorHAnsi"/>
                <w:sz w:val="16"/>
                <w:szCs w:val="16"/>
              </w:rPr>
            </w:pPr>
            <w:r>
              <w:rPr>
                <w:rFonts w:cstheme="minorHAnsi"/>
                <w:sz w:val="16"/>
                <w:szCs w:val="16"/>
              </w:rPr>
              <w:fldChar w:fldCharType="begin">
                <w:fldData xml:space="preserve">PEVuZE5vdGU+PENpdGU+PEF1dGhvcj5QYXJrPC9BdXRob3I+PFllYXI+MjAxNTwvWWVhcj48UmVj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PEVuZE5vdGU+PENpdGU+PEF1dGhvcj5QYXJrPC9BdXRob3I+PFllYXI+MjAxNTwvWWVhcj48UmVj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77" w:tooltip="Park, 2015 #9" w:history="1">
              <w:r w:rsidR="00A234A9">
                <w:rPr>
                  <w:rFonts w:cstheme="minorHAnsi"/>
                  <w:noProof/>
                  <w:sz w:val="16"/>
                  <w:szCs w:val="16"/>
                </w:rPr>
                <w:t>77</w:t>
              </w:r>
            </w:hyperlink>
            <w:r>
              <w:rPr>
                <w:rFonts w:cstheme="minorHAnsi"/>
                <w:noProof/>
                <w:sz w:val="16"/>
                <w:szCs w:val="16"/>
              </w:rPr>
              <w:t>)</w:t>
            </w:r>
            <w:r>
              <w:rPr>
                <w:rFonts w:cstheme="minorHAnsi"/>
                <w:sz w:val="16"/>
                <w:szCs w:val="16"/>
              </w:rPr>
              <w:fldChar w:fldCharType="end"/>
            </w:r>
          </w:p>
          <w:p w14:paraId="0A4577CE"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None</w:t>
            </w:r>
          </w:p>
          <w:p w14:paraId="2611E178"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Adults age 45-80</w:t>
            </w:r>
          </w:p>
        </w:tc>
        <w:tc>
          <w:tcPr>
            <w:tcW w:w="589" w:type="pct"/>
          </w:tcPr>
          <w:p w14:paraId="170384F3"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Smoked first cig</w:t>
            </w:r>
          </w:p>
        </w:tc>
        <w:tc>
          <w:tcPr>
            <w:tcW w:w="661" w:type="pct"/>
          </w:tcPr>
          <w:p w14:paraId="7D101545"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M: 16.7 (5.2)</w:t>
            </w:r>
          </w:p>
          <w:p w14:paraId="6D0D04B4"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NM: 17.0 (4.9)</w:t>
            </w:r>
          </w:p>
          <w:p w14:paraId="277A6B59"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(p&lt;0.001)</w:t>
            </w:r>
          </w:p>
        </w:tc>
        <w:tc>
          <w:tcPr>
            <w:tcW w:w="625" w:type="pct"/>
          </w:tcPr>
          <w:p w14:paraId="1E74F5D9"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0808485F"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40CD2360"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18D302ED"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r>
      <w:tr w:rsidR="00881FE9" w:rsidRPr="00DE452B" w14:paraId="0DE2E179" w14:textId="77777777" w:rsidTr="00382374">
        <w:tc>
          <w:tcPr>
            <w:tcW w:w="624" w:type="pct"/>
          </w:tcPr>
          <w:p w14:paraId="6BC2FA5C" w14:textId="361C73BA" w:rsidR="00881FE9" w:rsidRPr="00DE452B" w:rsidRDefault="00D2134A" w:rsidP="00881FE9">
            <w:pPr>
              <w:rPr>
                <w:rFonts w:asciiTheme="minorHAnsi" w:hAnsiTheme="minorHAnsi" w:cstheme="minorHAnsi"/>
                <w:sz w:val="16"/>
                <w:szCs w:val="16"/>
              </w:rPr>
            </w:pPr>
            <w:r>
              <w:rPr>
                <w:rFonts w:cstheme="minorHAnsi"/>
                <w:sz w:val="16"/>
                <w:szCs w:val="16"/>
              </w:rPr>
              <w:fldChar w:fldCharType="begin"/>
            </w:r>
            <w:r>
              <w:rPr>
                <w:rFonts w:cstheme="minorHAnsi"/>
                <w:sz w:val="16"/>
                <w:szCs w:val="16"/>
              </w:rPr>
              <w:instrText xml:space="preserve"> ADDIN EN.CITE &lt;EndNote&gt;&lt;Cite&gt;&lt;Author&gt;Pletcher&lt;/Author&gt;&lt;Year&gt;2006&lt;/Year&gt;&lt;RecNum&gt;78&lt;/RecNum&gt;&lt;DisplayText&gt;(78)&lt;/DisplayText&gt;&lt;record&gt;&lt;rec-number&gt;78&lt;/rec-number&gt;&lt;foreign-keys&gt;&lt;key app="EN" db-id="a2vz2dfp8xrad6exes75zwpiw5rxwa0vwapv" timestamp="0"&gt;78&lt;/key&gt;&lt;/foreign-keys&gt;&lt;ref-type name="Journal Article"&gt;17&lt;/ref-type&gt;&lt;contributors&gt;&lt;authors&gt;&lt;author&gt;Pletcher, M. J. &lt;/author&gt;&lt;author&gt;Hulley, B. J.&lt;/author&gt;&lt;author&gt;Houston, T.&lt;/author&gt;&lt;author&gt;Kiefe, C. I.&lt;/author&gt;&lt;author&gt;Benowitz, N. &lt;/author&gt;&lt;author&gt;Sidney, S.&lt;/author&gt;&lt;/authors&gt;&lt;/contributors&gt;&lt;titles&gt;&lt;title&gt;Menthol cigarettes, smoking cessation, atherosclerosis, and pulmonary function&lt;/title&gt;&lt;secondary-title&gt;Arch Intern Med&lt;/secondary-title&gt;&lt;/titles&gt;&lt;pages&gt;1915-1922&lt;/pages&gt;&lt;volume&gt;166&lt;/volume&gt;&lt;section&gt;1915&lt;/section&gt;&lt;dates&gt;&lt;year&gt;2006&lt;/year&gt;&lt;/dates&gt;&lt;urls&gt;&lt;/urls&gt;&lt;research-notes&gt;#385&lt;/research-notes&gt;&lt;/record&gt;&lt;/Cite&gt;&lt;/EndNote&gt;</w:instrText>
            </w:r>
            <w:r>
              <w:rPr>
                <w:rFonts w:cstheme="minorHAnsi"/>
                <w:sz w:val="16"/>
                <w:szCs w:val="16"/>
              </w:rPr>
              <w:fldChar w:fldCharType="separate"/>
            </w:r>
            <w:r>
              <w:rPr>
                <w:rFonts w:cstheme="minorHAnsi"/>
                <w:noProof/>
                <w:sz w:val="16"/>
                <w:szCs w:val="16"/>
              </w:rPr>
              <w:t>(</w:t>
            </w:r>
            <w:hyperlink w:anchor="_ENREF_78" w:tooltip="Pletcher, 2006 #78" w:history="1">
              <w:r w:rsidR="00A234A9">
                <w:rPr>
                  <w:rFonts w:cstheme="minorHAnsi"/>
                  <w:noProof/>
                  <w:sz w:val="16"/>
                  <w:szCs w:val="16"/>
                </w:rPr>
                <w:t>78</w:t>
              </w:r>
            </w:hyperlink>
            <w:r>
              <w:rPr>
                <w:rFonts w:cstheme="minorHAnsi"/>
                <w:noProof/>
                <w:sz w:val="16"/>
                <w:szCs w:val="16"/>
              </w:rPr>
              <w:t>)</w:t>
            </w:r>
            <w:r>
              <w:rPr>
                <w:rFonts w:cstheme="minorHAnsi"/>
                <w:sz w:val="16"/>
                <w:szCs w:val="16"/>
              </w:rPr>
              <w:fldChar w:fldCharType="end"/>
            </w:r>
          </w:p>
          <w:p w14:paraId="320B8F56"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None</w:t>
            </w:r>
          </w:p>
          <w:p w14:paraId="0086B016"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Young adults</w:t>
            </w:r>
          </w:p>
        </w:tc>
        <w:tc>
          <w:tcPr>
            <w:tcW w:w="589" w:type="pct"/>
          </w:tcPr>
          <w:p w14:paraId="4A1DE74D"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Smoked first cig</w:t>
            </w:r>
          </w:p>
        </w:tc>
        <w:tc>
          <w:tcPr>
            <w:tcW w:w="661" w:type="pct"/>
          </w:tcPr>
          <w:p w14:paraId="783F4E5C"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M: 16.7 (3.2)</w:t>
            </w:r>
          </w:p>
          <w:p w14:paraId="2FAE1F7A"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NM: 16.8 (3.3)</w:t>
            </w:r>
          </w:p>
          <w:p w14:paraId="45FA4F21"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(p=0.61)</w:t>
            </w:r>
          </w:p>
        </w:tc>
        <w:tc>
          <w:tcPr>
            <w:tcW w:w="625" w:type="pct"/>
          </w:tcPr>
          <w:p w14:paraId="2EBA8D97"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45D6A336"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11% (n=64) switched during follow-up</w:t>
            </w:r>
            <w:r w:rsidRPr="00DE452B">
              <w:rPr>
                <w:rFonts w:asciiTheme="minorHAnsi" w:hAnsiTheme="minorHAnsi" w:cstheme="minorHAnsi"/>
                <w:sz w:val="16"/>
                <w:szCs w:val="16"/>
                <w:vertAlign w:val="superscript"/>
              </w:rPr>
              <w:t>d</w:t>
            </w:r>
          </w:p>
        </w:tc>
        <w:tc>
          <w:tcPr>
            <w:tcW w:w="574" w:type="pct"/>
          </w:tcPr>
          <w:p w14:paraId="564021C9"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12% (n=114) switched during follow-up</w:t>
            </w:r>
            <w:r w:rsidRPr="00DE452B">
              <w:rPr>
                <w:rFonts w:asciiTheme="minorHAnsi" w:hAnsiTheme="minorHAnsi" w:cstheme="minorHAnsi"/>
                <w:sz w:val="16"/>
                <w:szCs w:val="16"/>
                <w:vertAlign w:val="superscript"/>
              </w:rPr>
              <w:t>d</w:t>
            </w:r>
          </w:p>
        </w:tc>
        <w:tc>
          <w:tcPr>
            <w:tcW w:w="1510" w:type="pct"/>
          </w:tcPr>
          <w:p w14:paraId="755D0DAF"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r>
      <w:tr w:rsidR="00881FE9" w:rsidRPr="00DE452B" w14:paraId="47D6DB81" w14:textId="77777777" w:rsidTr="00382374">
        <w:tc>
          <w:tcPr>
            <w:tcW w:w="624" w:type="pct"/>
          </w:tcPr>
          <w:p w14:paraId="53F08BD7" w14:textId="4BE71D62" w:rsidR="00881FE9" w:rsidRPr="00DE452B" w:rsidRDefault="00D2134A" w:rsidP="00881FE9">
            <w:pPr>
              <w:rPr>
                <w:rFonts w:asciiTheme="minorHAnsi" w:hAnsiTheme="minorHAnsi" w:cstheme="minorHAnsi"/>
                <w:sz w:val="16"/>
                <w:szCs w:val="16"/>
              </w:rPr>
            </w:pPr>
            <w:r>
              <w:rPr>
                <w:rFonts w:cstheme="minorHAnsi"/>
                <w:sz w:val="16"/>
                <w:szCs w:val="16"/>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79" w:tooltip="Rath, 2015 #3" w:history="1">
              <w:r w:rsidR="00A234A9">
                <w:rPr>
                  <w:rFonts w:cstheme="minorHAnsi"/>
                  <w:noProof/>
                  <w:sz w:val="16"/>
                  <w:szCs w:val="16"/>
                </w:rPr>
                <w:t>79</w:t>
              </w:r>
            </w:hyperlink>
            <w:r>
              <w:rPr>
                <w:rFonts w:cstheme="minorHAnsi"/>
                <w:noProof/>
                <w:sz w:val="16"/>
                <w:szCs w:val="16"/>
              </w:rPr>
              <w:t>)</w:t>
            </w:r>
            <w:r>
              <w:rPr>
                <w:rFonts w:cstheme="minorHAnsi"/>
                <w:sz w:val="16"/>
                <w:szCs w:val="16"/>
              </w:rPr>
              <w:fldChar w:fldCharType="end"/>
            </w:r>
          </w:p>
          <w:p w14:paraId="4E318960"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LYAC</w:t>
            </w:r>
          </w:p>
          <w:p w14:paraId="5D7012A5"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Young adults</w:t>
            </w:r>
          </w:p>
        </w:tc>
        <w:tc>
          <w:tcPr>
            <w:tcW w:w="589" w:type="pct"/>
          </w:tcPr>
          <w:p w14:paraId="2F883DED"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661" w:type="pct"/>
          </w:tcPr>
          <w:p w14:paraId="18BC7BDA"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p w14:paraId="11E80A01" w14:textId="77777777" w:rsidR="00881FE9" w:rsidRPr="00DE452B" w:rsidRDefault="00881FE9" w:rsidP="00881FE9">
            <w:pPr>
              <w:rPr>
                <w:rFonts w:asciiTheme="minorHAnsi" w:hAnsiTheme="minorHAnsi" w:cstheme="minorHAnsi"/>
                <w:sz w:val="16"/>
                <w:szCs w:val="16"/>
              </w:rPr>
            </w:pPr>
          </w:p>
          <w:p w14:paraId="0DD4777F" w14:textId="77777777" w:rsidR="00881FE9" w:rsidRPr="00DE452B" w:rsidRDefault="00881FE9" w:rsidP="00881FE9">
            <w:pPr>
              <w:rPr>
                <w:rFonts w:asciiTheme="minorHAnsi" w:hAnsiTheme="minorHAnsi" w:cstheme="minorHAnsi"/>
                <w:sz w:val="16"/>
                <w:szCs w:val="16"/>
              </w:rPr>
            </w:pPr>
          </w:p>
        </w:tc>
        <w:tc>
          <w:tcPr>
            <w:tcW w:w="625" w:type="pct"/>
          </w:tcPr>
          <w:p w14:paraId="2AF90048"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Smokers in all 3 waves:</w:t>
            </w:r>
          </w:p>
          <w:p w14:paraId="2D8C8607"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 xml:space="preserve">35% (n=74) initiated with M; </w:t>
            </w:r>
          </w:p>
          <w:p w14:paraId="02FE730B"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65% (n=138) initiated with NM.</w:t>
            </w:r>
          </w:p>
          <w:p w14:paraId="76901ED2" w14:textId="77777777" w:rsidR="00881FE9" w:rsidRPr="00DE452B" w:rsidRDefault="00881FE9" w:rsidP="00881FE9">
            <w:pPr>
              <w:rPr>
                <w:rFonts w:asciiTheme="minorHAnsi" w:hAnsiTheme="minorHAnsi" w:cstheme="minorHAnsi"/>
                <w:sz w:val="16"/>
                <w:szCs w:val="16"/>
              </w:rPr>
            </w:pPr>
          </w:p>
          <w:p w14:paraId="11FB567B"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 xml:space="preserve">Including people who started smoking after baseline: 34% and 66% initiated with M (initiated and remained with M or </w:t>
            </w:r>
            <w:r w:rsidRPr="00DE452B">
              <w:rPr>
                <w:rFonts w:asciiTheme="minorHAnsi" w:hAnsiTheme="minorHAnsi" w:cstheme="minorHAnsi"/>
                <w:sz w:val="16"/>
                <w:szCs w:val="16"/>
              </w:rPr>
              <w:lastRenderedPageBreak/>
              <w:t>initiated and switched to NM) and NM (initiated and remained with NM or initiated and switched to NM), respectively. Statistical significance was NR.</w:t>
            </w:r>
          </w:p>
        </w:tc>
        <w:tc>
          <w:tcPr>
            <w:tcW w:w="416" w:type="pct"/>
          </w:tcPr>
          <w:p w14:paraId="72315E5C"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lastRenderedPageBreak/>
              <w:t xml:space="preserve">16.9% (n=45) </w:t>
            </w:r>
          </w:p>
          <w:p w14:paraId="6AFDD9AB"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 xml:space="preserve">Unadj. OR (95% CI) for current M smoker by initiation with M (ref=initiation with NM): </w:t>
            </w:r>
          </w:p>
          <w:p w14:paraId="279464D7"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13.6 (7.3 to 25.2)</w:t>
            </w:r>
          </w:p>
        </w:tc>
        <w:tc>
          <w:tcPr>
            <w:tcW w:w="574" w:type="pct"/>
          </w:tcPr>
          <w:p w14:paraId="02ED5F5B"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7.1% (n=19)</w:t>
            </w:r>
          </w:p>
        </w:tc>
        <w:tc>
          <w:tcPr>
            <w:tcW w:w="1510" w:type="pct"/>
          </w:tcPr>
          <w:p w14:paraId="676FD1F7"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r>
      <w:tr w:rsidR="00881FE9" w:rsidRPr="00DE452B" w14:paraId="1B03F0DB" w14:textId="77777777" w:rsidTr="00382374">
        <w:tc>
          <w:tcPr>
            <w:tcW w:w="624" w:type="pct"/>
          </w:tcPr>
          <w:p w14:paraId="18AFCE7D" w14:textId="297CDF85" w:rsidR="00881FE9" w:rsidRPr="00DE452B" w:rsidRDefault="00D2134A" w:rsidP="00881FE9">
            <w:pPr>
              <w:rPr>
                <w:rFonts w:asciiTheme="minorHAnsi" w:hAnsiTheme="minorHAnsi" w:cstheme="minorHAnsi"/>
                <w:sz w:val="16"/>
                <w:szCs w:val="16"/>
              </w:rPr>
            </w:pPr>
            <w:r>
              <w:rPr>
                <w:rFonts w:cstheme="minorHAnsi"/>
                <w:sz w:val="16"/>
                <w:szCs w:val="16"/>
              </w:rPr>
              <w:fldChar w:fldCharType="begin"/>
            </w:r>
            <w:r>
              <w:rPr>
                <w:rFonts w:cstheme="minorHAnsi"/>
                <w:sz w:val="16"/>
                <w:szCs w:val="16"/>
              </w:rPr>
              <w:instrText xml:space="preserve"> ADDIN EN.CITE &lt;EndNote&gt;&lt;Cite&gt;&lt;Author&gt;Resnicow&lt;/Author&gt;&lt;Year&gt;2014&lt;/Year&gt;&lt;RecNum&gt;19&lt;/RecNum&gt;&lt;DisplayText&gt;(80)&lt;/DisplayText&gt;&lt;record&gt;&lt;rec-number&gt;19&lt;/rec-number&gt;&lt;foreign-keys&gt;&lt;key app="EN" db-id="a2vz2dfp8xrad6exes75zwpiw5rxwa0vwapv" timestamp="0"&gt;19&lt;/key&gt;&lt;/foreign-keys&gt;&lt;ref-type name="Journal Article"&gt;17&lt;/ref-type&gt;&lt;contributors&gt;&lt;authors&gt;&lt;author&gt;Resnicow, K.&lt;/author&gt;&lt;author&gt;Zhou, Y.&lt;/author&gt;&lt;author&gt;Scheuermann, T. S.&lt;/author&gt;&lt;author&gt;Nollen, N. L.&lt;/author&gt;&lt;author&gt;Ahluwalia, J. S.&lt;/author&gt;&lt;/authors&gt;&lt;/contributors&gt;&lt;auth-address&gt;Department of Health Behavior and Health Education, University of Michigan, School of Public Health, Ann Arbor, MI;&lt;/auth-address&gt;&lt;titles&gt;&lt;title&gt;Unplanned quitting in a triethnic sample of U.S. smokers&lt;/title&gt;&lt;secondary-title&gt;Nicotine Tob Res&lt;/secondary-title&gt;&lt;/titles&gt;&lt;periodical&gt;&lt;full-title&gt;Nicotine Tob Res&lt;/full-title&gt;&lt;/periodical&gt;&lt;pages&gt;759-65&lt;/pages&gt;&lt;volume&gt;16&lt;/volume&gt;&lt;number&gt;6&lt;/number&gt;&lt;keywords&gt;&lt;keyword&gt;Adult&lt;/keyword&gt;&lt;keyword&gt;African Americans/statistics &amp;amp; numerical data&lt;/keyword&gt;&lt;keyword&gt;Cross-Sectional Studies&lt;/keyword&gt;&lt;keyword&gt;European Continental Ancestry Group/statistics &amp;amp; numerical data&lt;/keyword&gt;&lt;keyword&gt;Female&lt;/keyword&gt;&lt;keyword&gt;Hispanic Americans/statistics &amp;amp; numerical data&lt;/keyword&gt;&lt;keyword&gt;Humans&lt;/keyword&gt;&lt;keyword&gt;Intention&lt;/keyword&gt;&lt;keyword&gt;Male&lt;/keyword&gt;&lt;keyword&gt;Middle Aged&lt;/keyword&gt;&lt;keyword&gt;Smoking/*ethnology&lt;/keyword&gt;&lt;keyword&gt;Smoking Cessation/*ethnology/*statistics &amp;amp; numerical data&lt;/keyword&gt;&lt;keyword&gt;United States&lt;/keyword&gt;&lt;/keywords&gt;&lt;dates&gt;&lt;year&gt;2014&lt;/year&gt;&lt;pub-dates&gt;&lt;date&gt;Jun&lt;/date&gt;&lt;/pub-dates&gt;&lt;/dates&gt;&lt;isbn&gt;1469-994X (Electronic)&amp;#xD;1462-2203 (Linking)&lt;/isbn&gt;&lt;accession-num&gt;24420329&lt;/accession-num&gt;&lt;urls&gt;&lt;related-urls&gt;&lt;url&gt;http://www.ncbi.nlm.nih.gov/pubmed/24420329&lt;/url&gt;&lt;/related-urls&gt;&lt;/urls&gt;&lt;custom2&gt;PMC4064007&lt;/custom2&gt;&lt;electronic-resource-num&gt;10.1093/ntr/ntt272&lt;/electronic-resource-num&gt;&lt;research-notes&gt;#096&lt;/research-notes&gt;&lt;/record&gt;&lt;/Cite&gt;&lt;/EndNote&gt;</w:instrText>
            </w:r>
            <w:r>
              <w:rPr>
                <w:rFonts w:cstheme="minorHAnsi"/>
                <w:sz w:val="16"/>
                <w:szCs w:val="16"/>
              </w:rPr>
              <w:fldChar w:fldCharType="separate"/>
            </w:r>
            <w:r>
              <w:rPr>
                <w:rFonts w:cstheme="minorHAnsi"/>
                <w:noProof/>
                <w:sz w:val="16"/>
                <w:szCs w:val="16"/>
              </w:rPr>
              <w:t>(</w:t>
            </w:r>
            <w:hyperlink w:anchor="_ENREF_80" w:tooltip="Resnicow, 2014 #19" w:history="1">
              <w:r w:rsidR="00A234A9">
                <w:rPr>
                  <w:rFonts w:cstheme="minorHAnsi"/>
                  <w:noProof/>
                  <w:sz w:val="16"/>
                  <w:szCs w:val="16"/>
                </w:rPr>
                <w:t>80</w:t>
              </w:r>
            </w:hyperlink>
            <w:r>
              <w:rPr>
                <w:rFonts w:cstheme="minorHAnsi"/>
                <w:noProof/>
                <w:sz w:val="16"/>
                <w:szCs w:val="16"/>
              </w:rPr>
              <w:t>)</w:t>
            </w:r>
            <w:r>
              <w:rPr>
                <w:rFonts w:cstheme="minorHAnsi"/>
                <w:sz w:val="16"/>
                <w:szCs w:val="16"/>
              </w:rPr>
              <w:fldChar w:fldCharType="end"/>
            </w:r>
          </w:p>
          <w:p w14:paraId="2B915718"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NA</w:t>
            </w:r>
          </w:p>
          <w:p w14:paraId="01C70AB7"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Adults</w:t>
            </w:r>
          </w:p>
        </w:tc>
        <w:tc>
          <w:tcPr>
            <w:tcW w:w="589" w:type="pct"/>
          </w:tcPr>
          <w:p w14:paraId="4BF2BD89" w14:textId="77777777" w:rsidR="00881FE9" w:rsidRPr="00DE452B" w:rsidRDefault="00621FF9" w:rsidP="00881FE9">
            <w:pPr>
              <w:rPr>
                <w:rFonts w:asciiTheme="minorHAnsi" w:hAnsiTheme="minorHAnsi" w:cstheme="minorHAnsi"/>
                <w:sz w:val="16"/>
                <w:szCs w:val="16"/>
              </w:rPr>
            </w:pPr>
            <w:r w:rsidRPr="00DE452B">
              <w:rPr>
                <w:rFonts w:asciiTheme="minorHAnsi" w:hAnsiTheme="minorHAnsi" w:cstheme="minorHAnsi"/>
                <w:sz w:val="16"/>
                <w:szCs w:val="16"/>
              </w:rPr>
              <w:t xml:space="preserve">Daily smoking was defined as smoking 25–30 days in the past 30 days. Nondaily smoking was defined as smoking at least one </w:t>
            </w:r>
            <w:r w:rsidR="004627C5">
              <w:rPr>
                <w:rFonts w:asciiTheme="minorHAnsi" w:hAnsiTheme="minorHAnsi" w:cstheme="minorHAnsi"/>
                <w:sz w:val="16"/>
                <w:szCs w:val="16"/>
              </w:rPr>
              <w:t>cig</w:t>
            </w:r>
            <w:r w:rsidR="004627C5" w:rsidRPr="00DE452B">
              <w:rPr>
                <w:rFonts w:asciiTheme="minorHAnsi" w:hAnsiTheme="minorHAnsi" w:cstheme="minorHAnsi"/>
                <w:sz w:val="16"/>
                <w:szCs w:val="16"/>
              </w:rPr>
              <w:t xml:space="preserve"> </w:t>
            </w:r>
            <w:r w:rsidRPr="00DE452B">
              <w:rPr>
                <w:rFonts w:asciiTheme="minorHAnsi" w:hAnsiTheme="minorHAnsi" w:cstheme="minorHAnsi"/>
                <w:sz w:val="16"/>
                <w:szCs w:val="16"/>
              </w:rPr>
              <w:t>on 4–24 days in the past 30 days</w:t>
            </w:r>
          </w:p>
        </w:tc>
        <w:tc>
          <w:tcPr>
            <w:tcW w:w="661" w:type="pct"/>
          </w:tcPr>
          <w:p w14:paraId="3A5E0D4F"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625" w:type="pct"/>
          </w:tcPr>
          <w:p w14:paraId="453166B1"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133D69B9"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360D9462"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42023397" w14:textId="77777777" w:rsidR="00881FE9" w:rsidRPr="00DE452B" w:rsidRDefault="00881FE9" w:rsidP="00881FE9">
            <w:pPr>
              <w:rPr>
                <w:rFonts w:asciiTheme="minorHAnsi" w:hAnsiTheme="minorHAnsi" w:cstheme="minorHAnsi"/>
                <w:sz w:val="16"/>
                <w:szCs w:val="16"/>
                <w:u w:val="single"/>
              </w:rPr>
            </w:pPr>
            <w:r w:rsidRPr="00DE452B">
              <w:rPr>
                <w:rFonts w:asciiTheme="minorHAnsi" w:hAnsiTheme="minorHAnsi" w:cstheme="minorHAnsi"/>
                <w:sz w:val="16"/>
                <w:szCs w:val="16"/>
                <w:u w:val="single"/>
              </w:rPr>
              <w:t>Non-daily smokers:</w:t>
            </w:r>
          </w:p>
          <w:p w14:paraId="69820656"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M: 64.6%</w:t>
            </w:r>
            <w:r w:rsidR="00FB6D99" w:rsidRPr="00DE452B">
              <w:rPr>
                <w:rFonts w:asciiTheme="minorHAnsi" w:hAnsiTheme="minorHAnsi" w:cstheme="minorHAnsi"/>
                <w:sz w:val="16"/>
                <w:szCs w:val="16"/>
              </w:rPr>
              <w:t xml:space="preserve"> (n=694)</w:t>
            </w:r>
          </w:p>
          <w:p w14:paraId="3C3A1351" w14:textId="77777777" w:rsidR="00881FE9" w:rsidRPr="00DE452B" w:rsidRDefault="00881FE9" w:rsidP="00CD40E8">
            <w:pPr>
              <w:rPr>
                <w:rFonts w:asciiTheme="minorHAnsi" w:hAnsiTheme="minorHAnsi" w:cstheme="minorHAnsi"/>
                <w:sz w:val="16"/>
                <w:szCs w:val="16"/>
              </w:rPr>
            </w:pPr>
            <w:r w:rsidRPr="00DE452B">
              <w:rPr>
                <w:rFonts w:asciiTheme="minorHAnsi" w:hAnsiTheme="minorHAnsi" w:cstheme="minorHAnsi"/>
                <w:sz w:val="16"/>
                <w:szCs w:val="16"/>
              </w:rPr>
              <w:t>NM: 54.5%</w:t>
            </w:r>
            <w:r w:rsidR="00FB6D99" w:rsidRPr="00DE452B">
              <w:rPr>
                <w:rFonts w:asciiTheme="minorHAnsi" w:hAnsiTheme="minorHAnsi" w:cstheme="minorHAnsi"/>
                <w:sz w:val="16"/>
                <w:szCs w:val="16"/>
              </w:rPr>
              <w:t xml:space="preserve"> (n=433)</w:t>
            </w:r>
          </w:p>
        </w:tc>
      </w:tr>
      <w:tr w:rsidR="00881FE9" w:rsidRPr="00DE452B" w14:paraId="388651B2" w14:textId="77777777" w:rsidTr="00382374">
        <w:tc>
          <w:tcPr>
            <w:tcW w:w="624" w:type="pct"/>
          </w:tcPr>
          <w:p w14:paraId="013BC0A7" w14:textId="4A52B3AC" w:rsidR="00881FE9" w:rsidRPr="00DE452B" w:rsidRDefault="00D2134A" w:rsidP="00881FE9">
            <w:pPr>
              <w:rPr>
                <w:rFonts w:asciiTheme="minorHAnsi" w:hAnsiTheme="minorHAnsi" w:cstheme="minorHAnsi"/>
                <w:sz w:val="16"/>
                <w:szCs w:val="16"/>
              </w:rPr>
            </w:pPr>
            <w:r>
              <w:rPr>
                <w:rFonts w:cstheme="minorHAnsi"/>
                <w:sz w:val="16"/>
                <w:szCs w:val="16"/>
              </w:rPr>
              <w:fldChar w:fldCharType="begin"/>
            </w:r>
            <w:r>
              <w:rPr>
                <w:rFonts w:cstheme="minorHAnsi"/>
                <w:sz w:val="16"/>
                <w:szCs w:val="16"/>
              </w:rPr>
              <w:instrText xml:space="preserve"> ADDIN EN.CITE &lt;EndNote&gt;&lt;Cite&gt;&lt;Author&gt;Rosenbloom&lt;/Author&gt;&lt;Year&gt;2012&lt;/Year&gt;&lt;RecNum&gt;32&lt;/RecNum&gt;&lt;DisplayText&gt;(81)&lt;/DisplayText&gt;&lt;record&gt;&lt;rec-number&gt;32&lt;/rec-number&gt;&lt;foreign-keys&gt;&lt;key app="EN" db-id="a2vz2dfp8xrad6exes75zwpiw5rxwa0vwapv" timestamp="0"&gt;32&lt;/key&gt;&lt;/foreign-keys&gt;&lt;ref-type name="Journal Article"&gt;17&lt;/ref-type&gt;&lt;contributors&gt;&lt;authors&gt;&lt;author&gt;Rosenbloom, J.&lt;/author&gt;&lt;author&gt; Rees, V. W.&lt;/author&gt;&lt;author&gt;Reid, K.&lt;/author&gt;&lt;author&gt;Wong, J.&lt;/author&gt;&lt;author&gt;Kinnunen, T.&lt;/author&gt;&lt;/authors&gt;&lt;/contributors&gt;&lt;titles&gt;&lt;title&gt;A cross-sectional study on tobacco use and dependence among women: Does menthol matter?&lt;/title&gt;&lt;secondary-title&gt;Tob Induc Dis&lt;/secondary-title&gt;&lt;/titles&gt;&lt;periodical&gt;&lt;full-title&gt;Tob Induc Dis&lt;/full-title&gt;&lt;/periodical&gt;&lt;pages&gt;1-6&lt;/pages&gt;&lt;volume&gt;10&lt;/volume&gt;&lt;number&gt;19&lt;/number&gt;&lt;section&gt;1&lt;/section&gt;&lt;keywords&gt;&lt;keyword&gt;Cigarette smoking, Menthol cigarettes, Tobacco use, Tobacco dependence, Race/Ethnicity, Female Sex/&lt;/keyword&gt;&lt;keyword&gt;Gender&lt;/keyword&gt;&lt;/keywords&gt;&lt;dates&gt;&lt;year&gt;2012&lt;/year&gt;&lt;/dates&gt;&lt;urls&gt;&lt;/urls&gt;&lt;electronic-resource-num&gt;10.1186/1617-9625-10-19&lt;/electronic-resource-num&gt;&lt;research-notes&gt;#173&lt;/research-notes&gt;&lt;/record&gt;&lt;/Cite&gt;&lt;/EndNote&gt;</w:instrText>
            </w:r>
            <w:r>
              <w:rPr>
                <w:rFonts w:cstheme="minorHAnsi"/>
                <w:sz w:val="16"/>
                <w:szCs w:val="16"/>
              </w:rPr>
              <w:fldChar w:fldCharType="separate"/>
            </w:r>
            <w:r>
              <w:rPr>
                <w:rFonts w:cstheme="minorHAnsi"/>
                <w:noProof/>
                <w:sz w:val="16"/>
                <w:szCs w:val="16"/>
              </w:rPr>
              <w:t>(</w:t>
            </w:r>
            <w:hyperlink w:anchor="_ENREF_81" w:tooltip="Rosenbloom, 2012 #32" w:history="1">
              <w:r w:rsidR="00A234A9">
                <w:rPr>
                  <w:rFonts w:cstheme="minorHAnsi"/>
                  <w:noProof/>
                  <w:sz w:val="16"/>
                  <w:szCs w:val="16"/>
                </w:rPr>
                <w:t>81</w:t>
              </w:r>
            </w:hyperlink>
            <w:r>
              <w:rPr>
                <w:rFonts w:cstheme="minorHAnsi"/>
                <w:noProof/>
                <w:sz w:val="16"/>
                <w:szCs w:val="16"/>
              </w:rPr>
              <w:t>)</w:t>
            </w:r>
            <w:r>
              <w:rPr>
                <w:rFonts w:cstheme="minorHAnsi"/>
                <w:sz w:val="16"/>
                <w:szCs w:val="16"/>
              </w:rPr>
              <w:fldChar w:fldCharType="end"/>
            </w:r>
          </w:p>
          <w:p w14:paraId="6C5A77E5"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None</w:t>
            </w:r>
          </w:p>
          <w:p w14:paraId="65B672FE"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Women</w:t>
            </w:r>
          </w:p>
        </w:tc>
        <w:tc>
          <w:tcPr>
            <w:tcW w:w="589" w:type="pct"/>
          </w:tcPr>
          <w:p w14:paraId="236667BF"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Age started smoking</w:t>
            </w:r>
          </w:p>
        </w:tc>
        <w:tc>
          <w:tcPr>
            <w:tcW w:w="661" w:type="pct"/>
          </w:tcPr>
          <w:p w14:paraId="2AA6CC53"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M: 16.7 (5.8)</w:t>
            </w:r>
          </w:p>
          <w:p w14:paraId="5BF95FFF"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NM: 16.1 (4.1)</w:t>
            </w:r>
          </w:p>
          <w:p w14:paraId="08E49D4C"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(p=0.76)</w:t>
            </w:r>
          </w:p>
        </w:tc>
        <w:tc>
          <w:tcPr>
            <w:tcW w:w="625" w:type="pct"/>
          </w:tcPr>
          <w:p w14:paraId="4573100D"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6A3B9956"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0B76778D"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5AD500A3"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r>
      <w:tr w:rsidR="00881FE9" w:rsidRPr="00DE452B" w14:paraId="71F41873" w14:textId="77777777" w:rsidTr="00382374">
        <w:tc>
          <w:tcPr>
            <w:tcW w:w="624" w:type="pct"/>
          </w:tcPr>
          <w:p w14:paraId="13F8E366" w14:textId="5260D4D6" w:rsidR="00881FE9" w:rsidRPr="00DE452B" w:rsidRDefault="00D2134A" w:rsidP="00881FE9">
            <w:pPr>
              <w:rPr>
                <w:rFonts w:asciiTheme="minorHAnsi" w:hAnsiTheme="minorHAnsi" w:cstheme="minorHAnsi"/>
                <w:sz w:val="16"/>
                <w:szCs w:val="16"/>
              </w:rPr>
            </w:pPr>
            <w:r>
              <w:rPr>
                <w:rFonts w:cstheme="minorHAnsi"/>
                <w:sz w:val="16"/>
                <w:szCs w:val="16"/>
              </w:rPr>
              <w:fldChar w:fldCharType="begin"/>
            </w:r>
            <w:r>
              <w:rPr>
                <w:rFonts w:cstheme="minorHAnsi"/>
                <w:sz w:val="16"/>
                <w:szCs w:val="16"/>
              </w:rPr>
              <w:instrText xml:space="preserve"> ADDIN EN.CITE &lt;EndNote&gt;&lt;Cite&gt;&lt;Author&gt;Sidney&lt;/Author&gt;&lt;Year&gt;1989&lt;/Year&gt;&lt;RecNum&gt;92&lt;/RecNum&gt;&lt;DisplayText&gt;(82)&lt;/DisplayText&gt;&lt;record&gt;&lt;rec-number&gt;92&lt;/rec-number&gt;&lt;foreign-keys&gt;&lt;key app="EN" db-id="a2vz2dfp8xrad6exes75zwpiw5rxwa0vwapv" timestamp="0"&gt;92&lt;/key&gt;&lt;/foreign-keys&gt;&lt;ref-type name="Journal Article"&gt;17&lt;/ref-type&gt;&lt;contributors&gt;&lt;authors&gt;&lt;author&gt;Sidney, S.&lt;/author&gt;&lt;author&gt;Tekawa, I. S.&lt;/author&gt;&lt;author&gt;Friedman, G. D.&lt;/author&gt;&lt;/authors&gt;&lt;/contributors&gt;&lt;titles&gt;&lt;title&gt;Mentholated cigarette use among multiphasic examinees, 1979-86&lt;/title&gt;&lt;secondary-title&gt;Am J Public Health&lt;/secondary-title&gt;&lt;/titles&gt;&lt;periodical&gt;&lt;full-title&gt;Am J Public Health&lt;/full-title&gt;&lt;/periodical&gt;&lt;pages&gt;1415-1416&lt;/pages&gt;&lt;volume&gt;79&lt;/volume&gt;&lt;section&gt;1415&lt;/section&gt;&lt;dates&gt;&lt;year&gt;1989&lt;/year&gt;&lt;/dates&gt;&lt;urls&gt;&lt;/urls&gt;&lt;research-notes&gt;#505&lt;/research-notes&gt;&lt;/record&gt;&lt;/Cite&gt;&lt;/EndNote&gt;</w:instrText>
            </w:r>
            <w:r>
              <w:rPr>
                <w:rFonts w:cstheme="minorHAnsi"/>
                <w:sz w:val="16"/>
                <w:szCs w:val="16"/>
              </w:rPr>
              <w:fldChar w:fldCharType="separate"/>
            </w:r>
            <w:r>
              <w:rPr>
                <w:rFonts w:cstheme="minorHAnsi"/>
                <w:noProof/>
                <w:sz w:val="16"/>
                <w:szCs w:val="16"/>
              </w:rPr>
              <w:t>(</w:t>
            </w:r>
            <w:hyperlink w:anchor="_ENREF_82" w:tooltip="Sidney, 1989 #92" w:history="1">
              <w:r w:rsidR="00A234A9">
                <w:rPr>
                  <w:rFonts w:cstheme="minorHAnsi"/>
                  <w:noProof/>
                  <w:sz w:val="16"/>
                  <w:szCs w:val="16"/>
                </w:rPr>
                <w:t>82</w:t>
              </w:r>
            </w:hyperlink>
            <w:r>
              <w:rPr>
                <w:rFonts w:cstheme="minorHAnsi"/>
                <w:noProof/>
                <w:sz w:val="16"/>
                <w:szCs w:val="16"/>
              </w:rPr>
              <w:t>)</w:t>
            </w:r>
            <w:r>
              <w:rPr>
                <w:rFonts w:cstheme="minorHAnsi"/>
                <w:sz w:val="16"/>
                <w:szCs w:val="16"/>
              </w:rPr>
              <w:fldChar w:fldCharType="end"/>
            </w:r>
            <w:r w:rsidR="00881FE9" w:rsidRPr="00DE452B">
              <w:rPr>
                <w:rFonts w:asciiTheme="minorHAnsi" w:hAnsiTheme="minorHAnsi" w:cstheme="minorHAnsi"/>
                <w:sz w:val="16"/>
                <w:szCs w:val="16"/>
                <w:vertAlign w:val="superscript"/>
              </w:rPr>
              <w:t>e</w:t>
            </w:r>
          </w:p>
          <w:p w14:paraId="4E386957"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None</w:t>
            </w:r>
          </w:p>
          <w:p w14:paraId="652E0BAA"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Black HMO medical center patients</w:t>
            </w:r>
          </w:p>
        </w:tc>
        <w:tc>
          <w:tcPr>
            <w:tcW w:w="589" w:type="pct"/>
          </w:tcPr>
          <w:p w14:paraId="32826987"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661" w:type="pct"/>
          </w:tcPr>
          <w:p w14:paraId="501721AE"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625" w:type="pct"/>
          </w:tcPr>
          <w:p w14:paraId="2273EE8C"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54933EA2"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14.6%</w:t>
            </w:r>
          </w:p>
        </w:tc>
        <w:tc>
          <w:tcPr>
            <w:tcW w:w="574" w:type="pct"/>
          </w:tcPr>
          <w:p w14:paraId="2FD6BB86"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3.6%</w:t>
            </w:r>
          </w:p>
        </w:tc>
        <w:tc>
          <w:tcPr>
            <w:tcW w:w="1510" w:type="pct"/>
          </w:tcPr>
          <w:p w14:paraId="5BE4C205"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r>
      <w:tr w:rsidR="00881FE9" w:rsidRPr="00DE452B" w14:paraId="0DE4DD25" w14:textId="77777777" w:rsidTr="00382374">
        <w:tc>
          <w:tcPr>
            <w:tcW w:w="624" w:type="pct"/>
          </w:tcPr>
          <w:p w14:paraId="3C5ADD6D" w14:textId="674A3A6F" w:rsidR="00881FE9" w:rsidRPr="00DE452B" w:rsidRDefault="00D2134A" w:rsidP="00881FE9">
            <w:pPr>
              <w:rPr>
                <w:rFonts w:asciiTheme="minorHAnsi" w:hAnsiTheme="minorHAnsi" w:cstheme="minorHAnsi"/>
                <w:sz w:val="16"/>
                <w:szCs w:val="16"/>
              </w:rPr>
            </w:pPr>
            <w:r>
              <w:rPr>
                <w:rFonts w:cstheme="minorHAnsi"/>
                <w:sz w:val="16"/>
                <w:szCs w:val="16"/>
              </w:rPr>
              <w:fldChar w:fldCharType="begin"/>
            </w:r>
            <w:r>
              <w:rPr>
                <w:rFonts w:cstheme="minorHAnsi"/>
                <w:sz w:val="16"/>
                <w:szCs w:val="16"/>
              </w:rPr>
              <w:instrText xml:space="preserve"> ADDIN EN.CITE &lt;EndNote&gt;&lt;Cite&gt;&lt;Author&gt;Smith&lt;/Author&gt;&lt;Year&gt;2014&lt;/Year&gt;&lt;RecNum&gt;11&lt;/RecNum&gt;&lt;DisplayText&gt;(83)&lt;/DisplayText&gt;&lt;record&gt;&lt;rec-number&gt;11&lt;/rec-number&gt;&lt;foreign-keys&gt;&lt;key app="EN" db-id="a2vz2dfp8xrad6exes75zwpiw5rxwa0vwapv" timestamp="0"&gt;11&lt;/key&gt;&lt;/foreign-keys&gt;&lt;ref-type name="Journal Article"&gt;17&lt;/ref-type&gt;&lt;contributors&gt;&lt;authors&gt;&lt;author&gt;Smith, S. S.&lt;/author&gt;&lt;author&gt;Fiore, M. C.&lt;/author&gt;&lt;author&gt;Baker, T. B.&lt;/author&gt;&lt;/authors&gt;&lt;/contributors&gt;&lt;auth-address&gt;Department of Medicine, University of Wisconsin School of Medicine and Public Health (UWSMPH), Madison, WI, USA; Center for Tobacco Research and Intervention, UWSMPH, Madison, WI, USA.&lt;/auth-address&gt;&lt;titles&gt;&lt;title&gt;Smoking cessation in smokers who smoke menthol and non-menthol cigarettes&lt;/title&gt;&lt;secondary-title&gt;Addiction&lt;/secondary-title&gt;&lt;/titles&gt;&lt;periodical&gt;&lt;full-title&gt;Addiction&lt;/full-title&gt;&lt;/periodical&gt;&lt;pages&gt;2107-17&lt;/pages&gt;&lt;volume&gt;109&lt;/volume&gt;&lt;number&gt;12&lt;/number&gt;&lt;keywords&gt;&lt;keyword&gt;Clinical trial&lt;/keyword&gt;&lt;keyword&gt;gender&lt;/keyword&gt;&lt;keyword&gt;generalized estimating equations&lt;/keyword&gt;&lt;keyword&gt;longitudinal&lt;/keyword&gt;&lt;keyword&gt;menthol&lt;/keyword&gt;&lt;keyword&gt;race/ethnicity&lt;/keyword&gt;&lt;keyword&gt;smoking cessation&lt;/keyword&gt;&lt;keyword&gt;tobacco&lt;/keyword&gt;&lt;/keywords&gt;&lt;dates&gt;&lt;year&gt;2014&lt;/year&gt;&lt;pub-dates&gt;&lt;date&gt;Dec&lt;/date&gt;&lt;/pub-dates&gt;&lt;/dates&gt;&lt;isbn&gt;1360-0443 (Electronic)&amp;#xD;0965-2140 (Linking)&lt;/isbn&gt;&lt;accession-num&gt;24938369&lt;/accession-num&gt;&lt;urls&gt;&lt;related-urls&gt;&lt;url&gt;http://www.ncbi.nlm.nih.gov/pubmed/24938369&lt;/url&gt;&lt;/related-urls&gt;&lt;/urls&gt;&lt;custom2&gt;PMC4443703&lt;/custom2&gt;&lt;electronic-resource-num&gt;10.1111/add.12661&lt;/electronic-resource-num&gt;&lt;research-notes&gt;#060&lt;/research-notes&gt;&lt;/record&gt;&lt;/Cite&gt;&lt;/EndNote&gt;</w:instrText>
            </w:r>
            <w:r>
              <w:rPr>
                <w:rFonts w:cstheme="minorHAnsi"/>
                <w:sz w:val="16"/>
                <w:szCs w:val="16"/>
              </w:rPr>
              <w:fldChar w:fldCharType="separate"/>
            </w:r>
            <w:r>
              <w:rPr>
                <w:rFonts w:cstheme="minorHAnsi"/>
                <w:noProof/>
                <w:sz w:val="16"/>
                <w:szCs w:val="16"/>
              </w:rPr>
              <w:t>(</w:t>
            </w:r>
            <w:hyperlink w:anchor="_ENREF_83" w:tooltip="Smith, 2014 #11" w:history="1">
              <w:r w:rsidR="00A234A9">
                <w:rPr>
                  <w:rFonts w:cstheme="minorHAnsi"/>
                  <w:noProof/>
                  <w:sz w:val="16"/>
                  <w:szCs w:val="16"/>
                </w:rPr>
                <w:t>83</w:t>
              </w:r>
            </w:hyperlink>
            <w:r>
              <w:rPr>
                <w:rFonts w:cstheme="minorHAnsi"/>
                <w:noProof/>
                <w:sz w:val="16"/>
                <w:szCs w:val="16"/>
              </w:rPr>
              <w:t>)</w:t>
            </w:r>
            <w:r>
              <w:rPr>
                <w:rFonts w:cstheme="minorHAnsi"/>
                <w:sz w:val="16"/>
                <w:szCs w:val="16"/>
              </w:rPr>
              <w:fldChar w:fldCharType="end"/>
            </w:r>
          </w:p>
          <w:p w14:paraId="04ED7CF0"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None</w:t>
            </w:r>
          </w:p>
          <w:p w14:paraId="25DEAA9A"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None</w:t>
            </w:r>
          </w:p>
        </w:tc>
        <w:tc>
          <w:tcPr>
            <w:tcW w:w="589" w:type="pct"/>
          </w:tcPr>
          <w:p w14:paraId="6A439E40"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First cig</w:t>
            </w:r>
          </w:p>
        </w:tc>
        <w:tc>
          <w:tcPr>
            <w:tcW w:w="661" w:type="pct"/>
          </w:tcPr>
          <w:p w14:paraId="3F1AE1F4"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M: 14.6 (4.1)</w:t>
            </w:r>
          </w:p>
          <w:p w14:paraId="055B2C47"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NM: 14.5 (3.6)</w:t>
            </w:r>
          </w:p>
          <w:p w14:paraId="15BE6315"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(p=0.62)</w:t>
            </w:r>
          </w:p>
        </w:tc>
        <w:tc>
          <w:tcPr>
            <w:tcW w:w="625" w:type="pct"/>
          </w:tcPr>
          <w:p w14:paraId="43EBD473"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494225FB"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09B7DEBC"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6DE88FE3"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r>
      <w:tr w:rsidR="00881FE9" w:rsidRPr="00DE452B" w14:paraId="0A58ABDE" w14:textId="77777777" w:rsidTr="00382374">
        <w:tc>
          <w:tcPr>
            <w:tcW w:w="624" w:type="pct"/>
          </w:tcPr>
          <w:p w14:paraId="20049AA7" w14:textId="51296168" w:rsidR="00881FE9" w:rsidRPr="00DE452B" w:rsidRDefault="00D2134A" w:rsidP="00881FE9">
            <w:pPr>
              <w:rPr>
                <w:rFonts w:asciiTheme="minorHAnsi" w:hAnsiTheme="minorHAnsi" w:cstheme="minorHAnsi"/>
                <w:sz w:val="16"/>
                <w:szCs w:val="16"/>
              </w:rPr>
            </w:pPr>
            <w:r>
              <w:rPr>
                <w:rFonts w:cstheme="minorHAnsi"/>
                <w:sz w:val="16"/>
                <w:szCs w:val="16"/>
              </w:rPr>
              <w:fldChar w:fldCharType="begin"/>
            </w:r>
            <w:r>
              <w:rPr>
                <w:rFonts w:cstheme="minorHAnsi"/>
                <w:sz w:val="16"/>
                <w:szCs w:val="16"/>
              </w:rPr>
              <w:instrText xml:space="preserve"> ADDIN EN.CITE &lt;EndNote&gt;&lt;Cite&gt;&lt;Author&gt;Stahre&lt;/Author&gt;&lt;Year&gt;2010&lt;/Year&gt;&lt;RecNum&gt;57&lt;/RecNum&gt;&lt;DisplayText&gt;(84)&lt;/DisplayText&gt;&lt;record&gt;&lt;rec-number&gt;57&lt;/rec-number&gt;&lt;foreign-keys&gt;&lt;key app="EN" db-id="a2vz2dfp8xrad6exes75zwpiw5rxwa0vwapv" timestamp="0"&gt;57&lt;/key&gt;&lt;/foreign-keys&gt;&lt;ref-type name="Journal Article"&gt;17&lt;/ref-type&gt;&lt;contributors&gt;&lt;authors&gt;&lt;author&gt;Stahre, M.&lt;/author&gt;&lt;author&gt;Okuyemi, K. S.&lt;/author&gt;&lt;author&gt;Joseph, A. M.&lt;/author&gt;&lt;author&gt;Fu, S. S.&lt;/author&gt;&lt;/authors&gt;&lt;/contributors&gt;&lt;auth-address&gt;Department of Epidemiology, University of Minnesota, Memphis, USA.&lt;/auth-address&gt;&lt;titles&gt;&lt;title&gt;Racial/ethnic differences in menthol cigarette smoking, population quit ratios and utilization of evidence-based tobacco cessation treatments&lt;/title&gt;&lt;secondary-title&gt;Addiction&lt;/secondary-title&gt;&lt;/titles&gt;&lt;periodical&gt;&lt;full-title&gt;Addiction&lt;/full-title&gt;&lt;/periodical&gt;&lt;pages&gt;75-83&lt;/pages&gt;&lt;volume&gt;105 Suppl 1&lt;/volume&gt;&lt;keywords&gt;&lt;keyword&gt;Adolescent&lt;/keyword&gt;&lt;keyword&gt;Adult&lt;/keyword&gt;&lt;keyword&gt;Aged&lt;/keyword&gt;&lt;keyword&gt;Epidemiologic Methods&lt;/keyword&gt;&lt;keyword&gt;Ethnic Groups/*statistics &amp;amp; numerical data&lt;/keyword&gt;&lt;keyword&gt;European Continental Ancestry Group/statistics &amp;amp; numerical data&lt;/keyword&gt;&lt;keyword&gt;Female&lt;/keyword&gt;&lt;keyword&gt;Humans&lt;/keyword&gt;&lt;keyword&gt;Male&lt;/keyword&gt;&lt;keyword&gt;*Menthol&lt;/keyword&gt;&lt;keyword&gt;Middle Aged&lt;/keyword&gt;&lt;keyword&gt;Patient Acceptance of Health Care/*ethnology&lt;/keyword&gt;&lt;keyword&gt;Smoking/*ethnology/therapy&lt;/keyword&gt;&lt;keyword&gt;Smoking Cessation/ethnology/*statistics &amp;amp; numerical data&lt;/keyword&gt;&lt;keyword&gt;Socioeconomic Factors&lt;/keyword&gt;&lt;keyword&gt;United States/epidemiology&lt;/keyword&gt;&lt;keyword&gt;Young Adult&lt;/keyword&gt;&lt;/keywords&gt;&lt;dates&gt;&lt;year&gt;2010&lt;/year&gt;&lt;pub-dates&gt;&lt;date&gt;Dec&lt;/date&gt;&lt;/pub-dates&gt;&lt;/dates&gt;&lt;isbn&gt;1360-0443 (Electronic)&amp;#xD;0965-2140 (Linking)&lt;/isbn&gt;&lt;accession-num&gt;21059138&lt;/accession-num&gt;&lt;urls&gt;&lt;related-urls&gt;&lt;url&gt;http://www.ncbi.nlm.nih.gov/pubmed/21059138&lt;/url&gt;&lt;/related-urls&gt;&lt;/urls&gt;&lt;electronic-resource-num&gt;10.1111/j.1360-0443.2010.03200.x&lt;/electronic-resource-num&gt;&lt;research-notes&gt;#285&lt;/research-notes&gt;&lt;/record&gt;&lt;/Cite&gt;&lt;/EndNote&gt;</w:instrText>
            </w:r>
            <w:r>
              <w:rPr>
                <w:rFonts w:cstheme="minorHAnsi"/>
                <w:sz w:val="16"/>
                <w:szCs w:val="16"/>
              </w:rPr>
              <w:fldChar w:fldCharType="separate"/>
            </w:r>
            <w:r>
              <w:rPr>
                <w:rFonts w:cstheme="minorHAnsi"/>
                <w:noProof/>
                <w:sz w:val="16"/>
                <w:szCs w:val="16"/>
              </w:rPr>
              <w:t>(</w:t>
            </w:r>
            <w:hyperlink w:anchor="_ENREF_84" w:tooltip="Stahre, 2010 #57" w:history="1">
              <w:r w:rsidR="00A234A9">
                <w:rPr>
                  <w:rFonts w:cstheme="minorHAnsi"/>
                  <w:noProof/>
                  <w:sz w:val="16"/>
                  <w:szCs w:val="16"/>
                </w:rPr>
                <w:t>84</w:t>
              </w:r>
            </w:hyperlink>
            <w:r>
              <w:rPr>
                <w:rFonts w:cstheme="minorHAnsi"/>
                <w:noProof/>
                <w:sz w:val="16"/>
                <w:szCs w:val="16"/>
              </w:rPr>
              <w:t>)</w:t>
            </w:r>
            <w:r>
              <w:rPr>
                <w:rFonts w:cstheme="minorHAnsi"/>
                <w:sz w:val="16"/>
                <w:szCs w:val="16"/>
              </w:rPr>
              <w:fldChar w:fldCharType="end"/>
            </w:r>
          </w:p>
          <w:p w14:paraId="6BADB3B6"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NHIS-CCS</w:t>
            </w:r>
          </w:p>
          <w:p w14:paraId="01D42C0E"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None</w:t>
            </w:r>
          </w:p>
        </w:tc>
        <w:tc>
          <w:tcPr>
            <w:tcW w:w="589" w:type="pct"/>
          </w:tcPr>
          <w:p w14:paraId="43AACDF5"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Age first started smoking cigs regularly</w:t>
            </w:r>
          </w:p>
        </w:tc>
        <w:tc>
          <w:tcPr>
            <w:tcW w:w="661" w:type="pct"/>
          </w:tcPr>
          <w:p w14:paraId="0AAC04AE" w14:textId="77777777" w:rsidR="00881FE9" w:rsidRPr="00DE452B" w:rsidRDefault="00881FE9" w:rsidP="00881FE9">
            <w:pPr>
              <w:rPr>
                <w:rFonts w:asciiTheme="minorHAnsi" w:hAnsiTheme="minorHAnsi" w:cstheme="minorHAnsi"/>
                <w:sz w:val="16"/>
                <w:szCs w:val="16"/>
                <w:u w:val="single"/>
              </w:rPr>
            </w:pPr>
            <w:r w:rsidRPr="00DE452B">
              <w:rPr>
                <w:rFonts w:asciiTheme="minorHAnsi" w:hAnsiTheme="minorHAnsi" w:cstheme="minorHAnsi"/>
                <w:sz w:val="16"/>
                <w:szCs w:val="16"/>
                <w:u w:val="single"/>
              </w:rPr>
              <w:t>Current smokers</w:t>
            </w:r>
          </w:p>
          <w:p w14:paraId="043C3512"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M: 19.6</w:t>
            </w:r>
          </w:p>
          <w:p w14:paraId="14CCAD50"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NM: 19.7</w:t>
            </w:r>
          </w:p>
          <w:p w14:paraId="0B218B44"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(p=0.71)</w:t>
            </w:r>
          </w:p>
          <w:p w14:paraId="20E861D5" w14:textId="77777777" w:rsidR="00881FE9" w:rsidRPr="00DE452B" w:rsidRDefault="00881FE9" w:rsidP="00881FE9">
            <w:pPr>
              <w:rPr>
                <w:rFonts w:asciiTheme="minorHAnsi" w:hAnsiTheme="minorHAnsi" w:cstheme="minorHAnsi"/>
                <w:sz w:val="16"/>
                <w:szCs w:val="16"/>
                <w:u w:val="single"/>
              </w:rPr>
            </w:pPr>
            <w:r w:rsidRPr="00DE452B">
              <w:rPr>
                <w:rFonts w:asciiTheme="minorHAnsi" w:hAnsiTheme="minorHAnsi" w:cstheme="minorHAnsi"/>
                <w:sz w:val="16"/>
                <w:szCs w:val="16"/>
                <w:u w:val="single"/>
              </w:rPr>
              <w:t>Former smokers</w:t>
            </w:r>
          </w:p>
          <w:p w14:paraId="0DFDEFB7"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M: 21.4</w:t>
            </w:r>
          </w:p>
          <w:p w14:paraId="61E1EFF5"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NM: 21.0</w:t>
            </w:r>
          </w:p>
          <w:p w14:paraId="33BF77DA"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(p=0.50)</w:t>
            </w:r>
          </w:p>
        </w:tc>
        <w:tc>
          <w:tcPr>
            <w:tcW w:w="625" w:type="pct"/>
          </w:tcPr>
          <w:p w14:paraId="5365A49C"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7D68DA45"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3A8A94F5"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718159A3"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r>
      <w:tr w:rsidR="00621FF9" w:rsidRPr="00DE452B" w14:paraId="39ADFE61" w14:textId="77777777" w:rsidTr="00382374">
        <w:tc>
          <w:tcPr>
            <w:tcW w:w="624" w:type="pct"/>
          </w:tcPr>
          <w:p w14:paraId="06C61BA0" w14:textId="1F79EFA4" w:rsidR="00621FF9" w:rsidRPr="00DE452B" w:rsidRDefault="00D2134A" w:rsidP="00621FF9">
            <w:pPr>
              <w:rPr>
                <w:rFonts w:asciiTheme="minorHAnsi" w:hAnsiTheme="minorHAnsi" w:cstheme="minorHAnsi"/>
                <w:sz w:val="16"/>
                <w:szCs w:val="16"/>
                <w:vertAlign w:val="superscript"/>
              </w:rPr>
            </w:pPr>
            <w:r>
              <w:rPr>
                <w:rFonts w:cstheme="minorHAnsi"/>
                <w:sz w:val="16"/>
                <w:szCs w:val="16"/>
              </w:rPr>
              <w:fldChar w:fldCharType="begin">
                <w:fldData xml:space="preserve">PEVuZE5vdGU+PENpdGU+PEF1dGhvcj5TdWxza3k8L0F1dGhvcj48WWVhcj4yMDE0PC9ZZWFyPjxS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PEVuZE5vdGU+PENpdGU+PEF1dGhvcj5TdWxza3k8L0F1dGhvcj48WWVhcj4yMDE0PC9ZZWFyPjxS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85" w:tooltip="Sulsky, 2014 #15" w:history="1">
              <w:r w:rsidR="00A234A9">
                <w:rPr>
                  <w:rFonts w:cstheme="minorHAnsi"/>
                  <w:noProof/>
                  <w:sz w:val="16"/>
                  <w:szCs w:val="16"/>
                </w:rPr>
                <w:t>85</w:t>
              </w:r>
            </w:hyperlink>
            <w:r>
              <w:rPr>
                <w:rFonts w:cstheme="minorHAnsi"/>
                <w:noProof/>
                <w:sz w:val="16"/>
                <w:szCs w:val="16"/>
              </w:rPr>
              <w:t>)</w:t>
            </w:r>
            <w:r>
              <w:rPr>
                <w:rFonts w:cstheme="minorHAnsi"/>
                <w:sz w:val="16"/>
                <w:szCs w:val="16"/>
              </w:rPr>
              <w:fldChar w:fldCharType="end"/>
            </w:r>
          </w:p>
          <w:p w14:paraId="791E7089"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NHIS</w:t>
            </w:r>
            <w:r w:rsidRPr="00DE452B">
              <w:rPr>
                <w:rFonts w:asciiTheme="minorHAnsi" w:hAnsiTheme="minorHAnsi" w:cstheme="minorHAnsi"/>
                <w:sz w:val="16"/>
                <w:szCs w:val="16"/>
                <w:vertAlign w:val="superscript"/>
              </w:rPr>
              <w:t>b</w:t>
            </w:r>
          </w:p>
          <w:p w14:paraId="1FD02671"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None</w:t>
            </w:r>
          </w:p>
        </w:tc>
        <w:tc>
          <w:tcPr>
            <w:tcW w:w="589" w:type="pct"/>
          </w:tcPr>
          <w:p w14:paraId="0F5F7B78"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Age at which individuals first started to smoke fairly regularly</w:t>
            </w:r>
          </w:p>
          <w:p w14:paraId="5D1069D5" w14:textId="77777777" w:rsidR="00621FF9" w:rsidRPr="00DE452B" w:rsidRDefault="00621FF9" w:rsidP="00621FF9">
            <w:pPr>
              <w:rPr>
                <w:rFonts w:asciiTheme="minorHAnsi" w:hAnsiTheme="minorHAnsi" w:cstheme="minorHAnsi"/>
                <w:sz w:val="16"/>
                <w:szCs w:val="16"/>
              </w:rPr>
            </w:pPr>
          </w:p>
          <w:p w14:paraId="59B8F5E8"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 xml:space="preserve">Daily smoker defined as having smoked </w:t>
            </w:r>
            <w:r w:rsidRPr="00DE452B">
              <w:rPr>
                <w:rFonts w:asciiTheme="minorHAnsi" w:hAnsiTheme="minorHAnsi" w:cstheme="minorHAnsi"/>
                <w:sz w:val="16"/>
                <w:szCs w:val="16"/>
              </w:rPr>
              <w:lastRenderedPageBreak/>
              <w:t xml:space="preserve">≥100 </w:t>
            </w:r>
            <w:proofErr w:type="gramStart"/>
            <w:r w:rsidR="004627C5">
              <w:rPr>
                <w:rFonts w:asciiTheme="minorHAnsi" w:hAnsiTheme="minorHAnsi" w:cstheme="minorHAnsi"/>
                <w:sz w:val="16"/>
                <w:szCs w:val="16"/>
              </w:rPr>
              <w:t>cigs</w:t>
            </w:r>
            <w:r w:rsidRPr="00DE452B">
              <w:rPr>
                <w:rFonts w:asciiTheme="minorHAnsi" w:hAnsiTheme="minorHAnsi" w:cstheme="minorHAnsi"/>
                <w:sz w:val="16"/>
                <w:szCs w:val="16"/>
              </w:rPr>
              <w:t>, and</w:t>
            </w:r>
            <w:proofErr w:type="gramEnd"/>
            <w:r w:rsidRPr="00DE452B">
              <w:rPr>
                <w:rFonts w:asciiTheme="minorHAnsi" w:hAnsiTheme="minorHAnsi" w:cstheme="minorHAnsi"/>
                <w:sz w:val="16"/>
                <w:szCs w:val="16"/>
              </w:rPr>
              <w:t xml:space="preserve"> having smoked daily during the past month. Regular smoker defined as having smoked ≥100 </w:t>
            </w:r>
            <w:proofErr w:type="gramStart"/>
            <w:r w:rsidR="004627C5">
              <w:rPr>
                <w:rFonts w:asciiTheme="minorHAnsi" w:hAnsiTheme="minorHAnsi" w:cstheme="minorHAnsi"/>
                <w:sz w:val="16"/>
                <w:szCs w:val="16"/>
              </w:rPr>
              <w:t>cigs</w:t>
            </w:r>
            <w:r w:rsidRPr="00DE452B">
              <w:rPr>
                <w:rFonts w:asciiTheme="minorHAnsi" w:hAnsiTheme="minorHAnsi" w:cstheme="minorHAnsi"/>
                <w:sz w:val="16"/>
                <w:szCs w:val="16"/>
              </w:rPr>
              <w:t>, and</w:t>
            </w:r>
            <w:proofErr w:type="gramEnd"/>
            <w:r w:rsidRPr="00DE452B">
              <w:rPr>
                <w:rFonts w:asciiTheme="minorHAnsi" w:hAnsiTheme="minorHAnsi" w:cstheme="minorHAnsi"/>
                <w:sz w:val="16"/>
                <w:szCs w:val="16"/>
              </w:rPr>
              <w:t xml:space="preserve"> having smoked ≥10 days during the past month.</w:t>
            </w:r>
          </w:p>
        </w:tc>
        <w:tc>
          <w:tcPr>
            <w:tcW w:w="661" w:type="pct"/>
          </w:tcPr>
          <w:p w14:paraId="27BEA3D8" w14:textId="77777777" w:rsidR="00621FF9" w:rsidRPr="00DE452B" w:rsidRDefault="00621FF9" w:rsidP="00621FF9">
            <w:pPr>
              <w:rPr>
                <w:rFonts w:asciiTheme="minorHAnsi" w:hAnsiTheme="minorHAnsi" w:cstheme="minorHAnsi"/>
                <w:sz w:val="16"/>
                <w:szCs w:val="16"/>
                <w:u w:val="single"/>
              </w:rPr>
            </w:pPr>
            <w:r w:rsidRPr="00DE452B">
              <w:rPr>
                <w:rFonts w:asciiTheme="minorHAnsi" w:hAnsiTheme="minorHAnsi" w:cstheme="minorHAnsi"/>
                <w:sz w:val="16"/>
                <w:szCs w:val="16"/>
                <w:u w:val="single"/>
              </w:rPr>
              <w:lastRenderedPageBreak/>
              <w:t>M:</w:t>
            </w:r>
          </w:p>
          <w:p w14:paraId="57A051C9"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&lt;10: 1.0%</w:t>
            </w:r>
          </w:p>
          <w:p w14:paraId="3C6E6E53"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10-14: 16.6%</w:t>
            </w:r>
          </w:p>
          <w:p w14:paraId="738B4BFA"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15-19: 53.6%</w:t>
            </w:r>
          </w:p>
          <w:p w14:paraId="41EEB041"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20-24: 17.3%</w:t>
            </w:r>
          </w:p>
          <w:p w14:paraId="7CEC7FF5"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25-39: 8.3%</w:t>
            </w:r>
          </w:p>
          <w:p w14:paraId="17F5CBBF"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40-59: 0.8%</w:t>
            </w:r>
          </w:p>
          <w:p w14:paraId="4B962E09"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lastRenderedPageBreak/>
              <w:t>≥60: 0.03%</w:t>
            </w:r>
          </w:p>
          <w:p w14:paraId="5B70EC54" w14:textId="77777777" w:rsidR="00621FF9" w:rsidRPr="00DE452B" w:rsidRDefault="00621FF9" w:rsidP="00621FF9">
            <w:pPr>
              <w:rPr>
                <w:rFonts w:asciiTheme="minorHAnsi" w:hAnsiTheme="minorHAnsi" w:cstheme="minorHAnsi"/>
                <w:sz w:val="16"/>
                <w:szCs w:val="16"/>
                <w:u w:val="single"/>
              </w:rPr>
            </w:pPr>
            <w:r w:rsidRPr="00DE452B">
              <w:rPr>
                <w:rFonts w:asciiTheme="minorHAnsi" w:hAnsiTheme="minorHAnsi" w:cstheme="minorHAnsi"/>
                <w:sz w:val="16"/>
                <w:szCs w:val="16"/>
                <w:u w:val="single"/>
              </w:rPr>
              <w:t>NM:</w:t>
            </w:r>
          </w:p>
          <w:p w14:paraId="16274349"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&lt;10: 1.5%</w:t>
            </w:r>
          </w:p>
          <w:p w14:paraId="7B4D0927"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10-14: 16.9%</w:t>
            </w:r>
          </w:p>
          <w:p w14:paraId="556521DD"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15-19: 57.2%</w:t>
            </w:r>
          </w:p>
          <w:p w14:paraId="23D10F80"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20-24: 15.3%</w:t>
            </w:r>
          </w:p>
          <w:p w14:paraId="264C70C7"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25-39: 5.8%</w:t>
            </w:r>
          </w:p>
          <w:p w14:paraId="5D8F3C83"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40-59: 0.8%</w:t>
            </w:r>
          </w:p>
          <w:p w14:paraId="5B114C99"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≥60: 0.02%</w:t>
            </w:r>
          </w:p>
        </w:tc>
        <w:tc>
          <w:tcPr>
            <w:tcW w:w="625" w:type="pct"/>
          </w:tcPr>
          <w:p w14:paraId="41B46FB6"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lastRenderedPageBreak/>
              <w:t>NR</w:t>
            </w:r>
          </w:p>
        </w:tc>
        <w:tc>
          <w:tcPr>
            <w:tcW w:w="416" w:type="pct"/>
          </w:tcPr>
          <w:p w14:paraId="422E62B2"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088D2EBE"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2B46EDF7" w14:textId="77777777" w:rsidR="00621FF9" w:rsidRPr="00DE452B" w:rsidRDefault="00621FF9" w:rsidP="00621FF9">
            <w:pPr>
              <w:rPr>
                <w:rFonts w:asciiTheme="minorHAnsi" w:hAnsiTheme="minorHAnsi" w:cstheme="minorHAnsi"/>
                <w:sz w:val="16"/>
                <w:szCs w:val="16"/>
                <w:u w:val="single"/>
              </w:rPr>
            </w:pPr>
            <w:r w:rsidRPr="00DE452B">
              <w:rPr>
                <w:rFonts w:asciiTheme="minorHAnsi" w:hAnsiTheme="minorHAnsi" w:cstheme="minorHAnsi"/>
                <w:sz w:val="16"/>
                <w:szCs w:val="16"/>
                <w:u w:val="single"/>
              </w:rPr>
              <w:t>Daily smokers over past month</w:t>
            </w:r>
          </w:p>
          <w:p w14:paraId="5B23E662"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 xml:space="preserve">M: 46.7% </w:t>
            </w:r>
            <w:r w:rsidRPr="00DE452B">
              <w:rPr>
                <w:rFonts w:asciiTheme="minorHAnsi" w:hAnsiTheme="minorHAnsi" w:cstheme="minorHAnsi"/>
                <w:sz w:val="16"/>
                <w:szCs w:val="16"/>
              </w:rPr>
              <w:tab/>
            </w:r>
          </w:p>
          <w:p w14:paraId="0B4A2CA6"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NM: 47.0%</w:t>
            </w:r>
          </w:p>
          <w:p w14:paraId="379F9720" w14:textId="77777777" w:rsidR="00621FF9" w:rsidRPr="00DE452B" w:rsidRDefault="00621FF9" w:rsidP="00621FF9">
            <w:pPr>
              <w:rPr>
                <w:rFonts w:asciiTheme="minorHAnsi" w:hAnsiTheme="minorHAnsi" w:cstheme="minorHAnsi"/>
                <w:sz w:val="16"/>
                <w:szCs w:val="16"/>
                <w:u w:val="single"/>
              </w:rPr>
            </w:pPr>
            <w:r w:rsidRPr="00DE452B">
              <w:rPr>
                <w:rFonts w:asciiTheme="minorHAnsi" w:hAnsiTheme="minorHAnsi" w:cstheme="minorHAnsi"/>
                <w:sz w:val="16"/>
                <w:szCs w:val="16"/>
                <w:u w:val="single"/>
              </w:rPr>
              <w:t>Smoked ≥10 days but not all 30 days over past month</w:t>
            </w:r>
          </w:p>
          <w:p w14:paraId="007570A9"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M: 53.3%</w:t>
            </w:r>
          </w:p>
          <w:p w14:paraId="346FA231"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NM: 53.0%</w:t>
            </w:r>
          </w:p>
        </w:tc>
      </w:tr>
      <w:tr w:rsidR="00621FF9" w:rsidRPr="00DE452B" w14:paraId="5F7F0C3C" w14:textId="77777777" w:rsidTr="00382374">
        <w:tc>
          <w:tcPr>
            <w:tcW w:w="624" w:type="pct"/>
          </w:tcPr>
          <w:p w14:paraId="6304A6A4" w14:textId="3C1530F5" w:rsidR="00621FF9" w:rsidRPr="00DE452B" w:rsidRDefault="00D2134A" w:rsidP="00621FF9">
            <w:pPr>
              <w:rPr>
                <w:rFonts w:asciiTheme="minorHAnsi" w:hAnsiTheme="minorHAnsi" w:cstheme="minorHAnsi"/>
                <w:sz w:val="16"/>
                <w:szCs w:val="16"/>
                <w:vertAlign w:val="superscript"/>
              </w:rPr>
            </w:pPr>
            <w:r>
              <w:rPr>
                <w:rFonts w:cstheme="minorHAnsi"/>
                <w:sz w:val="16"/>
                <w:szCs w:val="16"/>
              </w:rPr>
              <w:fldChar w:fldCharType="begin">
                <w:fldData xml:space="preserve">PEVuZE5vdGU+PENpdGU+PEF1dGhvcj5TdWxza3k8L0F1dGhvcj48WWVhcj4yMDE0PC9ZZWFyPjxS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PEVuZE5vdGU+PENpdGU+PEF1dGhvcj5TdWxza3k8L0F1dGhvcj48WWVhcj4yMDE0PC9ZZWFyPjxS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85" w:tooltip="Sulsky, 2014 #15" w:history="1">
              <w:r w:rsidR="00A234A9">
                <w:rPr>
                  <w:rFonts w:cstheme="minorHAnsi"/>
                  <w:noProof/>
                  <w:sz w:val="16"/>
                  <w:szCs w:val="16"/>
                </w:rPr>
                <w:t>85</w:t>
              </w:r>
            </w:hyperlink>
            <w:r>
              <w:rPr>
                <w:rFonts w:cstheme="minorHAnsi"/>
                <w:noProof/>
                <w:sz w:val="16"/>
                <w:szCs w:val="16"/>
              </w:rPr>
              <w:t>)</w:t>
            </w:r>
            <w:r>
              <w:rPr>
                <w:rFonts w:cstheme="minorHAnsi"/>
                <w:sz w:val="16"/>
                <w:szCs w:val="16"/>
              </w:rPr>
              <w:fldChar w:fldCharType="end"/>
            </w:r>
          </w:p>
          <w:p w14:paraId="4479CA2E"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TUS-CPS</w:t>
            </w:r>
            <w:r w:rsidRPr="00DE452B">
              <w:rPr>
                <w:rFonts w:asciiTheme="minorHAnsi" w:hAnsiTheme="minorHAnsi" w:cstheme="minorHAnsi"/>
                <w:sz w:val="16"/>
                <w:szCs w:val="16"/>
                <w:vertAlign w:val="superscript"/>
              </w:rPr>
              <w:t>b</w:t>
            </w:r>
          </w:p>
          <w:p w14:paraId="0F4E1012"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None</w:t>
            </w:r>
          </w:p>
        </w:tc>
        <w:tc>
          <w:tcPr>
            <w:tcW w:w="589" w:type="pct"/>
          </w:tcPr>
          <w:p w14:paraId="40CB2F59"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Age first started smoking cigs fairly regularly</w:t>
            </w:r>
          </w:p>
          <w:p w14:paraId="4DE434A2" w14:textId="77777777" w:rsidR="00621FF9" w:rsidRPr="00DE452B" w:rsidRDefault="00621FF9" w:rsidP="00621FF9">
            <w:pPr>
              <w:rPr>
                <w:rFonts w:asciiTheme="minorHAnsi" w:hAnsiTheme="minorHAnsi" w:cstheme="minorHAnsi"/>
                <w:sz w:val="16"/>
                <w:szCs w:val="16"/>
              </w:rPr>
            </w:pPr>
          </w:p>
          <w:p w14:paraId="46C419BF"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 xml:space="preserve">Daily smoker defined as having smoked ≥100 </w:t>
            </w:r>
            <w:proofErr w:type="gramStart"/>
            <w:r w:rsidR="004627C5">
              <w:rPr>
                <w:rFonts w:asciiTheme="minorHAnsi" w:hAnsiTheme="minorHAnsi" w:cstheme="minorHAnsi"/>
                <w:sz w:val="16"/>
                <w:szCs w:val="16"/>
              </w:rPr>
              <w:t>cigs</w:t>
            </w:r>
            <w:r w:rsidRPr="00DE452B">
              <w:rPr>
                <w:rFonts w:asciiTheme="minorHAnsi" w:hAnsiTheme="minorHAnsi" w:cstheme="minorHAnsi"/>
                <w:sz w:val="16"/>
                <w:szCs w:val="16"/>
              </w:rPr>
              <w:t>, and</w:t>
            </w:r>
            <w:proofErr w:type="gramEnd"/>
            <w:r w:rsidRPr="00DE452B">
              <w:rPr>
                <w:rFonts w:asciiTheme="minorHAnsi" w:hAnsiTheme="minorHAnsi" w:cstheme="minorHAnsi"/>
                <w:sz w:val="16"/>
                <w:szCs w:val="16"/>
              </w:rPr>
              <w:t xml:space="preserve"> having smoked daily during the past month. Regular smoker defined as having smoked ≥100 </w:t>
            </w:r>
            <w:proofErr w:type="gramStart"/>
            <w:r w:rsidR="004627C5">
              <w:rPr>
                <w:rFonts w:asciiTheme="minorHAnsi" w:hAnsiTheme="minorHAnsi" w:cstheme="minorHAnsi"/>
                <w:sz w:val="16"/>
                <w:szCs w:val="16"/>
              </w:rPr>
              <w:t>cigs</w:t>
            </w:r>
            <w:r w:rsidRPr="00DE452B">
              <w:rPr>
                <w:rFonts w:asciiTheme="minorHAnsi" w:hAnsiTheme="minorHAnsi" w:cstheme="minorHAnsi"/>
                <w:sz w:val="16"/>
                <w:szCs w:val="16"/>
              </w:rPr>
              <w:t>, and</w:t>
            </w:r>
            <w:proofErr w:type="gramEnd"/>
            <w:r w:rsidRPr="00DE452B">
              <w:rPr>
                <w:rFonts w:asciiTheme="minorHAnsi" w:hAnsiTheme="minorHAnsi" w:cstheme="minorHAnsi"/>
                <w:sz w:val="16"/>
                <w:szCs w:val="16"/>
              </w:rPr>
              <w:t xml:space="preserve"> having smoked ≥10 days during the past month.</w:t>
            </w:r>
          </w:p>
        </w:tc>
        <w:tc>
          <w:tcPr>
            <w:tcW w:w="661" w:type="pct"/>
          </w:tcPr>
          <w:p w14:paraId="6C1C87A1" w14:textId="77777777" w:rsidR="00621FF9" w:rsidRPr="00DE452B" w:rsidRDefault="00621FF9" w:rsidP="00621FF9">
            <w:pPr>
              <w:rPr>
                <w:rFonts w:asciiTheme="minorHAnsi" w:hAnsiTheme="minorHAnsi" w:cstheme="minorHAnsi"/>
                <w:sz w:val="16"/>
                <w:szCs w:val="16"/>
                <w:u w:val="single"/>
              </w:rPr>
            </w:pPr>
            <w:r w:rsidRPr="00DE452B">
              <w:rPr>
                <w:rFonts w:asciiTheme="minorHAnsi" w:hAnsiTheme="minorHAnsi" w:cstheme="minorHAnsi"/>
                <w:sz w:val="16"/>
                <w:szCs w:val="16"/>
                <w:u w:val="single"/>
              </w:rPr>
              <w:t>M:</w:t>
            </w:r>
          </w:p>
          <w:p w14:paraId="1D8C2420"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&lt;10: 0.9%</w:t>
            </w:r>
          </w:p>
          <w:p w14:paraId="2452A430"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10-14: 13.7%</w:t>
            </w:r>
          </w:p>
          <w:p w14:paraId="117180A2"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15-19: 55.9%</w:t>
            </w:r>
          </w:p>
          <w:p w14:paraId="4A608D5C"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40-59: 0.8%</w:t>
            </w:r>
          </w:p>
          <w:p w14:paraId="751BD956"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≥60: 0.04%</w:t>
            </w:r>
          </w:p>
          <w:p w14:paraId="486DAD0E" w14:textId="77777777" w:rsidR="00621FF9" w:rsidRPr="00DE452B" w:rsidRDefault="00621FF9" w:rsidP="00621FF9">
            <w:pPr>
              <w:rPr>
                <w:rFonts w:asciiTheme="minorHAnsi" w:hAnsiTheme="minorHAnsi" w:cstheme="minorHAnsi"/>
                <w:sz w:val="16"/>
                <w:szCs w:val="16"/>
                <w:u w:val="single"/>
              </w:rPr>
            </w:pPr>
            <w:r w:rsidRPr="00DE452B">
              <w:rPr>
                <w:rFonts w:asciiTheme="minorHAnsi" w:hAnsiTheme="minorHAnsi" w:cstheme="minorHAnsi"/>
                <w:sz w:val="16"/>
                <w:szCs w:val="16"/>
                <w:u w:val="single"/>
              </w:rPr>
              <w:t>NM:</w:t>
            </w:r>
          </w:p>
          <w:p w14:paraId="3294D2D2"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&lt;10: 1.2%</w:t>
            </w:r>
          </w:p>
          <w:p w14:paraId="126888E0"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10-14: 15.0%</w:t>
            </w:r>
          </w:p>
          <w:p w14:paraId="4F57B0E5"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15-19: 58.1%</w:t>
            </w:r>
          </w:p>
          <w:p w14:paraId="722A31E1"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20-24: 16.5%</w:t>
            </w:r>
          </w:p>
          <w:p w14:paraId="57C88C22"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25-39: 5.6%</w:t>
            </w:r>
          </w:p>
          <w:p w14:paraId="43B4D6E2"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40-59: 0.7%</w:t>
            </w:r>
          </w:p>
          <w:p w14:paraId="0BA47079"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≥60: 0.02%</w:t>
            </w:r>
          </w:p>
        </w:tc>
        <w:tc>
          <w:tcPr>
            <w:tcW w:w="625" w:type="pct"/>
          </w:tcPr>
          <w:p w14:paraId="3E7B99AA"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26C2E214"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1D67F282"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37CF2584" w14:textId="77777777" w:rsidR="00621FF9" w:rsidRPr="00DE452B" w:rsidRDefault="00621FF9" w:rsidP="00621FF9">
            <w:pPr>
              <w:rPr>
                <w:rFonts w:asciiTheme="minorHAnsi" w:hAnsiTheme="minorHAnsi" w:cstheme="minorHAnsi"/>
                <w:sz w:val="16"/>
                <w:szCs w:val="16"/>
                <w:u w:val="single"/>
              </w:rPr>
            </w:pPr>
            <w:r w:rsidRPr="00DE452B">
              <w:rPr>
                <w:rFonts w:asciiTheme="minorHAnsi" w:hAnsiTheme="minorHAnsi" w:cstheme="minorHAnsi"/>
                <w:sz w:val="16"/>
                <w:szCs w:val="16"/>
                <w:u w:val="single"/>
              </w:rPr>
              <w:t>Daily smokers over past month</w:t>
            </w:r>
          </w:p>
          <w:p w14:paraId="20DF0CF3"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 xml:space="preserve">M: 45.1% </w:t>
            </w:r>
          </w:p>
          <w:p w14:paraId="28009182"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NM: 46.1%</w:t>
            </w:r>
          </w:p>
          <w:p w14:paraId="38DAE9CA" w14:textId="77777777" w:rsidR="00621FF9" w:rsidRPr="00DE452B" w:rsidRDefault="00621FF9" w:rsidP="00621FF9">
            <w:pPr>
              <w:rPr>
                <w:rFonts w:asciiTheme="minorHAnsi" w:hAnsiTheme="minorHAnsi" w:cstheme="minorHAnsi"/>
                <w:sz w:val="16"/>
                <w:szCs w:val="16"/>
                <w:u w:val="single"/>
              </w:rPr>
            </w:pPr>
            <w:r w:rsidRPr="00DE452B">
              <w:rPr>
                <w:rFonts w:asciiTheme="minorHAnsi" w:hAnsiTheme="minorHAnsi" w:cstheme="minorHAnsi"/>
                <w:sz w:val="16"/>
                <w:szCs w:val="16"/>
                <w:u w:val="single"/>
              </w:rPr>
              <w:t>Smoked ≥10 days but not all 30 days over past month</w:t>
            </w:r>
          </w:p>
          <w:p w14:paraId="4147C1C0"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M: 54.9%</w:t>
            </w:r>
          </w:p>
          <w:p w14:paraId="78E0B4A5" w14:textId="77777777" w:rsidR="00621FF9" w:rsidRPr="00DE452B" w:rsidRDefault="00621FF9" w:rsidP="00621FF9">
            <w:pPr>
              <w:rPr>
                <w:rFonts w:asciiTheme="minorHAnsi" w:hAnsiTheme="minorHAnsi" w:cstheme="minorHAnsi"/>
                <w:sz w:val="16"/>
                <w:szCs w:val="16"/>
              </w:rPr>
            </w:pPr>
            <w:r w:rsidRPr="00DE452B">
              <w:rPr>
                <w:rFonts w:asciiTheme="minorHAnsi" w:hAnsiTheme="minorHAnsi" w:cstheme="minorHAnsi"/>
                <w:sz w:val="16"/>
                <w:szCs w:val="16"/>
              </w:rPr>
              <w:t>NM: 53.9%</w:t>
            </w:r>
          </w:p>
        </w:tc>
      </w:tr>
      <w:tr w:rsidR="00881FE9" w:rsidRPr="00DE452B" w14:paraId="617BD1B0" w14:textId="77777777" w:rsidTr="00382374">
        <w:tc>
          <w:tcPr>
            <w:tcW w:w="624" w:type="pct"/>
          </w:tcPr>
          <w:p w14:paraId="28054206" w14:textId="414DA1A8" w:rsidR="00881FE9" w:rsidRPr="00DE452B" w:rsidRDefault="00D2134A" w:rsidP="00881FE9">
            <w:pPr>
              <w:rPr>
                <w:rFonts w:asciiTheme="minorHAnsi" w:hAnsiTheme="minorHAnsi" w:cstheme="minorHAnsi"/>
                <w:sz w:val="16"/>
                <w:szCs w:val="16"/>
              </w:rPr>
            </w:pPr>
            <w:r>
              <w:rPr>
                <w:rFonts w:cstheme="minorHAnsi"/>
                <w:sz w:val="16"/>
                <w:szCs w:val="16"/>
              </w:rPr>
              <w:fldChar w:fldCharType="begin"/>
            </w:r>
            <w:r>
              <w:rPr>
                <w:rFonts w:cstheme="minorHAnsi"/>
                <w:sz w:val="16"/>
                <w:szCs w:val="16"/>
              </w:rPr>
              <w:instrText xml:space="preserve"> ADDIN EN.CITE &lt;EndNote&gt;&lt;Cite&gt;&lt;Author&gt;Villanti&lt;/Author&gt;&lt;Year&gt;2012&lt;/Year&gt;&lt;RecNum&gt;37&lt;/RecNum&gt;&lt;DisplayText&gt;(86)&lt;/DisplayText&gt;&lt;record&gt;&lt;rec-number&gt;37&lt;/rec-number&gt;&lt;foreign-keys&gt;&lt;key app="EN" db-id="a2vz2dfp8xrad6exes75zwpiw5rxwa0vwapv" timestamp="0"&gt;37&lt;/key&gt;&lt;/foreign-keys&gt;&lt;ref-type name="Journal Article"&gt;17&lt;/ref-type&gt;&lt;contributors&gt;&lt;authors&gt;&lt;author&gt;Villanti, A. C. &lt;/author&gt;&lt;author&gt;Giovino, G. A.&lt;/author&gt;&lt;author&gt;Barker, D. C.&lt;/author&gt;&lt;author&gt;Mowery, P.&lt;/author&gt;&lt;author&gt;Sevilimedu, V.&lt;/author&gt;&lt;author&gt;Abrams, D. B.&lt;/author&gt;&lt;/authors&gt;&lt;/contributors&gt;&lt;titles&gt;&lt;title&gt;Menthol brand switching among adolescents and young adults in the national youth smoking cessation survey&lt;/title&gt;&lt;secondary-title&gt;Am J Public Health&lt;/secondary-title&gt;&lt;/titles&gt;&lt;periodical&gt;&lt;full-title&gt;Am J Public Health&lt;/full-title&gt;&lt;/periodical&gt;&lt;pages&gt;1310-12&lt;/pages&gt;&lt;volume&gt;102&lt;/volume&gt;&lt;number&gt;7&lt;/number&gt;&lt;dates&gt;&lt;year&gt;2012&lt;/year&gt;&lt;pub-dates&gt;&lt;date&gt;Oct&lt;/date&gt;&lt;/pub-dates&gt;&lt;/dates&gt;&lt;urls&gt;&lt;/urls&gt;&lt;research-notes&gt;#191&lt;/research-notes&gt;&lt;/record&gt;&lt;/Cite&gt;&lt;/EndNote&gt;</w:instrText>
            </w:r>
            <w:r>
              <w:rPr>
                <w:rFonts w:cstheme="minorHAnsi"/>
                <w:sz w:val="16"/>
                <w:szCs w:val="16"/>
              </w:rPr>
              <w:fldChar w:fldCharType="separate"/>
            </w:r>
            <w:r>
              <w:rPr>
                <w:rFonts w:cstheme="minorHAnsi"/>
                <w:noProof/>
                <w:sz w:val="16"/>
                <w:szCs w:val="16"/>
              </w:rPr>
              <w:t>(</w:t>
            </w:r>
            <w:hyperlink w:anchor="_ENREF_86" w:tooltip="Villanti, 2012 #37" w:history="1">
              <w:r w:rsidR="00A234A9">
                <w:rPr>
                  <w:rFonts w:cstheme="minorHAnsi"/>
                  <w:noProof/>
                  <w:sz w:val="16"/>
                  <w:szCs w:val="16"/>
                </w:rPr>
                <w:t>86</w:t>
              </w:r>
            </w:hyperlink>
            <w:r>
              <w:rPr>
                <w:rFonts w:cstheme="minorHAnsi"/>
                <w:noProof/>
                <w:sz w:val="16"/>
                <w:szCs w:val="16"/>
              </w:rPr>
              <w:t>)</w:t>
            </w:r>
            <w:r>
              <w:rPr>
                <w:rFonts w:cstheme="minorHAnsi"/>
                <w:sz w:val="16"/>
                <w:szCs w:val="16"/>
              </w:rPr>
              <w:fldChar w:fldCharType="end"/>
            </w:r>
          </w:p>
          <w:p w14:paraId="6CC2AD0E"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NYSCS</w:t>
            </w:r>
            <w:r w:rsidRPr="00DE452B">
              <w:rPr>
                <w:rFonts w:asciiTheme="minorHAnsi" w:hAnsiTheme="minorHAnsi" w:cstheme="minorHAnsi"/>
                <w:sz w:val="16"/>
                <w:szCs w:val="16"/>
                <w:vertAlign w:val="superscript"/>
              </w:rPr>
              <w:t>b</w:t>
            </w:r>
          </w:p>
          <w:p w14:paraId="0375D9DE"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Youth and young adults</w:t>
            </w:r>
          </w:p>
        </w:tc>
        <w:tc>
          <w:tcPr>
            <w:tcW w:w="589" w:type="pct"/>
          </w:tcPr>
          <w:p w14:paraId="5B33BCCA"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661" w:type="pct"/>
          </w:tcPr>
          <w:p w14:paraId="6ADE727D"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625" w:type="pct"/>
          </w:tcPr>
          <w:p w14:paraId="72DB0ED5"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58D4F119"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 (95% CI) at 2-year follow-up</w:t>
            </w:r>
          </w:p>
          <w:p w14:paraId="7C321F53" w14:textId="77777777" w:rsidR="00881FE9" w:rsidRPr="00DE452B" w:rsidRDefault="00881FE9" w:rsidP="00881FE9">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Total sample </w:t>
            </w:r>
          </w:p>
          <w:p w14:paraId="29E8ABCA"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6.9% (4.9% to 8.9%)</w:t>
            </w:r>
          </w:p>
          <w:p w14:paraId="5E1328F1" w14:textId="77777777" w:rsidR="00881FE9" w:rsidRPr="00DE452B" w:rsidRDefault="00881FE9" w:rsidP="00881FE9">
            <w:pPr>
              <w:rPr>
                <w:rFonts w:asciiTheme="minorHAnsi" w:hAnsiTheme="minorHAnsi" w:cstheme="minorHAnsi"/>
                <w:sz w:val="16"/>
                <w:szCs w:val="16"/>
                <w:u w:val="single"/>
              </w:rPr>
            </w:pPr>
            <w:r w:rsidRPr="00DE452B">
              <w:rPr>
                <w:rFonts w:asciiTheme="minorHAnsi" w:hAnsiTheme="minorHAnsi" w:cstheme="minorHAnsi"/>
                <w:sz w:val="16"/>
                <w:szCs w:val="16"/>
                <w:u w:val="single"/>
              </w:rPr>
              <w:t>By age at baseline</w:t>
            </w:r>
          </w:p>
          <w:p w14:paraId="2016871C"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16-18: 12.5% (7.2% to 17.8%)</w:t>
            </w:r>
          </w:p>
          <w:p w14:paraId="1B4A03AF"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19-20: 6.7% (3.2% to 10.2%)</w:t>
            </w:r>
          </w:p>
          <w:p w14:paraId="017C0122"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lastRenderedPageBreak/>
              <w:t>21-24: 5.6% (3.0% to 8.2%)</w:t>
            </w:r>
          </w:p>
          <w:p w14:paraId="0D441D71" w14:textId="77777777" w:rsidR="00881FE9" w:rsidRPr="00DE452B" w:rsidRDefault="00881FE9" w:rsidP="00881FE9">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NH White </w:t>
            </w:r>
          </w:p>
          <w:p w14:paraId="092A325A"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5.6% (3.7% to 7.5%)</w:t>
            </w:r>
          </w:p>
          <w:p w14:paraId="32DA4B73" w14:textId="77777777" w:rsidR="00881FE9" w:rsidRPr="00DE452B" w:rsidRDefault="00881FE9" w:rsidP="00881FE9">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Hispanic </w:t>
            </w:r>
          </w:p>
          <w:p w14:paraId="7B8D4511"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17.6% (7.1% to 28.1%)</w:t>
            </w:r>
          </w:p>
          <w:p w14:paraId="759F8DE7" w14:textId="77777777" w:rsidR="00881FE9" w:rsidRPr="00DE452B" w:rsidRDefault="00881FE9" w:rsidP="00881FE9">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Female </w:t>
            </w:r>
          </w:p>
          <w:p w14:paraId="0513CEBB"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6.6% (3.7% to 9.4%)</w:t>
            </w:r>
          </w:p>
          <w:p w14:paraId="63EEA07E" w14:textId="77777777" w:rsidR="00881FE9" w:rsidRPr="00DE452B" w:rsidRDefault="00881FE9" w:rsidP="00881FE9">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Male </w:t>
            </w:r>
          </w:p>
          <w:p w14:paraId="548FE354"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7.2% (4.4% to 10.0%)</w:t>
            </w:r>
          </w:p>
        </w:tc>
        <w:tc>
          <w:tcPr>
            <w:tcW w:w="574" w:type="pct"/>
          </w:tcPr>
          <w:p w14:paraId="2F10FA63"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lastRenderedPageBreak/>
              <w:t>% (95% CI) at 2-year follow-up</w:t>
            </w:r>
          </w:p>
          <w:p w14:paraId="39627EE2" w14:textId="77777777" w:rsidR="00881FE9" w:rsidRPr="00DE452B" w:rsidRDefault="00881FE9" w:rsidP="00881FE9">
            <w:pPr>
              <w:rPr>
                <w:rFonts w:asciiTheme="minorHAnsi" w:hAnsiTheme="minorHAnsi" w:cstheme="minorHAnsi"/>
                <w:sz w:val="16"/>
                <w:szCs w:val="16"/>
                <w:u w:val="single"/>
              </w:rPr>
            </w:pPr>
            <w:r w:rsidRPr="00DE452B">
              <w:rPr>
                <w:rFonts w:asciiTheme="minorHAnsi" w:hAnsiTheme="minorHAnsi" w:cstheme="minorHAnsi"/>
                <w:sz w:val="16"/>
                <w:szCs w:val="16"/>
                <w:u w:val="single"/>
              </w:rPr>
              <w:t>Total sample</w:t>
            </w:r>
          </w:p>
          <w:p w14:paraId="12AA728E"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15.0% (10.8% to 19.2%)</w:t>
            </w:r>
          </w:p>
          <w:p w14:paraId="2FF96BE2" w14:textId="77777777" w:rsidR="00881FE9" w:rsidRPr="00DE452B" w:rsidRDefault="00881FE9" w:rsidP="00881FE9">
            <w:pPr>
              <w:rPr>
                <w:rFonts w:asciiTheme="minorHAnsi" w:hAnsiTheme="minorHAnsi" w:cstheme="minorHAnsi"/>
                <w:sz w:val="16"/>
                <w:szCs w:val="16"/>
                <w:u w:val="single"/>
              </w:rPr>
            </w:pPr>
            <w:r w:rsidRPr="00DE452B">
              <w:rPr>
                <w:rFonts w:asciiTheme="minorHAnsi" w:hAnsiTheme="minorHAnsi" w:cstheme="minorHAnsi"/>
                <w:sz w:val="16"/>
                <w:szCs w:val="16"/>
                <w:u w:val="single"/>
              </w:rPr>
              <w:t>By age at baseline</w:t>
            </w:r>
          </w:p>
          <w:p w14:paraId="0EAC7CB8"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16-18: 23.6% (15.3% to 32.0%)</w:t>
            </w:r>
          </w:p>
          <w:p w14:paraId="0A395A7E"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 xml:space="preserve">19-20: 20.9% (11.3% to 30.4%) </w:t>
            </w:r>
          </w:p>
          <w:p w14:paraId="5551375D"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21-24: 10.1% (4.7% to 15.4%)</w:t>
            </w:r>
          </w:p>
          <w:p w14:paraId="27C5CF57" w14:textId="77777777" w:rsidR="00881FE9" w:rsidRPr="00DE452B" w:rsidRDefault="00881FE9" w:rsidP="00881FE9">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NH White </w:t>
            </w:r>
          </w:p>
          <w:p w14:paraId="6AB00D4D"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20.4% (14.6% to 26.1%)</w:t>
            </w:r>
          </w:p>
          <w:p w14:paraId="7EFB34DC" w14:textId="77777777" w:rsidR="00881FE9" w:rsidRPr="00DE452B" w:rsidRDefault="00881FE9" w:rsidP="00881FE9">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Hispanic </w:t>
            </w:r>
          </w:p>
          <w:p w14:paraId="0627DFB9"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lastRenderedPageBreak/>
              <w:t>NR</w:t>
            </w:r>
          </w:p>
          <w:p w14:paraId="42BE832A" w14:textId="77777777" w:rsidR="00881FE9" w:rsidRPr="00DE452B" w:rsidRDefault="00881FE9" w:rsidP="00881FE9">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Female </w:t>
            </w:r>
          </w:p>
          <w:p w14:paraId="21BABCA0"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10.9% (6.3% to 15.5%)</w:t>
            </w:r>
          </w:p>
          <w:p w14:paraId="13E2FBDA" w14:textId="77777777" w:rsidR="00881FE9" w:rsidRPr="00DE452B" w:rsidRDefault="00881FE9" w:rsidP="00881FE9">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Male </w:t>
            </w:r>
          </w:p>
          <w:p w14:paraId="05E496BE"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19.2% (12.4% to 25.9%)</w:t>
            </w:r>
          </w:p>
        </w:tc>
        <w:tc>
          <w:tcPr>
            <w:tcW w:w="1510" w:type="pct"/>
          </w:tcPr>
          <w:p w14:paraId="2D77A182"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lastRenderedPageBreak/>
              <w:t>NR</w:t>
            </w:r>
          </w:p>
        </w:tc>
      </w:tr>
      <w:tr w:rsidR="00881FE9" w:rsidRPr="00DE452B" w14:paraId="6647FF00" w14:textId="77777777" w:rsidTr="00382374">
        <w:tc>
          <w:tcPr>
            <w:tcW w:w="624" w:type="pct"/>
          </w:tcPr>
          <w:p w14:paraId="6628487E" w14:textId="13C8FFB2" w:rsidR="00881FE9" w:rsidRPr="00DE452B" w:rsidRDefault="00D2134A" w:rsidP="00881FE9">
            <w:pPr>
              <w:rPr>
                <w:rFonts w:asciiTheme="minorHAnsi" w:hAnsiTheme="minorHAnsi" w:cstheme="minorHAnsi"/>
                <w:sz w:val="16"/>
                <w:szCs w:val="16"/>
              </w:rPr>
            </w:pPr>
            <w:r>
              <w:rPr>
                <w:rFonts w:cstheme="minorHAnsi"/>
                <w:sz w:val="16"/>
                <w:szCs w:val="16"/>
              </w:rPr>
              <w:fldChar w:fldCharType="begin"/>
            </w:r>
            <w:r>
              <w:rPr>
                <w:rFonts w:cstheme="minorHAnsi"/>
                <w:sz w:val="16"/>
                <w:szCs w:val="16"/>
              </w:rPr>
              <w:instrText xml:space="preserve"> ADDIN EN.CITE &lt;EndNote&gt;&lt;Cite&gt;&lt;Author&gt;Villanti&lt;/Author&gt;&lt;Year&gt;2012&lt;/Year&gt;&lt;RecNum&gt;37&lt;/RecNum&gt;&lt;DisplayText&gt;(86)&lt;/DisplayText&gt;&lt;record&gt;&lt;rec-number&gt;37&lt;/rec-number&gt;&lt;foreign-keys&gt;&lt;key app="EN" db-id="a2vz2dfp8xrad6exes75zwpiw5rxwa0vwapv" timestamp="0"&gt;37&lt;/key&gt;&lt;/foreign-keys&gt;&lt;ref-type name="Journal Article"&gt;17&lt;/ref-type&gt;&lt;contributors&gt;&lt;authors&gt;&lt;author&gt;Villanti, A. C. &lt;/author&gt;&lt;author&gt;Giovino, G. A.&lt;/author&gt;&lt;author&gt;Barker, D. C.&lt;/author&gt;&lt;author&gt;Mowery, P.&lt;/author&gt;&lt;author&gt;Sevilimedu, V.&lt;/author&gt;&lt;author&gt;Abrams, D. B.&lt;/author&gt;&lt;/authors&gt;&lt;/contributors&gt;&lt;titles&gt;&lt;title&gt;Menthol brand switching among adolescents and young adults in the national youth smoking cessation survey&lt;/title&gt;&lt;secondary-title&gt;Am J Public Health&lt;/secondary-title&gt;&lt;/titles&gt;&lt;periodical&gt;&lt;full-title&gt;Am J Public Health&lt;/full-title&gt;&lt;/periodical&gt;&lt;pages&gt;1310-12&lt;/pages&gt;&lt;volume&gt;102&lt;/volume&gt;&lt;number&gt;7&lt;/number&gt;&lt;dates&gt;&lt;year&gt;2012&lt;/year&gt;&lt;pub-dates&gt;&lt;date&gt;Oct&lt;/date&gt;&lt;/pub-dates&gt;&lt;/dates&gt;&lt;urls&gt;&lt;/urls&gt;&lt;research-notes&gt;#191&lt;/research-notes&gt;&lt;/record&gt;&lt;/Cite&gt;&lt;/EndNote&gt;</w:instrText>
            </w:r>
            <w:r>
              <w:rPr>
                <w:rFonts w:cstheme="minorHAnsi"/>
                <w:sz w:val="16"/>
                <w:szCs w:val="16"/>
              </w:rPr>
              <w:fldChar w:fldCharType="separate"/>
            </w:r>
            <w:r>
              <w:rPr>
                <w:rFonts w:cstheme="minorHAnsi"/>
                <w:noProof/>
                <w:sz w:val="16"/>
                <w:szCs w:val="16"/>
              </w:rPr>
              <w:t>(</w:t>
            </w:r>
            <w:hyperlink w:anchor="_ENREF_86" w:tooltip="Villanti, 2012 #37" w:history="1">
              <w:r w:rsidR="00A234A9">
                <w:rPr>
                  <w:rFonts w:cstheme="minorHAnsi"/>
                  <w:noProof/>
                  <w:sz w:val="16"/>
                  <w:szCs w:val="16"/>
                </w:rPr>
                <w:t>86</w:t>
              </w:r>
            </w:hyperlink>
            <w:r>
              <w:rPr>
                <w:rFonts w:cstheme="minorHAnsi"/>
                <w:noProof/>
                <w:sz w:val="16"/>
                <w:szCs w:val="16"/>
              </w:rPr>
              <w:t>)</w:t>
            </w:r>
            <w:r>
              <w:rPr>
                <w:rFonts w:cstheme="minorHAnsi"/>
                <w:sz w:val="16"/>
                <w:szCs w:val="16"/>
              </w:rPr>
              <w:fldChar w:fldCharType="end"/>
            </w:r>
          </w:p>
          <w:p w14:paraId="3271F7C5"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NYSCS</w:t>
            </w:r>
            <w:r w:rsidRPr="00DE452B">
              <w:rPr>
                <w:rFonts w:asciiTheme="minorHAnsi" w:hAnsiTheme="minorHAnsi" w:cstheme="minorHAnsi"/>
                <w:sz w:val="16"/>
                <w:szCs w:val="16"/>
                <w:vertAlign w:val="superscript"/>
              </w:rPr>
              <w:t>b</w:t>
            </w:r>
          </w:p>
          <w:p w14:paraId="593B0CEB"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Youth and young adults</w:t>
            </w:r>
          </w:p>
        </w:tc>
        <w:tc>
          <w:tcPr>
            <w:tcW w:w="589" w:type="pct"/>
          </w:tcPr>
          <w:p w14:paraId="496B70BB" w14:textId="77777777" w:rsidR="00881FE9" w:rsidRPr="00DE452B" w:rsidRDefault="00621FF9" w:rsidP="00881FE9">
            <w:pPr>
              <w:rPr>
                <w:rFonts w:asciiTheme="minorHAnsi" w:hAnsiTheme="minorHAnsi" w:cstheme="minorHAnsi"/>
                <w:sz w:val="16"/>
                <w:szCs w:val="16"/>
              </w:rPr>
            </w:pPr>
            <w:r w:rsidRPr="00DE452B">
              <w:rPr>
                <w:rFonts w:asciiTheme="minorHAnsi" w:hAnsiTheme="minorHAnsi" w:cstheme="minorHAnsi"/>
                <w:sz w:val="16"/>
                <w:szCs w:val="16"/>
              </w:rPr>
              <w:t>Smokers were categorized into groups of 1-9 days smoked and 10-30 days smoked per 30 days</w:t>
            </w:r>
          </w:p>
        </w:tc>
        <w:tc>
          <w:tcPr>
            <w:tcW w:w="661" w:type="pct"/>
          </w:tcPr>
          <w:p w14:paraId="39D09C36"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625" w:type="pct"/>
          </w:tcPr>
          <w:p w14:paraId="13059B23"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416" w:type="pct"/>
          </w:tcPr>
          <w:p w14:paraId="591D472F"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574" w:type="pct"/>
          </w:tcPr>
          <w:p w14:paraId="5340BC20"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NR</w:t>
            </w:r>
          </w:p>
        </w:tc>
        <w:tc>
          <w:tcPr>
            <w:tcW w:w="1510" w:type="pct"/>
          </w:tcPr>
          <w:p w14:paraId="757E0099" w14:textId="77777777" w:rsidR="00881FE9" w:rsidRPr="00DE452B" w:rsidRDefault="00881FE9" w:rsidP="00881FE9">
            <w:pPr>
              <w:rPr>
                <w:rFonts w:asciiTheme="minorHAnsi" w:hAnsiTheme="minorHAnsi" w:cstheme="minorHAnsi"/>
                <w:sz w:val="16"/>
                <w:szCs w:val="16"/>
                <w:u w:val="single"/>
              </w:rPr>
            </w:pPr>
            <w:r w:rsidRPr="00DE452B">
              <w:rPr>
                <w:rFonts w:asciiTheme="minorHAnsi" w:hAnsiTheme="minorHAnsi" w:cstheme="minorHAnsi"/>
                <w:sz w:val="16"/>
                <w:szCs w:val="16"/>
                <w:u w:val="single"/>
              </w:rPr>
              <w:t xml:space="preserve">Smoking days per month </w:t>
            </w:r>
          </w:p>
          <w:p w14:paraId="7DE9D9C6" w14:textId="77777777" w:rsidR="00881FE9" w:rsidRPr="00DE452B" w:rsidRDefault="00881FE9" w:rsidP="00881FE9">
            <w:pPr>
              <w:rPr>
                <w:rFonts w:asciiTheme="minorHAnsi" w:hAnsiTheme="minorHAnsi" w:cstheme="minorHAnsi"/>
                <w:i/>
                <w:sz w:val="16"/>
                <w:szCs w:val="16"/>
              </w:rPr>
            </w:pPr>
            <w:r w:rsidRPr="00DE452B">
              <w:rPr>
                <w:rFonts w:asciiTheme="minorHAnsi" w:hAnsiTheme="minorHAnsi" w:cstheme="minorHAnsi"/>
                <w:i/>
                <w:sz w:val="16"/>
                <w:szCs w:val="16"/>
              </w:rPr>
              <w:t xml:space="preserve">1-9 </w:t>
            </w:r>
          </w:p>
          <w:p w14:paraId="0F548C3A"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 xml:space="preserve">M: 29.1% (21.31% to 36.82%) </w:t>
            </w:r>
          </w:p>
          <w:p w14:paraId="399433F5"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NM: 70.9% (63.18% to 78.69%)</w:t>
            </w:r>
          </w:p>
          <w:p w14:paraId="059A2243" w14:textId="77777777" w:rsidR="00881FE9" w:rsidRPr="00DE452B" w:rsidRDefault="00881FE9" w:rsidP="00881FE9">
            <w:pPr>
              <w:rPr>
                <w:rFonts w:asciiTheme="minorHAnsi" w:hAnsiTheme="minorHAnsi" w:cstheme="minorHAnsi"/>
                <w:i/>
                <w:sz w:val="16"/>
                <w:szCs w:val="16"/>
              </w:rPr>
            </w:pPr>
            <w:r w:rsidRPr="00DE452B">
              <w:rPr>
                <w:rFonts w:asciiTheme="minorHAnsi" w:hAnsiTheme="minorHAnsi" w:cstheme="minorHAnsi"/>
                <w:i/>
                <w:sz w:val="16"/>
                <w:szCs w:val="16"/>
              </w:rPr>
              <w:t xml:space="preserve">10-30 </w:t>
            </w:r>
          </w:p>
          <w:p w14:paraId="0521192B"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M: 32.1% (28.59% to 35.70)</w:t>
            </w:r>
          </w:p>
          <w:p w14:paraId="61CF3C45" w14:textId="77777777" w:rsidR="00881FE9" w:rsidRPr="00DE452B" w:rsidRDefault="00881FE9" w:rsidP="00881FE9">
            <w:pPr>
              <w:rPr>
                <w:rFonts w:asciiTheme="minorHAnsi" w:hAnsiTheme="minorHAnsi" w:cstheme="minorHAnsi"/>
                <w:sz w:val="16"/>
                <w:szCs w:val="16"/>
              </w:rPr>
            </w:pPr>
            <w:r w:rsidRPr="00DE452B">
              <w:rPr>
                <w:rFonts w:asciiTheme="minorHAnsi" w:hAnsiTheme="minorHAnsi" w:cstheme="minorHAnsi"/>
                <w:sz w:val="16"/>
                <w:szCs w:val="16"/>
              </w:rPr>
              <w:t>NM: 67.9% (64.30% to 1.42%)</w:t>
            </w:r>
          </w:p>
        </w:tc>
      </w:tr>
    </w:tbl>
    <w:p w14:paraId="730E9E54" w14:textId="77777777" w:rsidR="00D04C52" w:rsidRPr="00C5460E" w:rsidRDefault="00D04C52" w:rsidP="00B46744">
      <w:pPr>
        <w:contextualSpacing/>
        <w:rPr>
          <w:sz w:val="16"/>
          <w:szCs w:val="16"/>
        </w:rPr>
      </w:pPr>
      <w:r w:rsidRPr="00C5460E">
        <w:rPr>
          <w:sz w:val="16"/>
          <w:szCs w:val="16"/>
          <w:vertAlign w:val="superscript"/>
        </w:rPr>
        <w:t>a</w:t>
      </w:r>
      <w:r w:rsidRPr="00C5460E">
        <w:rPr>
          <w:sz w:val="16"/>
          <w:szCs w:val="16"/>
        </w:rPr>
        <w:t xml:space="preserve"> Unless otherwise specified</w:t>
      </w:r>
    </w:p>
    <w:p w14:paraId="12DCFBF9" w14:textId="77777777" w:rsidR="00D04C52" w:rsidRPr="00C5460E" w:rsidRDefault="00D04C52" w:rsidP="00B46744">
      <w:pPr>
        <w:contextualSpacing/>
        <w:rPr>
          <w:sz w:val="16"/>
          <w:szCs w:val="16"/>
        </w:rPr>
      </w:pPr>
      <w:r w:rsidRPr="00C5460E">
        <w:rPr>
          <w:sz w:val="16"/>
          <w:szCs w:val="16"/>
          <w:vertAlign w:val="superscript"/>
        </w:rPr>
        <w:t>b</w:t>
      </w:r>
      <w:r w:rsidRPr="00C5460E">
        <w:rPr>
          <w:sz w:val="16"/>
          <w:szCs w:val="16"/>
        </w:rPr>
        <w:t xml:space="preserve"> Weighted data</w:t>
      </w:r>
    </w:p>
    <w:p w14:paraId="42BB31E2" w14:textId="77777777" w:rsidR="00D04C52" w:rsidRPr="00C5460E" w:rsidRDefault="00D04C52" w:rsidP="00B46744">
      <w:pPr>
        <w:contextualSpacing/>
        <w:rPr>
          <w:sz w:val="16"/>
          <w:szCs w:val="16"/>
        </w:rPr>
      </w:pPr>
      <w:r w:rsidRPr="00C5460E">
        <w:rPr>
          <w:sz w:val="16"/>
          <w:szCs w:val="16"/>
          <w:vertAlign w:val="superscript"/>
        </w:rPr>
        <w:t xml:space="preserve">c </w:t>
      </w:r>
      <w:r w:rsidRPr="00C5460E">
        <w:rPr>
          <w:sz w:val="16"/>
          <w:szCs w:val="16"/>
        </w:rPr>
        <w:t>Includes current smokers who reported a type other than their current type at ≥1 of the previous survey administrations</w:t>
      </w:r>
    </w:p>
    <w:p w14:paraId="22758E4F" w14:textId="77777777" w:rsidR="00D04C52" w:rsidRPr="00C5460E" w:rsidRDefault="00D04C52" w:rsidP="00B46744">
      <w:pPr>
        <w:contextualSpacing/>
        <w:rPr>
          <w:sz w:val="16"/>
          <w:szCs w:val="16"/>
        </w:rPr>
      </w:pPr>
      <w:r w:rsidRPr="00C5460E">
        <w:rPr>
          <w:sz w:val="16"/>
          <w:szCs w:val="16"/>
          <w:vertAlign w:val="superscript"/>
        </w:rPr>
        <w:t>d</w:t>
      </w:r>
      <w:r w:rsidRPr="00C5460E">
        <w:rPr>
          <w:sz w:val="16"/>
          <w:szCs w:val="16"/>
        </w:rPr>
        <w:t xml:space="preserve"> Between-groups (</w:t>
      </w:r>
      <w:r>
        <w:rPr>
          <w:sz w:val="16"/>
          <w:szCs w:val="16"/>
        </w:rPr>
        <w:t>p=</w:t>
      </w:r>
      <w:r w:rsidRPr="00C5460E">
        <w:rPr>
          <w:sz w:val="16"/>
          <w:szCs w:val="16"/>
        </w:rPr>
        <w:t>0.83)</w:t>
      </w:r>
    </w:p>
    <w:p w14:paraId="12E1330F" w14:textId="77777777" w:rsidR="00D04C52" w:rsidRDefault="00D04C52" w:rsidP="00B46744">
      <w:pPr>
        <w:contextualSpacing/>
        <w:rPr>
          <w:sz w:val="16"/>
          <w:szCs w:val="16"/>
        </w:rPr>
      </w:pPr>
      <w:r w:rsidRPr="00C5460E">
        <w:rPr>
          <w:sz w:val="16"/>
          <w:szCs w:val="16"/>
          <w:vertAlign w:val="superscript"/>
        </w:rPr>
        <w:t>e</w:t>
      </w:r>
      <w:r w:rsidRPr="00C5460E">
        <w:rPr>
          <w:sz w:val="16"/>
          <w:szCs w:val="16"/>
        </w:rPr>
        <w:t xml:space="preserve"> Subsample of </w:t>
      </w:r>
      <w:r w:rsidR="00E1156E">
        <w:rPr>
          <w:sz w:val="16"/>
          <w:szCs w:val="16"/>
        </w:rPr>
        <w:t>Black</w:t>
      </w:r>
      <w:r w:rsidRPr="00C5460E">
        <w:rPr>
          <w:sz w:val="16"/>
          <w:szCs w:val="16"/>
        </w:rPr>
        <w:t xml:space="preserve"> patients age &lt;40</w:t>
      </w:r>
    </w:p>
    <w:p w14:paraId="64708F6D" w14:textId="77777777" w:rsidR="009123B6" w:rsidRDefault="009123B6" w:rsidP="009123B6">
      <w:pPr>
        <w:contextualSpacing/>
        <w:rPr>
          <w:sz w:val="16"/>
          <w:szCs w:val="16"/>
        </w:rPr>
      </w:pPr>
      <w:r>
        <w:rPr>
          <w:sz w:val="16"/>
          <w:szCs w:val="16"/>
          <w:vertAlign w:val="superscript"/>
        </w:rPr>
        <w:t>f</w:t>
      </w:r>
      <w:r w:rsidRPr="00C5460E">
        <w:rPr>
          <w:sz w:val="16"/>
          <w:szCs w:val="16"/>
        </w:rPr>
        <w:t xml:space="preserve"> </w:t>
      </w:r>
      <w:r>
        <w:rPr>
          <w:sz w:val="16"/>
          <w:szCs w:val="16"/>
        </w:rPr>
        <w:t>Counted as one study</w:t>
      </w:r>
    </w:p>
    <w:p w14:paraId="4D3B45A7" w14:textId="77777777" w:rsidR="009123B6" w:rsidRPr="00C5460E" w:rsidRDefault="009123B6" w:rsidP="00B46744">
      <w:pPr>
        <w:contextualSpacing/>
        <w:rPr>
          <w:sz w:val="16"/>
          <w:szCs w:val="16"/>
        </w:rPr>
      </w:pPr>
    </w:p>
    <w:p w14:paraId="75EBF793" w14:textId="77777777" w:rsidR="00D04C52" w:rsidRDefault="00D04C52" w:rsidP="00B46744">
      <w:pPr>
        <w:rPr>
          <w:sz w:val="16"/>
          <w:szCs w:val="16"/>
        </w:rPr>
      </w:pPr>
    </w:p>
    <w:p w14:paraId="7885AF6B" w14:textId="77777777" w:rsidR="00D04C52" w:rsidRPr="00C5460E" w:rsidRDefault="00D04C52" w:rsidP="00B46744">
      <w:pPr>
        <w:rPr>
          <w:sz w:val="16"/>
          <w:szCs w:val="16"/>
        </w:rPr>
      </w:pPr>
      <w:r w:rsidRPr="00C5460E">
        <w:rPr>
          <w:sz w:val="16"/>
          <w:szCs w:val="16"/>
        </w:rPr>
        <w:t xml:space="preserve">Abbreviations: ALLTURS=American Legacy Longitudinal Tobacco Use Reduction Study; </w:t>
      </w:r>
      <w:r>
        <w:rPr>
          <w:sz w:val="16"/>
          <w:szCs w:val="16"/>
        </w:rPr>
        <w:t xml:space="preserve">CI = confidence interval, </w:t>
      </w:r>
      <w:r w:rsidRPr="00C5460E">
        <w:rPr>
          <w:sz w:val="16"/>
          <w:szCs w:val="16"/>
        </w:rPr>
        <w:t xml:space="preserve">cig(s)=cigarette(s); CPD=cigarettes per day; DANDY=Development and Assessment of Nicotine Dependence in Youths; </w:t>
      </w:r>
      <w:r>
        <w:rPr>
          <w:sz w:val="16"/>
          <w:szCs w:val="16"/>
        </w:rPr>
        <w:t xml:space="preserve">IQR = interquartile range; </w:t>
      </w:r>
      <w:r w:rsidRPr="00C5460E">
        <w:rPr>
          <w:sz w:val="16"/>
          <w:szCs w:val="16"/>
        </w:rPr>
        <w:t xml:space="preserve">ITC-4=International Tobacco Control Four Country Survey (USA data only); LYAC=Legacy Young Adult Cohort; M=menthol; </w:t>
      </w:r>
      <w:r>
        <w:rPr>
          <w:sz w:val="16"/>
          <w:szCs w:val="16"/>
        </w:rPr>
        <w:t>n=</w:t>
      </w:r>
      <w:r w:rsidRPr="00C5460E">
        <w:rPr>
          <w:sz w:val="16"/>
          <w:szCs w:val="16"/>
        </w:rPr>
        <w:t>number; NH=</w:t>
      </w:r>
      <w:r w:rsidR="00667B57">
        <w:rPr>
          <w:sz w:val="16"/>
          <w:szCs w:val="16"/>
        </w:rPr>
        <w:t xml:space="preserve">non-Hispanic </w:t>
      </w:r>
      <w:r w:rsidRPr="00C5460E">
        <w:rPr>
          <w:sz w:val="16"/>
          <w:szCs w:val="16"/>
        </w:rPr>
        <w:t xml:space="preserve">; NHANES=National Health and Nutrition Examination Survey; NHIS=National Health Interview Survey; NHIS-CCS=National Health Interview Survey Cancer Control Supplement; NM=non-menthol; NR=not reported; NSDUH=National Survey on Drug Use and Health; NYSCS=National Youth Smoking Cessation Survey; NYTS=National Youth Tobacco Survey; OR=odds ratio; </w:t>
      </w:r>
      <w:r>
        <w:rPr>
          <w:sz w:val="16"/>
          <w:szCs w:val="16"/>
        </w:rPr>
        <w:t xml:space="preserve">SD = standard deviation; </w:t>
      </w:r>
      <w:r w:rsidRPr="00C5460E">
        <w:rPr>
          <w:sz w:val="16"/>
          <w:szCs w:val="16"/>
        </w:rPr>
        <w:t>TUS-CPS=Tobacco Use Supplement to the Current Population Survey.</w:t>
      </w:r>
    </w:p>
    <w:p w14:paraId="3BA7A72A" w14:textId="77777777" w:rsidR="00D04C52" w:rsidRPr="00C5460E" w:rsidRDefault="00D04C52" w:rsidP="00B46744">
      <w:pPr>
        <w:rPr>
          <w:sz w:val="16"/>
          <w:szCs w:val="16"/>
        </w:rPr>
      </w:pPr>
    </w:p>
    <w:p w14:paraId="29C4C383" w14:textId="77777777" w:rsidR="00D04C52" w:rsidRPr="00C5460E" w:rsidRDefault="00D04C52" w:rsidP="00B46744">
      <w:pPr>
        <w:rPr>
          <w:bCs/>
          <w:i/>
          <w:sz w:val="16"/>
          <w:szCs w:val="16"/>
        </w:rPr>
      </w:pPr>
    </w:p>
    <w:p w14:paraId="7C8D367A" w14:textId="77777777" w:rsidR="00D93C1C" w:rsidRDefault="00D93C1C">
      <w:pPr>
        <w:rPr>
          <w:rFonts w:eastAsia="Times New Roman" w:cs="Times New Roman"/>
          <w:b/>
          <w:bCs/>
        </w:rPr>
      </w:pPr>
      <w:r>
        <w:rPr>
          <w:b/>
        </w:rPr>
        <w:lastRenderedPageBreak/>
        <w:br w:type="page"/>
      </w:r>
    </w:p>
    <w:p w14:paraId="506FE7DF" w14:textId="77777777" w:rsidR="00D04C52" w:rsidRPr="00C5460E" w:rsidRDefault="00D04C52" w:rsidP="00B46744">
      <w:pPr>
        <w:pStyle w:val="AppTableNote"/>
        <w:rPr>
          <w:rFonts w:asciiTheme="minorHAnsi" w:hAnsiTheme="minorHAnsi"/>
          <w:b/>
          <w:sz w:val="22"/>
          <w:szCs w:val="22"/>
        </w:rPr>
      </w:pPr>
      <w:r>
        <w:rPr>
          <w:rFonts w:asciiTheme="minorHAnsi" w:hAnsiTheme="minorHAnsi"/>
          <w:b/>
          <w:sz w:val="22"/>
          <w:szCs w:val="22"/>
        </w:rPr>
        <w:lastRenderedPageBreak/>
        <w:t>Table</w:t>
      </w:r>
      <w:r w:rsidR="00B44564">
        <w:rPr>
          <w:rFonts w:asciiTheme="minorHAnsi" w:hAnsiTheme="minorHAnsi"/>
          <w:b/>
          <w:sz w:val="22"/>
          <w:szCs w:val="22"/>
        </w:rPr>
        <w:t xml:space="preserve"> </w:t>
      </w:r>
      <w:r w:rsidR="00C82C02">
        <w:rPr>
          <w:rFonts w:asciiTheme="minorHAnsi" w:hAnsiTheme="minorHAnsi"/>
          <w:b/>
          <w:sz w:val="22"/>
          <w:szCs w:val="22"/>
        </w:rPr>
        <w:t>10</w:t>
      </w:r>
      <w:r w:rsidRPr="00C5460E">
        <w:rPr>
          <w:rFonts w:asciiTheme="minorHAnsi" w:hAnsiTheme="minorHAnsi"/>
          <w:b/>
          <w:sz w:val="22"/>
          <w:szCs w:val="22"/>
        </w:rPr>
        <w:t>-2</w:t>
      </w:r>
      <w:r>
        <w:rPr>
          <w:rFonts w:asciiTheme="minorHAnsi" w:hAnsiTheme="minorHAnsi"/>
          <w:b/>
          <w:sz w:val="22"/>
          <w:szCs w:val="22"/>
        </w:rPr>
        <w:t>:</w:t>
      </w:r>
      <w:r w:rsidRPr="00C5460E">
        <w:rPr>
          <w:rFonts w:asciiTheme="minorHAnsi" w:hAnsiTheme="minorHAnsi"/>
          <w:b/>
          <w:sz w:val="22"/>
          <w:szCs w:val="22"/>
        </w:rPr>
        <w:t xml:space="preserve"> Modeled / Adjusted Results</w:t>
      </w:r>
    </w:p>
    <w:tbl>
      <w:tblPr>
        <w:tblStyle w:val="TableGrid6"/>
        <w:tblW w:w="13462" w:type="dxa"/>
        <w:tblLayout w:type="fixed"/>
        <w:tblLook w:val="04A0" w:firstRow="1" w:lastRow="0" w:firstColumn="1" w:lastColumn="0" w:noHBand="0" w:noVBand="1"/>
      </w:tblPr>
      <w:tblGrid>
        <w:gridCol w:w="1975"/>
        <w:gridCol w:w="1170"/>
        <w:gridCol w:w="1440"/>
        <w:gridCol w:w="1530"/>
        <w:gridCol w:w="1530"/>
        <w:gridCol w:w="1530"/>
        <w:gridCol w:w="1260"/>
        <w:gridCol w:w="3027"/>
      </w:tblGrid>
      <w:tr w:rsidR="004149DE" w:rsidRPr="00691084" w14:paraId="7B827089" w14:textId="77777777" w:rsidTr="00881FE9">
        <w:trPr>
          <w:tblHeader/>
        </w:trPr>
        <w:tc>
          <w:tcPr>
            <w:tcW w:w="1975" w:type="dxa"/>
            <w:shd w:val="clear" w:color="auto" w:fill="44546A"/>
            <w:vAlign w:val="center"/>
          </w:tcPr>
          <w:p w14:paraId="701F3219" w14:textId="77777777" w:rsidR="00881FE9" w:rsidRPr="00691084" w:rsidRDefault="00881FE9" w:rsidP="0069742C">
            <w:pPr>
              <w:jc w:val="center"/>
              <w:rPr>
                <w:rFonts w:asciiTheme="minorHAnsi" w:hAnsiTheme="minorHAnsi" w:cstheme="minorHAnsi"/>
                <w:b/>
                <w:bCs/>
                <w:color w:val="FFFFFF" w:themeColor="background1"/>
                <w:kern w:val="32"/>
                <w:sz w:val="16"/>
                <w:szCs w:val="16"/>
              </w:rPr>
            </w:pPr>
            <w:r w:rsidRPr="00691084">
              <w:rPr>
                <w:rFonts w:asciiTheme="minorHAnsi" w:hAnsiTheme="minorHAnsi" w:cstheme="minorHAnsi"/>
                <w:b/>
                <w:color w:val="FFFFFF" w:themeColor="background1"/>
                <w:sz w:val="16"/>
                <w:szCs w:val="16"/>
              </w:rPr>
              <w:t>First Author, Year</w:t>
            </w:r>
          </w:p>
          <w:p w14:paraId="77D1CBFC" w14:textId="77777777" w:rsidR="00881FE9" w:rsidRPr="00691084" w:rsidRDefault="00881FE9" w:rsidP="0069742C">
            <w:pPr>
              <w:jc w:val="center"/>
              <w:rPr>
                <w:rFonts w:asciiTheme="minorHAnsi" w:hAnsiTheme="minorHAnsi" w:cstheme="minorHAnsi"/>
                <w:b/>
                <w:bCs/>
                <w:color w:val="FFFFFF" w:themeColor="background1"/>
                <w:kern w:val="32"/>
                <w:sz w:val="16"/>
                <w:szCs w:val="16"/>
              </w:rPr>
            </w:pPr>
            <w:r w:rsidRPr="00691084">
              <w:rPr>
                <w:rFonts w:asciiTheme="minorHAnsi" w:hAnsiTheme="minorHAnsi" w:cstheme="minorHAnsi"/>
                <w:b/>
                <w:color w:val="FFFFFF" w:themeColor="background1"/>
                <w:sz w:val="16"/>
                <w:szCs w:val="16"/>
              </w:rPr>
              <w:t>National survey name</w:t>
            </w:r>
          </w:p>
          <w:p w14:paraId="468B79C2" w14:textId="77777777" w:rsidR="00881FE9" w:rsidRPr="00691084" w:rsidRDefault="00881FE9" w:rsidP="0069742C">
            <w:pPr>
              <w:jc w:val="center"/>
              <w:rPr>
                <w:rFonts w:asciiTheme="minorHAnsi" w:hAnsiTheme="minorHAnsi" w:cstheme="minorHAnsi"/>
                <w:b/>
                <w:bCs/>
                <w:color w:val="FFFFFF" w:themeColor="background1"/>
                <w:kern w:val="32"/>
                <w:sz w:val="16"/>
                <w:szCs w:val="16"/>
              </w:rPr>
            </w:pPr>
            <w:r w:rsidRPr="00691084">
              <w:rPr>
                <w:rFonts w:asciiTheme="minorHAnsi" w:hAnsiTheme="minorHAnsi" w:cstheme="minorHAnsi"/>
                <w:b/>
                <w:color w:val="FFFFFF" w:themeColor="background1"/>
                <w:sz w:val="16"/>
                <w:szCs w:val="16"/>
              </w:rPr>
              <w:t>Special population</w:t>
            </w:r>
          </w:p>
        </w:tc>
        <w:tc>
          <w:tcPr>
            <w:tcW w:w="1170" w:type="dxa"/>
            <w:shd w:val="clear" w:color="auto" w:fill="44546A"/>
            <w:vAlign w:val="center"/>
          </w:tcPr>
          <w:p w14:paraId="6FCAE103" w14:textId="77777777" w:rsidR="00881FE9" w:rsidRPr="00691084" w:rsidRDefault="00881FE9" w:rsidP="0069742C">
            <w:pPr>
              <w:jc w:val="center"/>
              <w:rPr>
                <w:rFonts w:asciiTheme="minorHAnsi" w:hAnsiTheme="minorHAnsi" w:cstheme="minorHAnsi"/>
                <w:b/>
                <w:bCs/>
                <w:color w:val="FFFFFF" w:themeColor="background1"/>
                <w:kern w:val="32"/>
                <w:sz w:val="16"/>
                <w:szCs w:val="16"/>
              </w:rPr>
            </w:pPr>
            <w:r w:rsidRPr="00691084">
              <w:rPr>
                <w:rFonts w:asciiTheme="minorHAnsi" w:hAnsiTheme="minorHAnsi" w:cstheme="minorHAnsi"/>
                <w:b/>
                <w:color w:val="FFFFFF" w:themeColor="background1"/>
                <w:sz w:val="16"/>
                <w:szCs w:val="16"/>
              </w:rPr>
              <w:t>Menthol as dependent or independent variable;</w:t>
            </w:r>
          </w:p>
          <w:p w14:paraId="5527329D" w14:textId="77777777" w:rsidR="00881FE9" w:rsidRPr="00691084" w:rsidRDefault="00881FE9" w:rsidP="0069742C">
            <w:pPr>
              <w:jc w:val="center"/>
              <w:rPr>
                <w:rFonts w:asciiTheme="minorHAnsi" w:hAnsiTheme="minorHAnsi" w:cstheme="minorHAnsi"/>
                <w:b/>
                <w:bCs/>
                <w:color w:val="FFFFFF" w:themeColor="background1"/>
                <w:kern w:val="32"/>
                <w:sz w:val="16"/>
                <w:szCs w:val="16"/>
              </w:rPr>
            </w:pPr>
            <w:r w:rsidRPr="00691084">
              <w:rPr>
                <w:rFonts w:asciiTheme="minorHAnsi" w:hAnsiTheme="minorHAnsi" w:cstheme="minorHAnsi"/>
                <w:b/>
                <w:color w:val="FFFFFF" w:themeColor="background1"/>
                <w:sz w:val="16"/>
                <w:szCs w:val="16"/>
              </w:rPr>
              <w:t>Model;</w:t>
            </w:r>
          </w:p>
          <w:p w14:paraId="5BCD9B0F" w14:textId="77777777" w:rsidR="00881FE9" w:rsidRPr="00691084" w:rsidRDefault="00881FE9" w:rsidP="0069742C">
            <w:pPr>
              <w:jc w:val="center"/>
              <w:rPr>
                <w:rFonts w:asciiTheme="minorHAnsi" w:hAnsiTheme="minorHAnsi" w:cstheme="minorHAnsi"/>
                <w:b/>
                <w:bCs/>
                <w:color w:val="FFFFFF" w:themeColor="background1"/>
                <w:kern w:val="32"/>
                <w:sz w:val="16"/>
                <w:szCs w:val="16"/>
              </w:rPr>
            </w:pPr>
            <w:r w:rsidRPr="00691084">
              <w:rPr>
                <w:rFonts w:asciiTheme="minorHAnsi" w:hAnsiTheme="minorHAnsi" w:cstheme="minorHAnsi"/>
                <w:b/>
                <w:color w:val="FFFFFF" w:themeColor="background1"/>
                <w:sz w:val="16"/>
                <w:szCs w:val="16"/>
              </w:rPr>
              <w:t>Covariates</w:t>
            </w:r>
          </w:p>
        </w:tc>
        <w:tc>
          <w:tcPr>
            <w:tcW w:w="1440" w:type="dxa"/>
            <w:shd w:val="clear" w:color="auto" w:fill="44546A"/>
            <w:vAlign w:val="center"/>
          </w:tcPr>
          <w:p w14:paraId="79C2691C" w14:textId="77777777" w:rsidR="00881FE9" w:rsidRPr="00691084" w:rsidRDefault="00881FE9" w:rsidP="0069742C">
            <w:pPr>
              <w:jc w:val="center"/>
              <w:rPr>
                <w:rFonts w:asciiTheme="minorHAnsi" w:hAnsiTheme="minorHAnsi" w:cstheme="minorHAnsi"/>
                <w:b/>
                <w:bCs/>
                <w:color w:val="FFFFFF" w:themeColor="background1"/>
                <w:kern w:val="32"/>
                <w:sz w:val="16"/>
                <w:szCs w:val="16"/>
              </w:rPr>
            </w:pPr>
            <w:r w:rsidRPr="00691084">
              <w:rPr>
                <w:rFonts w:asciiTheme="minorHAnsi" w:hAnsiTheme="minorHAnsi" w:cstheme="minorHAnsi"/>
                <w:b/>
                <w:color w:val="FFFFFF" w:themeColor="background1"/>
                <w:sz w:val="16"/>
                <w:szCs w:val="16"/>
              </w:rPr>
              <w:t>Definition of initiation or regular smoking</w:t>
            </w:r>
          </w:p>
        </w:tc>
        <w:tc>
          <w:tcPr>
            <w:tcW w:w="1530" w:type="dxa"/>
            <w:shd w:val="clear" w:color="auto" w:fill="44546A"/>
            <w:vAlign w:val="center"/>
          </w:tcPr>
          <w:p w14:paraId="32474F22" w14:textId="77777777" w:rsidR="00881FE9" w:rsidRPr="00691084" w:rsidRDefault="00881FE9" w:rsidP="0069742C">
            <w:pPr>
              <w:jc w:val="center"/>
              <w:rPr>
                <w:rFonts w:asciiTheme="minorHAnsi" w:hAnsiTheme="minorHAnsi" w:cstheme="minorHAnsi"/>
                <w:b/>
                <w:color w:val="FFFFFF" w:themeColor="background1"/>
                <w:sz w:val="16"/>
                <w:szCs w:val="16"/>
              </w:rPr>
            </w:pPr>
            <w:r w:rsidRPr="00691084">
              <w:rPr>
                <w:rFonts w:asciiTheme="minorHAnsi" w:hAnsiTheme="minorHAnsi" w:cstheme="minorHAnsi"/>
                <w:b/>
                <w:color w:val="FFFFFF" w:themeColor="background1"/>
                <w:sz w:val="16"/>
                <w:szCs w:val="16"/>
              </w:rPr>
              <w:t xml:space="preserve">Age at initiation </w:t>
            </w:r>
          </w:p>
        </w:tc>
        <w:tc>
          <w:tcPr>
            <w:tcW w:w="1530" w:type="dxa"/>
            <w:shd w:val="clear" w:color="auto" w:fill="44546A"/>
            <w:vAlign w:val="center"/>
          </w:tcPr>
          <w:p w14:paraId="74B39DD8" w14:textId="77777777" w:rsidR="00881FE9" w:rsidRPr="00691084" w:rsidRDefault="00881FE9" w:rsidP="0069742C">
            <w:pPr>
              <w:jc w:val="center"/>
              <w:rPr>
                <w:rFonts w:asciiTheme="minorHAnsi" w:hAnsiTheme="minorHAnsi" w:cstheme="minorHAnsi"/>
                <w:b/>
                <w:color w:val="FFFFFF" w:themeColor="background1"/>
                <w:sz w:val="16"/>
                <w:szCs w:val="16"/>
              </w:rPr>
            </w:pPr>
            <w:r w:rsidRPr="00691084">
              <w:rPr>
                <w:rFonts w:asciiTheme="minorHAnsi" w:hAnsiTheme="minorHAnsi" w:cstheme="minorHAnsi"/>
                <w:b/>
                <w:color w:val="FFFFFF" w:themeColor="background1"/>
                <w:sz w:val="16"/>
                <w:szCs w:val="16"/>
              </w:rPr>
              <w:t>% who initiated to or with M</w:t>
            </w:r>
          </w:p>
        </w:tc>
        <w:tc>
          <w:tcPr>
            <w:tcW w:w="1530" w:type="dxa"/>
            <w:shd w:val="clear" w:color="auto" w:fill="44546A"/>
            <w:vAlign w:val="center"/>
          </w:tcPr>
          <w:p w14:paraId="29BB6726" w14:textId="77777777" w:rsidR="00881FE9" w:rsidRPr="00691084" w:rsidRDefault="00881FE9" w:rsidP="0069742C">
            <w:pPr>
              <w:jc w:val="center"/>
              <w:rPr>
                <w:rFonts w:asciiTheme="minorHAnsi" w:hAnsiTheme="minorHAnsi" w:cstheme="minorHAnsi"/>
                <w:b/>
                <w:color w:val="FFFFFF" w:themeColor="background1"/>
                <w:sz w:val="16"/>
                <w:szCs w:val="16"/>
              </w:rPr>
            </w:pPr>
            <w:r w:rsidRPr="00691084">
              <w:rPr>
                <w:rFonts w:asciiTheme="minorHAnsi" w:hAnsiTheme="minorHAnsi" w:cstheme="minorHAnsi"/>
                <w:b/>
                <w:color w:val="FFFFFF" w:themeColor="background1"/>
                <w:sz w:val="16"/>
                <w:szCs w:val="16"/>
              </w:rPr>
              <w:t>Switching from NM to M</w:t>
            </w:r>
          </w:p>
        </w:tc>
        <w:tc>
          <w:tcPr>
            <w:tcW w:w="1260" w:type="dxa"/>
            <w:shd w:val="clear" w:color="auto" w:fill="44546A"/>
            <w:vAlign w:val="center"/>
          </w:tcPr>
          <w:p w14:paraId="1570E410" w14:textId="77777777" w:rsidR="00881FE9" w:rsidRPr="00691084" w:rsidRDefault="00881FE9" w:rsidP="0069742C">
            <w:pPr>
              <w:jc w:val="center"/>
              <w:rPr>
                <w:rFonts w:asciiTheme="minorHAnsi" w:hAnsiTheme="minorHAnsi" w:cstheme="minorHAnsi"/>
                <w:b/>
                <w:color w:val="FFFFFF" w:themeColor="background1"/>
                <w:sz w:val="16"/>
                <w:szCs w:val="16"/>
              </w:rPr>
            </w:pPr>
            <w:r w:rsidRPr="00691084">
              <w:rPr>
                <w:rFonts w:asciiTheme="minorHAnsi" w:hAnsiTheme="minorHAnsi" w:cstheme="minorHAnsi"/>
                <w:b/>
                <w:color w:val="FFFFFF" w:themeColor="background1"/>
                <w:sz w:val="16"/>
                <w:szCs w:val="16"/>
              </w:rPr>
              <w:t>Switching from M to NM</w:t>
            </w:r>
          </w:p>
        </w:tc>
        <w:tc>
          <w:tcPr>
            <w:tcW w:w="3027" w:type="dxa"/>
            <w:shd w:val="clear" w:color="auto" w:fill="44546A"/>
            <w:vAlign w:val="center"/>
          </w:tcPr>
          <w:p w14:paraId="26EA09B0" w14:textId="77777777" w:rsidR="00881FE9" w:rsidRPr="00691084" w:rsidRDefault="00881FE9" w:rsidP="0069742C">
            <w:pPr>
              <w:jc w:val="center"/>
              <w:rPr>
                <w:rFonts w:asciiTheme="minorHAnsi" w:hAnsiTheme="minorHAnsi" w:cstheme="minorHAnsi"/>
                <w:b/>
                <w:color w:val="FFFFFF" w:themeColor="background1"/>
                <w:sz w:val="16"/>
                <w:szCs w:val="16"/>
              </w:rPr>
            </w:pPr>
            <w:r w:rsidRPr="00691084">
              <w:rPr>
                <w:rFonts w:asciiTheme="minorHAnsi" w:hAnsiTheme="minorHAnsi" w:cstheme="minorHAnsi"/>
                <w:b/>
                <w:color w:val="FFFFFF" w:themeColor="background1"/>
                <w:sz w:val="16"/>
                <w:szCs w:val="16"/>
              </w:rPr>
              <w:t>Initiation and progression to regular smoking/ increase in smoking over time</w:t>
            </w:r>
          </w:p>
        </w:tc>
      </w:tr>
      <w:tr w:rsidR="004149DE" w:rsidRPr="00691084" w14:paraId="11061043" w14:textId="77777777" w:rsidTr="00881FE9">
        <w:tc>
          <w:tcPr>
            <w:tcW w:w="1975" w:type="dxa"/>
          </w:tcPr>
          <w:p w14:paraId="56244289" w14:textId="3FC26EF8" w:rsidR="00881FE9" w:rsidRPr="00691084" w:rsidRDefault="00D2134A" w:rsidP="0069742C">
            <w:pPr>
              <w:rPr>
                <w:rFonts w:asciiTheme="minorHAnsi" w:hAnsiTheme="minorHAnsi" w:cstheme="minorHAnsi"/>
                <w:sz w:val="16"/>
                <w:szCs w:val="16"/>
              </w:rPr>
            </w:pPr>
            <w:r>
              <w:rPr>
                <w:rFonts w:cstheme="minorHAnsi"/>
                <w:sz w:val="16"/>
                <w:szCs w:val="16"/>
              </w:rPr>
              <w:fldChar w:fldCharType="begin"/>
            </w:r>
            <w:r>
              <w:rPr>
                <w:rFonts w:cstheme="minorHAnsi"/>
                <w:sz w:val="16"/>
                <w:szCs w:val="16"/>
              </w:rPr>
              <w:instrText xml:space="preserve"> ADDIN EN.CITE &lt;EndNote&gt;&lt;Cite&gt;&lt;Author&gt;Allen&lt;/Author&gt;&lt;Year&gt;2007&lt;/Year&gt;&lt;RecNum&gt;76&lt;/RecNum&gt;&lt;DisplayText&gt;(47)&lt;/DisplayText&gt;&lt;record&gt;&lt;rec-number&gt;76&lt;/rec-number&gt;&lt;foreign-keys&gt;&lt;key app="EN" db-id="a2vz2dfp8xrad6exes75zwpiw5rxwa0vwapv" timestamp="0"&gt;76&lt;/key&gt;&lt;/foreign-keys&gt;&lt;ref-type name="Journal Article"&gt;17&lt;/ref-type&gt;&lt;contributors&gt;&lt;authors&gt;&lt;author&gt;Allen, B., Jr.&lt;/author&gt;&lt;author&gt;Unger, J. B.&lt;/author&gt;&lt;/authors&gt;&lt;/contributors&gt;&lt;auth-address&gt;Charles R. Drew University of Medicine and Science, Los Angeles, CA 90059, USA. brallen@cdrewu.edu&lt;/auth-address&gt;&lt;titles&gt;&lt;title&gt;Sociocultural correlates of menthol cigarette smoking among adult African Americans in Los Angeles&lt;/title&gt;&lt;secondary-title&gt;Nicotine Tob Res&lt;/secondary-title&gt;&lt;/titles&gt;&lt;periodical&gt;&lt;full-title&gt;Nicotine Tob Res&lt;/full-title&gt;&lt;/periodical&gt;&lt;pages&gt;447-51&lt;/pages&gt;&lt;volume&gt;9&lt;/volume&gt;&lt;number&gt;4&lt;/number&gt;&lt;keywords&gt;&lt;keyword&gt;Adult&lt;/keyword&gt;&lt;keyword&gt;African Americans/psychology/*statistics &amp;amp; numerical data&lt;/keyword&gt;&lt;keyword&gt;Attitude to Health/*ethnology&lt;/keyword&gt;&lt;keyword&gt;Cultural Characteristics&lt;/keyword&gt;&lt;keyword&gt;Female&lt;/keyword&gt;&lt;keyword&gt;*Flavoring Agents&lt;/keyword&gt;&lt;keyword&gt;Health Behavior/ethnology&lt;/keyword&gt;&lt;keyword&gt;Humans&lt;/keyword&gt;&lt;keyword&gt;Los Angeles/epidemiology&lt;/keyword&gt;&lt;keyword&gt;Male&lt;/keyword&gt;&lt;keyword&gt;*Menthol&lt;/keyword&gt;&lt;keyword&gt;Middle Aged&lt;/keyword&gt;&lt;keyword&gt;Smoking/*ethnology&lt;/keyword&gt;&lt;keyword&gt;Smoking Cessation/*ethnology&lt;/keyword&gt;&lt;keyword&gt;Socioeconomic Factors&lt;/keyword&gt;&lt;keyword&gt;Surveys and Questionnaires&lt;/keyword&gt;&lt;keyword&gt;Urban Population/statistics &amp;amp; numerical data&lt;/keyword&gt;&lt;/keywords&gt;&lt;dates&gt;&lt;year&gt;2007&lt;/year&gt;&lt;pub-dates&gt;&lt;date&gt;Apr&lt;/date&gt;&lt;/pub-dates&gt;&lt;/dates&gt;&lt;isbn&gt;1462-2203 (Print)&amp;#xD;1462-2203 (Linking)&lt;/isbn&gt;&lt;accession-num&gt;17454699&lt;/accession-num&gt;&lt;urls&gt;&lt;related-urls&gt;&lt;url&gt;http://www.ncbi.nlm.nih.gov/pubmed/17454699&lt;/url&gt;&lt;/related-urls&gt;&lt;/urls&gt;&lt;electronic-resource-num&gt;10.1080/14622200701239647&lt;/electronic-resource-num&gt;&lt;research-notes&gt;#377&lt;/research-notes&gt;&lt;/record&gt;&lt;/Cite&gt;&lt;/EndNote&gt;</w:instrText>
            </w:r>
            <w:r>
              <w:rPr>
                <w:rFonts w:cstheme="minorHAnsi"/>
                <w:sz w:val="16"/>
                <w:szCs w:val="16"/>
              </w:rPr>
              <w:fldChar w:fldCharType="separate"/>
            </w:r>
            <w:r>
              <w:rPr>
                <w:rFonts w:cstheme="minorHAnsi"/>
                <w:noProof/>
                <w:sz w:val="16"/>
                <w:szCs w:val="16"/>
              </w:rPr>
              <w:t>(</w:t>
            </w:r>
            <w:hyperlink w:anchor="_ENREF_47" w:tooltip="Allen, 2007 #76" w:history="1">
              <w:r w:rsidR="00A234A9">
                <w:rPr>
                  <w:rFonts w:cstheme="minorHAnsi"/>
                  <w:noProof/>
                  <w:sz w:val="16"/>
                  <w:szCs w:val="16"/>
                </w:rPr>
                <w:t>47</w:t>
              </w:r>
            </w:hyperlink>
            <w:r>
              <w:rPr>
                <w:rFonts w:cstheme="minorHAnsi"/>
                <w:noProof/>
                <w:sz w:val="16"/>
                <w:szCs w:val="16"/>
              </w:rPr>
              <w:t>)</w:t>
            </w:r>
            <w:r>
              <w:rPr>
                <w:rFonts w:cstheme="minorHAnsi"/>
                <w:sz w:val="16"/>
                <w:szCs w:val="16"/>
              </w:rPr>
              <w:fldChar w:fldCharType="end"/>
            </w:r>
          </w:p>
          <w:p w14:paraId="48196AE5"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None</w:t>
            </w:r>
          </w:p>
          <w:p w14:paraId="1226A6F7"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Blacks</w:t>
            </w:r>
          </w:p>
        </w:tc>
        <w:tc>
          <w:tcPr>
            <w:tcW w:w="1170" w:type="dxa"/>
          </w:tcPr>
          <w:p w14:paraId="6FE0080D"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Dependent;</w:t>
            </w:r>
          </w:p>
          <w:p w14:paraId="00A1CF04"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Logistic regression;</w:t>
            </w:r>
          </w:p>
          <w:p w14:paraId="5A8F7C55"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Age and employed; stratified by gender</w:t>
            </w:r>
          </w:p>
        </w:tc>
        <w:tc>
          <w:tcPr>
            <w:tcW w:w="1440" w:type="dxa"/>
          </w:tcPr>
          <w:p w14:paraId="4DA1A557" w14:textId="77777777" w:rsidR="00881FE9" w:rsidRPr="00691084" w:rsidRDefault="00881FE9" w:rsidP="0069742C">
            <w:pPr>
              <w:rPr>
                <w:rFonts w:asciiTheme="minorHAnsi" w:hAnsiTheme="minorHAnsi" w:cstheme="minorHAnsi"/>
                <w:b/>
                <w:sz w:val="16"/>
                <w:szCs w:val="16"/>
              </w:rPr>
            </w:pPr>
            <w:r w:rsidRPr="00691084">
              <w:rPr>
                <w:rFonts w:asciiTheme="minorHAnsi" w:hAnsiTheme="minorHAnsi" w:cstheme="minorHAnsi"/>
                <w:sz w:val="16"/>
                <w:szCs w:val="16"/>
              </w:rPr>
              <w:t>Age at smoking initiation or age first smoked</w:t>
            </w:r>
          </w:p>
        </w:tc>
        <w:tc>
          <w:tcPr>
            <w:tcW w:w="1530" w:type="dxa"/>
          </w:tcPr>
          <w:p w14:paraId="4D50E574"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 xml:space="preserve">Being a M smoker, </w:t>
            </w:r>
            <w:r w:rsidR="00D50EBC">
              <w:rPr>
                <w:rFonts w:asciiTheme="minorHAnsi" w:hAnsiTheme="minorHAnsi" w:cstheme="minorHAnsi"/>
                <w:sz w:val="16"/>
                <w:szCs w:val="16"/>
              </w:rPr>
              <w:t>A</w:t>
            </w:r>
            <w:r w:rsidRPr="00691084">
              <w:rPr>
                <w:rFonts w:asciiTheme="minorHAnsi" w:hAnsiTheme="minorHAnsi" w:cstheme="minorHAnsi"/>
                <w:sz w:val="16"/>
                <w:szCs w:val="16"/>
              </w:rPr>
              <w:t>OR (95% CI) for each year increase in age at initiation:</w:t>
            </w:r>
          </w:p>
          <w:p w14:paraId="337F6DBB" w14:textId="77777777" w:rsidR="00881FE9" w:rsidRPr="00691084" w:rsidRDefault="00881FE9" w:rsidP="0069742C">
            <w:pPr>
              <w:rPr>
                <w:rFonts w:asciiTheme="minorHAnsi" w:hAnsiTheme="minorHAnsi" w:cstheme="minorHAnsi"/>
                <w:sz w:val="16"/>
                <w:szCs w:val="16"/>
                <w:u w:val="single"/>
              </w:rPr>
            </w:pPr>
            <w:r w:rsidRPr="00691084">
              <w:rPr>
                <w:rFonts w:asciiTheme="minorHAnsi" w:hAnsiTheme="minorHAnsi" w:cstheme="minorHAnsi"/>
                <w:sz w:val="16"/>
                <w:szCs w:val="16"/>
                <w:u w:val="single"/>
              </w:rPr>
              <w:t>Women</w:t>
            </w:r>
          </w:p>
          <w:p w14:paraId="3AA16990"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1.04 (0.98 to 1.11)</w:t>
            </w:r>
          </w:p>
          <w:p w14:paraId="5D5B8FDA" w14:textId="77777777" w:rsidR="00881FE9" w:rsidRPr="00691084" w:rsidRDefault="00881FE9" w:rsidP="0069742C">
            <w:pPr>
              <w:rPr>
                <w:rFonts w:asciiTheme="minorHAnsi" w:hAnsiTheme="minorHAnsi" w:cstheme="minorHAnsi"/>
                <w:sz w:val="16"/>
                <w:szCs w:val="16"/>
                <w:u w:val="single"/>
              </w:rPr>
            </w:pPr>
            <w:r w:rsidRPr="00691084">
              <w:rPr>
                <w:rFonts w:asciiTheme="minorHAnsi" w:hAnsiTheme="minorHAnsi" w:cstheme="minorHAnsi"/>
                <w:sz w:val="16"/>
                <w:szCs w:val="16"/>
                <w:u w:val="single"/>
              </w:rPr>
              <w:t>Men</w:t>
            </w:r>
          </w:p>
          <w:p w14:paraId="1CAA9688"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1.03 (0.97 to 1.09)</w:t>
            </w:r>
          </w:p>
        </w:tc>
        <w:tc>
          <w:tcPr>
            <w:tcW w:w="1530" w:type="dxa"/>
          </w:tcPr>
          <w:p w14:paraId="575DAE4E" w14:textId="77777777" w:rsidR="00881FE9" w:rsidRPr="00691084" w:rsidRDefault="00881FE9" w:rsidP="0069742C">
            <w:pPr>
              <w:rPr>
                <w:rFonts w:asciiTheme="minorHAnsi" w:hAnsiTheme="minorHAnsi" w:cstheme="minorHAnsi"/>
                <w:b/>
                <w:sz w:val="16"/>
                <w:szCs w:val="16"/>
              </w:rPr>
            </w:pPr>
            <w:r w:rsidRPr="00691084">
              <w:rPr>
                <w:rFonts w:asciiTheme="minorHAnsi" w:hAnsiTheme="minorHAnsi" w:cstheme="minorHAnsi"/>
                <w:sz w:val="16"/>
                <w:szCs w:val="16"/>
              </w:rPr>
              <w:t>NR</w:t>
            </w:r>
          </w:p>
        </w:tc>
        <w:tc>
          <w:tcPr>
            <w:tcW w:w="1530" w:type="dxa"/>
          </w:tcPr>
          <w:p w14:paraId="3FF4CA71" w14:textId="77777777" w:rsidR="00881FE9" w:rsidRPr="00691084" w:rsidRDefault="00881FE9" w:rsidP="0069742C">
            <w:pPr>
              <w:rPr>
                <w:rFonts w:asciiTheme="minorHAnsi" w:hAnsiTheme="minorHAnsi" w:cstheme="minorHAnsi"/>
                <w:b/>
                <w:sz w:val="16"/>
                <w:szCs w:val="16"/>
              </w:rPr>
            </w:pPr>
            <w:r w:rsidRPr="00691084">
              <w:rPr>
                <w:rFonts w:asciiTheme="minorHAnsi" w:hAnsiTheme="minorHAnsi" w:cstheme="minorHAnsi"/>
                <w:sz w:val="16"/>
                <w:szCs w:val="16"/>
              </w:rPr>
              <w:t>NR</w:t>
            </w:r>
          </w:p>
        </w:tc>
        <w:tc>
          <w:tcPr>
            <w:tcW w:w="1260" w:type="dxa"/>
          </w:tcPr>
          <w:p w14:paraId="2D071E4E" w14:textId="77777777" w:rsidR="00881FE9" w:rsidRPr="00691084" w:rsidRDefault="00881FE9" w:rsidP="0069742C">
            <w:pPr>
              <w:rPr>
                <w:rFonts w:asciiTheme="minorHAnsi" w:hAnsiTheme="minorHAnsi" w:cstheme="minorHAnsi"/>
                <w:b/>
                <w:sz w:val="16"/>
                <w:szCs w:val="16"/>
              </w:rPr>
            </w:pPr>
            <w:r w:rsidRPr="00691084">
              <w:rPr>
                <w:rFonts w:asciiTheme="minorHAnsi" w:hAnsiTheme="minorHAnsi" w:cstheme="minorHAnsi"/>
                <w:sz w:val="16"/>
                <w:szCs w:val="16"/>
              </w:rPr>
              <w:t>NR</w:t>
            </w:r>
          </w:p>
        </w:tc>
        <w:tc>
          <w:tcPr>
            <w:tcW w:w="3027" w:type="dxa"/>
          </w:tcPr>
          <w:p w14:paraId="0522543B" w14:textId="77777777" w:rsidR="00881FE9" w:rsidRPr="00691084" w:rsidRDefault="00881FE9" w:rsidP="0069742C">
            <w:pPr>
              <w:rPr>
                <w:rFonts w:asciiTheme="minorHAnsi" w:hAnsiTheme="minorHAnsi" w:cstheme="minorHAnsi"/>
                <w:b/>
                <w:sz w:val="16"/>
                <w:szCs w:val="16"/>
              </w:rPr>
            </w:pPr>
            <w:r w:rsidRPr="00691084">
              <w:rPr>
                <w:rFonts w:asciiTheme="minorHAnsi" w:hAnsiTheme="minorHAnsi" w:cstheme="minorHAnsi"/>
                <w:sz w:val="16"/>
                <w:szCs w:val="16"/>
              </w:rPr>
              <w:t>NR</w:t>
            </w:r>
          </w:p>
        </w:tc>
      </w:tr>
      <w:tr w:rsidR="004149DE" w:rsidRPr="00691084" w14:paraId="2CB42224" w14:textId="77777777" w:rsidTr="00881FE9">
        <w:tc>
          <w:tcPr>
            <w:tcW w:w="1975" w:type="dxa"/>
          </w:tcPr>
          <w:p w14:paraId="30AA8FFD" w14:textId="517092F0" w:rsidR="00881FE9" w:rsidRPr="00691084" w:rsidRDefault="00D2134A" w:rsidP="0069742C">
            <w:pPr>
              <w:rPr>
                <w:rFonts w:asciiTheme="minorHAnsi" w:hAnsiTheme="minorHAnsi" w:cstheme="minorHAnsi"/>
                <w:sz w:val="16"/>
                <w:szCs w:val="16"/>
              </w:rPr>
            </w:pPr>
            <w:r>
              <w:rPr>
                <w:rFonts w:cstheme="minorHAnsi"/>
                <w:sz w:val="16"/>
                <w:szCs w:val="16"/>
              </w:rPr>
              <w:fldChar w:fldCharType="begin"/>
            </w:r>
            <w:r>
              <w:rPr>
                <w:rFonts w:cstheme="minorHAnsi"/>
                <w:sz w:val="16"/>
                <w:szCs w:val="16"/>
              </w:rPr>
              <w:instrText xml:space="preserve"> ADDIN EN.CITE &lt;EndNote&gt;&lt;Cite&gt;&lt;Author&gt;Cubbin&lt;/Author&gt;&lt;Year&gt;2010&lt;/Year&gt;&lt;RecNum&gt;53&lt;/RecNum&gt;&lt;DisplayText&gt;(50)&lt;/DisplayText&gt;&lt;record&gt;&lt;rec-number&gt;53&lt;/rec-number&gt;&lt;foreign-keys&gt;&lt;key app="EN" db-id="a2vz2dfp8xrad6exes75zwpiw5rxwa0vwapv" timestamp="0"&gt;53&lt;/key&gt;&lt;/foreign-keys&gt;&lt;ref-type name="Journal Article"&gt;17&lt;/ref-type&gt;&lt;contributors&gt;&lt;authors&gt;&lt;author&gt;Cubbin, C.&lt;/author&gt;&lt;author&gt;Soobader, M. J.&lt;/author&gt;&lt;author&gt;LeClere, F. B.&lt;/author&gt;&lt;/authors&gt;&lt;/contributors&gt;&lt;auth-address&gt;School of Social Work, University of Texas at Austin, Austin, TX 78712-0358, USA. ccubbin@austin.utexas.edu&lt;/auth-address&gt;&lt;titles&gt;&lt;title&gt;The intersection of gender and race/ethnicity in smoking behaviors among menthol and non-menthol smokers in the United States&lt;/title&gt;&lt;secondary-title&gt;Addiction&lt;/secondary-title&gt;&lt;/titles&gt;&lt;periodical&gt;&lt;full-title&gt;Addiction&lt;/full-title&gt;&lt;/periodical&gt;&lt;pages&gt;32-8&lt;/pages&gt;&lt;volume&gt;105 Suppl 1&lt;/volume&gt;&lt;keywords&gt;&lt;keyword&gt;Adult&lt;/keyword&gt;&lt;keyword&gt;African Americans/statistics &amp;amp; numerical data&lt;/keyword&gt;&lt;keyword&gt;Age of Onset&lt;/keyword&gt;&lt;keyword&gt;Cross-Sectional Studies&lt;/keyword&gt;&lt;keyword&gt;European Continental Ancestry Group/statistics &amp;amp; numerical data&lt;/keyword&gt;&lt;keyword&gt;Female&lt;/keyword&gt;&lt;keyword&gt;Hispanic Americans/statistics &amp;amp; numerical data&lt;/keyword&gt;&lt;keyword&gt;Humans&lt;/keyword&gt;&lt;keyword&gt;Male&lt;/keyword&gt;&lt;keyword&gt;*Menthol&lt;/keyword&gt;&lt;keyword&gt;Middle Aged&lt;/keyword&gt;&lt;keyword&gt;*Population Surveillance&lt;/keyword&gt;&lt;keyword&gt;Sex Factors&lt;/keyword&gt;&lt;keyword&gt;Smoking/*epidemiology/ethnology&lt;/keyword&gt;&lt;keyword&gt;Smoking Cessation/ethnology/statistics &amp;amp; numerical data&lt;/keyword&gt;&lt;keyword&gt;Socioeconomic Factors&lt;/keyword&gt;&lt;keyword&gt;United States/epidemiology&lt;/keyword&gt;&lt;/keywords&gt;&lt;dates&gt;&lt;year&gt;2010&lt;/year&gt;&lt;pub-dates&gt;&lt;date&gt;Dec&lt;/date&gt;&lt;/pub-dates&gt;&lt;/dates&gt;&lt;isbn&gt;1360-0443 (Electronic)&amp;#xD;0965-2140 (Linking)&lt;/isbn&gt;&lt;accession-num&gt;21059134&lt;/accession-num&gt;&lt;urls&gt;&lt;related-urls&gt;&lt;url&gt;http://www.ncbi.nlm.nih.gov/pubmed/21059134&lt;/url&gt;&lt;/related-urls&gt;&lt;/urls&gt;&lt;electronic-resource-num&gt;10.1111/j.1360-0443.2010.03191.x&lt;/electronic-resource-num&gt;&lt;research-notes&gt;#281&lt;/research-notes&gt;&lt;/record&gt;&lt;/Cite&gt;&lt;/EndNote&gt;</w:instrText>
            </w:r>
            <w:r>
              <w:rPr>
                <w:rFonts w:cstheme="minorHAnsi"/>
                <w:sz w:val="16"/>
                <w:szCs w:val="16"/>
              </w:rPr>
              <w:fldChar w:fldCharType="separate"/>
            </w:r>
            <w:r>
              <w:rPr>
                <w:rFonts w:cstheme="minorHAnsi"/>
                <w:noProof/>
                <w:sz w:val="16"/>
                <w:szCs w:val="16"/>
              </w:rPr>
              <w:t>(</w:t>
            </w:r>
            <w:hyperlink w:anchor="_ENREF_50" w:tooltip="Cubbin, 2010 #53" w:history="1">
              <w:r w:rsidR="00A234A9">
                <w:rPr>
                  <w:rFonts w:cstheme="minorHAnsi"/>
                  <w:noProof/>
                  <w:sz w:val="16"/>
                  <w:szCs w:val="16"/>
                </w:rPr>
                <w:t>50</w:t>
              </w:r>
            </w:hyperlink>
            <w:r>
              <w:rPr>
                <w:rFonts w:cstheme="minorHAnsi"/>
                <w:noProof/>
                <w:sz w:val="16"/>
                <w:szCs w:val="16"/>
              </w:rPr>
              <w:t>)</w:t>
            </w:r>
            <w:r>
              <w:rPr>
                <w:rFonts w:cstheme="minorHAnsi"/>
                <w:sz w:val="16"/>
                <w:szCs w:val="16"/>
              </w:rPr>
              <w:fldChar w:fldCharType="end"/>
            </w:r>
          </w:p>
          <w:p w14:paraId="1A62B8DA"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NHIS-CCS</w:t>
            </w:r>
          </w:p>
          <w:p w14:paraId="585A31CD" w14:textId="35146AAF" w:rsidR="00760382"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None</w:t>
            </w:r>
          </w:p>
          <w:p w14:paraId="6B4D94BD" w14:textId="1A4FF659" w:rsidR="00760382" w:rsidRDefault="00760382" w:rsidP="00760382">
            <w:pPr>
              <w:rPr>
                <w:rFonts w:asciiTheme="minorHAnsi" w:hAnsiTheme="minorHAnsi" w:cstheme="minorHAnsi"/>
                <w:sz w:val="16"/>
                <w:szCs w:val="16"/>
              </w:rPr>
            </w:pPr>
          </w:p>
          <w:p w14:paraId="08AA662A" w14:textId="0C1E04B8" w:rsidR="00760382" w:rsidRDefault="00760382" w:rsidP="00760382">
            <w:pPr>
              <w:rPr>
                <w:rFonts w:asciiTheme="minorHAnsi" w:hAnsiTheme="minorHAnsi" w:cstheme="minorHAnsi"/>
                <w:sz w:val="16"/>
                <w:szCs w:val="16"/>
              </w:rPr>
            </w:pPr>
          </w:p>
          <w:p w14:paraId="76A7C7CE" w14:textId="77777777" w:rsidR="00881FE9" w:rsidRPr="00760382" w:rsidRDefault="00881FE9" w:rsidP="00760382">
            <w:pPr>
              <w:jc w:val="center"/>
              <w:rPr>
                <w:rFonts w:asciiTheme="minorHAnsi" w:hAnsiTheme="minorHAnsi" w:cstheme="minorHAnsi"/>
                <w:sz w:val="16"/>
                <w:szCs w:val="16"/>
              </w:rPr>
            </w:pPr>
          </w:p>
        </w:tc>
        <w:tc>
          <w:tcPr>
            <w:tcW w:w="1170" w:type="dxa"/>
          </w:tcPr>
          <w:p w14:paraId="17355E91"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Multiple stratifications outside the parameters of this table</w:t>
            </w:r>
          </w:p>
        </w:tc>
        <w:tc>
          <w:tcPr>
            <w:tcW w:w="1440" w:type="dxa"/>
          </w:tcPr>
          <w:p w14:paraId="75799306"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NR</w:t>
            </w:r>
          </w:p>
        </w:tc>
        <w:tc>
          <w:tcPr>
            <w:tcW w:w="1530" w:type="dxa"/>
          </w:tcPr>
          <w:p w14:paraId="540A4FC7"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Within each demographic group, there were no differences in age of initiation by type of cigarette. For example, both menthol and non-menthol smoking Hispanic women</w:t>
            </w:r>
          </w:p>
          <w:p w14:paraId="2AA37636"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began smoking just before they reached age</w:t>
            </w:r>
          </w:p>
          <w:p w14:paraId="5BFAC531"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20 years.</w:t>
            </w:r>
          </w:p>
        </w:tc>
        <w:tc>
          <w:tcPr>
            <w:tcW w:w="1530" w:type="dxa"/>
          </w:tcPr>
          <w:p w14:paraId="3E6BBEE5"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NR</w:t>
            </w:r>
          </w:p>
        </w:tc>
        <w:tc>
          <w:tcPr>
            <w:tcW w:w="1530" w:type="dxa"/>
          </w:tcPr>
          <w:p w14:paraId="468725B7"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NR</w:t>
            </w:r>
          </w:p>
        </w:tc>
        <w:tc>
          <w:tcPr>
            <w:tcW w:w="1260" w:type="dxa"/>
          </w:tcPr>
          <w:p w14:paraId="49BEC51B"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NR</w:t>
            </w:r>
          </w:p>
        </w:tc>
        <w:tc>
          <w:tcPr>
            <w:tcW w:w="3027" w:type="dxa"/>
          </w:tcPr>
          <w:p w14:paraId="369C7EAA"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NR</w:t>
            </w:r>
          </w:p>
        </w:tc>
      </w:tr>
      <w:tr w:rsidR="004149DE" w:rsidRPr="00691084" w14:paraId="2750C483" w14:textId="77777777" w:rsidTr="00881FE9">
        <w:tc>
          <w:tcPr>
            <w:tcW w:w="1975" w:type="dxa"/>
          </w:tcPr>
          <w:p w14:paraId="158E8583" w14:textId="53A9D58F" w:rsidR="00881FE9" w:rsidRPr="00691084" w:rsidRDefault="00D2134A" w:rsidP="0069742C">
            <w:pPr>
              <w:rPr>
                <w:rFonts w:asciiTheme="minorHAnsi" w:hAnsiTheme="minorHAnsi" w:cstheme="minorHAnsi"/>
                <w:sz w:val="16"/>
                <w:szCs w:val="16"/>
              </w:rPr>
            </w:pP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51" w:tooltip="Curtin, 2014 #13" w:history="1">
              <w:r w:rsidR="00A234A9">
                <w:rPr>
                  <w:rFonts w:cstheme="minorHAnsi"/>
                  <w:noProof/>
                  <w:sz w:val="16"/>
                  <w:szCs w:val="16"/>
                </w:rPr>
                <w:t>51</w:t>
              </w:r>
            </w:hyperlink>
            <w:r>
              <w:rPr>
                <w:rFonts w:cstheme="minorHAnsi"/>
                <w:noProof/>
                <w:sz w:val="16"/>
                <w:szCs w:val="16"/>
              </w:rPr>
              <w:t>)</w:t>
            </w:r>
            <w:r>
              <w:rPr>
                <w:rFonts w:cstheme="minorHAnsi"/>
                <w:sz w:val="16"/>
                <w:szCs w:val="16"/>
              </w:rPr>
              <w:fldChar w:fldCharType="end"/>
            </w:r>
          </w:p>
          <w:p w14:paraId="17A4C28B"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NHANES</w:t>
            </w:r>
            <w:r w:rsidR="00D50EBC" w:rsidRPr="00691084">
              <w:rPr>
                <w:rFonts w:asciiTheme="minorHAnsi" w:hAnsiTheme="minorHAnsi" w:cstheme="minorHAnsi"/>
                <w:sz w:val="16"/>
                <w:szCs w:val="16"/>
                <w:vertAlign w:val="superscript"/>
              </w:rPr>
              <w:t>a</w:t>
            </w:r>
          </w:p>
          <w:p w14:paraId="26C7FAB5"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 xml:space="preserve">Adults </w:t>
            </w:r>
          </w:p>
          <w:p w14:paraId="60E9ABAC" w14:textId="77777777" w:rsidR="00881FE9" w:rsidRPr="00691084" w:rsidRDefault="00881FE9" w:rsidP="0069742C">
            <w:pPr>
              <w:rPr>
                <w:rFonts w:asciiTheme="minorHAnsi" w:hAnsiTheme="minorHAnsi" w:cstheme="minorHAnsi"/>
                <w:sz w:val="16"/>
                <w:szCs w:val="16"/>
              </w:rPr>
            </w:pPr>
          </w:p>
        </w:tc>
        <w:tc>
          <w:tcPr>
            <w:tcW w:w="1170" w:type="dxa"/>
          </w:tcPr>
          <w:p w14:paraId="7F6BCEFB"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Independent;</w:t>
            </w:r>
          </w:p>
          <w:p w14:paraId="65F069CB"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Linear regression;</w:t>
            </w:r>
          </w:p>
          <w:p w14:paraId="53177F44"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Age, gender, race/ethnicity;</w:t>
            </w:r>
          </w:p>
          <w:p w14:paraId="477A2A78" w14:textId="77777777" w:rsidR="00881FE9" w:rsidRPr="00691084" w:rsidRDefault="00881FE9" w:rsidP="0069742C">
            <w:pPr>
              <w:rPr>
                <w:rFonts w:asciiTheme="minorHAnsi" w:hAnsiTheme="minorHAnsi" w:cstheme="minorHAnsi"/>
                <w:sz w:val="16"/>
                <w:szCs w:val="16"/>
              </w:rPr>
            </w:pPr>
          </w:p>
          <w:p w14:paraId="34BC2479" w14:textId="77777777" w:rsidR="00881FE9" w:rsidRPr="00691084" w:rsidRDefault="00881FE9" w:rsidP="0069742C">
            <w:pPr>
              <w:rPr>
                <w:rFonts w:asciiTheme="minorHAnsi" w:hAnsiTheme="minorHAnsi" w:cstheme="minorHAnsi"/>
                <w:sz w:val="16"/>
                <w:szCs w:val="16"/>
              </w:rPr>
            </w:pPr>
          </w:p>
        </w:tc>
        <w:tc>
          <w:tcPr>
            <w:tcW w:w="1440" w:type="dxa"/>
          </w:tcPr>
          <w:p w14:paraId="30CFF87F"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First started to smoke fairly regularly</w:t>
            </w:r>
          </w:p>
        </w:tc>
        <w:tc>
          <w:tcPr>
            <w:tcW w:w="1530" w:type="dxa"/>
          </w:tcPr>
          <w:p w14:paraId="357CDF01" w14:textId="77777777" w:rsidR="00881FE9" w:rsidRPr="00691084" w:rsidRDefault="00881FE9" w:rsidP="0069742C">
            <w:pPr>
              <w:rPr>
                <w:rFonts w:asciiTheme="minorHAnsi" w:hAnsiTheme="minorHAnsi" w:cstheme="minorHAnsi"/>
                <w:sz w:val="16"/>
                <w:szCs w:val="16"/>
                <w:u w:val="single"/>
              </w:rPr>
            </w:pPr>
            <w:r w:rsidRPr="00691084">
              <w:rPr>
                <w:rFonts w:asciiTheme="minorHAnsi" w:hAnsiTheme="minorHAnsi" w:cstheme="minorHAnsi"/>
                <w:sz w:val="16"/>
                <w:szCs w:val="16"/>
                <w:u w:val="single"/>
              </w:rPr>
              <w:t>Smoked ≥1 day in past 30 days</w:t>
            </w:r>
          </w:p>
          <w:p w14:paraId="1283EC0D"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 xml:space="preserve">NM β (SE) -0.06 (0.18); 95% CI -0.41 to 0.29, </w:t>
            </w:r>
          </w:p>
          <w:p w14:paraId="6A037B86"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(p=0.72)</w:t>
            </w:r>
          </w:p>
          <w:p w14:paraId="22A6A47D" w14:textId="77777777" w:rsidR="00881FE9" w:rsidRPr="00691084" w:rsidRDefault="00881FE9" w:rsidP="0069742C">
            <w:pPr>
              <w:rPr>
                <w:rFonts w:asciiTheme="minorHAnsi" w:hAnsiTheme="minorHAnsi" w:cstheme="minorHAnsi"/>
                <w:sz w:val="16"/>
                <w:szCs w:val="16"/>
                <w:u w:val="single"/>
              </w:rPr>
            </w:pPr>
            <w:r w:rsidRPr="00691084">
              <w:rPr>
                <w:rFonts w:asciiTheme="minorHAnsi" w:hAnsiTheme="minorHAnsi" w:cstheme="minorHAnsi"/>
                <w:sz w:val="16"/>
                <w:szCs w:val="16"/>
                <w:u w:val="single"/>
              </w:rPr>
              <w:t xml:space="preserve">Smoked ≥10 days in past 30 days </w:t>
            </w:r>
          </w:p>
          <w:p w14:paraId="6E011CF5" w14:textId="77777777" w:rsidR="00881FE9" w:rsidRPr="00691084" w:rsidRDefault="00881FE9" w:rsidP="0069742C">
            <w:pPr>
              <w:rPr>
                <w:rFonts w:asciiTheme="minorHAnsi" w:hAnsiTheme="minorHAnsi" w:cstheme="minorHAnsi"/>
                <w:sz w:val="16"/>
                <w:szCs w:val="16"/>
                <w:lang w:val="fr-FR"/>
              </w:rPr>
            </w:pPr>
            <w:r w:rsidRPr="00691084">
              <w:rPr>
                <w:rFonts w:asciiTheme="minorHAnsi" w:hAnsiTheme="minorHAnsi" w:cstheme="minorHAnsi"/>
                <w:sz w:val="16"/>
                <w:szCs w:val="16"/>
                <w:lang w:val="fr-FR"/>
              </w:rPr>
              <w:t xml:space="preserve">NM </w:t>
            </w:r>
            <w:r w:rsidRPr="00691084">
              <w:rPr>
                <w:rFonts w:asciiTheme="minorHAnsi" w:hAnsiTheme="minorHAnsi" w:cstheme="minorHAnsi"/>
                <w:sz w:val="16"/>
                <w:szCs w:val="16"/>
              </w:rPr>
              <w:t>β</w:t>
            </w:r>
            <w:r w:rsidRPr="00691084">
              <w:rPr>
                <w:rFonts w:asciiTheme="minorHAnsi" w:hAnsiTheme="minorHAnsi" w:cstheme="minorHAnsi"/>
                <w:sz w:val="16"/>
                <w:szCs w:val="16"/>
                <w:lang w:val="fr-FR"/>
              </w:rPr>
              <w:t xml:space="preserve"> (SE) -0.10 (0.18); 95% CI -0.47 to 0.27</w:t>
            </w:r>
          </w:p>
          <w:p w14:paraId="3BC0E322" w14:textId="77777777" w:rsidR="00881FE9" w:rsidRPr="00691084" w:rsidRDefault="00881FE9" w:rsidP="0069742C">
            <w:pPr>
              <w:rPr>
                <w:rFonts w:asciiTheme="minorHAnsi" w:hAnsiTheme="minorHAnsi" w:cstheme="minorHAnsi"/>
                <w:sz w:val="16"/>
                <w:szCs w:val="16"/>
                <w:lang w:val="fr-FR"/>
              </w:rPr>
            </w:pPr>
            <w:r w:rsidRPr="00691084">
              <w:rPr>
                <w:rFonts w:asciiTheme="minorHAnsi" w:hAnsiTheme="minorHAnsi" w:cstheme="minorHAnsi"/>
                <w:sz w:val="16"/>
                <w:szCs w:val="16"/>
                <w:lang w:val="fr-FR"/>
              </w:rPr>
              <w:t>(p=0.59)</w:t>
            </w:r>
          </w:p>
          <w:p w14:paraId="71D65A34" w14:textId="77777777" w:rsidR="00881FE9" w:rsidRPr="00691084" w:rsidRDefault="00881FE9" w:rsidP="0069742C">
            <w:pPr>
              <w:rPr>
                <w:rFonts w:asciiTheme="minorHAnsi" w:hAnsiTheme="minorHAnsi" w:cstheme="minorHAnsi"/>
                <w:sz w:val="16"/>
                <w:szCs w:val="16"/>
                <w:u w:val="single"/>
              </w:rPr>
            </w:pPr>
            <w:r w:rsidRPr="00691084">
              <w:rPr>
                <w:rFonts w:asciiTheme="minorHAnsi" w:hAnsiTheme="minorHAnsi" w:cstheme="minorHAnsi"/>
                <w:sz w:val="16"/>
                <w:szCs w:val="16"/>
                <w:u w:val="single"/>
              </w:rPr>
              <w:t xml:space="preserve">Smoked daily in past 30 days </w:t>
            </w:r>
          </w:p>
          <w:p w14:paraId="474F6856"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NM β (SE) -0.21 (0.18); 95% CI -0.57 to 0.15</w:t>
            </w:r>
          </w:p>
          <w:p w14:paraId="4C62975D"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lastRenderedPageBreak/>
              <w:t>(p=0.25)</w:t>
            </w:r>
          </w:p>
        </w:tc>
        <w:tc>
          <w:tcPr>
            <w:tcW w:w="1530" w:type="dxa"/>
          </w:tcPr>
          <w:p w14:paraId="7D55A8BE"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lastRenderedPageBreak/>
              <w:t>NR</w:t>
            </w:r>
          </w:p>
        </w:tc>
        <w:tc>
          <w:tcPr>
            <w:tcW w:w="1530" w:type="dxa"/>
          </w:tcPr>
          <w:p w14:paraId="5A3778AF"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NR</w:t>
            </w:r>
          </w:p>
        </w:tc>
        <w:tc>
          <w:tcPr>
            <w:tcW w:w="1260" w:type="dxa"/>
          </w:tcPr>
          <w:p w14:paraId="1D1DAE90"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NR</w:t>
            </w:r>
          </w:p>
        </w:tc>
        <w:tc>
          <w:tcPr>
            <w:tcW w:w="3027" w:type="dxa"/>
          </w:tcPr>
          <w:p w14:paraId="16BE8DC0"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NR</w:t>
            </w:r>
          </w:p>
        </w:tc>
      </w:tr>
      <w:tr w:rsidR="004149DE" w:rsidRPr="00691084" w14:paraId="7DD678F9" w14:textId="77777777" w:rsidTr="00881FE9">
        <w:tc>
          <w:tcPr>
            <w:tcW w:w="1975" w:type="dxa"/>
          </w:tcPr>
          <w:p w14:paraId="608F8D2F" w14:textId="120BD1E7" w:rsidR="00881FE9" w:rsidRPr="00382374" w:rsidRDefault="00D2134A" w:rsidP="0069742C">
            <w:pPr>
              <w:rPr>
                <w:rFonts w:asciiTheme="minorHAnsi" w:hAnsiTheme="minorHAnsi" w:cstheme="minorHAnsi"/>
                <w:sz w:val="16"/>
                <w:szCs w:val="16"/>
                <w:vertAlign w:val="superscript"/>
              </w:rPr>
            </w:pP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51" w:tooltip="Curtin, 2014 #13" w:history="1">
              <w:r w:rsidR="00A234A9">
                <w:rPr>
                  <w:rFonts w:cstheme="minorHAnsi"/>
                  <w:noProof/>
                  <w:sz w:val="16"/>
                  <w:szCs w:val="16"/>
                </w:rPr>
                <w:t>51</w:t>
              </w:r>
            </w:hyperlink>
            <w:r>
              <w:rPr>
                <w:rFonts w:cstheme="minorHAnsi"/>
                <w:noProof/>
                <w:sz w:val="16"/>
                <w:szCs w:val="16"/>
              </w:rPr>
              <w:t>)</w:t>
            </w:r>
            <w:r>
              <w:rPr>
                <w:rFonts w:cstheme="minorHAnsi"/>
                <w:sz w:val="16"/>
                <w:szCs w:val="16"/>
              </w:rPr>
              <w:fldChar w:fldCharType="end"/>
            </w:r>
          </w:p>
          <w:p w14:paraId="7E283BBB"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NHANES</w:t>
            </w:r>
            <w:r w:rsidRPr="00691084">
              <w:rPr>
                <w:rFonts w:asciiTheme="minorHAnsi" w:hAnsiTheme="minorHAnsi" w:cstheme="minorHAnsi"/>
                <w:sz w:val="16"/>
                <w:szCs w:val="16"/>
                <w:vertAlign w:val="superscript"/>
              </w:rPr>
              <w:t>a</w:t>
            </w:r>
          </w:p>
          <w:p w14:paraId="68887835"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 xml:space="preserve">Adults </w:t>
            </w:r>
          </w:p>
        </w:tc>
        <w:tc>
          <w:tcPr>
            <w:tcW w:w="1170" w:type="dxa"/>
          </w:tcPr>
          <w:p w14:paraId="56786C15"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Independent;</w:t>
            </w:r>
          </w:p>
          <w:p w14:paraId="64D751DF"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Logistic regression;</w:t>
            </w:r>
          </w:p>
          <w:p w14:paraId="336CB599"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Model 1: Age, gender, race/ethnicity</w:t>
            </w:r>
          </w:p>
          <w:p w14:paraId="6C7F8366"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Model 2: Age, gender, race/ethnicity, TTFC, age at initiation, CPD</w:t>
            </w:r>
          </w:p>
        </w:tc>
        <w:tc>
          <w:tcPr>
            <w:tcW w:w="1440" w:type="dxa"/>
          </w:tcPr>
          <w:p w14:paraId="72E0D191" w14:textId="77777777" w:rsidR="00881FE9" w:rsidRPr="00691084" w:rsidRDefault="00621FF9" w:rsidP="0069742C">
            <w:pPr>
              <w:rPr>
                <w:rFonts w:asciiTheme="minorHAnsi" w:hAnsiTheme="minorHAnsi" w:cstheme="minorHAnsi"/>
                <w:sz w:val="16"/>
                <w:szCs w:val="16"/>
              </w:rPr>
            </w:pPr>
            <w:r w:rsidRPr="00691084">
              <w:rPr>
                <w:rFonts w:asciiTheme="minorHAnsi" w:hAnsiTheme="minorHAnsi" w:cstheme="minorHAnsi"/>
                <w:sz w:val="16"/>
                <w:szCs w:val="16"/>
              </w:rPr>
              <w:t>Answering either daily, regular (10+ days during the past 30), or past (1+ days during the past 30) month to the question, “On how many of the past 30 days did you smoke a cigarette?”</w:t>
            </w:r>
          </w:p>
        </w:tc>
        <w:tc>
          <w:tcPr>
            <w:tcW w:w="1530" w:type="dxa"/>
          </w:tcPr>
          <w:p w14:paraId="35D4AF12" w14:textId="77777777" w:rsidR="00881FE9" w:rsidRPr="00691084" w:rsidRDefault="00881FE9" w:rsidP="0069742C">
            <w:pPr>
              <w:rPr>
                <w:rFonts w:asciiTheme="minorHAnsi" w:hAnsiTheme="minorHAnsi" w:cstheme="minorHAnsi"/>
                <w:sz w:val="16"/>
                <w:szCs w:val="16"/>
                <w:u w:val="single"/>
              </w:rPr>
            </w:pPr>
            <w:r w:rsidRPr="00691084">
              <w:rPr>
                <w:rFonts w:asciiTheme="minorHAnsi" w:hAnsiTheme="minorHAnsi" w:cstheme="minorHAnsi"/>
                <w:sz w:val="16"/>
                <w:szCs w:val="16"/>
              </w:rPr>
              <w:t>NR</w:t>
            </w:r>
          </w:p>
        </w:tc>
        <w:tc>
          <w:tcPr>
            <w:tcW w:w="1530" w:type="dxa"/>
          </w:tcPr>
          <w:p w14:paraId="3B4D2812"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NR</w:t>
            </w:r>
          </w:p>
        </w:tc>
        <w:tc>
          <w:tcPr>
            <w:tcW w:w="1530" w:type="dxa"/>
          </w:tcPr>
          <w:p w14:paraId="1A070EE9"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NR</w:t>
            </w:r>
          </w:p>
        </w:tc>
        <w:tc>
          <w:tcPr>
            <w:tcW w:w="1260" w:type="dxa"/>
          </w:tcPr>
          <w:p w14:paraId="1BD3C85A"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NR</w:t>
            </w:r>
          </w:p>
        </w:tc>
        <w:tc>
          <w:tcPr>
            <w:tcW w:w="3027" w:type="dxa"/>
          </w:tcPr>
          <w:p w14:paraId="26B9F804" w14:textId="77777777" w:rsidR="00881FE9" w:rsidRPr="00691084" w:rsidRDefault="00881FE9" w:rsidP="00881FE9">
            <w:pPr>
              <w:rPr>
                <w:rFonts w:asciiTheme="minorHAnsi" w:hAnsiTheme="minorHAnsi" w:cstheme="minorHAnsi"/>
                <w:sz w:val="16"/>
                <w:szCs w:val="16"/>
                <w:u w:val="single"/>
              </w:rPr>
            </w:pPr>
            <w:r w:rsidRPr="00691084">
              <w:rPr>
                <w:rFonts w:asciiTheme="minorHAnsi" w:hAnsiTheme="minorHAnsi" w:cstheme="minorHAnsi"/>
                <w:sz w:val="16"/>
                <w:szCs w:val="16"/>
                <w:u w:val="single"/>
              </w:rPr>
              <w:t xml:space="preserve">Daily smoker, </w:t>
            </w:r>
            <w:r w:rsidR="00D50EBC">
              <w:rPr>
                <w:rFonts w:asciiTheme="minorHAnsi" w:hAnsiTheme="minorHAnsi" w:cstheme="minorHAnsi"/>
                <w:sz w:val="16"/>
                <w:szCs w:val="16"/>
                <w:u w:val="single"/>
              </w:rPr>
              <w:t>A</w:t>
            </w:r>
            <w:r w:rsidRPr="00691084">
              <w:rPr>
                <w:rFonts w:asciiTheme="minorHAnsi" w:hAnsiTheme="minorHAnsi" w:cstheme="minorHAnsi"/>
                <w:sz w:val="16"/>
                <w:szCs w:val="16"/>
                <w:u w:val="single"/>
              </w:rPr>
              <w:t xml:space="preserve">OR (95% CI) for NM (ref=M and non-daily smoker): </w:t>
            </w:r>
          </w:p>
          <w:p w14:paraId="476C8AB1"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Model 1:</w:t>
            </w:r>
          </w:p>
          <w:p w14:paraId="2A118EF4"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1.21 (1.00 to 1.46), (p=0.05)</w:t>
            </w:r>
          </w:p>
          <w:p w14:paraId="7EA5FAA2"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 xml:space="preserve">Model 2: </w:t>
            </w:r>
          </w:p>
          <w:p w14:paraId="408D0A71"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0.97 (0.68 to 1.39), (p=0.88)</w:t>
            </w:r>
          </w:p>
        </w:tc>
      </w:tr>
      <w:tr w:rsidR="004149DE" w:rsidRPr="00691084" w14:paraId="0C99449F" w14:textId="77777777" w:rsidTr="00881FE9">
        <w:trPr>
          <w:trHeight w:val="2488"/>
        </w:trPr>
        <w:tc>
          <w:tcPr>
            <w:tcW w:w="1975" w:type="dxa"/>
          </w:tcPr>
          <w:p w14:paraId="27EBE630" w14:textId="79F54979" w:rsidR="00881FE9" w:rsidRPr="00382374" w:rsidRDefault="00D2134A" w:rsidP="0069742C">
            <w:pPr>
              <w:rPr>
                <w:rFonts w:asciiTheme="minorHAnsi" w:hAnsiTheme="minorHAnsi" w:cstheme="minorHAnsi"/>
                <w:sz w:val="16"/>
                <w:szCs w:val="16"/>
                <w:vertAlign w:val="superscript"/>
              </w:rPr>
            </w:pP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51" w:tooltip="Curtin, 2014 #13" w:history="1">
              <w:r w:rsidR="00A234A9">
                <w:rPr>
                  <w:rFonts w:cstheme="minorHAnsi"/>
                  <w:noProof/>
                  <w:sz w:val="16"/>
                  <w:szCs w:val="16"/>
                </w:rPr>
                <w:t>51</w:t>
              </w:r>
            </w:hyperlink>
            <w:r>
              <w:rPr>
                <w:rFonts w:cstheme="minorHAnsi"/>
                <w:noProof/>
                <w:sz w:val="16"/>
                <w:szCs w:val="16"/>
              </w:rPr>
              <w:t>)</w:t>
            </w:r>
            <w:r>
              <w:rPr>
                <w:rFonts w:cstheme="minorHAnsi"/>
                <w:sz w:val="16"/>
                <w:szCs w:val="16"/>
              </w:rPr>
              <w:fldChar w:fldCharType="end"/>
            </w:r>
          </w:p>
          <w:p w14:paraId="1FEA917C"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NHANES</w:t>
            </w:r>
            <w:r w:rsidR="00D50EBC" w:rsidRPr="00691084">
              <w:rPr>
                <w:rFonts w:asciiTheme="minorHAnsi" w:hAnsiTheme="minorHAnsi" w:cstheme="minorHAnsi"/>
                <w:sz w:val="16"/>
                <w:szCs w:val="16"/>
                <w:vertAlign w:val="superscript"/>
              </w:rPr>
              <w:t>a</w:t>
            </w:r>
          </w:p>
          <w:p w14:paraId="04DC17EB"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Youth</w:t>
            </w:r>
          </w:p>
        </w:tc>
        <w:tc>
          <w:tcPr>
            <w:tcW w:w="1170" w:type="dxa"/>
          </w:tcPr>
          <w:p w14:paraId="0A8E4BFF"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Independent;</w:t>
            </w:r>
          </w:p>
          <w:p w14:paraId="10061CE7"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Linear regression;</w:t>
            </w:r>
          </w:p>
          <w:p w14:paraId="558F8449"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Age, gender, race/ethnicity</w:t>
            </w:r>
          </w:p>
          <w:p w14:paraId="7DD2D176" w14:textId="77777777" w:rsidR="00881FE9" w:rsidRPr="00691084" w:rsidRDefault="00881FE9" w:rsidP="0069742C">
            <w:pPr>
              <w:rPr>
                <w:rFonts w:asciiTheme="minorHAnsi" w:hAnsiTheme="minorHAnsi" w:cstheme="minorHAnsi"/>
                <w:sz w:val="16"/>
                <w:szCs w:val="16"/>
              </w:rPr>
            </w:pPr>
          </w:p>
          <w:p w14:paraId="1BBAA01E" w14:textId="77777777" w:rsidR="00881FE9" w:rsidRPr="00691084" w:rsidRDefault="00881FE9" w:rsidP="0069742C">
            <w:pPr>
              <w:rPr>
                <w:rFonts w:asciiTheme="minorHAnsi" w:hAnsiTheme="minorHAnsi" w:cstheme="minorHAnsi"/>
                <w:sz w:val="16"/>
                <w:szCs w:val="16"/>
              </w:rPr>
            </w:pPr>
          </w:p>
        </w:tc>
        <w:tc>
          <w:tcPr>
            <w:tcW w:w="1440" w:type="dxa"/>
          </w:tcPr>
          <w:p w14:paraId="619D694D"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Age at smoking a whole cig for the first time</w:t>
            </w:r>
          </w:p>
        </w:tc>
        <w:tc>
          <w:tcPr>
            <w:tcW w:w="1530" w:type="dxa"/>
          </w:tcPr>
          <w:p w14:paraId="6EDD96F8" w14:textId="77777777" w:rsidR="00881FE9" w:rsidRPr="00691084" w:rsidRDefault="00881FE9" w:rsidP="0069742C">
            <w:pPr>
              <w:rPr>
                <w:rFonts w:asciiTheme="minorHAnsi" w:hAnsiTheme="minorHAnsi" w:cstheme="minorHAnsi"/>
                <w:sz w:val="16"/>
                <w:szCs w:val="16"/>
                <w:u w:val="single"/>
              </w:rPr>
            </w:pPr>
            <w:r w:rsidRPr="00691084">
              <w:rPr>
                <w:rFonts w:asciiTheme="minorHAnsi" w:hAnsiTheme="minorHAnsi" w:cstheme="minorHAnsi"/>
                <w:sz w:val="16"/>
                <w:szCs w:val="16"/>
                <w:u w:val="single"/>
              </w:rPr>
              <w:t xml:space="preserve">Smoked ≥1 day in past 30 days </w:t>
            </w:r>
          </w:p>
          <w:p w14:paraId="45F5ACCB"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NM β (SE) -0.76 (0.18); 95% CI -1.11 to -0.41; (p&lt;0.001)</w:t>
            </w:r>
          </w:p>
          <w:p w14:paraId="7CF2B598" w14:textId="77777777" w:rsidR="00881FE9" w:rsidRPr="00691084" w:rsidRDefault="00881FE9" w:rsidP="0069742C">
            <w:pPr>
              <w:rPr>
                <w:rFonts w:asciiTheme="minorHAnsi" w:hAnsiTheme="minorHAnsi" w:cstheme="minorHAnsi"/>
                <w:sz w:val="16"/>
                <w:szCs w:val="16"/>
                <w:u w:val="single"/>
              </w:rPr>
            </w:pPr>
            <w:r w:rsidRPr="00691084">
              <w:rPr>
                <w:rFonts w:asciiTheme="minorHAnsi" w:hAnsiTheme="minorHAnsi" w:cstheme="minorHAnsi"/>
                <w:sz w:val="16"/>
                <w:szCs w:val="16"/>
                <w:u w:val="single"/>
              </w:rPr>
              <w:t xml:space="preserve">Smoked ≥10 days in past 30 days </w:t>
            </w:r>
          </w:p>
          <w:p w14:paraId="062D7DDC"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NM β (SE) -0.76 (0.26); 95% CI -1.27 to -0.26; (p=0.004)</w:t>
            </w:r>
          </w:p>
          <w:p w14:paraId="1A421B4B" w14:textId="77777777" w:rsidR="00881FE9" w:rsidRPr="00691084" w:rsidRDefault="00881FE9" w:rsidP="0069742C">
            <w:pPr>
              <w:rPr>
                <w:rFonts w:asciiTheme="minorHAnsi" w:hAnsiTheme="minorHAnsi" w:cstheme="minorHAnsi"/>
                <w:sz w:val="16"/>
                <w:szCs w:val="16"/>
                <w:u w:val="single"/>
              </w:rPr>
            </w:pPr>
            <w:r w:rsidRPr="00691084">
              <w:rPr>
                <w:rFonts w:asciiTheme="minorHAnsi" w:hAnsiTheme="minorHAnsi" w:cstheme="minorHAnsi"/>
                <w:sz w:val="16"/>
                <w:szCs w:val="16"/>
                <w:u w:val="single"/>
              </w:rPr>
              <w:t xml:space="preserve">Smoked daily in past 30 days </w:t>
            </w:r>
          </w:p>
          <w:p w14:paraId="751DD2D3"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NM β (SE) -0.73 (0.34); 95% CI -1.41 to -0.06; (p=0.03)</w:t>
            </w:r>
          </w:p>
        </w:tc>
        <w:tc>
          <w:tcPr>
            <w:tcW w:w="1530" w:type="dxa"/>
          </w:tcPr>
          <w:p w14:paraId="142DECE7"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NR</w:t>
            </w:r>
          </w:p>
        </w:tc>
        <w:tc>
          <w:tcPr>
            <w:tcW w:w="1530" w:type="dxa"/>
          </w:tcPr>
          <w:p w14:paraId="40E62452"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NR</w:t>
            </w:r>
          </w:p>
        </w:tc>
        <w:tc>
          <w:tcPr>
            <w:tcW w:w="1260" w:type="dxa"/>
          </w:tcPr>
          <w:p w14:paraId="580C45CA"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NR</w:t>
            </w:r>
          </w:p>
        </w:tc>
        <w:tc>
          <w:tcPr>
            <w:tcW w:w="3027" w:type="dxa"/>
          </w:tcPr>
          <w:p w14:paraId="69DE34B7"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NR</w:t>
            </w:r>
          </w:p>
        </w:tc>
      </w:tr>
      <w:tr w:rsidR="004149DE" w:rsidRPr="00691084" w14:paraId="4626E3FE" w14:textId="77777777" w:rsidTr="00881FE9">
        <w:trPr>
          <w:trHeight w:val="2488"/>
        </w:trPr>
        <w:tc>
          <w:tcPr>
            <w:tcW w:w="1975" w:type="dxa"/>
          </w:tcPr>
          <w:p w14:paraId="6EEA5011" w14:textId="6E870726" w:rsidR="00881FE9" w:rsidRPr="00382374" w:rsidRDefault="00D2134A" w:rsidP="0069742C">
            <w:pPr>
              <w:rPr>
                <w:rFonts w:asciiTheme="minorHAnsi" w:hAnsiTheme="minorHAnsi" w:cstheme="minorHAnsi"/>
                <w:sz w:val="16"/>
                <w:szCs w:val="16"/>
                <w:vertAlign w:val="superscript"/>
              </w:rPr>
            </w:pP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51" w:tooltip="Curtin, 2014 #13" w:history="1">
              <w:r w:rsidR="00A234A9">
                <w:rPr>
                  <w:rFonts w:cstheme="minorHAnsi"/>
                  <w:noProof/>
                  <w:sz w:val="16"/>
                  <w:szCs w:val="16"/>
                </w:rPr>
                <w:t>51</w:t>
              </w:r>
            </w:hyperlink>
            <w:r>
              <w:rPr>
                <w:rFonts w:cstheme="minorHAnsi"/>
                <w:noProof/>
                <w:sz w:val="16"/>
                <w:szCs w:val="16"/>
              </w:rPr>
              <w:t>)</w:t>
            </w:r>
            <w:r>
              <w:rPr>
                <w:rFonts w:cstheme="minorHAnsi"/>
                <w:sz w:val="16"/>
                <w:szCs w:val="16"/>
              </w:rPr>
              <w:fldChar w:fldCharType="end"/>
            </w:r>
          </w:p>
          <w:p w14:paraId="2E0E80E1"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NHANES</w:t>
            </w:r>
            <w:r w:rsidRPr="00691084">
              <w:rPr>
                <w:rFonts w:asciiTheme="minorHAnsi" w:hAnsiTheme="minorHAnsi" w:cstheme="minorHAnsi"/>
                <w:sz w:val="16"/>
                <w:szCs w:val="16"/>
                <w:vertAlign w:val="superscript"/>
              </w:rPr>
              <w:t>a</w:t>
            </w:r>
          </w:p>
          <w:p w14:paraId="7D73165F"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Youth</w:t>
            </w:r>
          </w:p>
        </w:tc>
        <w:tc>
          <w:tcPr>
            <w:tcW w:w="1170" w:type="dxa"/>
          </w:tcPr>
          <w:p w14:paraId="432E2429"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Independent;</w:t>
            </w:r>
          </w:p>
          <w:p w14:paraId="5C2E173A"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Logistic regression;</w:t>
            </w:r>
          </w:p>
          <w:p w14:paraId="6F3E0035"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 xml:space="preserve">Model 1: Age, gender, race/ethnicity </w:t>
            </w:r>
          </w:p>
          <w:p w14:paraId="389ADFEC"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 xml:space="preserve">Model 2: Age, gender, race/ethnicity, TTFC, age at initiation, CPD, prior </w:t>
            </w:r>
            <w:r w:rsidRPr="00691084">
              <w:rPr>
                <w:rFonts w:asciiTheme="minorHAnsi" w:hAnsiTheme="minorHAnsi" w:cstheme="minorHAnsi"/>
                <w:sz w:val="16"/>
                <w:szCs w:val="16"/>
              </w:rPr>
              <w:lastRenderedPageBreak/>
              <w:t>attempt to quit</w:t>
            </w:r>
          </w:p>
        </w:tc>
        <w:tc>
          <w:tcPr>
            <w:tcW w:w="1440" w:type="dxa"/>
          </w:tcPr>
          <w:p w14:paraId="288D4584" w14:textId="77777777" w:rsidR="00881FE9" w:rsidRPr="00691084" w:rsidRDefault="00621FF9" w:rsidP="0069742C">
            <w:pPr>
              <w:rPr>
                <w:rFonts w:asciiTheme="minorHAnsi" w:hAnsiTheme="minorHAnsi" w:cstheme="minorHAnsi"/>
                <w:sz w:val="16"/>
                <w:szCs w:val="16"/>
              </w:rPr>
            </w:pPr>
            <w:r w:rsidRPr="00691084">
              <w:rPr>
                <w:rFonts w:asciiTheme="minorHAnsi" w:hAnsiTheme="minorHAnsi" w:cstheme="minorHAnsi"/>
                <w:sz w:val="16"/>
                <w:szCs w:val="16"/>
              </w:rPr>
              <w:lastRenderedPageBreak/>
              <w:t xml:space="preserve">Answering either daily, regular (10+ days during the past 30), or past (1+ days during the past 30) month to the question, “During the past 30 days, on how many days did you smoke cigarettes?” (1999-2004) or </w:t>
            </w:r>
            <w:r w:rsidRPr="00691084">
              <w:rPr>
                <w:rFonts w:asciiTheme="minorHAnsi" w:hAnsiTheme="minorHAnsi" w:cstheme="minorHAnsi"/>
                <w:sz w:val="16"/>
                <w:szCs w:val="16"/>
              </w:rPr>
              <w:lastRenderedPageBreak/>
              <w:t>“On how many of the past 30 days did [you] smoke a cigarette?” (2005-2010)</w:t>
            </w:r>
          </w:p>
        </w:tc>
        <w:tc>
          <w:tcPr>
            <w:tcW w:w="1530" w:type="dxa"/>
          </w:tcPr>
          <w:p w14:paraId="4EB09831" w14:textId="77777777" w:rsidR="00881FE9" w:rsidRPr="00691084" w:rsidRDefault="00881FE9" w:rsidP="0069742C">
            <w:pPr>
              <w:rPr>
                <w:rFonts w:asciiTheme="minorHAnsi" w:hAnsiTheme="minorHAnsi" w:cstheme="minorHAnsi"/>
                <w:sz w:val="16"/>
                <w:szCs w:val="16"/>
                <w:u w:val="single"/>
              </w:rPr>
            </w:pPr>
            <w:r w:rsidRPr="00691084">
              <w:rPr>
                <w:rFonts w:asciiTheme="minorHAnsi" w:hAnsiTheme="minorHAnsi" w:cstheme="minorHAnsi"/>
                <w:sz w:val="16"/>
                <w:szCs w:val="16"/>
              </w:rPr>
              <w:lastRenderedPageBreak/>
              <w:t>NR</w:t>
            </w:r>
          </w:p>
        </w:tc>
        <w:tc>
          <w:tcPr>
            <w:tcW w:w="1530" w:type="dxa"/>
          </w:tcPr>
          <w:p w14:paraId="67CB7554"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NR</w:t>
            </w:r>
          </w:p>
        </w:tc>
        <w:tc>
          <w:tcPr>
            <w:tcW w:w="1530" w:type="dxa"/>
          </w:tcPr>
          <w:p w14:paraId="0360F614"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NR</w:t>
            </w:r>
          </w:p>
        </w:tc>
        <w:tc>
          <w:tcPr>
            <w:tcW w:w="1260" w:type="dxa"/>
          </w:tcPr>
          <w:p w14:paraId="39CD1995"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NR</w:t>
            </w:r>
          </w:p>
        </w:tc>
        <w:tc>
          <w:tcPr>
            <w:tcW w:w="3027" w:type="dxa"/>
          </w:tcPr>
          <w:p w14:paraId="0C5B4B70" w14:textId="77777777" w:rsidR="00881FE9" w:rsidRPr="00691084" w:rsidRDefault="00881FE9" w:rsidP="00881FE9">
            <w:pPr>
              <w:rPr>
                <w:rFonts w:asciiTheme="minorHAnsi" w:hAnsiTheme="minorHAnsi" w:cstheme="minorHAnsi"/>
                <w:sz w:val="16"/>
                <w:szCs w:val="16"/>
                <w:u w:val="single"/>
              </w:rPr>
            </w:pPr>
            <w:r w:rsidRPr="00691084">
              <w:rPr>
                <w:rFonts w:asciiTheme="minorHAnsi" w:hAnsiTheme="minorHAnsi" w:cstheme="minorHAnsi"/>
                <w:sz w:val="16"/>
                <w:szCs w:val="16"/>
                <w:u w:val="single"/>
              </w:rPr>
              <w:t xml:space="preserve">Daily smoker, </w:t>
            </w:r>
            <w:r w:rsidR="00D50EBC">
              <w:rPr>
                <w:rFonts w:asciiTheme="minorHAnsi" w:hAnsiTheme="minorHAnsi" w:cstheme="minorHAnsi"/>
                <w:sz w:val="16"/>
                <w:szCs w:val="16"/>
                <w:u w:val="single"/>
              </w:rPr>
              <w:t>A</w:t>
            </w:r>
            <w:r w:rsidRPr="00691084">
              <w:rPr>
                <w:rFonts w:asciiTheme="minorHAnsi" w:hAnsiTheme="minorHAnsi" w:cstheme="minorHAnsi"/>
                <w:sz w:val="16"/>
                <w:szCs w:val="16"/>
                <w:u w:val="single"/>
              </w:rPr>
              <w:t xml:space="preserve">OR (95% CI) for NM (ref=M and non-daily smoker): </w:t>
            </w:r>
          </w:p>
          <w:p w14:paraId="2569C727"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Model 1:</w:t>
            </w:r>
          </w:p>
          <w:p w14:paraId="6609F73C"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 xml:space="preserve">0.72 (0.49 to 1.05), </w:t>
            </w:r>
          </w:p>
          <w:p w14:paraId="275EB15C"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(p=0.09)</w:t>
            </w:r>
          </w:p>
          <w:p w14:paraId="76C6D3DC"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Model 2:</w:t>
            </w:r>
          </w:p>
          <w:p w14:paraId="44BA9D07"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1.63 (0.95 to 2.78), (p=0.07)</w:t>
            </w:r>
          </w:p>
        </w:tc>
      </w:tr>
      <w:tr w:rsidR="004149DE" w:rsidRPr="00691084" w14:paraId="69BE412B" w14:textId="77777777" w:rsidTr="00881FE9">
        <w:tc>
          <w:tcPr>
            <w:tcW w:w="1975" w:type="dxa"/>
          </w:tcPr>
          <w:p w14:paraId="5D0567EE" w14:textId="2A438AF5" w:rsidR="00881FE9" w:rsidRPr="00382374" w:rsidRDefault="00D2134A" w:rsidP="0069742C">
            <w:pPr>
              <w:rPr>
                <w:rFonts w:asciiTheme="minorHAnsi" w:hAnsiTheme="minorHAnsi" w:cstheme="minorHAnsi"/>
                <w:sz w:val="16"/>
                <w:szCs w:val="16"/>
                <w:vertAlign w:val="superscript"/>
              </w:rPr>
            </w:pP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51" w:tooltip="Curtin, 2014 #13" w:history="1">
              <w:r w:rsidR="00A234A9">
                <w:rPr>
                  <w:rFonts w:cstheme="minorHAnsi"/>
                  <w:noProof/>
                  <w:sz w:val="16"/>
                  <w:szCs w:val="16"/>
                </w:rPr>
                <w:t>51</w:t>
              </w:r>
            </w:hyperlink>
            <w:r>
              <w:rPr>
                <w:rFonts w:cstheme="minorHAnsi"/>
                <w:noProof/>
                <w:sz w:val="16"/>
                <w:szCs w:val="16"/>
              </w:rPr>
              <w:t>)</w:t>
            </w:r>
            <w:r>
              <w:rPr>
                <w:rFonts w:cstheme="minorHAnsi"/>
                <w:sz w:val="16"/>
                <w:szCs w:val="16"/>
              </w:rPr>
              <w:fldChar w:fldCharType="end"/>
            </w:r>
          </w:p>
          <w:p w14:paraId="3370FB70"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NSDUH</w:t>
            </w:r>
            <w:r w:rsidR="00D50EBC" w:rsidRPr="00691084">
              <w:rPr>
                <w:rFonts w:asciiTheme="minorHAnsi" w:hAnsiTheme="minorHAnsi" w:cstheme="minorHAnsi"/>
                <w:sz w:val="16"/>
                <w:szCs w:val="16"/>
                <w:vertAlign w:val="superscript"/>
              </w:rPr>
              <w:t>a</w:t>
            </w:r>
          </w:p>
          <w:p w14:paraId="106AD9B2"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None</w:t>
            </w:r>
          </w:p>
        </w:tc>
        <w:tc>
          <w:tcPr>
            <w:tcW w:w="1170" w:type="dxa"/>
          </w:tcPr>
          <w:p w14:paraId="6E2E4B9E"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Independent;</w:t>
            </w:r>
          </w:p>
          <w:p w14:paraId="0117D0F5"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Linear regression;</w:t>
            </w:r>
          </w:p>
          <w:p w14:paraId="09B7F17E"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Age, gender, race/ethnicity</w:t>
            </w:r>
          </w:p>
        </w:tc>
        <w:tc>
          <w:tcPr>
            <w:tcW w:w="1440" w:type="dxa"/>
          </w:tcPr>
          <w:p w14:paraId="70B821E0"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Age at first smoked part or all of a cig</w:t>
            </w:r>
          </w:p>
        </w:tc>
        <w:tc>
          <w:tcPr>
            <w:tcW w:w="1530" w:type="dxa"/>
          </w:tcPr>
          <w:p w14:paraId="62F86F11" w14:textId="77777777" w:rsidR="00881FE9" w:rsidRPr="00691084" w:rsidRDefault="00881FE9" w:rsidP="0069742C">
            <w:pPr>
              <w:rPr>
                <w:rFonts w:asciiTheme="minorHAnsi" w:hAnsiTheme="minorHAnsi" w:cstheme="minorHAnsi"/>
                <w:sz w:val="16"/>
                <w:szCs w:val="16"/>
                <w:u w:val="single"/>
              </w:rPr>
            </w:pPr>
            <w:r w:rsidRPr="00691084">
              <w:rPr>
                <w:rFonts w:asciiTheme="minorHAnsi" w:hAnsiTheme="minorHAnsi" w:cstheme="minorHAnsi"/>
                <w:sz w:val="16"/>
                <w:szCs w:val="16"/>
                <w:u w:val="single"/>
              </w:rPr>
              <w:t xml:space="preserve">Smoked ≥1 day in past 30 days </w:t>
            </w:r>
          </w:p>
          <w:p w14:paraId="6FC9DBEE"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NM β (SE) -0.06 (0.07); 95% CI -0.19 to 0.07 (p=0.33)</w:t>
            </w:r>
          </w:p>
          <w:p w14:paraId="2E0723DC" w14:textId="77777777" w:rsidR="00881FE9" w:rsidRPr="00691084" w:rsidRDefault="00881FE9" w:rsidP="0069742C">
            <w:pPr>
              <w:rPr>
                <w:rFonts w:asciiTheme="minorHAnsi" w:hAnsiTheme="minorHAnsi" w:cstheme="minorHAnsi"/>
                <w:sz w:val="16"/>
                <w:szCs w:val="16"/>
                <w:u w:val="single"/>
              </w:rPr>
            </w:pPr>
            <w:r w:rsidRPr="00691084">
              <w:rPr>
                <w:rFonts w:asciiTheme="minorHAnsi" w:hAnsiTheme="minorHAnsi" w:cstheme="minorHAnsi"/>
                <w:sz w:val="16"/>
                <w:szCs w:val="16"/>
                <w:u w:val="single"/>
              </w:rPr>
              <w:t xml:space="preserve">Smoked ≥10 days in past 30 days </w:t>
            </w:r>
          </w:p>
          <w:p w14:paraId="62F78610"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NM β (SE) -0.06 (0.07); 95% CI -0.20 to 0.08 (p=0.38)</w:t>
            </w:r>
          </w:p>
          <w:p w14:paraId="4CDEF72B" w14:textId="77777777" w:rsidR="00881FE9" w:rsidRPr="00691084" w:rsidRDefault="00881FE9" w:rsidP="0069742C">
            <w:pPr>
              <w:rPr>
                <w:rFonts w:asciiTheme="minorHAnsi" w:hAnsiTheme="minorHAnsi" w:cstheme="minorHAnsi"/>
                <w:sz w:val="16"/>
                <w:szCs w:val="16"/>
                <w:u w:val="single"/>
              </w:rPr>
            </w:pPr>
            <w:r w:rsidRPr="00691084">
              <w:rPr>
                <w:rFonts w:asciiTheme="minorHAnsi" w:hAnsiTheme="minorHAnsi" w:cstheme="minorHAnsi"/>
                <w:sz w:val="16"/>
                <w:szCs w:val="16"/>
                <w:u w:val="single"/>
              </w:rPr>
              <w:t xml:space="preserve">Smoked daily in past 30 days </w:t>
            </w:r>
          </w:p>
          <w:p w14:paraId="20BD00EB"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NM β (SE) -0.14 (0.08); 95% CI -0.33 to -0.01 (p=0.03)</w:t>
            </w:r>
          </w:p>
        </w:tc>
        <w:tc>
          <w:tcPr>
            <w:tcW w:w="1530" w:type="dxa"/>
          </w:tcPr>
          <w:p w14:paraId="0DD8F81D"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NR</w:t>
            </w:r>
          </w:p>
        </w:tc>
        <w:tc>
          <w:tcPr>
            <w:tcW w:w="1530" w:type="dxa"/>
          </w:tcPr>
          <w:p w14:paraId="57B3219D"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NR</w:t>
            </w:r>
          </w:p>
        </w:tc>
        <w:tc>
          <w:tcPr>
            <w:tcW w:w="1260" w:type="dxa"/>
          </w:tcPr>
          <w:p w14:paraId="0E1D5CE7"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NR</w:t>
            </w:r>
          </w:p>
        </w:tc>
        <w:tc>
          <w:tcPr>
            <w:tcW w:w="3027" w:type="dxa"/>
          </w:tcPr>
          <w:p w14:paraId="1781CDBB"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NR</w:t>
            </w:r>
          </w:p>
        </w:tc>
      </w:tr>
      <w:tr w:rsidR="004149DE" w:rsidRPr="00691084" w14:paraId="2E942958" w14:textId="77777777" w:rsidTr="00881FE9">
        <w:tc>
          <w:tcPr>
            <w:tcW w:w="1975" w:type="dxa"/>
          </w:tcPr>
          <w:p w14:paraId="42D6FE57" w14:textId="729E0F5B" w:rsidR="00881FE9" w:rsidRPr="00382374" w:rsidRDefault="00D2134A" w:rsidP="0069742C">
            <w:pPr>
              <w:rPr>
                <w:rFonts w:asciiTheme="minorHAnsi" w:hAnsiTheme="minorHAnsi" w:cstheme="minorHAnsi"/>
                <w:sz w:val="16"/>
                <w:szCs w:val="16"/>
                <w:vertAlign w:val="superscript"/>
              </w:rPr>
            </w:pP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51" w:tooltip="Curtin, 2014 #13" w:history="1">
              <w:r w:rsidR="00A234A9">
                <w:rPr>
                  <w:rFonts w:cstheme="minorHAnsi"/>
                  <w:noProof/>
                  <w:sz w:val="16"/>
                  <w:szCs w:val="16"/>
                </w:rPr>
                <w:t>51</w:t>
              </w:r>
            </w:hyperlink>
            <w:r>
              <w:rPr>
                <w:rFonts w:cstheme="minorHAnsi"/>
                <w:noProof/>
                <w:sz w:val="16"/>
                <w:szCs w:val="16"/>
              </w:rPr>
              <w:t>)</w:t>
            </w:r>
            <w:r>
              <w:rPr>
                <w:rFonts w:cstheme="minorHAnsi"/>
                <w:sz w:val="16"/>
                <w:szCs w:val="16"/>
              </w:rPr>
              <w:fldChar w:fldCharType="end"/>
            </w:r>
          </w:p>
          <w:p w14:paraId="4CE822C7"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NSDUH</w:t>
            </w:r>
            <w:r w:rsidR="00D50EBC" w:rsidRPr="00691084">
              <w:rPr>
                <w:rFonts w:asciiTheme="minorHAnsi" w:hAnsiTheme="minorHAnsi" w:cstheme="minorHAnsi"/>
                <w:sz w:val="16"/>
                <w:szCs w:val="16"/>
                <w:vertAlign w:val="superscript"/>
              </w:rPr>
              <w:t>a</w:t>
            </w:r>
          </w:p>
          <w:p w14:paraId="008AF79A"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None</w:t>
            </w:r>
          </w:p>
        </w:tc>
        <w:tc>
          <w:tcPr>
            <w:tcW w:w="1170" w:type="dxa"/>
          </w:tcPr>
          <w:p w14:paraId="6E49711C"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Independent;</w:t>
            </w:r>
          </w:p>
          <w:p w14:paraId="128538C9"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Linear regression;</w:t>
            </w:r>
          </w:p>
          <w:p w14:paraId="1BE02E8B"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Age, gender, race/ethnicity</w:t>
            </w:r>
          </w:p>
        </w:tc>
        <w:tc>
          <w:tcPr>
            <w:tcW w:w="1440" w:type="dxa"/>
          </w:tcPr>
          <w:p w14:paraId="026654D4"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Age first started smoking every day</w:t>
            </w:r>
          </w:p>
        </w:tc>
        <w:tc>
          <w:tcPr>
            <w:tcW w:w="1530" w:type="dxa"/>
          </w:tcPr>
          <w:p w14:paraId="2AD103B0" w14:textId="77777777" w:rsidR="00881FE9" w:rsidRPr="00691084" w:rsidRDefault="00881FE9" w:rsidP="0069742C">
            <w:pPr>
              <w:rPr>
                <w:rFonts w:asciiTheme="minorHAnsi" w:hAnsiTheme="minorHAnsi" w:cstheme="minorHAnsi"/>
                <w:sz w:val="16"/>
                <w:szCs w:val="16"/>
                <w:u w:val="single"/>
              </w:rPr>
            </w:pPr>
            <w:r w:rsidRPr="00691084">
              <w:rPr>
                <w:rFonts w:asciiTheme="minorHAnsi" w:hAnsiTheme="minorHAnsi" w:cstheme="minorHAnsi"/>
                <w:sz w:val="16"/>
                <w:szCs w:val="16"/>
                <w:u w:val="single"/>
              </w:rPr>
              <w:t xml:space="preserve">Smoked ≥1 day in past 30 days </w:t>
            </w:r>
          </w:p>
          <w:p w14:paraId="2F873309"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NM β (SE) -0.16 (0.07); 95% CI -0.30 to 0.01 (p=0.03)</w:t>
            </w:r>
          </w:p>
          <w:p w14:paraId="70BD9E4F" w14:textId="77777777" w:rsidR="00881FE9" w:rsidRPr="00691084" w:rsidRDefault="00881FE9" w:rsidP="0069742C">
            <w:pPr>
              <w:rPr>
                <w:rFonts w:asciiTheme="minorHAnsi" w:hAnsiTheme="minorHAnsi" w:cstheme="minorHAnsi"/>
                <w:sz w:val="16"/>
                <w:szCs w:val="16"/>
                <w:u w:val="single"/>
              </w:rPr>
            </w:pPr>
            <w:r w:rsidRPr="00691084">
              <w:rPr>
                <w:rFonts w:asciiTheme="minorHAnsi" w:hAnsiTheme="minorHAnsi" w:cstheme="minorHAnsi"/>
                <w:sz w:val="16"/>
                <w:szCs w:val="16"/>
                <w:u w:val="single"/>
              </w:rPr>
              <w:t xml:space="preserve">Smoked ≥10 days in past 30 days </w:t>
            </w:r>
          </w:p>
          <w:p w14:paraId="356F25D3"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NM β (SE) -0.17 (0.08); 95% CI -0.33 to -0.01 (p=0.034)</w:t>
            </w:r>
          </w:p>
          <w:p w14:paraId="040AE380" w14:textId="77777777" w:rsidR="00881FE9" w:rsidRPr="00691084" w:rsidRDefault="00881FE9" w:rsidP="0069742C">
            <w:pPr>
              <w:rPr>
                <w:rFonts w:asciiTheme="minorHAnsi" w:hAnsiTheme="minorHAnsi" w:cstheme="minorHAnsi"/>
                <w:sz w:val="16"/>
                <w:szCs w:val="16"/>
                <w:u w:val="single"/>
              </w:rPr>
            </w:pPr>
            <w:r w:rsidRPr="00691084">
              <w:rPr>
                <w:rFonts w:asciiTheme="minorHAnsi" w:hAnsiTheme="minorHAnsi" w:cstheme="minorHAnsi"/>
                <w:sz w:val="16"/>
                <w:szCs w:val="16"/>
                <w:u w:val="single"/>
              </w:rPr>
              <w:t xml:space="preserve">Smoked daily in past 30 days </w:t>
            </w:r>
          </w:p>
          <w:p w14:paraId="30C662CB"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lastRenderedPageBreak/>
              <w:t>NM β (SE) -0.15 (0.08); 95% CI -0.31 to 0.00 (p=0.06)</w:t>
            </w:r>
          </w:p>
        </w:tc>
        <w:tc>
          <w:tcPr>
            <w:tcW w:w="1530" w:type="dxa"/>
          </w:tcPr>
          <w:p w14:paraId="45C8CF8D"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lastRenderedPageBreak/>
              <w:t>NR</w:t>
            </w:r>
          </w:p>
        </w:tc>
        <w:tc>
          <w:tcPr>
            <w:tcW w:w="1530" w:type="dxa"/>
          </w:tcPr>
          <w:p w14:paraId="43CF2AD7"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NR</w:t>
            </w:r>
          </w:p>
        </w:tc>
        <w:tc>
          <w:tcPr>
            <w:tcW w:w="1260" w:type="dxa"/>
          </w:tcPr>
          <w:p w14:paraId="7DAB530B"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NR</w:t>
            </w:r>
          </w:p>
        </w:tc>
        <w:tc>
          <w:tcPr>
            <w:tcW w:w="3027" w:type="dxa"/>
          </w:tcPr>
          <w:p w14:paraId="309DBE24" w14:textId="77777777" w:rsidR="00881FE9" w:rsidRPr="00691084" w:rsidRDefault="00881FE9" w:rsidP="0069742C">
            <w:pPr>
              <w:rPr>
                <w:rFonts w:asciiTheme="minorHAnsi" w:hAnsiTheme="minorHAnsi" w:cstheme="minorHAnsi"/>
                <w:sz w:val="16"/>
                <w:szCs w:val="16"/>
              </w:rPr>
            </w:pPr>
            <w:r w:rsidRPr="00691084">
              <w:rPr>
                <w:rFonts w:asciiTheme="minorHAnsi" w:hAnsiTheme="minorHAnsi" w:cstheme="minorHAnsi"/>
                <w:sz w:val="16"/>
                <w:szCs w:val="16"/>
              </w:rPr>
              <w:t>NR</w:t>
            </w:r>
          </w:p>
        </w:tc>
      </w:tr>
      <w:tr w:rsidR="004149DE" w:rsidRPr="00691084" w14:paraId="4853C7C7" w14:textId="77777777" w:rsidTr="00881FE9">
        <w:tc>
          <w:tcPr>
            <w:tcW w:w="1975" w:type="dxa"/>
          </w:tcPr>
          <w:p w14:paraId="0502ECA4" w14:textId="2EFBD478" w:rsidR="00881FE9" w:rsidRPr="00382374" w:rsidRDefault="00D2134A" w:rsidP="00881FE9">
            <w:pPr>
              <w:rPr>
                <w:rFonts w:asciiTheme="minorHAnsi" w:hAnsiTheme="minorHAnsi" w:cstheme="minorHAnsi"/>
                <w:sz w:val="16"/>
                <w:szCs w:val="16"/>
                <w:vertAlign w:val="superscript"/>
              </w:rPr>
            </w:pP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51" w:tooltip="Curtin, 2014 #13" w:history="1">
              <w:r w:rsidR="00A234A9">
                <w:rPr>
                  <w:rFonts w:cstheme="minorHAnsi"/>
                  <w:noProof/>
                  <w:sz w:val="16"/>
                  <w:szCs w:val="16"/>
                </w:rPr>
                <w:t>51</w:t>
              </w:r>
            </w:hyperlink>
            <w:r>
              <w:rPr>
                <w:rFonts w:cstheme="minorHAnsi"/>
                <w:noProof/>
                <w:sz w:val="16"/>
                <w:szCs w:val="16"/>
              </w:rPr>
              <w:t>)</w:t>
            </w:r>
            <w:r>
              <w:rPr>
                <w:rFonts w:cstheme="minorHAnsi"/>
                <w:sz w:val="16"/>
                <w:szCs w:val="16"/>
              </w:rPr>
              <w:fldChar w:fldCharType="end"/>
            </w:r>
          </w:p>
          <w:p w14:paraId="5C3CF09F"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NSDUH</w:t>
            </w:r>
            <w:r w:rsidRPr="00691084">
              <w:rPr>
                <w:rFonts w:asciiTheme="minorHAnsi" w:hAnsiTheme="minorHAnsi" w:cstheme="minorHAnsi"/>
                <w:sz w:val="16"/>
                <w:szCs w:val="16"/>
                <w:vertAlign w:val="superscript"/>
              </w:rPr>
              <w:t>a</w:t>
            </w:r>
          </w:p>
          <w:p w14:paraId="28E7E193"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Adults</w:t>
            </w:r>
          </w:p>
        </w:tc>
        <w:tc>
          <w:tcPr>
            <w:tcW w:w="1170" w:type="dxa"/>
          </w:tcPr>
          <w:p w14:paraId="62C587C3"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Independent;</w:t>
            </w:r>
          </w:p>
          <w:p w14:paraId="4EF628FE"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Logistic regression;</w:t>
            </w:r>
          </w:p>
          <w:p w14:paraId="548F7A5B"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Model 1:</w:t>
            </w:r>
          </w:p>
          <w:p w14:paraId="1F55C5FC"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Age, gender, race/ethnicity</w:t>
            </w:r>
          </w:p>
          <w:p w14:paraId="38990E9E"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Model 2</w:t>
            </w:r>
            <w:r w:rsidRPr="00691084">
              <w:rPr>
                <w:rFonts w:asciiTheme="minorHAnsi" w:hAnsiTheme="minorHAnsi" w:cstheme="minorHAnsi"/>
                <w:sz w:val="16"/>
                <w:szCs w:val="16"/>
                <w:vertAlign w:val="superscript"/>
              </w:rPr>
              <w:t>c</w:t>
            </w:r>
            <w:r w:rsidRPr="00691084">
              <w:rPr>
                <w:rFonts w:asciiTheme="minorHAnsi" w:hAnsiTheme="minorHAnsi" w:cstheme="minorHAnsi"/>
                <w:sz w:val="16"/>
                <w:szCs w:val="16"/>
              </w:rPr>
              <w:t>:</w:t>
            </w:r>
          </w:p>
          <w:p w14:paraId="62D29478"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Age, gender, race/ethnicity, age at initiation, CPD</w:t>
            </w:r>
          </w:p>
          <w:p w14:paraId="4396ADF7"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Model 2</w:t>
            </w:r>
            <w:r w:rsidRPr="00691084">
              <w:rPr>
                <w:rFonts w:asciiTheme="minorHAnsi" w:hAnsiTheme="minorHAnsi" w:cstheme="minorHAnsi"/>
                <w:sz w:val="16"/>
                <w:szCs w:val="16"/>
                <w:vertAlign w:val="superscript"/>
              </w:rPr>
              <w:t>d</w:t>
            </w:r>
            <w:r w:rsidRPr="00691084">
              <w:rPr>
                <w:rFonts w:asciiTheme="minorHAnsi" w:hAnsiTheme="minorHAnsi" w:cstheme="minorHAnsi"/>
                <w:sz w:val="16"/>
                <w:szCs w:val="16"/>
              </w:rPr>
              <w:t>:</w:t>
            </w:r>
          </w:p>
          <w:p w14:paraId="069CA591"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Age, gender, race/ethnicity, age at initiation, CPD</w:t>
            </w:r>
          </w:p>
        </w:tc>
        <w:tc>
          <w:tcPr>
            <w:tcW w:w="1440" w:type="dxa"/>
          </w:tcPr>
          <w:p w14:paraId="42884E11" w14:textId="77777777" w:rsidR="00881FE9" w:rsidRPr="00691084" w:rsidRDefault="00621FF9" w:rsidP="00881FE9">
            <w:pPr>
              <w:rPr>
                <w:rFonts w:asciiTheme="minorHAnsi" w:hAnsiTheme="minorHAnsi" w:cstheme="minorHAnsi"/>
                <w:sz w:val="16"/>
                <w:szCs w:val="16"/>
              </w:rPr>
            </w:pPr>
            <w:r w:rsidRPr="00691084">
              <w:rPr>
                <w:rFonts w:asciiTheme="minorHAnsi" w:hAnsiTheme="minorHAnsi" w:cstheme="minorHAnsi"/>
                <w:sz w:val="16"/>
                <w:szCs w:val="16"/>
              </w:rPr>
              <w:t>Answering either daily, regular (10+ days during the past 30), or past (1+ days during the past 30) month to the question, “During the past 30 days, that is since [date 30 days prior to interview], on how many days did you smoke part or all of a cigarette?” or “Now think about the past 30 days – that is, from [date 30 days prior to interview] up to and including today. During the past 30 days, have you smoked part or all of a cigarette?”</w:t>
            </w:r>
          </w:p>
        </w:tc>
        <w:tc>
          <w:tcPr>
            <w:tcW w:w="1530" w:type="dxa"/>
          </w:tcPr>
          <w:p w14:paraId="0227CA55"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NR</w:t>
            </w:r>
          </w:p>
        </w:tc>
        <w:tc>
          <w:tcPr>
            <w:tcW w:w="1530" w:type="dxa"/>
          </w:tcPr>
          <w:p w14:paraId="4B89BE6C"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NR</w:t>
            </w:r>
          </w:p>
        </w:tc>
        <w:tc>
          <w:tcPr>
            <w:tcW w:w="1530" w:type="dxa"/>
          </w:tcPr>
          <w:p w14:paraId="7E5B2121"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NR</w:t>
            </w:r>
          </w:p>
        </w:tc>
        <w:tc>
          <w:tcPr>
            <w:tcW w:w="1260" w:type="dxa"/>
          </w:tcPr>
          <w:p w14:paraId="0912F56A"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NR</w:t>
            </w:r>
          </w:p>
        </w:tc>
        <w:tc>
          <w:tcPr>
            <w:tcW w:w="3027" w:type="dxa"/>
          </w:tcPr>
          <w:p w14:paraId="375D91E4" w14:textId="77777777" w:rsidR="00881FE9" w:rsidRPr="00691084" w:rsidRDefault="00881FE9" w:rsidP="00881FE9">
            <w:pPr>
              <w:rPr>
                <w:rFonts w:asciiTheme="minorHAnsi" w:hAnsiTheme="minorHAnsi" w:cstheme="minorHAnsi"/>
                <w:sz w:val="16"/>
                <w:szCs w:val="16"/>
                <w:u w:val="single"/>
              </w:rPr>
            </w:pPr>
            <w:r w:rsidRPr="00691084">
              <w:rPr>
                <w:rFonts w:asciiTheme="minorHAnsi" w:hAnsiTheme="minorHAnsi" w:cstheme="minorHAnsi"/>
                <w:sz w:val="16"/>
                <w:szCs w:val="16"/>
                <w:u w:val="single"/>
              </w:rPr>
              <w:t xml:space="preserve">Daily smoker, </w:t>
            </w:r>
            <w:r w:rsidR="00D50EBC">
              <w:rPr>
                <w:rFonts w:asciiTheme="minorHAnsi" w:hAnsiTheme="minorHAnsi" w:cstheme="minorHAnsi"/>
                <w:sz w:val="16"/>
                <w:szCs w:val="16"/>
                <w:u w:val="single"/>
              </w:rPr>
              <w:t>A</w:t>
            </w:r>
            <w:r w:rsidRPr="00691084">
              <w:rPr>
                <w:rFonts w:asciiTheme="minorHAnsi" w:hAnsiTheme="minorHAnsi" w:cstheme="minorHAnsi"/>
                <w:sz w:val="16"/>
                <w:szCs w:val="16"/>
                <w:u w:val="single"/>
              </w:rPr>
              <w:t xml:space="preserve">OR (95% CI) for NM (ref=M and non-daily smoker): </w:t>
            </w:r>
          </w:p>
          <w:p w14:paraId="1BB29C04" w14:textId="77777777" w:rsidR="00881FE9" w:rsidRPr="00691084" w:rsidRDefault="00881FE9" w:rsidP="00881FE9">
            <w:pPr>
              <w:rPr>
                <w:rFonts w:asciiTheme="minorHAnsi" w:hAnsiTheme="minorHAnsi" w:cstheme="minorHAnsi"/>
                <w:i/>
                <w:sz w:val="16"/>
                <w:szCs w:val="16"/>
              </w:rPr>
            </w:pPr>
            <w:r w:rsidRPr="00691084">
              <w:rPr>
                <w:rFonts w:asciiTheme="minorHAnsi" w:hAnsiTheme="minorHAnsi" w:cstheme="minorHAnsi"/>
                <w:i/>
                <w:sz w:val="16"/>
                <w:szCs w:val="16"/>
              </w:rPr>
              <w:t>Model 1</w:t>
            </w:r>
          </w:p>
          <w:p w14:paraId="2E18042B"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1.07 (1.01 to 1.12)</w:t>
            </w:r>
          </w:p>
          <w:p w14:paraId="6A64C0BB"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(p=0.01)</w:t>
            </w:r>
          </w:p>
          <w:p w14:paraId="3642C157" w14:textId="77777777" w:rsidR="00881FE9" w:rsidRPr="00691084" w:rsidRDefault="00881FE9" w:rsidP="00881FE9">
            <w:pPr>
              <w:rPr>
                <w:rFonts w:asciiTheme="minorHAnsi" w:hAnsiTheme="minorHAnsi" w:cstheme="minorHAnsi"/>
                <w:i/>
                <w:sz w:val="16"/>
                <w:szCs w:val="16"/>
              </w:rPr>
            </w:pPr>
            <w:r w:rsidRPr="00691084">
              <w:rPr>
                <w:rFonts w:asciiTheme="minorHAnsi" w:hAnsiTheme="minorHAnsi" w:cstheme="minorHAnsi"/>
                <w:i/>
                <w:sz w:val="16"/>
                <w:szCs w:val="16"/>
              </w:rPr>
              <w:t>Model 2</w:t>
            </w:r>
            <w:r w:rsidRPr="00691084">
              <w:rPr>
                <w:rFonts w:asciiTheme="minorHAnsi" w:hAnsiTheme="minorHAnsi" w:cstheme="minorHAnsi"/>
                <w:i/>
                <w:sz w:val="16"/>
                <w:szCs w:val="16"/>
                <w:vertAlign w:val="superscript"/>
              </w:rPr>
              <w:t>c</w:t>
            </w:r>
          </w:p>
          <w:p w14:paraId="3A0006AA"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1.08 (1.03 to 1.14)</w:t>
            </w:r>
          </w:p>
          <w:p w14:paraId="2E0C7C5A"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(p=0.002)</w:t>
            </w:r>
          </w:p>
          <w:p w14:paraId="300B654F" w14:textId="77777777" w:rsidR="00881FE9" w:rsidRPr="00691084" w:rsidRDefault="00881FE9" w:rsidP="00881FE9">
            <w:pPr>
              <w:rPr>
                <w:rFonts w:asciiTheme="minorHAnsi" w:hAnsiTheme="minorHAnsi" w:cstheme="minorHAnsi"/>
                <w:i/>
                <w:sz w:val="16"/>
                <w:szCs w:val="16"/>
              </w:rPr>
            </w:pPr>
            <w:r w:rsidRPr="00691084">
              <w:rPr>
                <w:rFonts w:asciiTheme="minorHAnsi" w:hAnsiTheme="minorHAnsi" w:cstheme="minorHAnsi"/>
                <w:i/>
                <w:sz w:val="16"/>
                <w:szCs w:val="16"/>
              </w:rPr>
              <w:t>Model 2</w:t>
            </w:r>
            <w:r w:rsidRPr="00691084">
              <w:rPr>
                <w:rFonts w:asciiTheme="minorHAnsi" w:hAnsiTheme="minorHAnsi" w:cstheme="minorHAnsi"/>
                <w:i/>
                <w:sz w:val="16"/>
                <w:szCs w:val="16"/>
                <w:vertAlign w:val="superscript"/>
              </w:rPr>
              <w:t>d</w:t>
            </w:r>
          </w:p>
          <w:p w14:paraId="403A4EA8"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1.08 (1.02 to 1.15)</w:t>
            </w:r>
          </w:p>
          <w:p w14:paraId="17E85D66"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(p=0.01)</w:t>
            </w:r>
          </w:p>
        </w:tc>
      </w:tr>
      <w:tr w:rsidR="004149DE" w:rsidRPr="00691084" w14:paraId="6CFD5D21" w14:textId="77777777" w:rsidTr="00881FE9">
        <w:tc>
          <w:tcPr>
            <w:tcW w:w="1975" w:type="dxa"/>
          </w:tcPr>
          <w:p w14:paraId="51240033" w14:textId="2DD1AADF" w:rsidR="00881FE9" w:rsidRPr="00382374" w:rsidRDefault="00D2134A" w:rsidP="00881FE9">
            <w:pPr>
              <w:rPr>
                <w:rFonts w:asciiTheme="minorHAnsi" w:hAnsiTheme="minorHAnsi" w:cstheme="minorHAnsi"/>
                <w:sz w:val="16"/>
                <w:szCs w:val="16"/>
                <w:vertAlign w:val="superscript"/>
              </w:rPr>
            </w:pP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51" w:tooltip="Curtin, 2014 #13" w:history="1">
              <w:r w:rsidR="00A234A9">
                <w:rPr>
                  <w:rFonts w:cstheme="minorHAnsi"/>
                  <w:noProof/>
                  <w:sz w:val="16"/>
                  <w:szCs w:val="16"/>
                </w:rPr>
                <w:t>51</w:t>
              </w:r>
            </w:hyperlink>
            <w:r>
              <w:rPr>
                <w:rFonts w:cstheme="minorHAnsi"/>
                <w:noProof/>
                <w:sz w:val="16"/>
                <w:szCs w:val="16"/>
              </w:rPr>
              <w:t>)</w:t>
            </w:r>
            <w:r>
              <w:rPr>
                <w:rFonts w:cstheme="minorHAnsi"/>
                <w:sz w:val="16"/>
                <w:szCs w:val="16"/>
              </w:rPr>
              <w:fldChar w:fldCharType="end"/>
            </w:r>
          </w:p>
          <w:p w14:paraId="6D28755F"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NHIS</w:t>
            </w:r>
            <w:r w:rsidR="00D50EBC" w:rsidRPr="00691084">
              <w:rPr>
                <w:rFonts w:asciiTheme="minorHAnsi" w:hAnsiTheme="minorHAnsi" w:cstheme="minorHAnsi"/>
                <w:sz w:val="16"/>
                <w:szCs w:val="16"/>
                <w:vertAlign w:val="superscript"/>
              </w:rPr>
              <w:t>a</w:t>
            </w:r>
          </w:p>
          <w:p w14:paraId="442BBD57"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None</w:t>
            </w:r>
          </w:p>
        </w:tc>
        <w:tc>
          <w:tcPr>
            <w:tcW w:w="1170" w:type="dxa"/>
          </w:tcPr>
          <w:p w14:paraId="5D0B87F3"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Independent;</w:t>
            </w:r>
          </w:p>
          <w:p w14:paraId="1E6B4AD9"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Linear regression;</w:t>
            </w:r>
          </w:p>
          <w:p w14:paraId="15232AF2"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Age, gender, race/ethnicity</w:t>
            </w:r>
          </w:p>
        </w:tc>
        <w:tc>
          <w:tcPr>
            <w:tcW w:w="1440" w:type="dxa"/>
          </w:tcPr>
          <w:p w14:paraId="01333DAA"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Age first started to smoke cigs fairly regularly</w:t>
            </w:r>
          </w:p>
        </w:tc>
        <w:tc>
          <w:tcPr>
            <w:tcW w:w="1530" w:type="dxa"/>
          </w:tcPr>
          <w:p w14:paraId="25D15BA1" w14:textId="77777777" w:rsidR="00881FE9" w:rsidRPr="00691084" w:rsidRDefault="00881FE9" w:rsidP="00881FE9">
            <w:pPr>
              <w:rPr>
                <w:rFonts w:asciiTheme="minorHAnsi" w:hAnsiTheme="minorHAnsi" w:cstheme="minorHAnsi"/>
                <w:sz w:val="16"/>
                <w:szCs w:val="16"/>
                <w:u w:val="single"/>
              </w:rPr>
            </w:pPr>
            <w:r w:rsidRPr="00691084">
              <w:rPr>
                <w:rFonts w:asciiTheme="minorHAnsi" w:hAnsiTheme="minorHAnsi" w:cstheme="minorHAnsi"/>
                <w:sz w:val="16"/>
                <w:szCs w:val="16"/>
                <w:u w:val="single"/>
              </w:rPr>
              <w:t xml:space="preserve">Smoked ≥1 day in past 30 days </w:t>
            </w:r>
          </w:p>
          <w:p w14:paraId="6BB50428"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NM β (SE) -0.11 (0.13); 95% CI -0.36 to 0.14 (p=0.38)</w:t>
            </w:r>
          </w:p>
          <w:p w14:paraId="1A6D619D" w14:textId="77777777" w:rsidR="00881FE9" w:rsidRPr="00691084" w:rsidRDefault="00881FE9" w:rsidP="00881FE9">
            <w:pPr>
              <w:rPr>
                <w:rFonts w:asciiTheme="minorHAnsi" w:hAnsiTheme="minorHAnsi" w:cstheme="minorHAnsi"/>
                <w:sz w:val="16"/>
                <w:szCs w:val="16"/>
                <w:u w:val="single"/>
              </w:rPr>
            </w:pPr>
            <w:r w:rsidRPr="00691084">
              <w:rPr>
                <w:rFonts w:asciiTheme="minorHAnsi" w:hAnsiTheme="minorHAnsi" w:cstheme="minorHAnsi"/>
                <w:sz w:val="16"/>
                <w:szCs w:val="16"/>
                <w:u w:val="single"/>
              </w:rPr>
              <w:t xml:space="preserve">Smoked ≥10 days in past 30 days </w:t>
            </w:r>
          </w:p>
          <w:p w14:paraId="714695A1"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NM β (SE) -0.10 (0.13); 95% CI -0.36 to 0.15 (p=0.43)</w:t>
            </w:r>
          </w:p>
          <w:p w14:paraId="3BE73A46" w14:textId="77777777" w:rsidR="00881FE9" w:rsidRPr="00691084" w:rsidRDefault="00881FE9" w:rsidP="00881FE9">
            <w:pPr>
              <w:rPr>
                <w:rFonts w:asciiTheme="minorHAnsi" w:hAnsiTheme="minorHAnsi" w:cstheme="minorHAnsi"/>
                <w:sz w:val="16"/>
                <w:szCs w:val="16"/>
                <w:u w:val="single"/>
              </w:rPr>
            </w:pPr>
            <w:r w:rsidRPr="00691084">
              <w:rPr>
                <w:rFonts w:asciiTheme="minorHAnsi" w:hAnsiTheme="minorHAnsi" w:cstheme="minorHAnsi"/>
                <w:sz w:val="16"/>
                <w:szCs w:val="16"/>
                <w:u w:val="single"/>
              </w:rPr>
              <w:lastRenderedPageBreak/>
              <w:t xml:space="preserve">Smoked daily in past 30 days </w:t>
            </w:r>
          </w:p>
          <w:p w14:paraId="30B361C7"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NM β (SE) -0.14 (0.14); 95% CI -0.41 to 0.13 (p=0.32)</w:t>
            </w:r>
          </w:p>
        </w:tc>
        <w:tc>
          <w:tcPr>
            <w:tcW w:w="1530" w:type="dxa"/>
          </w:tcPr>
          <w:p w14:paraId="6CBADAAB"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lastRenderedPageBreak/>
              <w:t>NR</w:t>
            </w:r>
          </w:p>
        </w:tc>
        <w:tc>
          <w:tcPr>
            <w:tcW w:w="1530" w:type="dxa"/>
          </w:tcPr>
          <w:p w14:paraId="5763C7FB"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NR</w:t>
            </w:r>
          </w:p>
        </w:tc>
        <w:tc>
          <w:tcPr>
            <w:tcW w:w="1260" w:type="dxa"/>
          </w:tcPr>
          <w:p w14:paraId="29FBDDBF"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NR</w:t>
            </w:r>
          </w:p>
        </w:tc>
        <w:tc>
          <w:tcPr>
            <w:tcW w:w="3027" w:type="dxa"/>
          </w:tcPr>
          <w:p w14:paraId="3E76C200"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NR</w:t>
            </w:r>
          </w:p>
        </w:tc>
      </w:tr>
      <w:tr w:rsidR="004149DE" w:rsidRPr="00691084" w14:paraId="48F88F90" w14:textId="77777777" w:rsidTr="00881FE9">
        <w:tc>
          <w:tcPr>
            <w:tcW w:w="1975" w:type="dxa"/>
          </w:tcPr>
          <w:p w14:paraId="4EEAA0BE" w14:textId="582B3585" w:rsidR="00881FE9" w:rsidRPr="00382374" w:rsidRDefault="00D2134A" w:rsidP="00881FE9">
            <w:pPr>
              <w:rPr>
                <w:rFonts w:asciiTheme="minorHAnsi" w:hAnsiTheme="minorHAnsi" w:cstheme="minorHAnsi"/>
                <w:sz w:val="16"/>
                <w:szCs w:val="16"/>
                <w:vertAlign w:val="superscript"/>
              </w:rPr>
            </w:pP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51" w:tooltip="Curtin, 2014 #13" w:history="1">
              <w:r w:rsidR="00A234A9">
                <w:rPr>
                  <w:rFonts w:cstheme="minorHAnsi"/>
                  <w:noProof/>
                  <w:sz w:val="16"/>
                  <w:szCs w:val="16"/>
                </w:rPr>
                <w:t>51</w:t>
              </w:r>
            </w:hyperlink>
            <w:r>
              <w:rPr>
                <w:rFonts w:cstheme="minorHAnsi"/>
                <w:noProof/>
                <w:sz w:val="16"/>
                <w:szCs w:val="16"/>
              </w:rPr>
              <w:t>)</w:t>
            </w:r>
            <w:r>
              <w:rPr>
                <w:rFonts w:cstheme="minorHAnsi"/>
                <w:sz w:val="16"/>
                <w:szCs w:val="16"/>
              </w:rPr>
              <w:fldChar w:fldCharType="end"/>
            </w:r>
          </w:p>
          <w:p w14:paraId="1A256647"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NHIS</w:t>
            </w:r>
            <w:r w:rsidRPr="00691084">
              <w:rPr>
                <w:rFonts w:asciiTheme="minorHAnsi" w:hAnsiTheme="minorHAnsi" w:cstheme="minorHAnsi"/>
                <w:sz w:val="16"/>
                <w:szCs w:val="16"/>
                <w:vertAlign w:val="superscript"/>
              </w:rPr>
              <w:t>a</w:t>
            </w:r>
          </w:p>
          <w:p w14:paraId="27D16FAF"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Adults</w:t>
            </w:r>
          </w:p>
        </w:tc>
        <w:tc>
          <w:tcPr>
            <w:tcW w:w="1170" w:type="dxa"/>
          </w:tcPr>
          <w:p w14:paraId="28B667C4"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Independent;</w:t>
            </w:r>
          </w:p>
          <w:p w14:paraId="78B77FD9"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Logistic regression;</w:t>
            </w:r>
          </w:p>
          <w:p w14:paraId="32B0AA22"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Model 1:</w:t>
            </w:r>
          </w:p>
          <w:p w14:paraId="3E7BAF65"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 xml:space="preserve">Age, gender, race/ethnicity, </w:t>
            </w:r>
          </w:p>
          <w:p w14:paraId="2A0495C0"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Model 2:</w:t>
            </w:r>
          </w:p>
          <w:p w14:paraId="0CF1BB59"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Age, gender, race/ethnicity, age at initiation, CPD, quit attempt in past year, intent to quit</w:t>
            </w:r>
          </w:p>
        </w:tc>
        <w:tc>
          <w:tcPr>
            <w:tcW w:w="1440" w:type="dxa"/>
          </w:tcPr>
          <w:p w14:paraId="30ACFB95" w14:textId="77777777" w:rsidR="00881FE9" w:rsidRPr="00691084" w:rsidRDefault="00621FF9" w:rsidP="00881FE9">
            <w:pPr>
              <w:rPr>
                <w:rFonts w:asciiTheme="minorHAnsi" w:hAnsiTheme="minorHAnsi" w:cstheme="minorHAnsi"/>
                <w:sz w:val="16"/>
                <w:szCs w:val="16"/>
              </w:rPr>
            </w:pPr>
            <w:r w:rsidRPr="00691084">
              <w:rPr>
                <w:rFonts w:asciiTheme="minorHAnsi" w:hAnsiTheme="minorHAnsi" w:cstheme="minorHAnsi"/>
                <w:sz w:val="16"/>
                <w:szCs w:val="16"/>
              </w:rPr>
              <w:t>Answering either daily, regular (10+ days during the past 30), or past (1+ days during the past 30) month to the question, “On how many of the past 30 days did you smoke a cigarette?”</w:t>
            </w:r>
          </w:p>
        </w:tc>
        <w:tc>
          <w:tcPr>
            <w:tcW w:w="1530" w:type="dxa"/>
          </w:tcPr>
          <w:p w14:paraId="773C4A15" w14:textId="77777777" w:rsidR="00881FE9" w:rsidRPr="00691084" w:rsidRDefault="00881FE9" w:rsidP="00881FE9">
            <w:pPr>
              <w:rPr>
                <w:rFonts w:asciiTheme="minorHAnsi" w:hAnsiTheme="minorHAnsi" w:cstheme="minorHAnsi"/>
                <w:sz w:val="16"/>
                <w:szCs w:val="16"/>
                <w:u w:val="single"/>
              </w:rPr>
            </w:pPr>
            <w:r w:rsidRPr="00691084">
              <w:rPr>
                <w:rFonts w:asciiTheme="minorHAnsi" w:hAnsiTheme="minorHAnsi" w:cstheme="minorHAnsi"/>
                <w:sz w:val="16"/>
                <w:szCs w:val="16"/>
              </w:rPr>
              <w:t>NR</w:t>
            </w:r>
          </w:p>
        </w:tc>
        <w:tc>
          <w:tcPr>
            <w:tcW w:w="1530" w:type="dxa"/>
          </w:tcPr>
          <w:p w14:paraId="5EF3085B"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NR</w:t>
            </w:r>
          </w:p>
        </w:tc>
        <w:tc>
          <w:tcPr>
            <w:tcW w:w="1530" w:type="dxa"/>
          </w:tcPr>
          <w:p w14:paraId="2C94674C"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NR</w:t>
            </w:r>
          </w:p>
        </w:tc>
        <w:tc>
          <w:tcPr>
            <w:tcW w:w="1260" w:type="dxa"/>
          </w:tcPr>
          <w:p w14:paraId="544B9916"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NR</w:t>
            </w:r>
          </w:p>
        </w:tc>
        <w:tc>
          <w:tcPr>
            <w:tcW w:w="3027" w:type="dxa"/>
          </w:tcPr>
          <w:p w14:paraId="733CCFF5"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u w:val="single"/>
              </w:rPr>
              <w:t xml:space="preserve">Daily smoker, </w:t>
            </w:r>
            <w:r w:rsidR="00D50EBC">
              <w:rPr>
                <w:rFonts w:asciiTheme="minorHAnsi" w:hAnsiTheme="minorHAnsi" w:cstheme="minorHAnsi"/>
                <w:sz w:val="16"/>
                <w:szCs w:val="16"/>
                <w:u w:val="single"/>
              </w:rPr>
              <w:t>A</w:t>
            </w:r>
            <w:r w:rsidRPr="00691084">
              <w:rPr>
                <w:rFonts w:asciiTheme="minorHAnsi" w:hAnsiTheme="minorHAnsi" w:cstheme="minorHAnsi"/>
                <w:sz w:val="16"/>
                <w:szCs w:val="16"/>
                <w:u w:val="single"/>
              </w:rPr>
              <w:t xml:space="preserve">OR (95% CI) for NM (ref=M and non-daily smoker): </w:t>
            </w:r>
          </w:p>
          <w:p w14:paraId="7F02EA94" w14:textId="77777777" w:rsidR="00881FE9" w:rsidRPr="00691084" w:rsidRDefault="00881FE9" w:rsidP="00881FE9">
            <w:pPr>
              <w:rPr>
                <w:rFonts w:asciiTheme="minorHAnsi" w:hAnsiTheme="minorHAnsi" w:cstheme="minorHAnsi"/>
                <w:i/>
                <w:sz w:val="16"/>
                <w:szCs w:val="16"/>
              </w:rPr>
            </w:pPr>
            <w:r w:rsidRPr="00691084">
              <w:rPr>
                <w:rFonts w:asciiTheme="minorHAnsi" w:hAnsiTheme="minorHAnsi" w:cstheme="minorHAnsi"/>
                <w:i/>
                <w:sz w:val="16"/>
                <w:szCs w:val="16"/>
              </w:rPr>
              <w:t>Model 1</w:t>
            </w:r>
          </w:p>
          <w:p w14:paraId="2DEE2448"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0.94 (0.81 to 1.09)</w:t>
            </w:r>
          </w:p>
          <w:p w14:paraId="23F2A304"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(p=0.39)</w:t>
            </w:r>
          </w:p>
          <w:p w14:paraId="2E64A785" w14:textId="77777777" w:rsidR="00881FE9" w:rsidRPr="00691084" w:rsidRDefault="00881FE9" w:rsidP="00881FE9">
            <w:pPr>
              <w:rPr>
                <w:rFonts w:asciiTheme="minorHAnsi" w:hAnsiTheme="minorHAnsi" w:cstheme="minorHAnsi"/>
                <w:i/>
                <w:sz w:val="16"/>
                <w:szCs w:val="16"/>
              </w:rPr>
            </w:pPr>
            <w:r w:rsidRPr="00691084">
              <w:rPr>
                <w:rFonts w:asciiTheme="minorHAnsi" w:hAnsiTheme="minorHAnsi" w:cstheme="minorHAnsi"/>
                <w:i/>
                <w:sz w:val="16"/>
                <w:szCs w:val="16"/>
              </w:rPr>
              <w:t>Model 2</w:t>
            </w:r>
          </w:p>
          <w:p w14:paraId="667B75B3"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0.81 (0.65 to 1.01)</w:t>
            </w:r>
          </w:p>
          <w:p w14:paraId="295F52CF"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(p=0.07)</w:t>
            </w:r>
          </w:p>
        </w:tc>
      </w:tr>
      <w:tr w:rsidR="004149DE" w:rsidRPr="00691084" w14:paraId="38348C53" w14:textId="77777777" w:rsidTr="00881FE9">
        <w:tc>
          <w:tcPr>
            <w:tcW w:w="1975" w:type="dxa"/>
          </w:tcPr>
          <w:p w14:paraId="02A86248" w14:textId="1F958FC0" w:rsidR="00881FE9" w:rsidRPr="00382374" w:rsidRDefault="00D2134A" w:rsidP="00881FE9">
            <w:pPr>
              <w:rPr>
                <w:rFonts w:asciiTheme="minorHAnsi" w:hAnsiTheme="minorHAnsi" w:cstheme="minorHAnsi"/>
                <w:sz w:val="16"/>
                <w:szCs w:val="16"/>
                <w:vertAlign w:val="superscript"/>
              </w:rPr>
            </w:pP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51" w:tooltip="Curtin, 2014 #13" w:history="1">
              <w:r w:rsidR="00A234A9">
                <w:rPr>
                  <w:rFonts w:cstheme="minorHAnsi"/>
                  <w:noProof/>
                  <w:sz w:val="16"/>
                  <w:szCs w:val="16"/>
                </w:rPr>
                <w:t>51</w:t>
              </w:r>
            </w:hyperlink>
            <w:r>
              <w:rPr>
                <w:rFonts w:cstheme="minorHAnsi"/>
                <w:noProof/>
                <w:sz w:val="16"/>
                <w:szCs w:val="16"/>
              </w:rPr>
              <w:t>)</w:t>
            </w:r>
            <w:r>
              <w:rPr>
                <w:rFonts w:cstheme="minorHAnsi"/>
                <w:sz w:val="16"/>
                <w:szCs w:val="16"/>
              </w:rPr>
              <w:fldChar w:fldCharType="end"/>
            </w:r>
          </w:p>
          <w:p w14:paraId="10CF04E7"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TUS-CPS</w:t>
            </w:r>
            <w:r w:rsidR="00D50EBC" w:rsidRPr="00691084">
              <w:rPr>
                <w:rFonts w:asciiTheme="minorHAnsi" w:hAnsiTheme="minorHAnsi" w:cstheme="minorHAnsi"/>
                <w:sz w:val="16"/>
                <w:szCs w:val="16"/>
                <w:vertAlign w:val="superscript"/>
              </w:rPr>
              <w:t>a</w:t>
            </w:r>
          </w:p>
          <w:p w14:paraId="70FBD3DB"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Adults</w:t>
            </w:r>
          </w:p>
        </w:tc>
        <w:tc>
          <w:tcPr>
            <w:tcW w:w="1170" w:type="dxa"/>
          </w:tcPr>
          <w:p w14:paraId="07FB6369"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Independent;</w:t>
            </w:r>
          </w:p>
          <w:p w14:paraId="52216785"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Linear regression;</w:t>
            </w:r>
          </w:p>
          <w:p w14:paraId="668D31E1"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Age, gender, race/ethnicity</w:t>
            </w:r>
          </w:p>
        </w:tc>
        <w:tc>
          <w:tcPr>
            <w:tcW w:w="1440" w:type="dxa"/>
          </w:tcPr>
          <w:p w14:paraId="51BF7967"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Age first started to smoke cigs fairly regularly</w:t>
            </w:r>
          </w:p>
        </w:tc>
        <w:tc>
          <w:tcPr>
            <w:tcW w:w="1530" w:type="dxa"/>
          </w:tcPr>
          <w:p w14:paraId="39A13724" w14:textId="77777777" w:rsidR="00881FE9" w:rsidRPr="00691084" w:rsidRDefault="00881FE9" w:rsidP="00881FE9">
            <w:pPr>
              <w:rPr>
                <w:rFonts w:asciiTheme="minorHAnsi" w:hAnsiTheme="minorHAnsi" w:cstheme="minorHAnsi"/>
                <w:sz w:val="16"/>
                <w:szCs w:val="16"/>
                <w:u w:val="single"/>
              </w:rPr>
            </w:pPr>
            <w:r w:rsidRPr="00691084">
              <w:rPr>
                <w:rFonts w:asciiTheme="minorHAnsi" w:hAnsiTheme="minorHAnsi" w:cstheme="minorHAnsi"/>
                <w:sz w:val="16"/>
                <w:szCs w:val="16"/>
                <w:u w:val="single"/>
              </w:rPr>
              <w:t xml:space="preserve">Smoked ≥1 day in past 30 days </w:t>
            </w:r>
          </w:p>
          <w:p w14:paraId="78CD27EE"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NM β (SE) -0.20 (0.02); 95% CI -0.24 to -0.16 (p&lt;0.001)</w:t>
            </w:r>
          </w:p>
          <w:p w14:paraId="7181DD14" w14:textId="77777777" w:rsidR="00881FE9" w:rsidRPr="00691084" w:rsidRDefault="00881FE9" w:rsidP="00881FE9">
            <w:pPr>
              <w:rPr>
                <w:rFonts w:asciiTheme="minorHAnsi" w:hAnsiTheme="minorHAnsi" w:cstheme="minorHAnsi"/>
                <w:sz w:val="16"/>
                <w:szCs w:val="16"/>
                <w:u w:val="single"/>
              </w:rPr>
            </w:pPr>
            <w:r w:rsidRPr="00691084">
              <w:rPr>
                <w:rFonts w:asciiTheme="minorHAnsi" w:hAnsiTheme="minorHAnsi" w:cstheme="minorHAnsi"/>
                <w:sz w:val="16"/>
                <w:szCs w:val="16"/>
                <w:u w:val="single"/>
              </w:rPr>
              <w:t xml:space="preserve">Smoked ≥10 days in past 30 days </w:t>
            </w:r>
          </w:p>
          <w:p w14:paraId="1E0B3FC7"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NM β (SE) -0.21 (0.02); 95% CI -0.25 to -0.17 (p&lt;0.001)</w:t>
            </w:r>
          </w:p>
          <w:p w14:paraId="309A8458" w14:textId="77777777" w:rsidR="00881FE9" w:rsidRPr="00691084" w:rsidRDefault="00881FE9" w:rsidP="00881FE9">
            <w:pPr>
              <w:rPr>
                <w:rFonts w:asciiTheme="minorHAnsi" w:hAnsiTheme="minorHAnsi" w:cstheme="minorHAnsi"/>
                <w:sz w:val="16"/>
                <w:szCs w:val="16"/>
                <w:u w:val="single"/>
              </w:rPr>
            </w:pPr>
            <w:r w:rsidRPr="00691084">
              <w:rPr>
                <w:rFonts w:asciiTheme="minorHAnsi" w:hAnsiTheme="minorHAnsi" w:cstheme="minorHAnsi"/>
                <w:sz w:val="16"/>
                <w:szCs w:val="16"/>
                <w:u w:val="single"/>
              </w:rPr>
              <w:t xml:space="preserve">Smoked daily in past 30 days </w:t>
            </w:r>
          </w:p>
          <w:p w14:paraId="32D3EFA6"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NM β (SE) -0.23 (0.02); 95% CI -0.26 to -0.19 (p&lt;0.0001)</w:t>
            </w:r>
          </w:p>
        </w:tc>
        <w:tc>
          <w:tcPr>
            <w:tcW w:w="1530" w:type="dxa"/>
          </w:tcPr>
          <w:p w14:paraId="079D7851"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NR</w:t>
            </w:r>
          </w:p>
        </w:tc>
        <w:tc>
          <w:tcPr>
            <w:tcW w:w="1530" w:type="dxa"/>
          </w:tcPr>
          <w:p w14:paraId="3F1D7A11"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NR</w:t>
            </w:r>
          </w:p>
        </w:tc>
        <w:tc>
          <w:tcPr>
            <w:tcW w:w="1260" w:type="dxa"/>
          </w:tcPr>
          <w:p w14:paraId="68E0B251"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NR</w:t>
            </w:r>
          </w:p>
        </w:tc>
        <w:tc>
          <w:tcPr>
            <w:tcW w:w="3027" w:type="dxa"/>
          </w:tcPr>
          <w:p w14:paraId="0F25CCF5"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NR</w:t>
            </w:r>
          </w:p>
        </w:tc>
      </w:tr>
      <w:tr w:rsidR="004149DE" w:rsidRPr="00691084" w14:paraId="0C516D45" w14:textId="77777777" w:rsidTr="00881FE9">
        <w:tc>
          <w:tcPr>
            <w:tcW w:w="1975" w:type="dxa"/>
          </w:tcPr>
          <w:p w14:paraId="52F82444" w14:textId="4D868169" w:rsidR="00881FE9" w:rsidRPr="00382374" w:rsidRDefault="00D2134A" w:rsidP="00881FE9">
            <w:pPr>
              <w:rPr>
                <w:rFonts w:asciiTheme="minorHAnsi" w:hAnsiTheme="minorHAnsi" w:cstheme="minorHAnsi"/>
                <w:sz w:val="16"/>
                <w:szCs w:val="16"/>
                <w:vertAlign w:val="superscript"/>
              </w:rPr>
            </w:pP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51" w:tooltip="Curtin, 2014 #13" w:history="1">
              <w:r w:rsidR="00A234A9">
                <w:rPr>
                  <w:rFonts w:cstheme="minorHAnsi"/>
                  <w:noProof/>
                  <w:sz w:val="16"/>
                  <w:szCs w:val="16"/>
                </w:rPr>
                <w:t>51</w:t>
              </w:r>
            </w:hyperlink>
            <w:r>
              <w:rPr>
                <w:rFonts w:cstheme="minorHAnsi"/>
                <w:noProof/>
                <w:sz w:val="16"/>
                <w:szCs w:val="16"/>
              </w:rPr>
              <w:t>)</w:t>
            </w:r>
            <w:r>
              <w:rPr>
                <w:rFonts w:cstheme="minorHAnsi"/>
                <w:sz w:val="16"/>
                <w:szCs w:val="16"/>
              </w:rPr>
              <w:fldChar w:fldCharType="end"/>
            </w:r>
          </w:p>
          <w:p w14:paraId="149435EC"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TUS-CPS</w:t>
            </w:r>
            <w:r w:rsidRPr="00691084">
              <w:rPr>
                <w:rFonts w:asciiTheme="minorHAnsi" w:hAnsiTheme="minorHAnsi" w:cstheme="minorHAnsi"/>
                <w:sz w:val="16"/>
                <w:szCs w:val="16"/>
                <w:vertAlign w:val="superscript"/>
              </w:rPr>
              <w:t>a</w:t>
            </w:r>
          </w:p>
          <w:p w14:paraId="14E563D2"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Adults</w:t>
            </w:r>
          </w:p>
        </w:tc>
        <w:tc>
          <w:tcPr>
            <w:tcW w:w="1170" w:type="dxa"/>
          </w:tcPr>
          <w:p w14:paraId="3F3334E6"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Independent;</w:t>
            </w:r>
          </w:p>
          <w:p w14:paraId="2A812B94"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Logistic regression;</w:t>
            </w:r>
          </w:p>
          <w:p w14:paraId="3871A64E"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Model 1:</w:t>
            </w:r>
          </w:p>
          <w:p w14:paraId="7B05DA7F"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Age, gender, race/ethnicity</w:t>
            </w:r>
          </w:p>
          <w:p w14:paraId="2A9C2403"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lastRenderedPageBreak/>
              <w:t>Model 2:</w:t>
            </w:r>
          </w:p>
          <w:p w14:paraId="431E53E4"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Age, gender, race/ethnicity, TTFC, age at initiation, CPD, past quit attempt</w:t>
            </w:r>
          </w:p>
        </w:tc>
        <w:tc>
          <w:tcPr>
            <w:tcW w:w="1440" w:type="dxa"/>
          </w:tcPr>
          <w:p w14:paraId="7D8532A2" w14:textId="77777777" w:rsidR="00881FE9" w:rsidRPr="00691084" w:rsidRDefault="00621FF9" w:rsidP="00881FE9">
            <w:pPr>
              <w:rPr>
                <w:rFonts w:asciiTheme="minorHAnsi" w:hAnsiTheme="minorHAnsi" w:cstheme="minorHAnsi"/>
                <w:sz w:val="16"/>
                <w:szCs w:val="16"/>
              </w:rPr>
            </w:pPr>
            <w:r w:rsidRPr="00691084">
              <w:rPr>
                <w:rFonts w:asciiTheme="minorHAnsi" w:hAnsiTheme="minorHAnsi" w:cstheme="minorHAnsi"/>
                <w:sz w:val="16"/>
                <w:szCs w:val="16"/>
              </w:rPr>
              <w:lastRenderedPageBreak/>
              <w:t xml:space="preserve">Answering either daily, regular (10+ days during the past 30), or past (1+ days during the past 30) </w:t>
            </w:r>
            <w:r w:rsidRPr="00691084">
              <w:rPr>
                <w:rFonts w:asciiTheme="minorHAnsi" w:hAnsiTheme="minorHAnsi" w:cstheme="minorHAnsi"/>
                <w:sz w:val="16"/>
                <w:szCs w:val="16"/>
              </w:rPr>
              <w:lastRenderedPageBreak/>
              <w:t>month to the question, “On how many of the past 30 days did you smoke cigarettes?”</w:t>
            </w:r>
          </w:p>
        </w:tc>
        <w:tc>
          <w:tcPr>
            <w:tcW w:w="1530" w:type="dxa"/>
          </w:tcPr>
          <w:p w14:paraId="79F464C3" w14:textId="77777777" w:rsidR="00881FE9" w:rsidRPr="00691084" w:rsidRDefault="00881FE9" w:rsidP="00881FE9">
            <w:pPr>
              <w:rPr>
                <w:rFonts w:asciiTheme="minorHAnsi" w:hAnsiTheme="minorHAnsi" w:cstheme="minorHAnsi"/>
                <w:sz w:val="16"/>
                <w:szCs w:val="16"/>
                <w:u w:val="single"/>
              </w:rPr>
            </w:pPr>
            <w:r w:rsidRPr="00691084">
              <w:rPr>
                <w:rFonts w:asciiTheme="minorHAnsi" w:hAnsiTheme="minorHAnsi" w:cstheme="minorHAnsi"/>
                <w:sz w:val="16"/>
                <w:szCs w:val="16"/>
              </w:rPr>
              <w:lastRenderedPageBreak/>
              <w:t>NR</w:t>
            </w:r>
          </w:p>
        </w:tc>
        <w:tc>
          <w:tcPr>
            <w:tcW w:w="1530" w:type="dxa"/>
          </w:tcPr>
          <w:p w14:paraId="2FCA8D0B"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NR</w:t>
            </w:r>
          </w:p>
        </w:tc>
        <w:tc>
          <w:tcPr>
            <w:tcW w:w="1530" w:type="dxa"/>
          </w:tcPr>
          <w:p w14:paraId="0891B0BF"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NR</w:t>
            </w:r>
          </w:p>
        </w:tc>
        <w:tc>
          <w:tcPr>
            <w:tcW w:w="1260" w:type="dxa"/>
          </w:tcPr>
          <w:p w14:paraId="58364961"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NR</w:t>
            </w:r>
          </w:p>
        </w:tc>
        <w:tc>
          <w:tcPr>
            <w:tcW w:w="3027" w:type="dxa"/>
          </w:tcPr>
          <w:p w14:paraId="35A9FEB5"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u w:val="single"/>
              </w:rPr>
              <w:t xml:space="preserve">Daily smoker, </w:t>
            </w:r>
            <w:r w:rsidR="00D50EBC">
              <w:rPr>
                <w:rFonts w:asciiTheme="minorHAnsi" w:hAnsiTheme="minorHAnsi" w:cstheme="minorHAnsi"/>
                <w:sz w:val="16"/>
                <w:szCs w:val="16"/>
                <w:u w:val="single"/>
              </w:rPr>
              <w:t>A</w:t>
            </w:r>
            <w:r w:rsidRPr="00691084">
              <w:rPr>
                <w:rFonts w:asciiTheme="minorHAnsi" w:hAnsiTheme="minorHAnsi" w:cstheme="minorHAnsi"/>
                <w:sz w:val="16"/>
                <w:szCs w:val="16"/>
                <w:u w:val="single"/>
              </w:rPr>
              <w:t xml:space="preserve">OR (95% CI) for NM (ref=M and non-daily smoker): </w:t>
            </w:r>
          </w:p>
          <w:p w14:paraId="559D31E1" w14:textId="77777777" w:rsidR="00881FE9" w:rsidRPr="00691084" w:rsidRDefault="00881FE9" w:rsidP="00881FE9">
            <w:pPr>
              <w:rPr>
                <w:rFonts w:asciiTheme="minorHAnsi" w:hAnsiTheme="minorHAnsi" w:cstheme="minorHAnsi"/>
                <w:i/>
                <w:sz w:val="16"/>
                <w:szCs w:val="16"/>
              </w:rPr>
            </w:pPr>
            <w:r w:rsidRPr="00691084">
              <w:rPr>
                <w:rFonts w:asciiTheme="minorHAnsi" w:hAnsiTheme="minorHAnsi" w:cstheme="minorHAnsi"/>
                <w:i/>
                <w:sz w:val="16"/>
                <w:szCs w:val="16"/>
              </w:rPr>
              <w:t>Model 1</w:t>
            </w:r>
          </w:p>
          <w:p w14:paraId="0A8F7390"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OR=0.99 (0.96 to 1.01), (p=0.22)</w:t>
            </w:r>
          </w:p>
          <w:p w14:paraId="3C51013A" w14:textId="77777777" w:rsidR="00881FE9" w:rsidRPr="00691084" w:rsidRDefault="00881FE9" w:rsidP="00881FE9">
            <w:pPr>
              <w:rPr>
                <w:rFonts w:asciiTheme="minorHAnsi" w:hAnsiTheme="minorHAnsi" w:cstheme="minorHAnsi"/>
                <w:i/>
                <w:sz w:val="16"/>
                <w:szCs w:val="16"/>
              </w:rPr>
            </w:pPr>
            <w:r w:rsidRPr="00691084">
              <w:rPr>
                <w:rFonts w:asciiTheme="minorHAnsi" w:hAnsiTheme="minorHAnsi" w:cstheme="minorHAnsi"/>
                <w:i/>
                <w:sz w:val="16"/>
                <w:szCs w:val="16"/>
              </w:rPr>
              <w:t>Model 2</w:t>
            </w:r>
          </w:p>
          <w:p w14:paraId="0AA8E477"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OR=0.94 (0.91 to 0.97), (p=0.0004)</w:t>
            </w:r>
          </w:p>
        </w:tc>
      </w:tr>
      <w:tr w:rsidR="004149DE" w:rsidRPr="00691084" w14:paraId="752498D3" w14:textId="77777777" w:rsidTr="00881FE9">
        <w:tc>
          <w:tcPr>
            <w:tcW w:w="1975" w:type="dxa"/>
          </w:tcPr>
          <w:p w14:paraId="2AD9A0D9" w14:textId="0ED61C88" w:rsidR="00881FE9" w:rsidRPr="00382374" w:rsidRDefault="00D2134A" w:rsidP="00881FE9">
            <w:pPr>
              <w:rPr>
                <w:rFonts w:asciiTheme="minorHAnsi" w:hAnsiTheme="minorHAnsi" w:cstheme="minorHAnsi"/>
                <w:sz w:val="16"/>
                <w:szCs w:val="16"/>
                <w:vertAlign w:val="superscript"/>
              </w:rPr>
            </w:pP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51" w:tooltip="Curtin, 2014 #13" w:history="1">
              <w:r w:rsidR="00A234A9">
                <w:rPr>
                  <w:rFonts w:cstheme="minorHAnsi"/>
                  <w:noProof/>
                  <w:sz w:val="16"/>
                  <w:szCs w:val="16"/>
                </w:rPr>
                <w:t>51</w:t>
              </w:r>
            </w:hyperlink>
            <w:r>
              <w:rPr>
                <w:rFonts w:cstheme="minorHAnsi"/>
                <w:noProof/>
                <w:sz w:val="16"/>
                <w:szCs w:val="16"/>
              </w:rPr>
              <w:t>)</w:t>
            </w:r>
            <w:r>
              <w:rPr>
                <w:rFonts w:cstheme="minorHAnsi"/>
                <w:sz w:val="16"/>
                <w:szCs w:val="16"/>
              </w:rPr>
              <w:fldChar w:fldCharType="end"/>
            </w:r>
          </w:p>
          <w:p w14:paraId="79FC61D2"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TUS-CPS</w:t>
            </w:r>
            <w:r w:rsidR="00D50EBC" w:rsidRPr="00691084">
              <w:rPr>
                <w:rFonts w:asciiTheme="minorHAnsi" w:hAnsiTheme="minorHAnsi" w:cstheme="minorHAnsi"/>
                <w:sz w:val="16"/>
                <w:szCs w:val="16"/>
                <w:vertAlign w:val="superscript"/>
              </w:rPr>
              <w:t>a</w:t>
            </w:r>
          </w:p>
          <w:p w14:paraId="6241AFF2"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Youth</w:t>
            </w:r>
          </w:p>
        </w:tc>
        <w:tc>
          <w:tcPr>
            <w:tcW w:w="1170" w:type="dxa"/>
          </w:tcPr>
          <w:p w14:paraId="0D07BE18"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Independent;</w:t>
            </w:r>
          </w:p>
          <w:p w14:paraId="7D1456C3"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Linear regression;</w:t>
            </w:r>
          </w:p>
          <w:p w14:paraId="105171F3"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Gender, race/ethnicity</w:t>
            </w:r>
          </w:p>
        </w:tc>
        <w:tc>
          <w:tcPr>
            <w:tcW w:w="1440" w:type="dxa"/>
          </w:tcPr>
          <w:p w14:paraId="1F8D3B8A"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Age first started to smoke cigs fairly regularly</w:t>
            </w:r>
          </w:p>
        </w:tc>
        <w:tc>
          <w:tcPr>
            <w:tcW w:w="1530" w:type="dxa"/>
          </w:tcPr>
          <w:p w14:paraId="0831E2D2" w14:textId="77777777" w:rsidR="00881FE9" w:rsidRPr="00691084" w:rsidRDefault="00881FE9" w:rsidP="00881FE9">
            <w:pPr>
              <w:rPr>
                <w:rFonts w:asciiTheme="minorHAnsi" w:hAnsiTheme="minorHAnsi" w:cstheme="minorHAnsi"/>
                <w:sz w:val="16"/>
                <w:szCs w:val="16"/>
                <w:u w:val="single"/>
              </w:rPr>
            </w:pPr>
            <w:r w:rsidRPr="00691084">
              <w:rPr>
                <w:rFonts w:asciiTheme="minorHAnsi" w:hAnsiTheme="minorHAnsi" w:cstheme="minorHAnsi"/>
                <w:sz w:val="16"/>
                <w:szCs w:val="16"/>
                <w:u w:val="single"/>
              </w:rPr>
              <w:t xml:space="preserve">Smoked ≥1 day in past 30 days </w:t>
            </w:r>
          </w:p>
          <w:p w14:paraId="7CD742EA"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 xml:space="preserve">NM β(SE) </w:t>
            </w:r>
          </w:p>
          <w:p w14:paraId="692F06CA"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0.17 (0.05); 95% CI 0.08 to 0.27</w:t>
            </w:r>
          </w:p>
          <w:p w14:paraId="4C244FEB" w14:textId="77777777" w:rsidR="00881FE9" w:rsidRPr="00691084" w:rsidRDefault="00881FE9" w:rsidP="00881FE9">
            <w:pPr>
              <w:rPr>
                <w:rFonts w:asciiTheme="minorHAnsi" w:hAnsiTheme="minorHAnsi" w:cstheme="minorHAnsi"/>
                <w:sz w:val="16"/>
                <w:szCs w:val="16"/>
                <w:u w:val="single"/>
              </w:rPr>
            </w:pPr>
            <w:r w:rsidRPr="00691084">
              <w:rPr>
                <w:rFonts w:asciiTheme="minorHAnsi" w:hAnsiTheme="minorHAnsi" w:cstheme="minorHAnsi"/>
                <w:sz w:val="16"/>
                <w:szCs w:val="16"/>
              </w:rPr>
              <w:t>(p&lt;0.001)</w:t>
            </w:r>
          </w:p>
          <w:p w14:paraId="281AD0BA" w14:textId="77777777" w:rsidR="00881FE9" w:rsidRPr="00691084" w:rsidRDefault="00881FE9" w:rsidP="00881FE9">
            <w:pPr>
              <w:rPr>
                <w:rFonts w:asciiTheme="minorHAnsi" w:hAnsiTheme="minorHAnsi" w:cstheme="minorHAnsi"/>
                <w:sz w:val="16"/>
                <w:szCs w:val="16"/>
                <w:u w:val="single"/>
              </w:rPr>
            </w:pPr>
            <w:r w:rsidRPr="00691084">
              <w:rPr>
                <w:rFonts w:asciiTheme="minorHAnsi" w:hAnsiTheme="minorHAnsi" w:cstheme="minorHAnsi"/>
                <w:sz w:val="16"/>
                <w:szCs w:val="16"/>
                <w:u w:val="single"/>
              </w:rPr>
              <w:t xml:space="preserve">Smoked ≥10 days in past 30 days </w:t>
            </w:r>
          </w:p>
          <w:p w14:paraId="27C627B2" w14:textId="77777777" w:rsidR="00881FE9" w:rsidRPr="00691084" w:rsidRDefault="00881FE9" w:rsidP="00881FE9">
            <w:pPr>
              <w:rPr>
                <w:rFonts w:asciiTheme="minorHAnsi" w:hAnsiTheme="minorHAnsi" w:cstheme="minorHAnsi"/>
                <w:sz w:val="16"/>
                <w:szCs w:val="16"/>
                <w:lang w:val="fr-FR"/>
              </w:rPr>
            </w:pPr>
            <w:r w:rsidRPr="00691084">
              <w:rPr>
                <w:rFonts w:asciiTheme="minorHAnsi" w:hAnsiTheme="minorHAnsi" w:cstheme="minorHAnsi"/>
                <w:sz w:val="16"/>
                <w:szCs w:val="16"/>
                <w:lang w:val="fr-FR"/>
              </w:rPr>
              <w:t xml:space="preserve">NM </w:t>
            </w:r>
            <w:r w:rsidRPr="00691084">
              <w:rPr>
                <w:rFonts w:asciiTheme="minorHAnsi" w:hAnsiTheme="minorHAnsi" w:cstheme="minorHAnsi"/>
                <w:sz w:val="16"/>
                <w:szCs w:val="16"/>
              </w:rPr>
              <w:t>β</w:t>
            </w:r>
            <w:r w:rsidRPr="00691084">
              <w:rPr>
                <w:rFonts w:asciiTheme="minorHAnsi" w:hAnsiTheme="minorHAnsi" w:cstheme="minorHAnsi"/>
                <w:sz w:val="16"/>
                <w:szCs w:val="16"/>
                <w:lang w:val="fr-FR"/>
              </w:rPr>
              <w:t>(SE) 0.20 (0.05); 95% CI 0.11 to 0.30</w:t>
            </w:r>
          </w:p>
          <w:p w14:paraId="77ED8D03" w14:textId="77777777" w:rsidR="00881FE9" w:rsidRPr="00691084" w:rsidRDefault="00881FE9" w:rsidP="00881FE9">
            <w:pPr>
              <w:rPr>
                <w:rFonts w:asciiTheme="minorHAnsi" w:hAnsiTheme="minorHAnsi" w:cstheme="minorHAnsi"/>
                <w:sz w:val="16"/>
                <w:szCs w:val="16"/>
                <w:u w:val="single"/>
                <w:lang w:val="fr-FR"/>
              </w:rPr>
            </w:pPr>
            <w:r w:rsidRPr="00691084">
              <w:rPr>
                <w:rFonts w:asciiTheme="minorHAnsi" w:hAnsiTheme="minorHAnsi" w:cstheme="minorHAnsi"/>
                <w:sz w:val="16"/>
                <w:szCs w:val="16"/>
                <w:lang w:val="fr-FR"/>
              </w:rPr>
              <w:t>(p&lt;0.0001)</w:t>
            </w:r>
          </w:p>
          <w:p w14:paraId="6F479284" w14:textId="77777777" w:rsidR="00881FE9" w:rsidRPr="00691084" w:rsidRDefault="00881FE9" w:rsidP="00881FE9">
            <w:pPr>
              <w:rPr>
                <w:rFonts w:asciiTheme="minorHAnsi" w:hAnsiTheme="minorHAnsi" w:cstheme="minorHAnsi"/>
                <w:sz w:val="16"/>
                <w:szCs w:val="16"/>
                <w:u w:val="single"/>
              </w:rPr>
            </w:pPr>
            <w:r w:rsidRPr="00691084">
              <w:rPr>
                <w:rFonts w:asciiTheme="minorHAnsi" w:hAnsiTheme="minorHAnsi" w:cstheme="minorHAnsi"/>
                <w:sz w:val="16"/>
                <w:szCs w:val="16"/>
                <w:u w:val="single"/>
              </w:rPr>
              <w:t xml:space="preserve">Smoked daily in past 30 days </w:t>
            </w:r>
          </w:p>
          <w:p w14:paraId="27CCB77C"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 xml:space="preserve">NM β (SE) </w:t>
            </w:r>
          </w:p>
          <w:p w14:paraId="73A7C851"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0.16 (0.06); 95% CI 0.05 to 0.27</w:t>
            </w:r>
          </w:p>
          <w:p w14:paraId="06BCB514"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(p=0.01)</w:t>
            </w:r>
          </w:p>
        </w:tc>
        <w:tc>
          <w:tcPr>
            <w:tcW w:w="1530" w:type="dxa"/>
          </w:tcPr>
          <w:p w14:paraId="107B783E"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NR</w:t>
            </w:r>
          </w:p>
        </w:tc>
        <w:tc>
          <w:tcPr>
            <w:tcW w:w="1530" w:type="dxa"/>
          </w:tcPr>
          <w:p w14:paraId="6BC089EF"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NR</w:t>
            </w:r>
          </w:p>
        </w:tc>
        <w:tc>
          <w:tcPr>
            <w:tcW w:w="1260" w:type="dxa"/>
          </w:tcPr>
          <w:p w14:paraId="5478847E"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NR</w:t>
            </w:r>
          </w:p>
        </w:tc>
        <w:tc>
          <w:tcPr>
            <w:tcW w:w="3027" w:type="dxa"/>
          </w:tcPr>
          <w:p w14:paraId="2E7FBA8E"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NR</w:t>
            </w:r>
          </w:p>
        </w:tc>
      </w:tr>
      <w:tr w:rsidR="004149DE" w:rsidRPr="00691084" w14:paraId="08265EBF" w14:textId="77777777" w:rsidTr="00881FE9">
        <w:tc>
          <w:tcPr>
            <w:tcW w:w="1975" w:type="dxa"/>
          </w:tcPr>
          <w:p w14:paraId="1807BC2F" w14:textId="23988B2A" w:rsidR="00621FF9" w:rsidRPr="00382374" w:rsidRDefault="00D2134A" w:rsidP="00621FF9">
            <w:pPr>
              <w:rPr>
                <w:rFonts w:asciiTheme="minorHAnsi" w:hAnsiTheme="minorHAnsi" w:cstheme="minorHAnsi"/>
                <w:sz w:val="16"/>
                <w:szCs w:val="16"/>
                <w:vertAlign w:val="superscript"/>
              </w:rPr>
            </w:pP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51" w:tooltip="Curtin, 2014 #13" w:history="1">
              <w:r w:rsidR="00A234A9">
                <w:rPr>
                  <w:rFonts w:cstheme="minorHAnsi"/>
                  <w:noProof/>
                  <w:sz w:val="16"/>
                  <w:szCs w:val="16"/>
                </w:rPr>
                <w:t>51</w:t>
              </w:r>
            </w:hyperlink>
            <w:r>
              <w:rPr>
                <w:rFonts w:cstheme="minorHAnsi"/>
                <w:noProof/>
                <w:sz w:val="16"/>
                <w:szCs w:val="16"/>
              </w:rPr>
              <w:t>)</w:t>
            </w:r>
            <w:r>
              <w:rPr>
                <w:rFonts w:cstheme="minorHAnsi"/>
                <w:sz w:val="16"/>
                <w:szCs w:val="16"/>
              </w:rPr>
              <w:fldChar w:fldCharType="end"/>
            </w:r>
          </w:p>
          <w:p w14:paraId="7BCB0F58"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TUS-CPS</w:t>
            </w:r>
            <w:r w:rsidRPr="00691084">
              <w:rPr>
                <w:rFonts w:asciiTheme="minorHAnsi" w:hAnsiTheme="minorHAnsi" w:cstheme="minorHAnsi"/>
                <w:sz w:val="16"/>
                <w:szCs w:val="16"/>
                <w:vertAlign w:val="superscript"/>
              </w:rPr>
              <w:t>a</w:t>
            </w:r>
          </w:p>
          <w:p w14:paraId="38188C9E"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Youth</w:t>
            </w:r>
          </w:p>
        </w:tc>
        <w:tc>
          <w:tcPr>
            <w:tcW w:w="1170" w:type="dxa"/>
          </w:tcPr>
          <w:p w14:paraId="20D767BC"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Independent;</w:t>
            </w:r>
          </w:p>
          <w:p w14:paraId="02B36514"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Logistic regression;</w:t>
            </w:r>
          </w:p>
          <w:p w14:paraId="37395236"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Model 1:</w:t>
            </w:r>
          </w:p>
          <w:p w14:paraId="2D139FF6"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Age, gender, race/ethnicity</w:t>
            </w:r>
          </w:p>
          <w:p w14:paraId="64EC6FA4"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Model 2:</w:t>
            </w:r>
          </w:p>
          <w:p w14:paraId="5D83C729"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Age, gender, race/ethnicity, TTFC, age at initiation, CPD, past quit attempt</w:t>
            </w:r>
          </w:p>
        </w:tc>
        <w:tc>
          <w:tcPr>
            <w:tcW w:w="1440" w:type="dxa"/>
          </w:tcPr>
          <w:p w14:paraId="237C4EE8"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Answering either daily, regular (10+ days during the past 30), or past (1+ days during the past 30) month to the question, “On how many of the past 30 days did you smoke cigarettes?”</w:t>
            </w:r>
          </w:p>
        </w:tc>
        <w:tc>
          <w:tcPr>
            <w:tcW w:w="1530" w:type="dxa"/>
          </w:tcPr>
          <w:p w14:paraId="72EBDA0B" w14:textId="77777777" w:rsidR="00621FF9" w:rsidRPr="00691084" w:rsidRDefault="00621FF9" w:rsidP="00621FF9">
            <w:pPr>
              <w:rPr>
                <w:rFonts w:asciiTheme="minorHAnsi" w:hAnsiTheme="minorHAnsi" w:cstheme="minorHAnsi"/>
                <w:sz w:val="16"/>
                <w:szCs w:val="16"/>
                <w:u w:val="single"/>
              </w:rPr>
            </w:pPr>
            <w:r w:rsidRPr="00691084">
              <w:rPr>
                <w:rFonts w:asciiTheme="minorHAnsi" w:hAnsiTheme="minorHAnsi" w:cstheme="minorHAnsi"/>
                <w:sz w:val="16"/>
                <w:szCs w:val="16"/>
              </w:rPr>
              <w:t>NR</w:t>
            </w:r>
          </w:p>
        </w:tc>
        <w:tc>
          <w:tcPr>
            <w:tcW w:w="1530" w:type="dxa"/>
          </w:tcPr>
          <w:p w14:paraId="5D18C7F0"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NR</w:t>
            </w:r>
          </w:p>
        </w:tc>
        <w:tc>
          <w:tcPr>
            <w:tcW w:w="1530" w:type="dxa"/>
          </w:tcPr>
          <w:p w14:paraId="1ABB2A6A"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NR</w:t>
            </w:r>
          </w:p>
        </w:tc>
        <w:tc>
          <w:tcPr>
            <w:tcW w:w="1260" w:type="dxa"/>
          </w:tcPr>
          <w:p w14:paraId="1956F163"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NR</w:t>
            </w:r>
          </w:p>
        </w:tc>
        <w:tc>
          <w:tcPr>
            <w:tcW w:w="3027" w:type="dxa"/>
          </w:tcPr>
          <w:p w14:paraId="37772461" w14:textId="77777777" w:rsidR="00621FF9" w:rsidRPr="00691084" w:rsidRDefault="00621FF9" w:rsidP="00621FF9">
            <w:pPr>
              <w:rPr>
                <w:rFonts w:asciiTheme="minorHAnsi" w:hAnsiTheme="minorHAnsi" w:cstheme="minorHAnsi"/>
                <w:sz w:val="16"/>
                <w:szCs w:val="16"/>
                <w:u w:val="single"/>
              </w:rPr>
            </w:pPr>
            <w:r w:rsidRPr="00691084">
              <w:rPr>
                <w:rFonts w:asciiTheme="minorHAnsi" w:hAnsiTheme="minorHAnsi" w:cstheme="minorHAnsi"/>
                <w:sz w:val="16"/>
                <w:szCs w:val="16"/>
                <w:u w:val="single"/>
              </w:rPr>
              <w:t xml:space="preserve">Daily smoker, </w:t>
            </w:r>
            <w:r w:rsidR="00D50EBC">
              <w:rPr>
                <w:rFonts w:asciiTheme="minorHAnsi" w:hAnsiTheme="minorHAnsi" w:cstheme="minorHAnsi"/>
                <w:sz w:val="16"/>
                <w:szCs w:val="16"/>
                <w:u w:val="single"/>
              </w:rPr>
              <w:t>A</w:t>
            </w:r>
            <w:r w:rsidRPr="00691084">
              <w:rPr>
                <w:rFonts w:asciiTheme="minorHAnsi" w:hAnsiTheme="minorHAnsi" w:cstheme="minorHAnsi"/>
                <w:sz w:val="16"/>
                <w:szCs w:val="16"/>
                <w:u w:val="single"/>
              </w:rPr>
              <w:t xml:space="preserve">OR (95% CI) for NM (ref=M and non-daily smoker): </w:t>
            </w:r>
          </w:p>
          <w:p w14:paraId="70BB66AA" w14:textId="77777777" w:rsidR="00621FF9" w:rsidRPr="00691084" w:rsidRDefault="00621FF9" w:rsidP="00621FF9">
            <w:pPr>
              <w:rPr>
                <w:rFonts w:asciiTheme="minorHAnsi" w:hAnsiTheme="minorHAnsi" w:cstheme="minorHAnsi"/>
                <w:i/>
                <w:sz w:val="16"/>
                <w:szCs w:val="16"/>
              </w:rPr>
            </w:pPr>
            <w:r w:rsidRPr="00691084">
              <w:rPr>
                <w:rFonts w:asciiTheme="minorHAnsi" w:hAnsiTheme="minorHAnsi" w:cstheme="minorHAnsi"/>
                <w:i/>
                <w:sz w:val="16"/>
                <w:szCs w:val="16"/>
              </w:rPr>
              <w:t>Model 1</w:t>
            </w:r>
          </w:p>
          <w:p w14:paraId="605E8842"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0.98 (0.87 to 1.10)</w:t>
            </w:r>
          </w:p>
          <w:p w14:paraId="259E3999"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(p=0.71)</w:t>
            </w:r>
          </w:p>
          <w:p w14:paraId="42147275" w14:textId="77777777" w:rsidR="00621FF9" w:rsidRPr="00691084" w:rsidRDefault="00621FF9" w:rsidP="00621FF9">
            <w:pPr>
              <w:rPr>
                <w:rFonts w:asciiTheme="minorHAnsi" w:hAnsiTheme="minorHAnsi" w:cstheme="minorHAnsi"/>
                <w:i/>
                <w:sz w:val="16"/>
                <w:szCs w:val="16"/>
              </w:rPr>
            </w:pPr>
            <w:r w:rsidRPr="00691084">
              <w:rPr>
                <w:rFonts w:asciiTheme="minorHAnsi" w:hAnsiTheme="minorHAnsi" w:cstheme="minorHAnsi"/>
                <w:i/>
                <w:sz w:val="16"/>
                <w:szCs w:val="16"/>
              </w:rPr>
              <w:t>Model 2</w:t>
            </w:r>
          </w:p>
          <w:p w14:paraId="2577BE1C"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1.00 (0.83 to 1.20)</w:t>
            </w:r>
          </w:p>
          <w:p w14:paraId="7DC4F636"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(p=0.99)</w:t>
            </w:r>
          </w:p>
        </w:tc>
      </w:tr>
      <w:tr w:rsidR="004149DE" w:rsidRPr="00691084" w14:paraId="35949803" w14:textId="77777777" w:rsidTr="00881FE9">
        <w:tc>
          <w:tcPr>
            <w:tcW w:w="1975" w:type="dxa"/>
          </w:tcPr>
          <w:p w14:paraId="430D72DE" w14:textId="0C840AA0" w:rsidR="00621FF9" w:rsidRPr="00691084" w:rsidRDefault="00D2134A" w:rsidP="00621FF9">
            <w:pPr>
              <w:rPr>
                <w:rFonts w:asciiTheme="minorHAnsi" w:hAnsiTheme="minorHAnsi" w:cstheme="minorHAnsi"/>
                <w:sz w:val="16"/>
                <w:szCs w:val="16"/>
              </w:rPr>
            </w:pPr>
            <w:r>
              <w:rPr>
                <w:rFonts w:cstheme="minorHAnsi"/>
                <w:sz w:val="16"/>
                <w:szCs w:val="16"/>
              </w:rPr>
              <w:fldChar w:fldCharType="begin">
                <w:fldData xml:space="preserve">PEVuZE5vdGU+PENpdGU+PEF1dGhvcj5EZWxuZXZvPC9BdXRob3I+PFllYXI+MjAxNTwvWWVhcj48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PEVuZE5vdGU+PENpdGU+PEF1dGhvcj5EZWxuZXZvPC9BdXRob3I+PFllYXI+MjAxNTwvWWVhcj48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53" w:tooltip="Delnevo, 2015 #1" w:history="1">
              <w:r w:rsidR="00A234A9">
                <w:rPr>
                  <w:rFonts w:cstheme="minorHAnsi"/>
                  <w:noProof/>
                  <w:sz w:val="16"/>
                  <w:szCs w:val="16"/>
                </w:rPr>
                <w:t>53</w:t>
              </w:r>
            </w:hyperlink>
            <w:r>
              <w:rPr>
                <w:rFonts w:cstheme="minorHAnsi"/>
                <w:noProof/>
                <w:sz w:val="16"/>
                <w:szCs w:val="16"/>
              </w:rPr>
              <w:t>)</w:t>
            </w:r>
            <w:r>
              <w:rPr>
                <w:rFonts w:cstheme="minorHAnsi"/>
                <w:sz w:val="16"/>
                <w:szCs w:val="16"/>
              </w:rPr>
              <w:fldChar w:fldCharType="end"/>
            </w:r>
          </w:p>
          <w:p w14:paraId="75FC924D"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NYAHS</w:t>
            </w:r>
          </w:p>
          <w:p w14:paraId="75858423" w14:textId="77777777" w:rsidR="00621FF9" w:rsidRPr="00691084" w:rsidRDefault="00621FF9" w:rsidP="00621FF9">
            <w:pPr>
              <w:rPr>
                <w:rFonts w:asciiTheme="minorHAnsi" w:hAnsiTheme="minorHAnsi" w:cstheme="minorHAnsi"/>
                <w:b/>
                <w:sz w:val="16"/>
                <w:szCs w:val="16"/>
              </w:rPr>
            </w:pPr>
            <w:r w:rsidRPr="00691084">
              <w:rPr>
                <w:rFonts w:asciiTheme="minorHAnsi" w:hAnsiTheme="minorHAnsi" w:cstheme="minorHAnsi"/>
                <w:sz w:val="16"/>
                <w:szCs w:val="16"/>
              </w:rPr>
              <w:t>Young adults</w:t>
            </w:r>
          </w:p>
        </w:tc>
        <w:tc>
          <w:tcPr>
            <w:tcW w:w="1170" w:type="dxa"/>
          </w:tcPr>
          <w:p w14:paraId="1E2B2FC6"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Independent;</w:t>
            </w:r>
          </w:p>
          <w:p w14:paraId="79D4788C"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lastRenderedPageBreak/>
              <w:t>Multivariable logistic regression;</w:t>
            </w:r>
          </w:p>
          <w:p w14:paraId="672186D9" w14:textId="77777777" w:rsidR="00621FF9" w:rsidRPr="00691084" w:rsidRDefault="00621FF9" w:rsidP="00621FF9">
            <w:pPr>
              <w:rPr>
                <w:rFonts w:asciiTheme="minorHAnsi" w:hAnsiTheme="minorHAnsi" w:cstheme="minorHAnsi"/>
                <w:b/>
                <w:sz w:val="16"/>
                <w:szCs w:val="16"/>
              </w:rPr>
            </w:pPr>
            <w:r w:rsidRPr="00691084">
              <w:rPr>
                <w:rFonts w:asciiTheme="minorHAnsi" w:hAnsiTheme="minorHAnsi" w:cstheme="minorHAnsi"/>
                <w:sz w:val="16"/>
                <w:szCs w:val="16"/>
              </w:rPr>
              <w:t>Age, gender, race/ethnicity, current M smoker, ever smoked e-cigs, current use non-cig tobacco products</w:t>
            </w:r>
          </w:p>
        </w:tc>
        <w:tc>
          <w:tcPr>
            <w:tcW w:w="1440" w:type="dxa"/>
          </w:tcPr>
          <w:p w14:paraId="0C3F1391" w14:textId="77777777" w:rsidR="00621FF9" w:rsidRPr="00691084" w:rsidRDefault="00621FF9" w:rsidP="00366AB9">
            <w:pPr>
              <w:rPr>
                <w:rFonts w:asciiTheme="minorHAnsi" w:hAnsiTheme="minorHAnsi" w:cstheme="minorHAnsi"/>
                <w:b/>
                <w:sz w:val="16"/>
                <w:szCs w:val="16"/>
              </w:rPr>
            </w:pPr>
            <w:r w:rsidRPr="00691084">
              <w:rPr>
                <w:rFonts w:asciiTheme="minorHAnsi" w:hAnsiTheme="minorHAnsi" w:cstheme="minorHAnsi"/>
                <w:sz w:val="16"/>
                <w:szCs w:val="16"/>
              </w:rPr>
              <w:lastRenderedPageBreak/>
              <w:t xml:space="preserve">Daily smoker defined as having smoked ≥100 </w:t>
            </w:r>
            <w:proofErr w:type="gramStart"/>
            <w:r w:rsidR="004627C5">
              <w:rPr>
                <w:rFonts w:asciiTheme="minorHAnsi" w:hAnsiTheme="minorHAnsi" w:cstheme="minorHAnsi"/>
                <w:sz w:val="16"/>
                <w:szCs w:val="16"/>
              </w:rPr>
              <w:t>cigs</w:t>
            </w:r>
            <w:r w:rsidRPr="00691084">
              <w:rPr>
                <w:rFonts w:asciiTheme="minorHAnsi" w:hAnsiTheme="minorHAnsi" w:cstheme="minorHAnsi"/>
                <w:sz w:val="16"/>
                <w:szCs w:val="16"/>
              </w:rPr>
              <w:t xml:space="preserve">, </w:t>
            </w:r>
            <w:r w:rsidRPr="00691084">
              <w:rPr>
                <w:rFonts w:asciiTheme="minorHAnsi" w:hAnsiTheme="minorHAnsi" w:cstheme="minorHAnsi"/>
                <w:sz w:val="16"/>
                <w:szCs w:val="16"/>
              </w:rPr>
              <w:lastRenderedPageBreak/>
              <w:t>and</w:t>
            </w:r>
            <w:proofErr w:type="gramEnd"/>
            <w:r w:rsidRPr="00691084">
              <w:rPr>
                <w:rFonts w:asciiTheme="minorHAnsi" w:hAnsiTheme="minorHAnsi" w:cstheme="minorHAnsi"/>
                <w:sz w:val="16"/>
                <w:szCs w:val="16"/>
              </w:rPr>
              <w:t xml:space="preserve"> having smoked daily during the “everyday”</w:t>
            </w:r>
            <w:r w:rsidR="000F2603" w:rsidRPr="00691084">
              <w:rPr>
                <w:rFonts w:asciiTheme="minorHAnsi" w:hAnsiTheme="minorHAnsi" w:cstheme="minorHAnsi"/>
                <w:sz w:val="16"/>
                <w:szCs w:val="16"/>
              </w:rPr>
              <w:t xml:space="preserve"> in</w:t>
            </w:r>
            <w:r w:rsidRPr="00691084">
              <w:rPr>
                <w:rFonts w:asciiTheme="minorHAnsi" w:hAnsiTheme="minorHAnsi" w:cstheme="minorHAnsi"/>
                <w:sz w:val="16"/>
                <w:szCs w:val="16"/>
              </w:rPr>
              <w:t xml:space="preserve"> the past month.</w:t>
            </w:r>
          </w:p>
        </w:tc>
        <w:tc>
          <w:tcPr>
            <w:tcW w:w="1530" w:type="dxa"/>
          </w:tcPr>
          <w:p w14:paraId="6ADE6842" w14:textId="77777777" w:rsidR="00621FF9" w:rsidRPr="00691084" w:rsidRDefault="00621FF9" w:rsidP="00621FF9">
            <w:pPr>
              <w:rPr>
                <w:rFonts w:asciiTheme="minorHAnsi" w:hAnsiTheme="minorHAnsi" w:cstheme="minorHAnsi"/>
                <w:b/>
                <w:sz w:val="16"/>
                <w:szCs w:val="16"/>
              </w:rPr>
            </w:pPr>
            <w:r w:rsidRPr="00691084">
              <w:rPr>
                <w:rFonts w:asciiTheme="minorHAnsi" w:hAnsiTheme="minorHAnsi" w:cstheme="minorHAnsi"/>
                <w:sz w:val="16"/>
                <w:szCs w:val="16"/>
              </w:rPr>
              <w:lastRenderedPageBreak/>
              <w:t>NR</w:t>
            </w:r>
          </w:p>
        </w:tc>
        <w:tc>
          <w:tcPr>
            <w:tcW w:w="1530" w:type="dxa"/>
          </w:tcPr>
          <w:p w14:paraId="715289DC" w14:textId="77777777" w:rsidR="00621FF9" w:rsidRPr="00691084" w:rsidRDefault="00621FF9" w:rsidP="00621FF9">
            <w:pPr>
              <w:rPr>
                <w:rFonts w:asciiTheme="minorHAnsi" w:hAnsiTheme="minorHAnsi" w:cstheme="minorHAnsi"/>
                <w:b/>
                <w:sz w:val="16"/>
                <w:szCs w:val="16"/>
              </w:rPr>
            </w:pPr>
            <w:r w:rsidRPr="00691084">
              <w:rPr>
                <w:rFonts w:asciiTheme="minorHAnsi" w:hAnsiTheme="minorHAnsi" w:cstheme="minorHAnsi"/>
                <w:sz w:val="16"/>
                <w:szCs w:val="16"/>
              </w:rPr>
              <w:t>NR</w:t>
            </w:r>
          </w:p>
        </w:tc>
        <w:tc>
          <w:tcPr>
            <w:tcW w:w="1530" w:type="dxa"/>
          </w:tcPr>
          <w:p w14:paraId="067FADB1" w14:textId="77777777" w:rsidR="00621FF9" w:rsidRPr="00691084" w:rsidRDefault="00621FF9" w:rsidP="00621FF9">
            <w:pPr>
              <w:rPr>
                <w:rFonts w:asciiTheme="minorHAnsi" w:hAnsiTheme="minorHAnsi" w:cstheme="minorHAnsi"/>
                <w:b/>
                <w:sz w:val="16"/>
                <w:szCs w:val="16"/>
              </w:rPr>
            </w:pPr>
            <w:r w:rsidRPr="00691084">
              <w:rPr>
                <w:rFonts w:asciiTheme="minorHAnsi" w:hAnsiTheme="minorHAnsi" w:cstheme="minorHAnsi"/>
                <w:sz w:val="16"/>
                <w:szCs w:val="16"/>
              </w:rPr>
              <w:t>NR</w:t>
            </w:r>
          </w:p>
        </w:tc>
        <w:tc>
          <w:tcPr>
            <w:tcW w:w="1260" w:type="dxa"/>
          </w:tcPr>
          <w:p w14:paraId="6B372103" w14:textId="77777777" w:rsidR="00621FF9" w:rsidRPr="00691084" w:rsidRDefault="00621FF9" w:rsidP="00621FF9">
            <w:pPr>
              <w:rPr>
                <w:rFonts w:asciiTheme="minorHAnsi" w:hAnsiTheme="minorHAnsi" w:cstheme="minorHAnsi"/>
                <w:b/>
                <w:sz w:val="16"/>
                <w:szCs w:val="16"/>
              </w:rPr>
            </w:pPr>
            <w:r w:rsidRPr="00691084">
              <w:rPr>
                <w:rFonts w:asciiTheme="minorHAnsi" w:hAnsiTheme="minorHAnsi" w:cstheme="minorHAnsi"/>
                <w:sz w:val="16"/>
                <w:szCs w:val="16"/>
              </w:rPr>
              <w:t>NR</w:t>
            </w:r>
          </w:p>
        </w:tc>
        <w:tc>
          <w:tcPr>
            <w:tcW w:w="3027" w:type="dxa"/>
          </w:tcPr>
          <w:p w14:paraId="3CFA5565"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 xml:space="preserve">Increased smoking over 1 year (from not at all or some days to smoking daily), </w:t>
            </w:r>
            <w:r w:rsidR="00D50EBC">
              <w:rPr>
                <w:rFonts w:asciiTheme="minorHAnsi" w:hAnsiTheme="minorHAnsi" w:cstheme="minorHAnsi"/>
                <w:sz w:val="16"/>
                <w:szCs w:val="16"/>
              </w:rPr>
              <w:t>A</w:t>
            </w:r>
            <w:r w:rsidRPr="00691084">
              <w:rPr>
                <w:rFonts w:asciiTheme="minorHAnsi" w:hAnsiTheme="minorHAnsi" w:cstheme="minorHAnsi"/>
                <w:sz w:val="16"/>
                <w:szCs w:val="16"/>
              </w:rPr>
              <w:t xml:space="preserve">OR </w:t>
            </w:r>
            <w:r w:rsidRPr="00691084">
              <w:rPr>
                <w:rFonts w:asciiTheme="minorHAnsi" w:hAnsiTheme="minorHAnsi" w:cstheme="minorHAnsi"/>
                <w:sz w:val="16"/>
                <w:szCs w:val="16"/>
              </w:rPr>
              <w:lastRenderedPageBreak/>
              <w:t xml:space="preserve">(95% CI) for current M smokers (ref= current NM smoker): </w:t>
            </w:r>
          </w:p>
          <w:p w14:paraId="6AAACD58" w14:textId="77777777" w:rsidR="00621FF9" w:rsidRPr="00691084" w:rsidRDefault="00621FF9" w:rsidP="00621FF9">
            <w:pPr>
              <w:rPr>
                <w:rFonts w:asciiTheme="minorHAnsi" w:hAnsiTheme="minorHAnsi" w:cstheme="minorHAnsi"/>
                <w:b/>
                <w:sz w:val="16"/>
                <w:szCs w:val="16"/>
              </w:rPr>
            </w:pPr>
            <w:r w:rsidRPr="00691084">
              <w:rPr>
                <w:rFonts w:asciiTheme="minorHAnsi" w:hAnsiTheme="minorHAnsi" w:cstheme="minorHAnsi"/>
                <w:sz w:val="16"/>
                <w:szCs w:val="16"/>
              </w:rPr>
              <w:t>1.87 (1.06 to 3.30)</w:t>
            </w:r>
          </w:p>
        </w:tc>
      </w:tr>
      <w:tr w:rsidR="004149DE" w:rsidRPr="00691084" w14:paraId="27FEE319" w14:textId="77777777" w:rsidTr="00881FE9">
        <w:tc>
          <w:tcPr>
            <w:tcW w:w="1975" w:type="dxa"/>
          </w:tcPr>
          <w:p w14:paraId="20988C46" w14:textId="0CF04CCA" w:rsidR="00881FE9" w:rsidRPr="00382374" w:rsidRDefault="00D2134A" w:rsidP="00881FE9">
            <w:pPr>
              <w:rPr>
                <w:rFonts w:asciiTheme="minorHAnsi" w:hAnsiTheme="minorHAnsi" w:cstheme="minorHAnsi"/>
                <w:sz w:val="16"/>
                <w:szCs w:val="16"/>
                <w:vertAlign w:val="superscript"/>
              </w:rPr>
            </w:pPr>
            <w:r>
              <w:rPr>
                <w:rFonts w:cstheme="minorHAnsi"/>
                <w:sz w:val="16"/>
                <w:szCs w:val="16"/>
              </w:rPr>
              <w:lastRenderedPageBreak/>
              <w:fldChar w:fldCharType="begin">
                <w:fldData xml:space="preserve">PEVuZE5vdGU+PENpdGU+PEF1dGhvcj5GZXJuYW5kZXI8L0F1dGhvcj48WWVhcj4yMDEwPC9ZZWFy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PEVuZE5vdGU+PENpdGU+PEF1dGhvcj5GZXJuYW5kZXI8L0F1dGhvcj48WWVhcj4yMDEwPC9ZZWFy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60" w:tooltip="Fernander, 2010 #54" w:history="1">
              <w:r w:rsidR="00A234A9">
                <w:rPr>
                  <w:rFonts w:cstheme="minorHAnsi"/>
                  <w:noProof/>
                  <w:sz w:val="16"/>
                  <w:szCs w:val="16"/>
                </w:rPr>
                <w:t>60</w:t>
              </w:r>
            </w:hyperlink>
            <w:r>
              <w:rPr>
                <w:rFonts w:cstheme="minorHAnsi"/>
                <w:noProof/>
                <w:sz w:val="16"/>
                <w:szCs w:val="16"/>
              </w:rPr>
              <w:t>)</w:t>
            </w:r>
            <w:r>
              <w:rPr>
                <w:rFonts w:cstheme="minorHAnsi"/>
                <w:sz w:val="16"/>
                <w:szCs w:val="16"/>
              </w:rPr>
              <w:fldChar w:fldCharType="end"/>
            </w:r>
          </w:p>
          <w:p w14:paraId="174A2376" w14:textId="77777777" w:rsidR="00881FE9" w:rsidRPr="00691084" w:rsidRDefault="00881FE9" w:rsidP="00881FE9">
            <w:pPr>
              <w:rPr>
                <w:rFonts w:asciiTheme="minorHAnsi" w:hAnsiTheme="minorHAnsi" w:cstheme="minorHAnsi"/>
                <w:b/>
                <w:sz w:val="16"/>
                <w:szCs w:val="16"/>
              </w:rPr>
            </w:pPr>
            <w:r w:rsidRPr="00691084">
              <w:rPr>
                <w:rFonts w:asciiTheme="minorHAnsi" w:hAnsiTheme="minorHAnsi" w:cstheme="minorHAnsi"/>
                <w:sz w:val="16"/>
                <w:szCs w:val="16"/>
              </w:rPr>
              <w:t>TUS-CPS</w:t>
            </w:r>
            <w:r w:rsidRPr="00691084">
              <w:rPr>
                <w:rFonts w:asciiTheme="minorHAnsi" w:hAnsiTheme="minorHAnsi" w:cstheme="minorHAnsi"/>
                <w:sz w:val="16"/>
                <w:szCs w:val="16"/>
                <w:vertAlign w:val="superscript"/>
              </w:rPr>
              <w:t>a</w:t>
            </w:r>
            <w:r w:rsidRPr="00691084" w:rsidDel="002F4F09">
              <w:rPr>
                <w:rFonts w:asciiTheme="minorHAnsi" w:hAnsiTheme="minorHAnsi" w:cstheme="minorHAnsi"/>
                <w:sz w:val="16"/>
                <w:szCs w:val="16"/>
                <w:vertAlign w:val="superscript"/>
              </w:rPr>
              <w:t xml:space="preserve"> </w:t>
            </w:r>
          </w:p>
          <w:p w14:paraId="123F2B07"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None</w:t>
            </w:r>
          </w:p>
        </w:tc>
        <w:tc>
          <w:tcPr>
            <w:tcW w:w="1170" w:type="dxa"/>
          </w:tcPr>
          <w:p w14:paraId="1C62781F"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Dependent;</w:t>
            </w:r>
          </w:p>
          <w:p w14:paraId="08A7092B"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Logistic regression;</w:t>
            </w:r>
          </w:p>
          <w:p w14:paraId="0B176A2D"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Age, gender, race/ethnicity, education, income, age of initiation, purchasing type (pack /carton)</w:t>
            </w:r>
          </w:p>
        </w:tc>
        <w:tc>
          <w:tcPr>
            <w:tcW w:w="1440" w:type="dxa"/>
          </w:tcPr>
          <w:p w14:paraId="1C50F2A1" w14:textId="77777777" w:rsidR="00881FE9"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First started smoking cigs fairly regularly</w:t>
            </w:r>
          </w:p>
          <w:p w14:paraId="6878B964" w14:textId="77777777" w:rsidR="00343C7B" w:rsidRPr="00DE452B" w:rsidRDefault="00343C7B" w:rsidP="00343C7B">
            <w:pPr>
              <w:rPr>
                <w:rFonts w:asciiTheme="minorHAnsi" w:hAnsiTheme="minorHAnsi" w:cstheme="minorHAnsi"/>
                <w:sz w:val="16"/>
                <w:szCs w:val="16"/>
              </w:rPr>
            </w:pPr>
          </w:p>
          <w:p w14:paraId="7A6D264A" w14:textId="77777777" w:rsidR="00343C7B" w:rsidRPr="00691084" w:rsidRDefault="00343C7B" w:rsidP="00343C7B">
            <w:pPr>
              <w:rPr>
                <w:rFonts w:asciiTheme="minorHAnsi" w:hAnsiTheme="minorHAnsi" w:cstheme="minorHAnsi"/>
                <w:sz w:val="16"/>
                <w:szCs w:val="16"/>
              </w:rPr>
            </w:pPr>
            <w:r w:rsidRPr="00DE452B">
              <w:rPr>
                <w:rFonts w:asciiTheme="minorHAnsi" w:hAnsiTheme="minorHAnsi" w:cstheme="minorHAnsi"/>
                <w:sz w:val="16"/>
                <w:szCs w:val="16"/>
              </w:rPr>
              <w:t>Self-reported smoking frequency coded as every day, or some days</w:t>
            </w:r>
          </w:p>
        </w:tc>
        <w:tc>
          <w:tcPr>
            <w:tcW w:w="1530" w:type="dxa"/>
          </w:tcPr>
          <w:p w14:paraId="4862D37A"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Being a M smoker, OR (95% CI) for age of initiation ≥18 (ref= age of initiation &lt;18): 1.01 (1.00-1.01)</w:t>
            </w:r>
          </w:p>
        </w:tc>
        <w:tc>
          <w:tcPr>
            <w:tcW w:w="1530" w:type="dxa"/>
          </w:tcPr>
          <w:p w14:paraId="1257CD0F"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NR</w:t>
            </w:r>
          </w:p>
        </w:tc>
        <w:tc>
          <w:tcPr>
            <w:tcW w:w="1530" w:type="dxa"/>
          </w:tcPr>
          <w:p w14:paraId="4D6274D7"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NR</w:t>
            </w:r>
          </w:p>
        </w:tc>
        <w:tc>
          <w:tcPr>
            <w:tcW w:w="1260" w:type="dxa"/>
          </w:tcPr>
          <w:p w14:paraId="55294561"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NR</w:t>
            </w:r>
          </w:p>
        </w:tc>
        <w:tc>
          <w:tcPr>
            <w:tcW w:w="3027" w:type="dxa"/>
          </w:tcPr>
          <w:p w14:paraId="2B577BF2" w14:textId="77777777" w:rsidR="00881FE9" w:rsidRPr="00691084" w:rsidRDefault="00881FE9" w:rsidP="00881FE9">
            <w:pPr>
              <w:rPr>
                <w:rFonts w:asciiTheme="minorHAnsi" w:hAnsiTheme="minorHAnsi" w:cstheme="minorHAnsi"/>
                <w:sz w:val="16"/>
                <w:szCs w:val="16"/>
                <w:u w:val="single"/>
              </w:rPr>
            </w:pPr>
            <w:r w:rsidRPr="00691084">
              <w:rPr>
                <w:rFonts w:asciiTheme="minorHAnsi" w:hAnsiTheme="minorHAnsi" w:cstheme="minorHAnsi"/>
                <w:sz w:val="16"/>
                <w:szCs w:val="16"/>
                <w:u w:val="single"/>
              </w:rPr>
              <w:t xml:space="preserve">Being a M smoker, </w:t>
            </w:r>
            <w:r w:rsidR="00D50EBC">
              <w:rPr>
                <w:rFonts w:asciiTheme="minorHAnsi" w:hAnsiTheme="minorHAnsi" w:cstheme="minorHAnsi"/>
                <w:sz w:val="16"/>
                <w:szCs w:val="16"/>
                <w:u w:val="single"/>
              </w:rPr>
              <w:t>A</w:t>
            </w:r>
            <w:r w:rsidRPr="00691084">
              <w:rPr>
                <w:rFonts w:asciiTheme="minorHAnsi" w:hAnsiTheme="minorHAnsi" w:cstheme="minorHAnsi"/>
                <w:sz w:val="16"/>
                <w:szCs w:val="16"/>
                <w:u w:val="single"/>
              </w:rPr>
              <w:t>OR (95% CI) for every day smoker (ref: some days)</w:t>
            </w:r>
          </w:p>
          <w:p w14:paraId="563AC75B"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1.06 (0.99,1.14)</w:t>
            </w:r>
          </w:p>
        </w:tc>
      </w:tr>
      <w:tr w:rsidR="004149DE" w:rsidRPr="00691084" w14:paraId="3D5D892A" w14:textId="77777777" w:rsidTr="00881FE9">
        <w:tc>
          <w:tcPr>
            <w:tcW w:w="1975" w:type="dxa"/>
          </w:tcPr>
          <w:p w14:paraId="785B0547" w14:textId="3481D403" w:rsidR="00881FE9" w:rsidRPr="00382374" w:rsidRDefault="00D2134A" w:rsidP="00881FE9">
            <w:pPr>
              <w:rPr>
                <w:rFonts w:asciiTheme="minorHAnsi" w:hAnsiTheme="minorHAnsi" w:cstheme="minorHAnsi"/>
                <w:sz w:val="16"/>
                <w:szCs w:val="16"/>
                <w:vertAlign w:val="superscript"/>
              </w:rPr>
            </w:pPr>
            <w:r>
              <w:rPr>
                <w:rFonts w:cstheme="minorHAnsi"/>
                <w:sz w:val="16"/>
                <w:szCs w:val="16"/>
              </w:rPr>
              <w:fldChar w:fldCharType="begin">
                <w:fldData xml:space="preserve">PEVuZE5vdGU+PENpdGU+PEF1dGhvcj5HaW92aW5vPC9BdXRob3I+PFllYXI+MjAxNTwvWWVhcj48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PEVuZE5vdGU+PENpdGU+PEF1dGhvcj5HaW92aW5vPC9BdXRob3I+PFllYXI+MjAxNTwvWWVhcj48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62" w:tooltip="Giovino, 2015 #10" w:history="1">
              <w:r w:rsidR="00A234A9">
                <w:rPr>
                  <w:rFonts w:cstheme="minorHAnsi"/>
                  <w:noProof/>
                  <w:sz w:val="16"/>
                  <w:szCs w:val="16"/>
                </w:rPr>
                <w:t>62</w:t>
              </w:r>
            </w:hyperlink>
            <w:r>
              <w:rPr>
                <w:rFonts w:cstheme="minorHAnsi"/>
                <w:noProof/>
                <w:sz w:val="16"/>
                <w:szCs w:val="16"/>
              </w:rPr>
              <w:t>)</w:t>
            </w:r>
            <w:r>
              <w:rPr>
                <w:rFonts w:cstheme="minorHAnsi"/>
                <w:sz w:val="16"/>
                <w:szCs w:val="16"/>
              </w:rPr>
              <w:fldChar w:fldCharType="end"/>
            </w:r>
          </w:p>
          <w:p w14:paraId="56E674C5"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NSDUH</w:t>
            </w:r>
            <w:r w:rsidRPr="00691084">
              <w:rPr>
                <w:rFonts w:asciiTheme="minorHAnsi" w:hAnsiTheme="minorHAnsi" w:cstheme="minorHAnsi"/>
                <w:sz w:val="16"/>
                <w:szCs w:val="16"/>
                <w:vertAlign w:val="superscript"/>
              </w:rPr>
              <w:t>a</w:t>
            </w:r>
          </w:p>
          <w:p w14:paraId="621A8CB2"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None</w:t>
            </w:r>
          </w:p>
        </w:tc>
        <w:tc>
          <w:tcPr>
            <w:tcW w:w="1170" w:type="dxa"/>
          </w:tcPr>
          <w:p w14:paraId="2F946E6B"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Dependent;</w:t>
            </w:r>
          </w:p>
          <w:p w14:paraId="6C5CCBF8"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Logistic regression;</w:t>
            </w:r>
          </w:p>
          <w:p w14:paraId="3F09E5C6"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Gender, race/ethnicity, household income</w:t>
            </w:r>
          </w:p>
        </w:tc>
        <w:tc>
          <w:tcPr>
            <w:tcW w:w="1440" w:type="dxa"/>
          </w:tcPr>
          <w:p w14:paraId="79C0C05B" w14:textId="77777777" w:rsidR="00801367" w:rsidRPr="00DE452B" w:rsidRDefault="00801367" w:rsidP="00801367">
            <w:pPr>
              <w:rPr>
                <w:rFonts w:asciiTheme="minorHAnsi" w:hAnsiTheme="minorHAnsi" w:cstheme="minorHAnsi"/>
                <w:sz w:val="16"/>
                <w:szCs w:val="16"/>
              </w:rPr>
            </w:pPr>
            <w:r w:rsidRPr="00DE452B">
              <w:rPr>
                <w:rFonts w:asciiTheme="minorHAnsi" w:hAnsiTheme="minorHAnsi" w:cstheme="minorHAnsi"/>
                <w:sz w:val="16"/>
                <w:szCs w:val="16"/>
              </w:rPr>
              <w:t>Smoking categorized as: 1-5 days, 6-29 days, 30 days</w:t>
            </w:r>
          </w:p>
          <w:p w14:paraId="72A064AF" w14:textId="77777777" w:rsidR="00801367" w:rsidRPr="00DE452B" w:rsidRDefault="00801367" w:rsidP="00801367">
            <w:pPr>
              <w:rPr>
                <w:rFonts w:asciiTheme="minorHAnsi" w:hAnsiTheme="minorHAnsi" w:cstheme="minorHAnsi"/>
                <w:sz w:val="16"/>
                <w:szCs w:val="16"/>
              </w:rPr>
            </w:pPr>
          </w:p>
          <w:p w14:paraId="0E4370B5" w14:textId="77777777" w:rsidR="00801367" w:rsidRPr="00DE452B" w:rsidRDefault="00801367" w:rsidP="00801367">
            <w:pPr>
              <w:rPr>
                <w:rFonts w:asciiTheme="minorHAnsi" w:hAnsiTheme="minorHAnsi" w:cstheme="minorHAnsi"/>
                <w:sz w:val="16"/>
                <w:szCs w:val="16"/>
              </w:rPr>
            </w:pPr>
            <w:r w:rsidRPr="00DE452B">
              <w:rPr>
                <w:rFonts w:asciiTheme="minorHAnsi" w:hAnsiTheme="minorHAnsi" w:cstheme="minorHAnsi"/>
                <w:sz w:val="16"/>
                <w:szCs w:val="16"/>
              </w:rPr>
              <w:t>Daily smokers were smokers who smoked for 30 days in the past 30 days</w:t>
            </w:r>
          </w:p>
          <w:p w14:paraId="4C478F38" w14:textId="77777777" w:rsidR="00801367" w:rsidRPr="00DE452B" w:rsidRDefault="00801367" w:rsidP="00801367">
            <w:pPr>
              <w:rPr>
                <w:rFonts w:asciiTheme="minorHAnsi" w:hAnsiTheme="minorHAnsi" w:cstheme="minorHAnsi"/>
                <w:sz w:val="16"/>
                <w:szCs w:val="16"/>
              </w:rPr>
            </w:pPr>
          </w:p>
          <w:p w14:paraId="704E2B69" w14:textId="77777777" w:rsidR="00881FE9" w:rsidRPr="00691084" w:rsidRDefault="00801367" w:rsidP="00801367">
            <w:pPr>
              <w:rPr>
                <w:rFonts w:asciiTheme="minorHAnsi" w:hAnsiTheme="minorHAnsi" w:cstheme="minorHAnsi"/>
                <w:sz w:val="16"/>
                <w:szCs w:val="16"/>
              </w:rPr>
            </w:pPr>
            <w:r w:rsidRPr="00DE452B">
              <w:rPr>
                <w:rFonts w:asciiTheme="minorHAnsi" w:hAnsiTheme="minorHAnsi" w:cstheme="minorHAnsi"/>
                <w:sz w:val="16"/>
                <w:szCs w:val="16"/>
              </w:rPr>
              <w:t>Non-daily smokers were either 1-5 days or 6-29 days</w:t>
            </w:r>
          </w:p>
        </w:tc>
        <w:tc>
          <w:tcPr>
            <w:tcW w:w="1530" w:type="dxa"/>
          </w:tcPr>
          <w:p w14:paraId="01E453B5"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NR</w:t>
            </w:r>
          </w:p>
        </w:tc>
        <w:tc>
          <w:tcPr>
            <w:tcW w:w="1530" w:type="dxa"/>
          </w:tcPr>
          <w:p w14:paraId="2F6C0445"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NR</w:t>
            </w:r>
          </w:p>
        </w:tc>
        <w:tc>
          <w:tcPr>
            <w:tcW w:w="1530" w:type="dxa"/>
          </w:tcPr>
          <w:p w14:paraId="5DECA9C7"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NR</w:t>
            </w:r>
          </w:p>
        </w:tc>
        <w:tc>
          <w:tcPr>
            <w:tcW w:w="1260" w:type="dxa"/>
          </w:tcPr>
          <w:p w14:paraId="5B3A188C"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NR</w:t>
            </w:r>
          </w:p>
        </w:tc>
        <w:tc>
          <w:tcPr>
            <w:tcW w:w="3027" w:type="dxa"/>
          </w:tcPr>
          <w:p w14:paraId="5ECCAA38"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u w:val="single"/>
              </w:rPr>
              <w:t xml:space="preserve">Smoking 1-5 days/month, </w:t>
            </w:r>
            <w:r w:rsidR="00D50EBC">
              <w:rPr>
                <w:rFonts w:asciiTheme="minorHAnsi" w:hAnsiTheme="minorHAnsi" w:cstheme="minorHAnsi"/>
                <w:sz w:val="16"/>
                <w:szCs w:val="16"/>
                <w:u w:val="single"/>
              </w:rPr>
              <w:t>A</w:t>
            </w:r>
            <w:r w:rsidRPr="00691084">
              <w:rPr>
                <w:rFonts w:asciiTheme="minorHAnsi" w:hAnsiTheme="minorHAnsi" w:cstheme="minorHAnsi"/>
                <w:sz w:val="16"/>
                <w:szCs w:val="16"/>
                <w:u w:val="single"/>
              </w:rPr>
              <w:t>OR (95% CI) for M (ref= daily):</w:t>
            </w:r>
            <w:r w:rsidRPr="00691084">
              <w:rPr>
                <w:rFonts w:asciiTheme="minorHAnsi" w:hAnsiTheme="minorHAnsi" w:cstheme="minorHAnsi"/>
                <w:sz w:val="16"/>
                <w:szCs w:val="16"/>
              </w:rPr>
              <w:t xml:space="preserve"> </w:t>
            </w:r>
          </w:p>
          <w:p w14:paraId="6CAB0DBE"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1.01 (0.91 to 1.13); p=0.82</w:t>
            </w:r>
          </w:p>
          <w:p w14:paraId="793B2556"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u w:val="single"/>
              </w:rPr>
              <w:t xml:space="preserve">Smoking 6-29 days/month </w:t>
            </w:r>
            <w:r w:rsidR="00D50EBC">
              <w:rPr>
                <w:rFonts w:asciiTheme="minorHAnsi" w:hAnsiTheme="minorHAnsi" w:cstheme="minorHAnsi"/>
                <w:sz w:val="16"/>
                <w:szCs w:val="16"/>
                <w:u w:val="single"/>
              </w:rPr>
              <w:t>A</w:t>
            </w:r>
            <w:r w:rsidRPr="00691084">
              <w:rPr>
                <w:rFonts w:asciiTheme="minorHAnsi" w:hAnsiTheme="minorHAnsi" w:cstheme="minorHAnsi"/>
                <w:sz w:val="16"/>
                <w:szCs w:val="16"/>
                <w:u w:val="single"/>
              </w:rPr>
              <w:t>OR (95% CI) for M (ref= daily):</w:t>
            </w:r>
            <w:r w:rsidRPr="00691084">
              <w:rPr>
                <w:rFonts w:asciiTheme="minorHAnsi" w:hAnsiTheme="minorHAnsi" w:cstheme="minorHAnsi"/>
                <w:sz w:val="16"/>
                <w:szCs w:val="16"/>
              </w:rPr>
              <w:t xml:space="preserve"> </w:t>
            </w:r>
          </w:p>
          <w:p w14:paraId="6D14430F"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1.02 (0.92 to 1.12); p=0.73</w:t>
            </w:r>
          </w:p>
        </w:tc>
      </w:tr>
      <w:tr w:rsidR="004149DE" w:rsidRPr="00691084" w14:paraId="2DD631F6" w14:textId="77777777" w:rsidTr="00881FE9">
        <w:tc>
          <w:tcPr>
            <w:tcW w:w="1975" w:type="dxa"/>
          </w:tcPr>
          <w:p w14:paraId="4863EDB1" w14:textId="2A0D6DB8" w:rsidR="00881FE9" w:rsidRPr="00691084" w:rsidRDefault="00D2134A" w:rsidP="00881FE9">
            <w:pPr>
              <w:rPr>
                <w:rFonts w:asciiTheme="minorHAnsi" w:hAnsiTheme="minorHAnsi" w:cstheme="minorHAnsi"/>
                <w:sz w:val="16"/>
                <w:szCs w:val="16"/>
              </w:rPr>
            </w:pPr>
            <w:r>
              <w:rPr>
                <w:rFonts w:cstheme="minorHAnsi"/>
                <w:sz w:val="16"/>
                <w:szCs w:val="16"/>
              </w:rPr>
              <w:fldChar w:fldCharType="begin"/>
            </w:r>
            <w:r>
              <w:rPr>
                <w:rFonts w:cstheme="minorHAnsi"/>
                <w:sz w:val="16"/>
                <w:szCs w:val="16"/>
              </w:rPr>
              <w:instrText xml:space="preserve"> ADDIN EN.CITE &lt;EndNote&gt;&lt;Cite&gt;&lt;Author&gt;Hyland&lt;/Author&gt;&lt;Year&gt;2002&lt;/Year&gt;&lt;RecNum&gt;87&lt;/RecNum&gt;&lt;DisplayText&gt;(65, 66)&lt;/DisplayText&gt;&lt;record&gt;&lt;rec-number&gt;87&lt;/rec-number&gt;&lt;foreign-keys&gt;&lt;key app="EN" db-id="a2vz2dfp8xrad6exes75zwpiw5rxwa0vwapv" timestamp="0"&gt;87&lt;/key&gt;&lt;/foreign-keys&gt;&lt;ref-type name="Journal Article"&gt;17&lt;/ref-type&gt;&lt;contributors&gt;&lt;authors&gt;&lt;author&gt;Hyland, A. &lt;/author&gt;&lt;author&gt;Garten, S. &lt;/author&gt;&lt;author&gt;Giovino, G. A.&lt;/author&gt;&lt;author&gt;Cummings, K. M.&lt;/author&gt;&lt;/authors&gt;&lt;/contributors&gt;&lt;titles&gt;&lt;title&gt;Mentholated cigarettes and smoking cessation: Findings from COMMIT&lt;/title&gt;&lt;secondary-title&gt;Tob Control&lt;/secondary-title&gt;&lt;/titles&gt;&lt;periodical&gt;&lt;full-title&gt;Tob Control&lt;/full-title&gt;&lt;/periodical&gt;&lt;pages&gt;135-139&lt;/pages&gt;&lt;volume&gt;11&lt;/volume&gt;&lt;section&gt;135&lt;/section&gt;&lt;dates&gt;&lt;year&gt;2002&lt;/year&gt;&lt;/dates&gt;&lt;urls&gt;&lt;/urls&gt;&lt;research-notes&gt;#442&lt;/research-notes&gt;&lt;/record&gt;&lt;/Cite&gt;&lt;Cite&gt;&lt;Author&gt;Hyland&lt;/Author&gt;&lt;Year&gt;2010&lt;/Year&gt;&lt;RecNum&gt;100&lt;/RecNum&gt;&lt;record&gt;&lt;rec-number&gt;100&lt;/rec-number&gt;&lt;foreign-keys&gt;&lt;key app="EN" db-id="a2vz2dfp8xrad6exes75zwpiw5rxwa0vwapv" timestamp="0"&gt;100&lt;/key&gt;&lt;/foreign-keys&gt;&lt;ref-type name="Report"&gt;27&lt;/ref-type&gt;&lt;contributors&gt;&lt;authors&gt;&lt;author&gt;Hyland, A.&lt;/author&gt;&lt;author&gt;Rivard, C.&lt;/author&gt;&lt;/authors&gt;&lt;/contributors&gt;&lt;titles&gt;&lt;title&gt;Analysis of mentholated cigarettes using the COMMIT data -- summary&lt;/title&gt;&lt;/titles&gt;&lt;dates&gt;&lt;year&gt;2010&lt;/year&gt;&lt;/dates&gt;&lt;publisher&gt;Department of Health Behavior, Roswell Park Cancer Institute&lt;/publisher&gt;&lt;urls&gt;&lt;/urls&gt;&lt;research-notes&gt;#818&lt;/research-notes&gt;&lt;/record&gt;&lt;/Cite&gt;&lt;/EndNote&gt;</w:instrText>
            </w:r>
            <w:r>
              <w:rPr>
                <w:rFonts w:cstheme="minorHAnsi"/>
                <w:sz w:val="16"/>
                <w:szCs w:val="16"/>
              </w:rPr>
              <w:fldChar w:fldCharType="separate"/>
            </w:r>
            <w:r>
              <w:rPr>
                <w:rFonts w:cstheme="minorHAnsi"/>
                <w:noProof/>
                <w:sz w:val="16"/>
                <w:szCs w:val="16"/>
              </w:rPr>
              <w:t>(</w:t>
            </w:r>
            <w:hyperlink w:anchor="_ENREF_65" w:tooltip="Hyland, 2002 #87" w:history="1">
              <w:r w:rsidR="00A234A9">
                <w:rPr>
                  <w:rFonts w:cstheme="minorHAnsi"/>
                  <w:noProof/>
                  <w:sz w:val="16"/>
                  <w:szCs w:val="16"/>
                </w:rPr>
                <w:t>65</w:t>
              </w:r>
            </w:hyperlink>
            <w:r>
              <w:rPr>
                <w:rFonts w:cstheme="minorHAnsi"/>
                <w:noProof/>
                <w:sz w:val="16"/>
                <w:szCs w:val="16"/>
              </w:rPr>
              <w:t xml:space="preserve">, </w:t>
            </w:r>
            <w:hyperlink w:anchor="_ENREF_66" w:tooltip="Hyland, 2010 #100" w:history="1">
              <w:r w:rsidR="00A234A9">
                <w:rPr>
                  <w:rFonts w:cstheme="minorHAnsi"/>
                  <w:noProof/>
                  <w:sz w:val="16"/>
                  <w:szCs w:val="16"/>
                </w:rPr>
                <w:t>66</w:t>
              </w:r>
            </w:hyperlink>
            <w:r>
              <w:rPr>
                <w:rFonts w:cstheme="minorHAnsi"/>
                <w:noProof/>
                <w:sz w:val="16"/>
                <w:szCs w:val="16"/>
              </w:rPr>
              <w:t>)</w:t>
            </w:r>
            <w:r>
              <w:rPr>
                <w:rFonts w:cstheme="minorHAnsi"/>
                <w:sz w:val="16"/>
                <w:szCs w:val="16"/>
              </w:rPr>
              <w:fldChar w:fldCharType="end"/>
            </w:r>
          </w:p>
          <w:p w14:paraId="3CA28C8C"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None</w:t>
            </w:r>
          </w:p>
          <w:p w14:paraId="42F6AA41"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None</w:t>
            </w:r>
          </w:p>
        </w:tc>
        <w:tc>
          <w:tcPr>
            <w:tcW w:w="1170" w:type="dxa"/>
          </w:tcPr>
          <w:p w14:paraId="0BEE5FD3"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Dependent;</w:t>
            </w:r>
          </w:p>
          <w:p w14:paraId="52DEDDD2"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Logistic and linear regressions;</w:t>
            </w:r>
          </w:p>
          <w:p w14:paraId="4AF095A8"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lastRenderedPageBreak/>
              <w:t>Age, gender, race/ethnicity, education, frequency of alcohol use, CPD, TTFC, desire to quit, past attempts to quit, use of non-cig tobacco product, other smokers in the house, smoke premium brand</w:t>
            </w:r>
          </w:p>
        </w:tc>
        <w:tc>
          <w:tcPr>
            <w:tcW w:w="1440" w:type="dxa"/>
          </w:tcPr>
          <w:p w14:paraId="0AAA3C1B"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lastRenderedPageBreak/>
              <w:t>Age started smoking</w:t>
            </w:r>
          </w:p>
        </w:tc>
        <w:tc>
          <w:tcPr>
            <w:tcW w:w="1530" w:type="dxa"/>
          </w:tcPr>
          <w:p w14:paraId="3FD084C4" w14:textId="77777777" w:rsidR="00881FE9" w:rsidRPr="00691084" w:rsidRDefault="00881FE9" w:rsidP="00881FE9">
            <w:pPr>
              <w:rPr>
                <w:rFonts w:asciiTheme="minorHAnsi" w:hAnsiTheme="minorHAnsi" w:cstheme="minorHAnsi"/>
                <w:sz w:val="16"/>
                <w:szCs w:val="16"/>
              </w:rPr>
            </w:pPr>
          </w:p>
          <w:p w14:paraId="3D822C71" w14:textId="77777777" w:rsidR="00343C7B" w:rsidRPr="00691084" w:rsidRDefault="00343C7B" w:rsidP="00343C7B">
            <w:pPr>
              <w:rPr>
                <w:rFonts w:asciiTheme="minorHAnsi" w:hAnsiTheme="minorHAnsi" w:cstheme="minorHAnsi"/>
                <w:sz w:val="16"/>
                <w:szCs w:val="16"/>
              </w:rPr>
            </w:pPr>
            <w:r w:rsidRPr="00691084">
              <w:rPr>
                <w:rFonts w:asciiTheme="minorHAnsi" w:hAnsiTheme="minorHAnsi" w:cstheme="minorHAnsi"/>
                <w:sz w:val="16"/>
                <w:szCs w:val="16"/>
              </w:rPr>
              <w:t xml:space="preserve">M use, OR (95% CI) by initiation age, </w:t>
            </w:r>
            <w:r w:rsidRPr="00691084">
              <w:rPr>
                <w:rFonts w:asciiTheme="minorHAnsi" w:hAnsiTheme="minorHAnsi" w:cstheme="minorHAnsi"/>
                <w:sz w:val="16"/>
                <w:szCs w:val="16"/>
              </w:rPr>
              <w:lastRenderedPageBreak/>
              <w:t>(ref= initiation age ≤15):</w:t>
            </w:r>
          </w:p>
          <w:p w14:paraId="45EFD1B4" w14:textId="77777777" w:rsidR="00343C7B" w:rsidRPr="00691084" w:rsidRDefault="00343C7B" w:rsidP="00343C7B">
            <w:pPr>
              <w:rPr>
                <w:rFonts w:asciiTheme="minorHAnsi" w:hAnsiTheme="minorHAnsi" w:cstheme="minorHAnsi"/>
                <w:sz w:val="16"/>
                <w:szCs w:val="16"/>
              </w:rPr>
            </w:pPr>
            <w:r w:rsidRPr="00691084">
              <w:rPr>
                <w:rFonts w:asciiTheme="minorHAnsi" w:hAnsiTheme="minorHAnsi" w:cstheme="minorHAnsi"/>
                <w:sz w:val="16"/>
                <w:szCs w:val="16"/>
              </w:rPr>
              <w:t>16-19: 0.92 (0.82 to 1.02)</w:t>
            </w:r>
          </w:p>
          <w:p w14:paraId="1C4CBA63" w14:textId="77777777" w:rsidR="00881FE9" w:rsidRPr="00691084" w:rsidRDefault="00343C7B" w:rsidP="00881FE9">
            <w:pPr>
              <w:rPr>
                <w:rFonts w:asciiTheme="minorHAnsi" w:hAnsiTheme="minorHAnsi" w:cstheme="minorHAnsi"/>
                <w:sz w:val="16"/>
                <w:szCs w:val="16"/>
              </w:rPr>
            </w:pPr>
            <w:r w:rsidRPr="00691084">
              <w:rPr>
                <w:rFonts w:asciiTheme="minorHAnsi" w:hAnsiTheme="minorHAnsi" w:cstheme="minorHAnsi"/>
                <w:sz w:val="16"/>
                <w:szCs w:val="16"/>
              </w:rPr>
              <w:t>≥20: 0.89 (0.78 to 1.01)</w:t>
            </w:r>
          </w:p>
          <w:p w14:paraId="46973331" w14:textId="77777777" w:rsidR="00881FE9" w:rsidRPr="00691084" w:rsidRDefault="00881FE9" w:rsidP="00881FE9">
            <w:pPr>
              <w:rPr>
                <w:rFonts w:asciiTheme="minorHAnsi" w:hAnsiTheme="minorHAnsi" w:cstheme="minorHAnsi"/>
                <w:sz w:val="16"/>
                <w:szCs w:val="16"/>
              </w:rPr>
            </w:pPr>
          </w:p>
        </w:tc>
        <w:tc>
          <w:tcPr>
            <w:tcW w:w="1530" w:type="dxa"/>
          </w:tcPr>
          <w:p w14:paraId="3193C6BA"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lastRenderedPageBreak/>
              <w:t>NR</w:t>
            </w:r>
          </w:p>
        </w:tc>
        <w:tc>
          <w:tcPr>
            <w:tcW w:w="1530" w:type="dxa"/>
          </w:tcPr>
          <w:p w14:paraId="0D3BA4F1"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NR</w:t>
            </w:r>
          </w:p>
        </w:tc>
        <w:tc>
          <w:tcPr>
            <w:tcW w:w="1260" w:type="dxa"/>
          </w:tcPr>
          <w:p w14:paraId="44335D16"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NR</w:t>
            </w:r>
          </w:p>
        </w:tc>
        <w:tc>
          <w:tcPr>
            <w:tcW w:w="3027" w:type="dxa"/>
          </w:tcPr>
          <w:p w14:paraId="0186DCED" w14:textId="77777777" w:rsidR="00881FE9" w:rsidRPr="00691084" w:rsidRDefault="00343C7B" w:rsidP="00343C7B">
            <w:pPr>
              <w:rPr>
                <w:rFonts w:asciiTheme="minorHAnsi" w:hAnsiTheme="minorHAnsi" w:cstheme="minorHAnsi"/>
                <w:sz w:val="16"/>
                <w:szCs w:val="16"/>
              </w:rPr>
            </w:pPr>
            <w:r>
              <w:rPr>
                <w:rFonts w:asciiTheme="minorHAnsi" w:hAnsiTheme="minorHAnsi" w:cstheme="minorHAnsi"/>
                <w:sz w:val="16"/>
                <w:szCs w:val="16"/>
              </w:rPr>
              <w:t>NR</w:t>
            </w:r>
          </w:p>
        </w:tc>
      </w:tr>
      <w:tr w:rsidR="004149DE" w:rsidRPr="00691084" w14:paraId="0B9DB883" w14:textId="77777777" w:rsidTr="00881FE9">
        <w:tc>
          <w:tcPr>
            <w:tcW w:w="1975" w:type="dxa"/>
          </w:tcPr>
          <w:p w14:paraId="0D477740" w14:textId="5E8130F8" w:rsidR="00881FE9" w:rsidRPr="00691084" w:rsidRDefault="00D2134A" w:rsidP="00881FE9">
            <w:pPr>
              <w:rPr>
                <w:rFonts w:asciiTheme="minorHAnsi" w:hAnsiTheme="minorHAnsi" w:cstheme="minorHAnsi"/>
                <w:sz w:val="16"/>
                <w:szCs w:val="16"/>
              </w:rPr>
            </w:pPr>
            <w:r>
              <w:rPr>
                <w:rFonts w:cstheme="minorHAnsi"/>
                <w:sz w:val="16"/>
                <w:szCs w:val="16"/>
              </w:rPr>
              <w:fldChar w:fldCharType="begin">
                <w:fldData xml:space="preserve">PEVuZE5vdGU+PENpdGU+PEF1dGhvcj5LYXN6YTwvQXV0aG9yPjxZZWFyPjIwMTQ8L1llYXI+PFJl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PEVuZE5vdGU+PENpdGU+PEF1dGhvcj5LYXN6YTwvQXV0aG9yPjxZZWFyPjIwMTQ8L1llYXI+PFJl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69" w:tooltip="Kasza, 2014 #16" w:history="1">
              <w:r w:rsidR="00A234A9">
                <w:rPr>
                  <w:rFonts w:cstheme="minorHAnsi"/>
                  <w:noProof/>
                  <w:sz w:val="16"/>
                  <w:szCs w:val="16"/>
                </w:rPr>
                <w:t>69</w:t>
              </w:r>
            </w:hyperlink>
            <w:r>
              <w:rPr>
                <w:rFonts w:cstheme="minorHAnsi"/>
                <w:noProof/>
                <w:sz w:val="16"/>
                <w:szCs w:val="16"/>
              </w:rPr>
              <w:t>)</w:t>
            </w:r>
            <w:r>
              <w:rPr>
                <w:rFonts w:cstheme="minorHAnsi"/>
                <w:sz w:val="16"/>
                <w:szCs w:val="16"/>
              </w:rPr>
              <w:fldChar w:fldCharType="end"/>
            </w:r>
          </w:p>
          <w:p w14:paraId="09B678CE" w14:textId="77777777" w:rsidR="00881FE9" w:rsidRPr="00691084" w:rsidRDefault="00881FE9" w:rsidP="00881FE9">
            <w:pPr>
              <w:rPr>
                <w:rFonts w:asciiTheme="minorHAnsi" w:hAnsiTheme="minorHAnsi" w:cstheme="minorHAnsi"/>
                <w:sz w:val="16"/>
                <w:szCs w:val="16"/>
                <w:vertAlign w:val="superscript"/>
              </w:rPr>
            </w:pPr>
            <w:r w:rsidRPr="00691084">
              <w:rPr>
                <w:rFonts w:asciiTheme="minorHAnsi" w:hAnsiTheme="minorHAnsi" w:cstheme="minorHAnsi"/>
                <w:sz w:val="16"/>
                <w:szCs w:val="16"/>
              </w:rPr>
              <w:t>ITC-4 (U.S. data only)</w:t>
            </w:r>
          </w:p>
          <w:p w14:paraId="3845288D" w14:textId="77777777" w:rsidR="00881FE9" w:rsidRPr="00691084" w:rsidRDefault="00881FE9" w:rsidP="00881FE9">
            <w:pPr>
              <w:rPr>
                <w:rFonts w:asciiTheme="minorHAnsi" w:hAnsiTheme="minorHAnsi" w:cstheme="minorHAnsi"/>
                <w:b/>
                <w:sz w:val="16"/>
                <w:szCs w:val="16"/>
              </w:rPr>
            </w:pPr>
            <w:r w:rsidRPr="00691084">
              <w:rPr>
                <w:rFonts w:asciiTheme="minorHAnsi" w:hAnsiTheme="minorHAnsi" w:cstheme="minorHAnsi"/>
                <w:sz w:val="16"/>
                <w:szCs w:val="16"/>
              </w:rPr>
              <w:t>Adults</w:t>
            </w:r>
          </w:p>
        </w:tc>
        <w:tc>
          <w:tcPr>
            <w:tcW w:w="1170" w:type="dxa"/>
          </w:tcPr>
          <w:p w14:paraId="503183C6"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Independent;</w:t>
            </w:r>
          </w:p>
          <w:p w14:paraId="16991D4C"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GEE;</w:t>
            </w:r>
          </w:p>
          <w:p w14:paraId="0B05A256" w14:textId="77777777" w:rsidR="00881FE9" w:rsidRPr="00691084" w:rsidRDefault="00881FE9" w:rsidP="00881FE9">
            <w:pPr>
              <w:rPr>
                <w:rFonts w:asciiTheme="minorHAnsi" w:hAnsiTheme="minorHAnsi" w:cstheme="minorHAnsi"/>
                <w:b/>
                <w:sz w:val="16"/>
                <w:szCs w:val="16"/>
              </w:rPr>
            </w:pPr>
            <w:r w:rsidRPr="00691084">
              <w:rPr>
                <w:rFonts w:asciiTheme="minorHAnsi" w:hAnsiTheme="minorHAnsi" w:cstheme="minorHAnsi"/>
                <w:sz w:val="16"/>
                <w:szCs w:val="16"/>
              </w:rPr>
              <w:t>Age group, gender, race/ethnicity, education level, income level, HSI index, intention to quit (all measured at the same time as the outcome), time in sample, instrument change</w:t>
            </w:r>
          </w:p>
        </w:tc>
        <w:tc>
          <w:tcPr>
            <w:tcW w:w="1440" w:type="dxa"/>
          </w:tcPr>
          <w:p w14:paraId="723179C8" w14:textId="77777777" w:rsidR="00881FE9" w:rsidRPr="00691084" w:rsidRDefault="00881FE9" w:rsidP="00881FE9">
            <w:pPr>
              <w:rPr>
                <w:rFonts w:asciiTheme="minorHAnsi" w:hAnsiTheme="minorHAnsi" w:cstheme="minorHAnsi"/>
                <w:b/>
                <w:sz w:val="16"/>
                <w:szCs w:val="16"/>
              </w:rPr>
            </w:pPr>
            <w:r w:rsidRPr="00691084">
              <w:rPr>
                <w:rFonts w:asciiTheme="minorHAnsi" w:hAnsiTheme="minorHAnsi" w:cstheme="minorHAnsi"/>
                <w:sz w:val="16"/>
                <w:szCs w:val="16"/>
              </w:rPr>
              <w:t>NR</w:t>
            </w:r>
          </w:p>
        </w:tc>
        <w:tc>
          <w:tcPr>
            <w:tcW w:w="1530" w:type="dxa"/>
          </w:tcPr>
          <w:p w14:paraId="6F19E4DD" w14:textId="77777777" w:rsidR="00881FE9" w:rsidRPr="00691084" w:rsidRDefault="00881FE9" w:rsidP="00881FE9">
            <w:pPr>
              <w:rPr>
                <w:rFonts w:asciiTheme="minorHAnsi" w:hAnsiTheme="minorHAnsi" w:cstheme="minorHAnsi"/>
                <w:b/>
                <w:sz w:val="16"/>
                <w:szCs w:val="16"/>
              </w:rPr>
            </w:pPr>
            <w:r w:rsidRPr="00691084">
              <w:rPr>
                <w:rFonts w:asciiTheme="minorHAnsi" w:hAnsiTheme="minorHAnsi" w:cstheme="minorHAnsi"/>
                <w:sz w:val="16"/>
                <w:szCs w:val="16"/>
              </w:rPr>
              <w:t>NR</w:t>
            </w:r>
          </w:p>
        </w:tc>
        <w:tc>
          <w:tcPr>
            <w:tcW w:w="1530" w:type="dxa"/>
          </w:tcPr>
          <w:p w14:paraId="4F6DF230" w14:textId="77777777" w:rsidR="00881FE9" w:rsidRPr="00691084" w:rsidRDefault="00881FE9" w:rsidP="00881FE9">
            <w:pPr>
              <w:rPr>
                <w:rFonts w:asciiTheme="minorHAnsi" w:hAnsiTheme="minorHAnsi" w:cstheme="minorHAnsi"/>
                <w:b/>
                <w:sz w:val="16"/>
                <w:szCs w:val="16"/>
              </w:rPr>
            </w:pPr>
            <w:r w:rsidRPr="00691084">
              <w:rPr>
                <w:rFonts w:asciiTheme="minorHAnsi" w:hAnsiTheme="minorHAnsi" w:cstheme="minorHAnsi"/>
                <w:sz w:val="16"/>
                <w:szCs w:val="16"/>
              </w:rPr>
              <w:t>NR</w:t>
            </w:r>
          </w:p>
        </w:tc>
        <w:tc>
          <w:tcPr>
            <w:tcW w:w="1530" w:type="dxa"/>
          </w:tcPr>
          <w:p w14:paraId="47F0F7AD"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OR (95% CI) of switching</w:t>
            </w:r>
          </w:p>
          <w:p w14:paraId="025A7255"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u w:val="single"/>
              </w:rPr>
              <w:t>Men:</w:t>
            </w:r>
            <w:r w:rsidRPr="00691084">
              <w:rPr>
                <w:rFonts w:asciiTheme="minorHAnsi" w:hAnsiTheme="minorHAnsi" w:cstheme="minorHAnsi"/>
                <w:sz w:val="16"/>
                <w:szCs w:val="16"/>
              </w:rPr>
              <w:t xml:space="preserve"> 0.88 (0.59 to 1.32) (ref= women)</w:t>
            </w:r>
          </w:p>
          <w:p w14:paraId="62E0C91F"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u w:val="single"/>
              </w:rPr>
              <w:t>Black:</w:t>
            </w:r>
            <w:r w:rsidRPr="00691084">
              <w:rPr>
                <w:rFonts w:asciiTheme="minorHAnsi" w:hAnsiTheme="minorHAnsi" w:cstheme="minorHAnsi"/>
                <w:sz w:val="16"/>
                <w:szCs w:val="16"/>
              </w:rPr>
              <w:t xml:space="preserve"> 11.93 (6.30 to 22.58) (ref=NH White)</w:t>
            </w:r>
          </w:p>
          <w:p w14:paraId="6490847A"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u w:val="single"/>
              </w:rPr>
              <w:t>Hispanic:</w:t>
            </w:r>
            <w:r w:rsidRPr="00691084">
              <w:rPr>
                <w:rFonts w:asciiTheme="minorHAnsi" w:hAnsiTheme="minorHAnsi" w:cstheme="minorHAnsi"/>
                <w:sz w:val="16"/>
                <w:szCs w:val="16"/>
              </w:rPr>
              <w:t xml:space="preserve"> 3.16 (1.37 to 7.29) (ref=NH White)</w:t>
            </w:r>
          </w:p>
          <w:p w14:paraId="1737217A"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u w:val="single"/>
              </w:rPr>
              <w:t>Age 25-39</w:t>
            </w:r>
            <w:r w:rsidRPr="00691084">
              <w:rPr>
                <w:rFonts w:asciiTheme="minorHAnsi" w:hAnsiTheme="minorHAnsi" w:cstheme="minorHAnsi"/>
                <w:sz w:val="16"/>
                <w:szCs w:val="16"/>
              </w:rPr>
              <w:t>: 0.28 (0.13 to 0.59) (ref=18-24</w:t>
            </w:r>
          </w:p>
          <w:p w14:paraId="390C010A"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u w:val="single"/>
              </w:rPr>
              <w:t>Age 40 to 54</w:t>
            </w:r>
            <w:r w:rsidRPr="00691084">
              <w:rPr>
                <w:rFonts w:asciiTheme="minorHAnsi" w:hAnsiTheme="minorHAnsi" w:cstheme="minorHAnsi"/>
                <w:sz w:val="16"/>
                <w:szCs w:val="16"/>
              </w:rPr>
              <w:t>: 0.47 (0.23 to 0.97) (ref=18-24)</w:t>
            </w:r>
          </w:p>
          <w:p w14:paraId="1C90AD8F" w14:textId="77777777" w:rsidR="00881FE9" w:rsidRPr="00691084" w:rsidRDefault="00881FE9" w:rsidP="00881FE9">
            <w:pPr>
              <w:rPr>
                <w:rFonts w:asciiTheme="minorHAnsi" w:hAnsiTheme="minorHAnsi" w:cstheme="minorHAnsi"/>
                <w:b/>
                <w:sz w:val="16"/>
                <w:szCs w:val="16"/>
              </w:rPr>
            </w:pPr>
            <w:r w:rsidRPr="00691084">
              <w:rPr>
                <w:rFonts w:asciiTheme="minorHAnsi" w:hAnsiTheme="minorHAnsi" w:cstheme="minorHAnsi"/>
                <w:sz w:val="16"/>
                <w:szCs w:val="16"/>
                <w:u w:val="single"/>
              </w:rPr>
              <w:t>Age ≥55</w:t>
            </w:r>
            <w:r w:rsidRPr="00691084">
              <w:rPr>
                <w:rFonts w:asciiTheme="minorHAnsi" w:hAnsiTheme="minorHAnsi" w:cstheme="minorHAnsi"/>
                <w:sz w:val="16"/>
                <w:szCs w:val="16"/>
              </w:rPr>
              <w:t>: 0.26 (0.12 to 0.55) (ref=18-24)</w:t>
            </w:r>
          </w:p>
        </w:tc>
        <w:tc>
          <w:tcPr>
            <w:tcW w:w="1260" w:type="dxa"/>
          </w:tcPr>
          <w:p w14:paraId="755F0104"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OR (95% CI) of switching</w:t>
            </w:r>
          </w:p>
          <w:p w14:paraId="58B6EDE3"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u w:val="single"/>
              </w:rPr>
              <w:t>Men</w:t>
            </w:r>
            <w:r w:rsidRPr="00691084">
              <w:rPr>
                <w:rFonts w:asciiTheme="minorHAnsi" w:hAnsiTheme="minorHAnsi" w:cstheme="minorHAnsi"/>
                <w:sz w:val="16"/>
                <w:szCs w:val="16"/>
              </w:rPr>
              <w:t>: 1.11 (0.74 to 1.67) (ref=women)</w:t>
            </w:r>
          </w:p>
          <w:p w14:paraId="7CD10BFB"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u w:val="single"/>
              </w:rPr>
              <w:t>Black</w:t>
            </w:r>
            <w:r w:rsidRPr="00691084">
              <w:rPr>
                <w:rFonts w:asciiTheme="minorHAnsi" w:hAnsiTheme="minorHAnsi" w:cstheme="minorHAnsi"/>
                <w:sz w:val="16"/>
                <w:szCs w:val="16"/>
              </w:rPr>
              <w:t>: 0.57 (0.33 to 0.99) (ref=NH White)</w:t>
            </w:r>
          </w:p>
          <w:p w14:paraId="7AC59950"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u w:val="single"/>
              </w:rPr>
              <w:t>Hispanic</w:t>
            </w:r>
            <w:r w:rsidRPr="00691084">
              <w:rPr>
                <w:rFonts w:asciiTheme="minorHAnsi" w:hAnsiTheme="minorHAnsi" w:cstheme="minorHAnsi"/>
                <w:sz w:val="16"/>
                <w:szCs w:val="16"/>
              </w:rPr>
              <w:t>: 1.94 (0.90 to 4.17) (ref=NH White)</w:t>
            </w:r>
          </w:p>
          <w:p w14:paraId="09977918"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u w:val="single"/>
              </w:rPr>
              <w:t>Age 25-39</w:t>
            </w:r>
            <w:r w:rsidRPr="00691084">
              <w:rPr>
                <w:rFonts w:asciiTheme="minorHAnsi" w:hAnsiTheme="minorHAnsi" w:cstheme="minorHAnsi"/>
                <w:sz w:val="16"/>
                <w:szCs w:val="16"/>
              </w:rPr>
              <w:t>: 1.19 (0.54 to 2.60) (ref=18-24)</w:t>
            </w:r>
          </w:p>
          <w:p w14:paraId="130D37E8"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u w:val="single"/>
              </w:rPr>
              <w:t>Age 40-54</w:t>
            </w:r>
            <w:r w:rsidRPr="00691084">
              <w:rPr>
                <w:rFonts w:asciiTheme="minorHAnsi" w:hAnsiTheme="minorHAnsi" w:cstheme="minorHAnsi"/>
                <w:sz w:val="16"/>
                <w:szCs w:val="16"/>
              </w:rPr>
              <w:t>: 0.87 (0.41 to 1.85) (ref=18-24)</w:t>
            </w:r>
          </w:p>
          <w:p w14:paraId="7D267CDE" w14:textId="77777777" w:rsidR="00881FE9" w:rsidRPr="00691084" w:rsidRDefault="00881FE9" w:rsidP="00881FE9">
            <w:pPr>
              <w:rPr>
                <w:rFonts w:asciiTheme="minorHAnsi" w:hAnsiTheme="minorHAnsi" w:cstheme="minorHAnsi"/>
                <w:b/>
                <w:sz w:val="16"/>
                <w:szCs w:val="16"/>
              </w:rPr>
            </w:pPr>
            <w:r w:rsidRPr="00691084">
              <w:rPr>
                <w:rFonts w:asciiTheme="minorHAnsi" w:hAnsiTheme="minorHAnsi" w:cstheme="minorHAnsi"/>
                <w:sz w:val="16"/>
                <w:szCs w:val="16"/>
                <w:u w:val="single"/>
              </w:rPr>
              <w:t>Age ≥55</w:t>
            </w:r>
            <w:r w:rsidRPr="00691084">
              <w:rPr>
                <w:rFonts w:asciiTheme="minorHAnsi" w:hAnsiTheme="minorHAnsi" w:cstheme="minorHAnsi"/>
                <w:sz w:val="16"/>
                <w:szCs w:val="16"/>
              </w:rPr>
              <w:t>: 1.04 (0.47 to 2.30) (ref=18-24)</w:t>
            </w:r>
          </w:p>
        </w:tc>
        <w:tc>
          <w:tcPr>
            <w:tcW w:w="3027" w:type="dxa"/>
          </w:tcPr>
          <w:p w14:paraId="48915CB0" w14:textId="77777777" w:rsidR="00881FE9" w:rsidRPr="00691084" w:rsidRDefault="00881FE9" w:rsidP="00881FE9">
            <w:pPr>
              <w:rPr>
                <w:rFonts w:asciiTheme="minorHAnsi" w:hAnsiTheme="minorHAnsi" w:cstheme="minorHAnsi"/>
                <w:b/>
                <w:sz w:val="16"/>
                <w:szCs w:val="16"/>
              </w:rPr>
            </w:pPr>
            <w:r w:rsidRPr="00691084">
              <w:rPr>
                <w:rFonts w:asciiTheme="minorHAnsi" w:hAnsiTheme="minorHAnsi" w:cstheme="minorHAnsi"/>
                <w:sz w:val="16"/>
                <w:szCs w:val="16"/>
              </w:rPr>
              <w:t>NR</w:t>
            </w:r>
          </w:p>
        </w:tc>
      </w:tr>
      <w:tr w:rsidR="004149DE" w:rsidRPr="00691084" w14:paraId="5453557F" w14:textId="77777777" w:rsidTr="00881FE9">
        <w:tc>
          <w:tcPr>
            <w:tcW w:w="1975" w:type="dxa"/>
          </w:tcPr>
          <w:p w14:paraId="3CBC34A2" w14:textId="48800964" w:rsidR="00621FF9" w:rsidRPr="00382374" w:rsidRDefault="00D2134A" w:rsidP="00621FF9">
            <w:pPr>
              <w:rPr>
                <w:rFonts w:asciiTheme="minorHAnsi" w:hAnsiTheme="minorHAnsi" w:cstheme="minorHAnsi"/>
                <w:sz w:val="16"/>
                <w:szCs w:val="16"/>
                <w:vertAlign w:val="superscript"/>
              </w:rPr>
            </w:pPr>
            <w:r>
              <w:rPr>
                <w:rFonts w:cstheme="minorHAnsi"/>
                <w:sz w:val="16"/>
                <w:szCs w:val="16"/>
              </w:rPr>
              <w:fldChar w:fldCharType="begin">
                <w:fldData xml:space="preserve">PEVuZE5vdGU+PENpdGU+PEF1dGhvcj5MYXdyZW5jZTwvQXV0aG9yPjxZZWFyPjIwMTA8L1llYXI+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PEVuZE5vdGU+PENpdGU+PEF1dGhvcj5MYXdyZW5jZTwvQXV0aG9yPjxZZWFyPjIwMTA8L1llYXI+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70" w:tooltip="Lawrence, 2010 #52" w:history="1">
              <w:r w:rsidR="00A234A9">
                <w:rPr>
                  <w:rFonts w:cstheme="minorHAnsi"/>
                  <w:noProof/>
                  <w:sz w:val="16"/>
                  <w:szCs w:val="16"/>
                </w:rPr>
                <w:t>70</w:t>
              </w:r>
            </w:hyperlink>
            <w:r>
              <w:rPr>
                <w:rFonts w:cstheme="minorHAnsi"/>
                <w:noProof/>
                <w:sz w:val="16"/>
                <w:szCs w:val="16"/>
              </w:rPr>
              <w:t>)</w:t>
            </w:r>
            <w:r>
              <w:rPr>
                <w:rFonts w:cstheme="minorHAnsi"/>
                <w:sz w:val="16"/>
                <w:szCs w:val="16"/>
              </w:rPr>
              <w:fldChar w:fldCharType="end"/>
            </w:r>
          </w:p>
          <w:p w14:paraId="1B3C09CA" w14:textId="77777777" w:rsidR="00621FF9" w:rsidRPr="00691084" w:rsidRDefault="00621FF9" w:rsidP="00621FF9">
            <w:pPr>
              <w:rPr>
                <w:rFonts w:asciiTheme="minorHAnsi" w:hAnsiTheme="minorHAnsi" w:cstheme="minorHAnsi"/>
                <w:sz w:val="16"/>
                <w:szCs w:val="16"/>
                <w:vertAlign w:val="superscript"/>
              </w:rPr>
            </w:pPr>
            <w:r w:rsidRPr="00691084">
              <w:rPr>
                <w:rFonts w:asciiTheme="minorHAnsi" w:hAnsiTheme="minorHAnsi" w:cstheme="minorHAnsi"/>
                <w:sz w:val="16"/>
                <w:szCs w:val="16"/>
              </w:rPr>
              <w:t>TUS-CPS</w:t>
            </w:r>
            <w:r w:rsidRPr="00691084">
              <w:rPr>
                <w:rFonts w:asciiTheme="minorHAnsi" w:hAnsiTheme="minorHAnsi" w:cstheme="minorHAnsi"/>
                <w:sz w:val="16"/>
                <w:szCs w:val="16"/>
                <w:vertAlign w:val="superscript"/>
              </w:rPr>
              <w:t>a</w:t>
            </w:r>
            <w:r w:rsidRPr="00691084" w:rsidDel="002F4F09">
              <w:rPr>
                <w:rFonts w:asciiTheme="minorHAnsi" w:hAnsiTheme="minorHAnsi" w:cstheme="minorHAnsi"/>
                <w:sz w:val="16"/>
                <w:szCs w:val="16"/>
                <w:vertAlign w:val="superscript"/>
              </w:rPr>
              <w:t xml:space="preserve"> </w:t>
            </w:r>
          </w:p>
          <w:p w14:paraId="6950432D"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Adults</w:t>
            </w:r>
          </w:p>
        </w:tc>
        <w:tc>
          <w:tcPr>
            <w:tcW w:w="1170" w:type="dxa"/>
          </w:tcPr>
          <w:p w14:paraId="472E0969"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Dependent;</w:t>
            </w:r>
          </w:p>
          <w:p w14:paraId="4C2BE8D8"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Multivariate logistic regression;</w:t>
            </w:r>
          </w:p>
          <w:p w14:paraId="4B908F4B"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lastRenderedPageBreak/>
              <w:t>Unclear, but appear to be</w:t>
            </w:r>
            <w:r w:rsidRPr="00691084">
              <w:rPr>
                <w:rFonts w:asciiTheme="minorHAnsi" w:hAnsiTheme="minorHAnsi" w:cstheme="minorHAnsi"/>
                <w:sz w:val="16"/>
                <w:szCs w:val="16"/>
                <w:vertAlign w:val="superscript"/>
              </w:rPr>
              <w:t xml:space="preserve"> </w:t>
            </w:r>
            <w:r w:rsidRPr="00691084">
              <w:rPr>
                <w:rFonts w:asciiTheme="minorHAnsi" w:hAnsiTheme="minorHAnsi" w:cstheme="minorHAnsi"/>
                <w:sz w:val="16"/>
                <w:szCs w:val="16"/>
              </w:rPr>
              <w:t>gender, age, race/ethnicity, marital status, country of birth, U.S. region, metropolitan status, income, education, employment/occupation, survey year</w:t>
            </w:r>
          </w:p>
        </w:tc>
        <w:tc>
          <w:tcPr>
            <w:tcW w:w="1440" w:type="dxa"/>
          </w:tcPr>
          <w:p w14:paraId="03D60E83"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lastRenderedPageBreak/>
              <w:t>Age at onset of regular smoking</w:t>
            </w:r>
          </w:p>
          <w:p w14:paraId="45F75809" w14:textId="77777777" w:rsidR="00621FF9" w:rsidRPr="00691084" w:rsidRDefault="00621FF9" w:rsidP="00621FF9">
            <w:pPr>
              <w:rPr>
                <w:rFonts w:asciiTheme="minorHAnsi" w:hAnsiTheme="minorHAnsi" w:cstheme="minorHAnsi"/>
                <w:sz w:val="16"/>
                <w:szCs w:val="16"/>
              </w:rPr>
            </w:pPr>
          </w:p>
          <w:p w14:paraId="3CF91DB2"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lastRenderedPageBreak/>
              <w:t xml:space="preserve">Self-reported smoking coded as every day, or some days </w:t>
            </w:r>
          </w:p>
          <w:p w14:paraId="3BF519FE" w14:textId="77777777" w:rsidR="00621FF9" w:rsidRPr="00691084" w:rsidRDefault="00621FF9" w:rsidP="00621FF9">
            <w:pPr>
              <w:rPr>
                <w:rFonts w:asciiTheme="minorHAnsi" w:hAnsiTheme="minorHAnsi" w:cstheme="minorHAnsi"/>
                <w:sz w:val="16"/>
                <w:szCs w:val="16"/>
              </w:rPr>
            </w:pPr>
          </w:p>
        </w:tc>
        <w:tc>
          <w:tcPr>
            <w:tcW w:w="1530" w:type="dxa"/>
          </w:tcPr>
          <w:p w14:paraId="44F3076E"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lastRenderedPageBreak/>
              <w:t xml:space="preserve">OR (95% CI) of being a M smoker at regular smoking, </w:t>
            </w:r>
            <w:r w:rsidRPr="00691084">
              <w:rPr>
                <w:rFonts w:asciiTheme="minorHAnsi" w:hAnsiTheme="minorHAnsi" w:cstheme="minorHAnsi"/>
                <w:sz w:val="16"/>
                <w:szCs w:val="16"/>
              </w:rPr>
              <w:lastRenderedPageBreak/>
              <w:t>by age (ref=age ≥18):</w:t>
            </w:r>
          </w:p>
          <w:p w14:paraId="3A70DEDA" w14:textId="77777777" w:rsidR="00621FF9" w:rsidRPr="00691084" w:rsidRDefault="00621FF9" w:rsidP="00621FF9">
            <w:pPr>
              <w:rPr>
                <w:rFonts w:asciiTheme="minorHAnsi" w:hAnsiTheme="minorHAnsi" w:cstheme="minorHAnsi"/>
                <w:sz w:val="16"/>
                <w:szCs w:val="16"/>
                <w:u w:val="single"/>
              </w:rPr>
            </w:pPr>
            <w:r w:rsidRPr="00691084">
              <w:rPr>
                <w:rFonts w:asciiTheme="minorHAnsi" w:hAnsiTheme="minorHAnsi" w:cstheme="minorHAnsi"/>
                <w:sz w:val="16"/>
                <w:szCs w:val="16"/>
                <w:u w:val="single"/>
              </w:rPr>
              <w:t>Total sample</w:t>
            </w:r>
          </w:p>
          <w:p w14:paraId="17222D83"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 xml:space="preserve">&lt;15: 0.99 (0.90 to 1.09) </w:t>
            </w:r>
          </w:p>
          <w:p w14:paraId="1538A5AD"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 xml:space="preserve">15-17: 0.95 (0.89 to 1.02) </w:t>
            </w:r>
          </w:p>
          <w:p w14:paraId="3938A255" w14:textId="77777777" w:rsidR="00621FF9" w:rsidRPr="00691084" w:rsidRDefault="00621FF9" w:rsidP="00621FF9">
            <w:pPr>
              <w:rPr>
                <w:rFonts w:asciiTheme="minorHAnsi" w:hAnsiTheme="minorHAnsi" w:cstheme="minorHAnsi"/>
                <w:sz w:val="16"/>
                <w:szCs w:val="16"/>
                <w:u w:val="single"/>
              </w:rPr>
            </w:pPr>
            <w:r w:rsidRPr="00691084">
              <w:rPr>
                <w:rFonts w:asciiTheme="minorHAnsi" w:hAnsiTheme="minorHAnsi" w:cstheme="minorHAnsi"/>
                <w:sz w:val="16"/>
                <w:szCs w:val="16"/>
                <w:u w:val="single"/>
              </w:rPr>
              <w:t xml:space="preserve">Men </w:t>
            </w:r>
          </w:p>
          <w:p w14:paraId="4CB87177"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&lt;15: 1.10 (0.95 to 1.28)</w:t>
            </w:r>
          </w:p>
          <w:p w14:paraId="5AE5D339"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15-17: 1.01 (0.91 to 1.12)</w:t>
            </w:r>
          </w:p>
          <w:p w14:paraId="3DE50840" w14:textId="77777777" w:rsidR="00621FF9" w:rsidRPr="00691084" w:rsidRDefault="00621FF9" w:rsidP="00621FF9">
            <w:pPr>
              <w:rPr>
                <w:rFonts w:asciiTheme="minorHAnsi" w:hAnsiTheme="minorHAnsi" w:cstheme="minorHAnsi"/>
                <w:sz w:val="16"/>
                <w:szCs w:val="16"/>
                <w:u w:val="single"/>
              </w:rPr>
            </w:pPr>
            <w:r w:rsidRPr="00691084">
              <w:rPr>
                <w:rFonts w:asciiTheme="minorHAnsi" w:hAnsiTheme="minorHAnsi" w:cstheme="minorHAnsi"/>
                <w:sz w:val="16"/>
                <w:szCs w:val="16"/>
                <w:u w:val="single"/>
              </w:rPr>
              <w:t xml:space="preserve">Women </w:t>
            </w:r>
          </w:p>
          <w:p w14:paraId="167A5139"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&lt;15: 0.89 (0.79 to 1.01)</w:t>
            </w:r>
          </w:p>
          <w:p w14:paraId="6D8AC69B"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15-17: 0.90 (0.82 to 0.99)</w:t>
            </w:r>
          </w:p>
          <w:p w14:paraId="7FF20C69" w14:textId="77777777" w:rsidR="00621FF9" w:rsidRPr="00691084" w:rsidRDefault="00621FF9" w:rsidP="00621FF9">
            <w:pPr>
              <w:rPr>
                <w:rFonts w:asciiTheme="minorHAnsi" w:hAnsiTheme="minorHAnsi" w:cstheme="minorHAnsi"/>
                <w:sz w:val="16"/>
                <w:szCs w:val="16"/>
                <w:u w:val="single"/>
              </w:rPr>
            </w:pPr>
            <w:r w:rsidRPr="00691084">
              <w:rPr>
                <w:rFonts w:asciiTheme="minorHAnsi" w:hAnsiTheme="minorHAnsi" w:cstheme="minorHAnsi"/>
                <w:sz w:val="16"/>
                <w:szCs w:val="16"/>
                <w:u w:val="single"/>
              </w:rPr>
              <w:t>NH White</w:t>
            </w:r>
          </w:p>
          <w:p w14:paraId="03D30BC3"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&lt;15: 0.98 (0.88 to 1.09)</w:t>
            </w:r>
          </w:p>
          <w:p w14:paraId="5276F5CE"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 xml:space="preserve">15-17: 0.95 (0.87 to 1.03) </w:t>
            </w:r>
          </w:p>
          <w:p w14:paraId="38C0C1FE" w14:textId="77777777" w:rsidR="00621FF9" w:rsidRPr="00691084" w:rsidRDefault="00621FF9" w:rsidP="00621FF9">
            <w:pPr>
              <w:rPr>
                <w:rFonts w:asciiTheme="minorHAnsi" w:hAnsiTheme="minorHAnsi" w:cstheme="minorHAnsi"/>
                <w:sz w:val="16"/>
                <w:szCs w:val="16"/>
                <w:u w:val="single"/>
              </w:rPr>
            </w:pPr>
            <w:r w:rsidRPr="00691084">
              <w:rPr>
                <w:rFonts w:asciiTheme="minorHAnsi" w:hAnsiTheme="minorHAnsi" w:cstheme="minorHAnsi"/>
                <w:sz w:val="16"/>
                <w:szCs w:val="16"/>
                <w:u w:val="single"/>
              </w:rPr>
              <w:t>NH Black</w:t>
            </w:r>
          </w:p>
          <w:p w14:paraId="55DF052A"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&lt;15: 0.91 (0.65 to 1.27)</w:t>
            </w:r>
          </w:p>
          <w:p w14:paraId="67D5F891"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15-17: 0.92 (0.74 to 1.15)</w:t>
            </w:r>
          </w:p>
          <w:p w14:paraId="16ADCA7D" w14:textId="77777777" w:rsidR="00621FF9" w:rsidRPr="00691084" w:rsidRDefault="00621FF9" w:rsidP="00621FF9">
            <w:pPr>
              <w:rPr>
                <w:rFonts w:asciiTheme="minorHAnsi" w:hAnsiTheme="minorHAnsi" w:cstheme="minorHAnsi"/>
                <w:sz w:val="16"/>
                <w:szCs w:val="16"/>
                <w:u w:val="single"/>
              </w:rPr>
            </w:pPr>
            <w:r w:rsidRPr="00691084">
              <w:rPr>
                <w:rFonts w:asciiTheme="minorHAnsi" w:hAnsiTheme="minorHAnsi" w:cstheme="minorHAnsi"/>
                <w:sz w:val="16"/>
                <w:szCs w:val="16"/>
                <w:u w:val="single"/>
              </w:rPr>
              <w:t>Hispanic</w:t>
            </w:r>
          </w:p>
          <w:p w14:paraId="243DE1E6"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&lt;15: 1.23 (0.91 to 1.67)</w:t>
            </w:r>
          </w:p>
          <w:p w14:paraId="750FE8C7"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15-17: 1.11 (0.83 to 1.48)</w:t>
            </w:r>
          </w:p>
          <w:p w14:paraId="7E620B48" w14:textId="77777777" w:rsidR="00621FF9" w:rsidRPr="00691084" w:rsidRDefault="00621FF9" w:rsidP="00621FF9">
            <w:pPr>
              <w:rPr>
                <w:rFonts w:asciiTheme="minorHAnsi" w:hAnsiTheme="minorHAnsi" w:cstheme="minorHAnsi"/>
                <w:sz w:val="16"/>
                <w:szCs w:val="16"/>
                <w:u w:val="single"/>
              </w:rPr>
            </w:pPr>
            <w:r w:rsidRPr="00691084">
              <w:rPr>
                <w:rFonts w:asciiTheme="minorHAnsi" w:hAnsiTheme="minorHAnsi" w:cstheme="minorHAnsi"/>
                <w:sz w:val="16"/>
                <w:szCs w:val="16"/>
                <w:u w:val="single"/>
              </w:rPr>
              <w:t>Asian/PI</w:t>
            </w:r>
          </w:p>
          <w:p w14:paraId="1257C611"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&lt;15: 1.88 (0.82 to 4.31)</w:t>
            </w:r>
          </w:p>
          <w:p w14:paraId="4C5625DC"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15-17: 1.42 (0.85 to 2.37)</w:t>
            </w:r>
          </w:p>
        </w:tc>
        <w:tc>
          <w:tcPr>
            <w:tcW w:w="1530" w:type="dxa"/>
          </w:tcPr>
          <w:p w14:paraId="1FF73ECB"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lastRenderedPageBreak/>
              <w:t>NR</w:t>
            </w:r>
          </w:p>
        </w:tc>
        <w:tc>
          <w:tcPr>
            <w:tcW w:w="1530" w:type="dxa"/>
          </w:tcPr>
          <w:p w14:paraId="6B30AB5D"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NR</w:t>
            </w:r>
          </w:p>
        </w:tc>
        <w:tc>
          <w:tcPr>
            <w:tcW w:w="1260" w:type="dxa"/>
          </w:tcPr>
          <w:p w14:paraId="452B02C6"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NR</w:t>
            </w:r>
          </w:p>
        </w:tc>
        <w:tc>
          <w:tcPr>
            <w:tcW w:w="3027" w:type="dxa"/>
          </w:tcPr>
          <w:p w14:paraId="1E1646AA"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u w:val="single"/>
              </w:rPr>
              <w:t xml:space="preserve">Every day smokers, </w:t>
            </w:r>
            <w:r w:rsidR="00D50EBC">
              <w:rPr>
                <w:rFonts w:asciiTheme="minorHAnsi" w:hAnsiTheme="minorHAnsi" w:cstheme="minorHAnsi"/>
                <w:sz w:val="16"/>
                <w:szCs w:val="16"/>
                <w:u w:val="single"/>
              </w:rPr>
              <w:t>A</w:t>
            </w:r>
            <w:r w:rsidRPr="00691084">
              <w:rPr>
                <w:rFonts w:asciiTheme="minorHAnsi" w:hAnsiTheme="minorHAnsi" w:cstheme="minorHAnsi"/>
                <w:sz w:val="16"/>
                <w:szCs w:val="16"/>
                <w:u w:val="single"/>
              </w:rPr>
              <w:t xml:space="preserve">OR (95% CI) for M (ref= some days): </w:t>
            </w:r>
          </w:p>
          <w:p w14:paraId="57A1AE57" w14:textId="77777777" w:rsidR="00621FF9" w:rsidRPr="00691084" w:rsidRDefault="00621FF9" w:rsidP="00621FF9">
            <w:pPr>
              <w:rPr>
                <w:rFonts w:asciiTheme="minorHAnsi" w:hAnsiTheme="minorHAnsi" w:cstheme="minorHAnsi"/>
                <w:i/>
                <w:sz w:val="16"/>
                <w:szCs w:val="16"/>
              </w:rPr>
            </w:pPr>
            <w:r w:rsidRPr="00691084">
              <w:rPr>
                <w:rFonts w:asciiTheme="minorHAnsi" w:hAnsiTheme="minorHAnsi" w:cstheme="minorHAnsi"/>
                <w:i/>
                <w:sz w:val="16"/>
                <w:szCs w:val="16"/>
              </w:rPr>
              <w:t>Total sample</w:t>
            </w:r>
          </w:p>
          <w:p w14:paraId="70AA1D7D"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1.06 (0.94 to 1.19)</w:t>
            </w:r>
          </w:p>
          <w:p w14:paraId="493A351A" w14:textId="77777777" w:rsidR="00621FF9" w:rsidRPr="00691084" w:rsidRDefault="00621FF9" w:rsidP="00621FF9">
            <w:pPr>
              <w:rPr>
                <w:rFonts w:asciiTheme="minorHAnsi" w:hAnsiTheme="minorHAnsi" w:cstheme="minorHAnsi"/>
                <w:i/>
                <w:sz w:val="16"/>
                <w:szCs w:val="16"/>
              </w:rPr>
            </w:pPr>
            <w:r w:rsidRPr="00691084">
              <w:rPr>
                <w:rFonts w:asciiTheme="minorHAnsi" w:hAnsiTheme="minorHAnsi" w:cstheme="minorHAnsi"/>
                <w:i/>
                <w:sz w:val="16"/>
                <w:szCs w:val="16"/>
              </w:rPr>
              <w:lastRenderedPageBreak/>
              <w:t>Men</w:t>
            </w:r>
          </w:p>
          <w:p w14:paraId="5914077A"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1.03 (0.85 to 1.24)</w:t>
            </w:r>
          </w:p>
          <w:p w14:paraId="706FB5C6" w14:textId="77777777" w:rsidR="00621FF9" w:rsidRPr="00691084" w:rsidRDefault="00621FF9" w:rsidP="00621FF9">
            <w:pPr>
              <w:rPr>
                <w:rFonts w:asciiTheme="minorHAnsi" w:hAnsiTheme="minorHAnsi" w:cstheme="minorHAnsi"/>
                <w:i/>
                <w:sz w:val="16"/>
                <w:szCs w:val="16"/>
              </w:rPr>
            </w:pPr>
            <w:r w:rsidRPr="00691084">
              <w:rPr>
                <w:rFonts w:asciiTheme="minorHAnsi" w:hAnsiTheme="minorHAnsi" w:cstheme="minorHAnsi"/>
                <w:i/>
                <w:sz w:val="16"/>
                <w:szCs w:val="16"/>
              </w:rPr>
              <w:t>Women</w:t>
            </w:r>
          </w:p>
          <w:p w14:paraId="089D60B3"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1.09 (0.93 to 1.29)</w:t>
            </w:r>
          </w:p>
          <w:p w14:paraId="18935892"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i/>
                <w:sz w:val="16"/>
                <w:szCs w:val="16"/>
              </w:rPr>
              <w:t>Hispanic</w:t>
            </w:r>
          </w:p>
          <w:p w14:paraId="67B98C96"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1.07 (0.81 to 1.40)</w:t>
            </w:r>
          </w:p>
        </w:tc>
      </w:tr>
      <w:tr w:rsidR="004149DE" w:rsidRPr="00691084" w14:paraId="33FE5EFE" w14:textId="77777777" w:rsidTr="00881FE9">
        <w:tc>
          <w:tcPr>
            <w:tcW w:w="1975" w:type="dxa"/>
          </w:tcPr>
          <w:p w14:paraId="1C03BE68" w14:textId="53A67257" w:rsidR="00881FE9" w:rsidRPr="00691084" w:rsidRDefault="00D2134A" w:rsidP="00881FE9">
            <w:pPr>
              <w:rPr>
                <w:rFonts w:asciiTheme="minorHAnsi" w:hAnsiTheme="minorHAnsi" w:cstheme="minorHAnsi"/>
                <w:sz w:val="16"/>
                <w:szCs w:val="16"/>
              </w:rPr>
            </w:pPr>
            <w:r>
              <w:rPr>
                <w:rFonts w:cstheme="minorHAnsi"/>
                <w:sz w:val="16"/>
                <w:szCs w:val="16"/>
              </w:rPr>
              <w:lastRenderedPageBreak/>
              <w:fldChar w:fldCharType="begin"/>
            </w:r>
            <w:r>
              <w:rPr>
                <w:rFonts w:cstheme="minorHAnsi"/>
                <w:sz w:val="16"/>
                <w:szCs w:val="16"/>
              </w:rPr>
              <w:instrText xml:space="preserve"> ADDIN EN.CITE &lt;EndNote&gt;&lt;Cite&gt;&lt;Author&gt;Nonnemaker&lt;/Author&gt;&lt;Year&gt;2012&lt;/Year&gt;&lt;RecNum&gt;31&lt;/RecNum&gt;&lt;DisplayText&gt;(72)&lt;/DisplayText&gt;&lt;record&gt;&lt;rec-number&gt;31&lt;/rec-number&gt;&lt;foreign-keys&gt;&lt;key app="EN" db-id="a2vz2dfp8xrad6exes75zwpiw5rxwa0vwapv" timestamp="0"&gt;31&lt;/key&gt;&lt;/foreign-keys&gt;&lt;ref-type name="Journal Article"&gt;17&lt;/ref-type&gt;&lt;contributors&gt;&lt;authors&gt;&lt;author&gt;Nonnemaker, J.&lt;/author&gt;&lt;author&gt;Hersey, J.&lt;/author&gt;&lt;author&gt;Homsi, G.&lt;/author&gt;&lt;author&gt;Busey, A.&lt;/author&gt;&lt;author&gt;Allen, J.&lt;/author&gt;&lt;author&gt;Vallone, D.&lt;/author&gt;&lt;/authors&gt;&lt;/contributors&gt;&lt;auth-address&gt;RTI International, Research Triangle Park, NC 27709-2194, USA. jnonnemaker@rti.org&lt;/auth-address&gt;&lt;titles&gt;&lt;title&gt;Initiation with menthol cigarettes and youth smoking uptake&lt;/title&gt;&lt;secondary-title&gt;Addiction&lt;/secondary-title&gt;&lt;/titles&gt;&lt;periodical&gt;&lt;full-title&gt;Addiction&lt;/full-title&gt;&lt;/periodical&gt;&lt;pages&gt;171-8&lt;/pages&gt;&lt;volume&gt;108&lt;/volume&gt;&lt;number&gt;1&lt;/number&gt;&lt;keywords&gt;&lt;keyword&gt;Adolescent&lt;/keyword&gt;&lt;keyword&gt;Age Distribution&lt;/keyword&gt;&lt;keyword&gt;Child&lt;/keyword&gt;&lt;keyword&gt;Female&lt;/keyword&gt;&lt;keyword&gt;Flavoring Agents/*adverse effects&lt;/keyword&gt;&lt;keyword&gt;Humans&lt;/keyword&gt;&lt;keyword&gt;Longitudinal Studies&lt;/keyword&gt;&lt;keyword&gt;Male&lt;/keyword&gt;&lt;keyword&gt;Menthol/*adverse effects&lt;/keyword&gt;&lt;keyword&gt;Risk Factors&lt;/keyword&gt;&lt;keyword&gt;Sex Distribution&lt;/keyword&gt;&lt;keyword&gt;Smoking/*adverse effects&lt;/keyword&gt;&lt;keyword&gt;Smoking Cessation/psychology/statistics &amp;amp; numerical data&lt;/keyword&gt;&lt;keyword&gt;Tobacco Products/*adverse effects&lt;/keyword&gt;&lt;keyword&gt;Tobacco Use Disorder/*etiology&lt;/keyword&gt;&lt;keyword&gt;United States&lt;/keyword&gt;&lt;/keywords&gt;&lt;dates&gt;&lt;year&gt;2012&lt;/year&gt;&lt;pub-dates&gt;&lt;date&gt;Jan&lt;/date&gt;&lt;/pub-dates&gt;&lt;/dates&gt;&lt;isbn&gt;1360-0443 (Electronic)&amp;#xD;0965-2140 (Linking)&lt;/isbn&gt;&lt;accession-num&gt;22862154&lt;/accession-num&gt;&lt;urls&gt;&lt;related-urls&gt;&lt;url&gt;http://www.ncbi.nlm.nih.gov/pubmed/22862154&lt;/url&gt;&lt;/related-urls&gt;&lt;/urls&gt;&lt;electronic-resource-num&gt;10.1111/j.1360-0443.2012.04045.x&lt;/electronic-resource-num&gt;&lt;research-notes&gt;#160&lt;/research-notes&gt;&lt;/record&gt;&lt;/Cite&gt;&lt;/EndNote&gt;</w:instrText>
            </w:r>
            <w:r>
              <w:rPr>
                <w:rFonts w:cstheme="minorHAnsi"/>
                <w:sz w:val="16"/>
                <w:szCs w:val="16"/>
              </w:rPr>
              <w:fldChar w:fldCharType="separate"/>
            </w:r>
            <w:r>
              <w:rPr>
                <w:rFonts w:cstheme="minorHAnsi"/>
                <w:noProof/>
                <w:sz w:val="16"/>
                <w:szCs w:val="16"/>
              </w:rPr>
              <w:t>(</w:t>
            </w:r>
            <w:hyperlink w:anchor="_ENREF_72" w:tooltip="Nonnemaker, 2012 #31" w:history="1">
              <w:r w:rsidR="00A234A9">
                <w:rPr>
                  <w:rFonts w:cstheme="minorHAnsi"/>
                  <w:noProof/>
                  <w:sz w:val="16"/>
                  <w:szCs w:val="16"/>
                </w:rPr>
                <w:t>72</w:t>
              </w:r>
            </w:hyperlink>
            <w:r>
              <w:rPr>
                <w:rFonts w:cstheme="minorHAnsi"/>
                <w:noProof/>
                <w:sz w:val="16"/>
                <w:szCs w:val="16"/>
              </w:rPr>
              <w:t>)</w:t>
            </w:r>
            <w:r>
              <w:rPr>
                <w:rFonts w:cstheme="minorHAnsi"/>
                <w:sz w:val="16"/>
                <w:szCs w:val="16"/>
              </w:rPr>
              <w:fldChar w:fldCharType="end"/>
            </w:r>
          </w:p>
          <w:p w14:paraId="56AC6A61"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ALLTURS</w:t>
            </w:r>
          </w:p>
          <w:p w14:paraId="2F79F9D5" w14:textId="77777777" w:rsidR="00881FE9" w:rsidRPr="00691084" w:rsidRDefault="00881FE9" w:rsidP="00881FE9">
            <w:pPr>
              <w:rPr>
                <w:rFonts w:asciiTheme="minorHAnsi" w:hAnsiTheme="minorHAnsi" w:cstheme="minorHAnsi"/>
                <w:b/>
                <w:sz w:val="16"/>
                <w:szCs w:val="16"/>
              </w:rPr>
            </w:pPr>
            <w:r w:rsidRPr="00691084">
              <w:rPr>
                <w:rFonts w:asciiTheme="minorHAnsi" w:hAnsiTheme="minorHAnsi" w:cstheme="minorHAnsi"/>
                <w:sz w:val="16"/>
                <w:szCs w:val="16"/>
              </w:rPr>
              <w:t>Youth</w:t>
            </w:r>
          </w:p>
        </w:tc>
        <w:tc>
          <w:tcPr>
            <w:tcW w:w="1170" w:type="dxa"/>
          </w:tcPr>
          <w:p w14:paraId="75723E1C" w14:textId="77777777" w:rsidR="00881FE9" w:rsidRPr="003C53EC" w:rsidRDefault="00881FE9" w:rsidP="00881FE9">
            <w:pPr>
              <w:rPr>
                <w:rFonts w:asciiTheme="minorHAnsi" w:hAnsiTheme="minorHAnsi" w:cstheme="minorHAnsi"/>
                <w:sz w:val="16"/>
                <w:szCs w:val="16"/>
              </w:rPr>
            </w:pPr>
            <w:r w:rsidRPr="003C53EC">
              <w:rPr>
                <w:rFonts w:asciiTheme="minorHAnsi" w:hAnsiTheme="minorHAnsi" w:cstheme="minorHAnsi"/>
                <w:sz w:val="16"/>
                <w:szCs w:val="16"/>
              </w:rPr>
              <w:t>Independent;</w:t>
            </w:r>
          </w:p>
          <w:p w14:paraId="3AC5C14B" w14:textId="77777777" w:rsidR="00881FE9" w:rsidRPr="003C53EC" w:rsidRDefault="00881FE9" w:rsidP="00881FE9">
            <w:pPr>
              <w:rPr>
                <w:rFonts w:asciiTheme="minorHAnsi" w:hAnsiTheme="minorHAnsi" w:cstheme="minorHAnsi"/>
                <w:sz w:val="16"/>
                <w:szCs w:val="16"/>
              </w:rPr>
            </w:pPr>
            <w:r w:rsidRPr="003C53EC">
              <w:rPr>
                <w:rFonts w:asciiTheme="minorHAnsi" w:hAnsiTheme="minorHAnsi" w:cstheme="minorHAnsi"/>
                <w:sz w:val="16"/>
                <w:szCs w:val="16"/>
              </w:rPr>
              <w:t>Multinomial logistic regression;</w:t>
            </w:r>
          </w:p>
          <w:p w14:paraId="4F951D4E" w14:textId="77777777" w:rsidR="00881FE9" w:rsidRPr="003C53EC" w:rsidRDefault="00881FE9" w:rsidP="00881FE9">
            <w:pPr>
              <w:rPr>
                <w:rFonts w:asciiTheme="minorHAnsi" w:hAnsiTheme="minorHAnsi" w:cstheme="minorHAnsi"/>
                <w:b/>
                <w:sz w:val="16"/>
                <w:szCs w:val="16"/>
              </w:rPr>
            </w:pPr>
            <w:r w:rsidRPr="003C53EC">
              <w:rPr>
                <w:rFonts w:asciiTheme="minorHAnsi" w:hAnsiTheme="minorHAnsi" w:cstheme="minorHAnsi"/>
                <w:sz w:val="16"/>
                <w:szCs w:val="16"/>
              </w:rPr>
              <w:lastRenderedPageBreak/>
              <w:t>Gender, age, race/ethnicity</w:t>
            </w:r>
          </w:p>
        </w:tc>
        <w:tc>
          <w:tcPr>
            <w:tcW w:w="1440" w:type="dxa"/>
          </w:tcPr>
          <w:p w14:paraId="269228FB" w14:textId="77777777" w:rsidR="00881FE9" w:rsidRPr="00691084" w:rsidRDefault="00881FE9" w:rsidP="00881FE9">
            <w:pPr>
              <w:rPr>
                <w:rFonts w:asciiTheme="minorHAnsi" w:hAnsiTheme="minorHAnsi" w:cstheme="minorHAnsi"/>
                <w:b/>
                <w:sz w:val="16"/>
                <w:szCs w:val="16"/>
              </w:rPr>
            </w:pPr>
            <w:r w:rsidRPr="00691084">
              <w:rPr>
                <w:rFonts w:asciiTheme="minorHAnsi" w:hAnsiTheme="minorHAnsi" w:cstheme="minorHAnsi"/>
                <w:sz w:val="16"/>
                <w:szCs w:val="16"/>
              </w:rPr>
              <w:lastRenderedPageBreak/>
              <w:t xml:space="preserve">Progression to established smoking (≥100 lifetime cigs and </w:t>
            </w:r>
            <w:r w:rsidRPr="00691084">
              <w:rPr>
                <w:rFonts w:asciiTheme="minorHAnsi" w:hAnsiTheme="minorHAnsi" w:cstheme="minorHAnsi"/>
                <w:sz w:val="16"/>
                <w:szCs w:val="16"/>
              </w:rPr>
              <w:lastRenderedPageBreak/>
              <w:t>≥20 of the past 30 days)</w:t>
            </w:r>
          </w:p>
        </w:tc>
        <w:tc>
          <w:tcPr>
            <w:tcW w:w="1530" w:type="dxa"/>
          </w:tcPr>
          <w:p w14:paraId="503AF163" w14:textId="77777777" w:rsidR="00881FE9" w:rsidRPr="00691084" w:rsidRDefault="00881FE9" w:rsidP="00881FE9">
            <w:pPr>
              <w:rPr>
                <w:rFonts w:asciiTheme="minorHAnsi" w:hAnsiTheme="minorHAnsi" w:cstheme="minorHAnsi"/>
                <w:b/>
                <w:sz w:val="16"/>
                <w:szCs w:val="16"/>
              </w:rPr>
            </w:pPr>
            <w:r w:rsidRPr="00691084">
              <w:rPr>
                <w:rFonts w:asciiTheme="minorHAnsi" w:hAnsiTheme="minorHAnsi" w:cstheme="minorHAnsi"/>
                <w:sz w:val="16"/>
                <w:szCs w:val="16"/>
              </w:rPr>
              <w:lastRenderedPageBreak/>
              <w:t>NR</w:t>
            </w:r>
          </w:p>
        </w:tc>
        <w:tc>
          <w:tcPr>
            <w:tcW w:w="1530" w:type="dxa"/>
          </w:tcPr>
          <w:p w14:paraId="004B3265" w14:textId="77777777" w:rsidR="00881FE9" w:rsidRPr="00691084" w:rsidRDefault="00881FE9" w:rsidP="00881FE9">
            <w:pPr>
              <w:rPr>
                <w:rFonts w:asciiTheme="minorHAnsi" w:hAnsiTheme="minorHAnsi" w:cstheme="minorHAnsi"/>
                <w:b/>
                <w:sz w:val="16"/>
                <w:szCs w:val="16"/>
              </w:rPr>
            </w:pPr>
            <w:r w:rsidRPr="00691084">
              <w:rPr>
                <w:rFonts w:asciiTheme="minorHAnsi" w:hAnsiTheme="minorHAnsi" w:cstheme="minorHAnsi"/>
                <w:sz w:val="16"/>
                <w:szCs w:val="16"/>
              </w:rPr>
              <w:t>NR</w:t>
            </w:r>
          </w:p>
        </w:tc>
        <w:tc>
          <w:tcPr>
            <w:tcW w:w="1530" w:type="dxa"/>
          </w:tcPr>
          <w:p w14:paraId="5FD8EE7C" w14:textId="77777777" w:rsidR="00881FE9" w:rsidRPr="00691084" w:rsidRDefault="00881FE9" w:rsidP="00881FE9">
            <w:pPr>
              <w:rPr>
                <w:rFonts w:asciiTheme="minorHAnsi" w:hAnsiTheme="minorHAnsi" w:cstheme="minorHAnsi"/>
                <w:b/>
                <w:sz w:val="16"/>
                <w:szCs w:val="16"/>
              </w:rPr>
            </w:pPr>
            <w:r w:rsidRPr="00691084">
              <w:rPr>
                <w:rFonts w:asciiTheme="minorHAnsi" w:hAnsiTheme="minorHAnsi" w:cstheme="minorHAnsi"/>
                <w:sz w:val="16"/>
                <w:szCs w:val="16"/>
              </w:rPr>
              <w:t>NR</w:t>
            </w:r>
          </w:p>
        </w:tc>
        <w:tc>
          <w:tcPr>
            <w:tcW w:w="1260" w:type="dxa"/>
          </w:tcPr>
          <w:p w14:paraId="2041E1D1" w14:textId="77777777" w:rsidR="00881FE9" w:rsidRPr="00691084" w:rsidRDefault="00881FE9" w:rsidP="00881FE9">
            <w:pPr>
              <w:rPr>
                <w:rFonts w:asciiTheme="minorHAnsi" w:hAnsiTheme="minorHAnsi" w:cstheme="minorHAnsi"/>
                <w:b/>
                <w:sz w:val="16"/>
                <w:szCs w:val="16"/>
              </w:rPr>
            </w:pPr>
            <w:r w:rsidRPr="00691084">
              <w:rPr>
                <w:rFonts w:asciiTheme="minorHAnsi" w:hAnsiTheme="minorHAnsi" w:cstheme="minorHAnsi"/>
                <w:sz w:val="16"/>
                <w:szCs w:val="16"/>
              </w:rPr>
              <w:t>NR</w:t>
            </w:r>
          </w:p>
        </w:tc>
        <w:tc>
          <w:tcPr>
            <w:tcW w:w="3027" w:type="dxa"/>
          </w:tcPr>
          <w:p w14:paraId="1A80DDD4"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 xml:space="preserve">Escalation to established smoking, RR (95% CI) for initiation to M (ref= initiation to NM): </w:t>
            </w:r>
          </w:p>
          <w:p w14:paraId="5CCACBC1"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 xml:space="preserve">1.80 (1.02 to 3.16) </w:t>
            </w:r>
          </w:p>
          <w:p w14:paraId="6AF79EBA" w14:textId="77777777" w:rsidR="00881FE9" w:rsidRPr="00691084" w:rsidRDefault="00881FE9" w:rsidP="00881FE9">
            <w:pPr>
              <w:rPr>
                <w:rFonts w:asciiTheme="minorHAnsi" w:hAnsiTheme="minorHAnsi" w:cstheme="minorHAnsi"/>
                <w:sz w:val="16"/>
                <w:szCs w:val="16"/>
              </w:rPr>
            </w:pPr>
          </w:p>
          <w:p w14:paraId="389129D3" w14:textId="77777777" w:rsidR="00881FE9" w:rsidRPr="00691084" w:rsidRDefault="00881FE9" w:rsidP="00881FE9">
            <w:pPr>
              <w:spacing w:after="120"/>
              <w:jc w:val="both"/>
              <w:rPr>
                <w:rFonts w:asciiTheme="minorHAnsi" w:hAnsiTheme="minorHAnsi" w:cstheme="minorHAnsi"/>
                <w:sz w:val="16"/>
                <w:szCs w:val="16"/>
              </w:rPr>
            </w:pPr>
          </w:p>
        </w:tc>
      </w:tr>
      <w:tr w:rsidR="004149DE" w:rsidRPr="00691084" w14:paraId="16565CEE" w14:textId="77777777" w:rsidTr="00881FE9">
        <w:tc>
          <w:tcPr>
            <w:tcW w:w="1975" w:type="dxa"/>
          </w:tcPr>
          <w:p w14:paraId="408EF9DC" w14:textId="363E6885" w:rsidR="00881FE9" w:rsidRPr="00691084" w:rsidRDefault="00D2134A" w:rsidP="00881FE9">
            <w:pPr>
              <w:rPr>
                <w:rFonts w:asciiTheme="minorHAnsi" w:hAnsiTheme="minorHAnsi" w:cstheme="minorHAnsi"/>
                <w:sz w:val="16"/>
                <w:szCs w:val="16"/>
              </w:rPr>
            </w:pPr>
            <w:r>
              <w:rPr>
                <w:rFonts w:cstheme="minorHAnsi"/>
                <w:sz w:val="16"/>
                <w:szCs w:val="16"/>
              </w:rPr>
              <w:lastRenderedPageBreak/>
              <w:fldChar w:fldCharType="begin"/>
            </w:r>
            <w:r>
              <w:rPr>
                <w:rFonts w:cstheme="minorHAnsi"/>
                <w:sz w:val="16"/>
                <w:szCs w:val="16"/>
              </w:rPr>
              <w:instrText xml:space="preserve"> ADDIN EN.CITE &lt;EndNote&gt;&lt;Cite&gt;&lt;Author&gt;Nonnemaker&lt;/Author&gt;&lt;Year&gt;2010&lt;/Year&gt;&lt;RecNum&gt;97&lt;/RecNum&gt;&lt;DisplayText&gt;(73)&lt;/DisplayText&gt;&lt;record&gt;&lt;rec-number&gt;97&lt;/rec-number&gt;&lt;foreign-keys&gt;&lt;key app="EN" db-id="a2vz2dfp8xrad6exes75zwpiw5rxwa0vwapv" timestamp="0"&gt;97&lt;/key&gt;&lt;/foreign-keys&gt;&lt;ref-type name="Report"&gt;27&lt;/ref-type&gt;&lt;contributors&gt;&lt;authors&gt;&lt;author&gt;Nonnemaker, J.&lt;/author&gt;&lt;author&gt;Hersey, J.&lt;/author&gt;&lt;author&gt;Homsi, G.&lt;/author&gt;&lt;author&gt;Busey, A.&lt;/author&gt;&lt;/authors&gt;&lt;/contributors&gt;&lt;titles&gt;&lt;title&gt;Menthol cigarettes and youth smoking updake&lt;/title&gt;&lt;/titles&gt;&lt;dates&gt;&lt;year&gt;2010&lt;/year&gt;&lt;/dates&gt;&lt;pub-location&gt;RTI International&lt;/pub-location&gt;&lt;urls&gt;&lt;/urls&gt;&lt;research-notes&gt;#812&lt;/research-notes&gt;&lt;/record&gt;&lt;/Cite&gt;&lt;/EndNote&gt;</w:instrText>
            </w:r>
            <w:r>
              <w:rPr>
                <w:rFonts w:cstheme="minorHAnsi"/>
                <w:sz w:val="16"/>
                <w:szCs w:val="16"/>
              </w:rPr>
              <w:fldChar w:fldCharType="separate"/>
            </w:r>
            <w:r>
              <w:rPr>
                <w:rFonts w:cstheme="minorHAnsi"/>
                <w:noProof/>
                <w:sz w:val="16"/>
                <w:szCs w:val="16"/>
              </w:rPr>
              <w:t>(</w:t>
            </w:r>
            <w:hyperlink w:anchor="_ENREF_73" w:tooltip="Nonnemaker, 2010 #97" w:history="1">
              <w:r w:rsidR="00A234A9">
                <w:rPr>
                  <w:rFonts w:cstheme="minorHAnsi"/>
                  <w:noProof/>
                  <w:sz w:val="16"/>
                  <w:szCs w:val="16"/>
                </w:rPr>
                <w:t>73</w:t>
              </w:r>
            </w:hyperlink>
            <w:r>
              <w:rPr>
                <w:rFonts w:cstheme="minorHAnsi"/>
                <w:noProof/>
                <w:sz w:val="16"/>
                <w:szCs w:val="16"/>
              </w:rPr>
              <w:t>)</w:t>
            </w:r>
            <w:r>
              <w:rPr>
                <w:rFonts w:cstheme="minorHAnsi"/>
                <w:sz w:val="16"/>
                <w:szCs w:val="16"/>
              </w:rPr>
              <w:fldChar w:fldCharType="end"/>
            </w:r>
          </w:p>
          <w:p w14:paraId="4814409E"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ALLTURS</w:t>
            </w:r>
          </w:p>
          <w:p w14:paraId="4BFFC31E" w14:textId="77777777" w:rsidR="00881FE9" w:rsidRPr="00691084" w:rsidRDefault="004149DE" w:rsidP="004149DE">
            <w:pPr>
              <w:rPr>
                <w:rFonts w:asciiTheme="minorHAnsi" w:hAnsiTheme="minorHAnsi" w:cstheme="minorHAnsi"/>
                <w:sz w:val="16"/>
                <w:szCs w:val="16"/>
              </w:rPr>
            </w:pPr>
            <w:r>
              <w:rPr>
                <w:rFonts w:asciiTheme="minorHAnsi" w:hAnsiTheme="minorHAnsi" w:cstheme="minorHAnsi"/>
                <w:sz w:val="16"/>
                <w:szCs w:val="16"/>
              </w:rPr>
              <w:t>Youth</w:t>
            </w:r>
          </w:p>
        </w:tc>
        <w:tc>
          <w:tcPr>
            <w:tcW w:w="1170" w:type="dxa"/>
          </w:tcPr>
          <w:p w14:paraId="2DED27F2" w14:textId="77777777" w:rsidR="003C53EC" w:rsidRDefault="003C53EC" w:rsidP="00801367">
            <w:pPr>
              <w:rPr>
                <w:rFonts w:asciiTheme="minorHAnsi" w:hAnsiTheme="minorHAnsi" w:cstheme="minorHAnsi"/>
                <w:sz w:val="16"/>
                <w:szCs w:val="16"/>
              </w:rPr>
            </w:pPr>
            <w:r w:rsidRPr="003C53EC">
              <w:rPr>
                <w:rFonts w:asciiTheme="minorHAnsi" w:hAnsiTheme="minorHAnsi" w:cstheme="minorHAnsi"/>
                <w:sz w:val="16"/>
                <w:szCs w:val="16"/>
              </w:rPr>
              <w:t>Independent</w:t>
            </w:r>
            <w:r>
              <w:rPr>
                <w:rFonts w:asciiTheme="minorHAnsi" w:hAnsiTheme="minorHAnsi" w:cstheme="minorHAnsi"/>
                <w:sz w:val="16"/>
                <w:szCs w:val="16"/>
              </w:rPr>
              <w:t>;</w:t>
            </w:r>
          </w:p>
          <w:p w14:paraId="7E2244C7" w14:textId="77777777" w:rsidR="000B00DE" w:rsidRDefault="000B00DE" w:rsidP="00801367">
            <w:pPr>
              <w:rPr>
                <w:rFonts w:asciiTheme="minorHAnsi" w:hAnsiTheme="minorHAnsi" w:cstheme="minorHAnsi"/>
                <w:sz w:val="16"/>
                <w:szCs w:val="16"/>
              </w:rPr>
            </w:pPr>
            <w:r>
              <w:rPr>
                <w:rFonts w:asciiTheme="minorHAnsi" w:hAnsiTheme="minorHAnsi" w:cstheme="minorHAnsi"/>
                <w:sz w:val="16"/>
                <w:szCs w:val="16"/>
              </w:rPr>
              <w:t>Logistic</w:t>
            </w:r>
            <w:r w:rsidR="003C53EC">
              <w:rPr>
                <w:rFonts w:asciiTheme="minorHAnsi" w:hAnsiTheme="minorHAnsi" w:cstheme="minorHAnsi"/>
                <w:sz w:val="16"/>
                <w:szCs w:val="16"/>
              </w:rPr>
              <w:t xml:space="preserve"> regression;</w:t>
            </w:r>
          </w:p>
          <w:p w14:paraId="03B58CA5" w14:textId="77777777" w:rsidR="00801367" w:rsidRPr="003C53EC" w:rsidRDefault="00801367" w:rsidP="00801367">
            <w:pPr>
              <w:rPr>
                <w:rFonts w:asciiTheme="minorHAnsi" w:hAnsiTheme="minorHAnsi" w:cstheme="minorHAnsi"/>
                <w:sz w:val="16"/>
                <w:szCs w:val="16"/>
              </w:rPr>
            </w:pPr>
            <w:r w:rsidRPr="003C53EC">
              <w:rPr>
                <w:rFonts w:asciiTheme="minorHAnsi" w:hAnsiTheme="minorHAnsi" w:cstheme="minorHAnsi"/>
                <w:sz w:val="16"/>
                <w:szCs w:val="16"/>
              </w:rPr>
              <w:t>Age, gender, race/ethnicity</w:t>
            </w:r>
          </w:p>
          <w:p w14:paraId="66E13D47" w14:textId="77777777" w:rsidR="00881FE9" w:rsidRPr="003C53EC" w:rsidRDefault="00881FE9" w:rsidP="00881FE9">
            <w:pPr>
              <w:rPr>
                <w:rFonts w:asciiTheme="minorHAnsi" w:hAnsiTheme="minorHAnsi" w:cstheme="minorHAnsi"/>
                <w:sz w:val="16"/>
                <w:szCs w:val="16"/>
              </w:rPr>
            </w:pPr>
          </w:p>
        </w:tc>
        <w:tc>
          <w:tcPr>
            <w:tcW w:w="1440" w:type="dxa"/>
          </w:tcPr>
          <w:p w14:paraId="69F8B47E"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Established smokers: ≥100 lifetime cigs and smoked on ≥20 of the past 30 days.</w:t>
            </w:r>
          </w:p>
          <w:p w14:paraId="05312E9A" w14:textId="77777777" w:rsidR="00621FF9" w:rsidRPr="00691084" w:rsidRDefault="00621FF9" w:rsidP="00621FF9">
            <w:pPr>
              <w:rPr>
                <w:rFonts w:asciiTheme="minorHAnsi" w:hAnsiTheme="minorHAnsi" w:cstheme="minorHAnsi"/>
                <w:sz w:val="16"/>
                <w:szCs w:val="16"/>
              </w:rPr>
            </w:pPr>
          </w:p>
          <w:p w14:paraId="4AD581D7" w14:textId="77777777" w:rsidR="00621FF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Daily smokers:</w:t>
            </w:r>
          </w:p>
          <w:p w14:paraId="7BE30246" w14:textId="77777777" w:rsidR="00881FE9" w:rsidRPr="00691084" w:rsidRDefault="00621FF9" w:rsidP="00621FF9">
            <w:pPr>
              <w:rPr>
                <w:rFonts w:asciiTheme="minorHAnsi" w:hAnsiTheme="minorHAnsi" w:cstheme="minorHAnsi"/>
                <w:sz w:val="16"/>
                <w:szCs w:val="16"/>
              </w:rPr>
            </w:pPr>
            <w:r w:rsidRPr="00691084">
              <w:rPr>
                <w:rFonts w:asciiTheme="minorHAnsi" w:hAnsiTheme="minorHAnsi" w:cstheme="minorHAnsi"/>
                <w:sz w:val="16"/>
                <w:szCs w:val="16"/>
              </w:rPr>
              <w:t>Smoking on 30 of the past 30 days.</w:t>
            </w:r>
          </w:p>
        </w:tc>
        <w:tc>
          <w:tcPr>
            <w:tcW w:w="1530" w:type="dxa"/>
          </w:tcPr>
          <w:p w14:paraId="4EDB2A38" w14:textId="77777777" w:rsidR="00881FE9" w:rsidRPr="00691084" w:rsidRDefault="00801367" w:rsidP="00881FE9">
            <w:pPr>
              <w:rPr>
                <w:rFonts w:asciiTheme="minorHAnsi" w:hAnsiTheme="minorHAnsi" w:cstheme="minorHAnsi"/>
                <w:sz w:val="16"/>
                <w:szCs w:val="16"/>
              </w:rPr>
            </w:pPr>
            <w:r>
              <w:rPr>
                <w:rFonts w:asciiTheme="minorHAnsi" w:hAnsiTheme="minorHAnsi" w:cstheme="minorHAnsi"/>
                <w:sz w:val="16"/>
                <w:szCs w:val="16"/>
              </w:rPr>
              <w:t>NR</w:t>
            </w:r>
          </w:p>
        </w:tc>
        <w:tc>
          <w:tcPr>
            <w:tcW w:w="1530" w:type="dxa"/>
          </w:tcPr>
          <w:p w14:paraId="48EF8AAC" w14:textId="77777777" w:rsidR="00881FE9" w:rsidRPr="00691084" w:rsidRDefault="00801367" w:rsidP="00881FE9">
            <w:pPr>
              <w:rPr>
                <w:rFonts w:asciiTheme="minorHAnsi" w:hAnsiTheme="minorHAnsi" w:cstheme="minorHAnsi"/>
                <w:sz w:val="16"/>
                <w:szCs w:val="16"/>
              </w:rPr>
            </w:pPr>
            <w:r>
              <w:rPr>
                <w:rFonts w:asciiTheme="minorHAnsi" w:hAnsiTheme="minorHAnsi" w:cstheme="minorHAnsi"/>
                <w:sz w:val="16"/>
                <w:szCs w:val="16"/>
              </w:rPr>
              <w:t>NR</w:t>
            </w:r>
          </w:p>
        </w:tc>
        <w:tc>
          <w:tcPr>
            <w:tcW w:w="1530" w:type="dxa"/>
          </w:tcPr>
          <w:p w14:paraId="28A7CAA4" w14:textId="77777777" w:rsidR="00881FE9" w:rsidRPr="00691084" w:rsidRDefault="00801367" w:rsidP="00881FE9">
            <w:pPr>
              <w:rPr>
                <w:rFonts w:asciiTheme="minorHAnsi" w:hAnsiTheme="minorHAnsi" w:cstheme="minorHAnsi"/>
                <w:sz w:val="16"/>
                <w:szCs w:val="16"/>
              </w:rPr>
            </w:pPr>
            <w:r>
              <w:rPr>
                <w:rFonts w:asciiTheme="minorHAnsi" w:hAnsiTheme="minorHAnsi" w:cstheme="minorHAnsi"/>
                <w:sz w:val="16"/>
                <w:szCs w:val="16"/>
              </w:rPr>
              <w:t>NR</w:t>
            </w:r>
          </w:p>
        </w:tc>
        <w:tc>
          <w:tcPr>
            <w:tcW w:w="1260" w:type="dxa"/>
          </w:tcPr>
          <w:p w14:paraId="4815CD78" w14:textId="77777777" w:rsidR="00881FE9" w:rsidRPr="00691084" w:rsidRDefault="00801367" w:rsidP="00881FE9">
            <w:pPr>
              <w:rPr>
                <w:rFonts w:asciiTheme="minorHAnsi" w:hAnsiTheme="minorHAnsi" w:cstheme="minorHAnsi"/>
                <w:sz w:val="16"/>
                <w:szCs w:val="16"/>
              </w:rPr>
            </w:pPr>
            <w:r>
              <w:rPr>
                <w:rFonts w:asciiTheme="minorHAnsi" w:hAnsiTheme="minorHAnsi" w:cstheme="minorHAnsi"/>
                <w:sz w:val="16"/>
                <w:szCs w:val="16"/>
              </w:rPr>
              <w:t>NR</w:t>
            </w:r>
          </w:p>
        </w:tc>
        <w:tc>
          <w:tcPr>
            <w:tcW w:w="3027" w:type="dxa"/>
          </w:tcPr>
          <w:p w14:paraId="077850E9" w14:textId="77777777" w:rsidR="00881FE9" w:rsidRPr="00691084" w:rsidRDefault="00881FE9" w:rsidP="00881FE9">
            <w:pPr>
              <w:rPr>
                <w:rFonts w:asciiTheme="minorHAnsi" w:hAnsiTheme="minorHAnsi" w:cstheme="minorHAnsi"/>
                <w:sz w:val="16"/>
                <w:szCs w:val="16"/>
                <w:u w:val="single"/>
              </w:rPr>
            </w:pPr>
            <w:r w:rsidRPr="00691084">
              <w:rPr>
                <w:rFonts w:asciiTheme="minorHAnsi" w:hAnsiTheme="minorHAnsi" w:cstheme="minorHAnsi"/>
                <w:sz w:val="16"/>
                <w:szCs w:val="16"/>
                <w:u w:val="single"/>
              </w:rPr>
              <w:t xml:space="preserve">At Wave 3, </w:t>
            </w:r>
            <w:r w:rsidR="00D50EBC">
              <w:rPr>
                <w:rFonts w:asciiTheme="minorHAnsi" w:hAnsiTheme="minorHAnsi" w:cstheme="minorHAnsi"/>
                <w:sz w:val="16"/>
                <w:szCs w:val="16"/>
                <w:u w:val="single"/>
              </w:rPr>
              <w:t>A</w:t>
            </w:r>
            <w:r w:rsidRPr="00691084">
              <w:rPr>
                <w:rFonts w:asciiTheme="minorHAnsi" w:hAnsiTheme="minorHAnsi" w:cstheme="minorHAnsi"/>
                <w:sz w:val="16"/>
                <w:szCs w:val="16"/>
                <w:u w:val="single"/>
              </w:rPr>
              <w:t>OR (95% CI) for youth who initiated and remained M smokers</w:t>
            </w:r>
          </w:p>
          <w:p w14:paraId="2DC4A5BB" w14:textId="77777777" w:rsidR="00881FE9" w:rsidRPr="00691084" w:rsidRDefault="00881FE9" w:rsidP="00881FE9">
            <w:pPr>
              <w:rPr>
                <w:rFonts w:asciiTheme="minorHAnsi" w:hAnsiTheme="minorHAnsi" w:cstheme="minorHAnsi"/>
                <w:sz w:val="16"/>
                <w:szCs w:val="16"/>
                <w:u w:val="single"/>
              </w:rPr>
            </w:pPr>
            <w:r w:rsidRPr="00691084">
              <w:rPr>
                <w:rFonts w:asciiTheme="minorHAnsi" w:hAnsiTheme="minorHAnsi" w:cstheme="minorHAnsi"/>
                <w:sz w:val="16"/>
                <w:szCs w:val="16"/>
                <w:u w:val="single"/>
              </w:rPr>
              <w:t xml:space="preserve">(ref=initiated and remained NM smokers) Excluding Wave 3 initiators: </w:t>
            </w:r>
          </w:p>
          <w:p w14:paraId="6C16BB6A"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Daily smoking:</w:t>
            </w:r>
          </w:p>
          <w:p w14:paraId="3F20D276"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1.51 (0.67 to 3.42)</w:t>
            </w:r>
          </w:p>
          <w:p w14:paraId="6936C392"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Established smoking: 1.52 (0.68 to 3.39)</w:t>
            </w:r>
          </w:p>
          <w:p w14:paraId="74F9958C" w14:textId="77777777" w:rsidR="00881FE9" w:rsidRPr="00691084" w:rsidRDefault="00881FE9" w:rsidP="00881FE9">
            <w:pPr>
              <w:rPr>
                <w:rFonts w:asciiTheme="minorHAnsi" w:hAnsiTheme="minorHAnsi" w:cstheme="minorHAnsi"/>
                <w:sz w:val="16"/>
                <w:szCs w:val="16"/>
                <w:u w:val="single"/>
              </w:rPr>
            </w:pPr>
            <w:r w:rsidRPr="00691084">
              <w:rPr>
                <w:rFonts w:asciiTheme="minorHAnsi" w:hAnsiTheme="minorHAnsi" w:cstheme="minorHAnsi"/>
                <w:sz w:val="16"/>
                <w:szCs w:val="16"/>
                <w:u w:val="single"/>
              </w:rPr>
              <w:t>Including Wave 3 initiators:</w:t>
            </w:r>
          </w:p>
          <w:p w14:paraId="25EB1013"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Daily smoking:</w:t>
            </w:r>
          </w:p>
          <w:p w14:paraId="45D47840"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2.12 (1.44 to 3.12)</w:t>
            </w:r>
          </w:p>
          <w:p w14:paraId="031616CE"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Established smoking:</w:t>
            </w:r>
          </w:p>
          <w:p w14:paraId="0175915D"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2.09 (1.45 to 3.00)</w:t>
            </w:r>
          </w:p>
        </w:tc>
      </w:tr>
      <w:tr w:rsidR="004149DE" w:rsidRPr="00691084" w14:paraId="22BCB494" w14:textId="77777777" w:rsidTr="00881FE9">
        <w:tc>
          <w:tcPr>
            <w:tcW w:w="1975" w:type="dxa"/>
          </w:tcPr>
          <w:p w14:paraId="0A37CD28" w14:textId="39381C2A" w:rsidR="00881FE9" w:rsidRPr="00691084" w:rsidRDefault="00D2134A" w:rsidP="00881FE9">
            <w:pPr>
              <w:rPr>
                <w:rFonts w:asciiTheme="minorHAnsi" w:hAnsiTheme="minorHAnsi" w:cstheme="minorHAnsi"/>
                <w:sz w:val="16"/>
                <w:szCs w:val="16"/>
              </w:rPr>
            </w:pPr>
            <w:r>
              <w:rPr>
                <w:rFonts w:cstheme="minorHAnsi"/>
                <w:sz w:val="16"/>
                <w:szCs w:val="16"/>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Pr>
                <w:rFonts w:cstheme="minorHAnsi"/>
                <w:sz w:val="16"/>
                <w:szCs w:val="16"/>
              </w:rPr>
              <w:instrText xml:space="preserve"> ADDIN EN.CITE </w:instrText>
            </w:r>
            <w:r>
              <w:rPr>
                <w:rFonts w:cstheme="minorHAnsi"/>
                <w:sz w:val="16"/>
                <w:szCs w:val="16"/>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Pr>
                <w:rFonts w:cstheme="minorHAnsi"/>
                <w:sz w:val="16"/>
                <w:szCs w:val="16"/>
              </w:rPr>
              <w:instrText xml:space="preserve"> ADDIN EN.CITE.DATA </w:instrText>
            </w:r>
            <w:r>
              <w:rPr>
                <w:rFonts w:cstheme="minorHAnsi"/>
                <w:sz w:val="16"/>
                <w:szCs w:val="16"/>
              </w:rPr>
            </w:r>
            <w:r>
              <w:rPr>
                <w:rFonts w:cstheme="minorHAnsi"/>
                <w:sz w:val="16"/>
                <w:szCs w:val="16"/>
              </w:rPr>
              <w:fldChar w:fldCharType="end"/>
            </w:r>
            <w:r>
              <w:rPr>
                <w:rFonts w:cstheme="minorHAnsi"/>
                <w:sz w:val="16"/>
                <w:szCs w:val="16"/>
              </w:rPr>
              <w:fldChar w:fldCharType="separate"/>
            </w:r>
            <w:r>
              <w:rPr>
                <w:rFonts w:cstheme="minorHAnsi"/>
                <w:noProof/>
                <w:sz w:val="16"/>
                <w:szCs w:val="16"/>
              </w:rPr>
              <w:t>(</w:t>
            </w:r>
            <w:hyperlink w:anchor="_ENREF_79" w:tooltip="Rath, 2015 #3" w:history="1">
              <w:r w:rsidR="00A234A9">
                <w:rPr>
                  <w:rFonts w:cstheme="minorHAnsi"/>
                  <w:noProof/>
                  <w:sz w:val="16"/>
                  <w:szCs w:val="16"/>
                </w:rPr>
                <w:t>79</w:t>
              </w:r>
            </w:hyperlink>
            <w:r>
              <w:rPr>
                <w:rFonts w:cstheme="minorHAnsi"/>
                <w:noProof/>
                <w:sz w:val="16"/>
                <w:szCs w:val="16"/>
              </w:rPr>
              <w:t>)</w:t>
            </w:r>
            <w:r>
              <w:rPr>
                <w:rFonts w:cstheme="minorHAnsi"/>
                <w:sz w:val="16"/>
                <w:szCs w:val="16"/>
              </w:rPr>
              <w:fldChar w:fldCharType="end"/>
            </w:r>
          </w:p>
          <w:p w14:paraId="19C62ED0"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LYAC</w:t>
            </w:r>
          </w:p>
          <w:p w14:paraId="62FE9ED5" w14:textId="77777777" w:rsidR="00881FE9" w:rsidRPr="00691084" w:rsidRDefault="00881FE9" w:rsidP="00881FE9">
            <w:pPr>
              <w:rPr>
                <w:rFonts w:asciiTheme="minorHAnsi" w:hAnsiTheme="minorHAnsi" w:cstheme="minorHAnsi"/>
                <w:b/>
                <w:sz w:val="16"/>
                <w:szCs w:val="16"/>
              </w:rPr>
            </w:pPr>
            <w:r w:rsidRPr="00691084">
              <w:rPr>
                <w:rFonts w:asciiTheme="minorHAnsi" w:hAnsiTheme="minorHAnsi" w:cstheme="minorHAnsi"/>
                <w:sz w:val="16"/>
                <w:szCs w:val="16"/>
              </w:rPr>
              <w:t>Young adults</w:t>
            </w:r>
          </w:p>
        </w:tc>
        <w:tc>
          <w:tcPr>
            <w:tcW w:w="1170" w:type="dxa"/>
          </w:tcPr>
          <w:p w14:paraId="5D204965"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Dependent;</w:t>
            </w:r>
          </w:p>
          <w:p w14:paraId="3AAC88F3"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Multiple logistic regression;</w:t>
            </w:r>
          </w:p>
          <w:p w14:paraId="080EA347" w14:textId="77777777" w:rsidR="00881FE9" w:rsidRPr="00691084" w:rsidRDefault="00881FE9" w:rsidP="00881FE9">
            <w:pPr>
              <w:rPr>
                <w:rFonts w:asciiTheme="minorHAnsi" w:hAnsiTheme="minorHAnsi" w:cstheme="minorHAnsi"/>
                <w:b/>
                <w:sz w:val="16"/>
                <w:szCs w:val="16"/>
              </w:rPr>
            </w:pPr>
            <w:r w:rsidRPr="00691084">
              <w:rPr>
                <w:rFonts w:asciiTheme="minorHAnsi" w:hAnsiTheme="minorHAnsi" w:cstheme="minorHAnsi"/>
                <w:sz w:val="16"/>
                <w:szCs w:val="16"/>
              </w:rPr>
              <w:t>Age, gender, race/ethnicity, educational attainment, self-described financial situation</w:t>
            </w:r>
          </w:p>
        </w:tc>
        <w:tc>
          <w:tcPr>
            <w:tcW w:w="1440" w:type="dxa"/>
          </w:tcPr>
          <w:p w14:paraId="349A9BD5" w14:textId="77777777" w:rsidR="00881FE9" w:rsidRPr="00691084" w:rsidRDefault="00881FE9" w:rsidP="00881FE9">
            <w:pPr>
              <w:rPr>
                <w:rFonts w:asciiTheme="minorHAnsi" w:hAnsiTheme="minorHAnsi" w:cstheme="minorHAnsi"/>
                <w:b/>
                <w:sz w:val="16"/>
                <w:szCs w:val="16"/>
              </w:rPr>
            </w:pPr>
            <w:r w:rsidRPr="00691084">
              <w:rPr>
                <w:rFonts w:asciiTheme="minorHAnsi" w:hAnsiTheme="minorHAnsi" w:cstheme="minorHAnsi"/>
                <w:sz w:val="16"/>
                <w:szCs w:val="16"/>
              </w:rPr>
              <w:t>NR</w:t>
            </w:r>
          </w:p>
        </w:tc>
        <w:tc>
          <w:tcPr>
            <w:tcW w:w="1530" w:type="dxa"/>
          </w:tcPr>
          <w:p w14:paraId="2A590755" w14:textId="77777777" w:rsidR="00881FE9" w:rsidRPr="00691084" w:rsidRDefault="00881FE9" w:rsidP="00881FE9">
            <w:pPr>
              <w:rPr>
                <w:rFonts w:asciiTheme="minorHAnsi" w:hAnsiTheme="minorHAnsi" w:cstheme="minorHAnsi"/>
                <w:b/>
                <w:sz w:val="16"/>
                <w:szCs w:val="16"/>
              </w:rPr>
            </w:pPr>
            <w:r w:rsidRPr="00691084">
              <w:rPr>
                <w:rFonts w:asciiTheme="minorHAnsi" w:hAnsiTheme="minorHAnsi" w:cstheme="minorHAnsi"/>
                <w:sz w:val="16"/>
                <w:szCs w:val="16"/>
              </w:rPr>
              <w:t>NR</w:t>
            </w:r>
          </w:p>
        </w:tc>
        <w:tc>
          <w:tcPr>
            <w:tcW w:w="1530" w:type="dxa"/>
          </w:tcPr>
          <w:p w14:paraId="347B1043" w14:textId="77777777" w:rsidR="00881FE9" w:rsidRPr="00691084" w:rsidRDefault="00881FE9" w:rsidP="00881FE9">
            <w:pPr>
              <w:rPr>
                <w:rFonts w:asciiTheme="minorHAnsi" w:hAnsiTheme="minorHAnsi" w:cstheme="minorHAnsi"/>
                <w:b/>
                <w:sz w:val="16"/>
                <w:szCs w:val="16"/>
              </w:rPr>
            </w:pPr>
            <w:r w:rsidRPr="00691084">
              <w:rPr>
                <w:rFonts w:asciiTheme="minorHAnsi" w:hAnsiTheme="minorHAnsi" w:cstheme="minorHAnsi"/>
                <w:sz w:val="16"/>
                <w:szCs w:val="16"/>
              </w:rPr>
              <w:t>NR</w:t>
            </w:r>
          </w:p>
        </w:tc>
        <w:tc>
          <w:tcPr>
            <w:tcW w:w="1530" w:type="dxa"/>
          </w:tcPr>
          <w:p w14:paraId="702B9FA5" w14:textId="77777777" w:rsidR="00881FE9" w:rsidRPr="00691084" w:rsidRDefault="00881FE9" w:rsidP="00881FE9">
            <w:pPr>
              <w:rPr>
                <w:rFonts w:asciiTheme="minorHAnsi" w:hAnsiTheme="minorHAnsi" w:cstheme="minorHAnsi"/>
                <w:sz w:val="16"/>
                <w:szCs w:val="16"/>
                <w:u w:val="single"/>
              </w:rPr>
            </w:pPr>
            <w:r w:rsidRPr="00691084">
              <w:rPr>
                <w:rFonts w:asciiTheme="minorHAnsi" w:hAnsiTheme="minorHAnsi" w:cstheme="minorHAnsi"/>
                <w:sz w:val="16"/>
                <w:szCs w:val="16"/>
              </w:rPr>
              <w:t xml:space="preserve">Current M smoker, OR (95% CI) for initiation with M (ref=initiation with NM): </w:t>
            </w:r>
          </w:p>
          <w:p w14:paraId="54987DD1"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u w:val="single"/>
              </w:rPr>
              <w:t>Model 1</w:t>
            </w:r>
            <w:r w:rsidRPr="00691084">
              <w:rPr>
                <w:rFonts w:asciiTheme="minorHAnsi" w:hAnsiTheme="minorHAnsi" w:cstheme="minorHAnsi"/>
                <w:sz w:val="16"/>
                <w:szCs w:val="16"/>
              </w:rPr>
              <w:t xml:space="preserve"> (Smokers at all three time points): </w:t>
            </w:r>
          </w:p>
          <w:p w14:paraId="791FA4F2"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12.0 (6.0 to 23.8)</w:t>
            </w:r>
          </w:p>
          <w:p w14:paraId="4E07D8F1"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u w:val="single"/>
              </w:rPr>
              <w:t>Model 2</w:t>
            </w:r>
            <w:r w:rsidRPr="00691084">
              <w:rPr>
                <w:rFonts w:asciiTheme="minorHAnsi" w:hAnsiTheme="minorHAnsi" w:cstheme="minorHAnsi"/>
                <w:sz w:val="16"/>
                <w:szCs w:val="16"/>
              </w:rPr>
              <w:t xml:space="preserve"> (Initiated at Time 2): </w:t>
            </w:r>
          </w:p>
          <w:p w14:paraId="1E1A674D"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12.3 (6.1 to 24.8)</w:t>
            </w:r>
          </w:p>
          <w:p w14:paraId="75F9AEF7"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u w:val="single"/>
              </w:rPr>
              <w:t>Model 3</w:t>
            </w:r>
            <w:r w:rsidRPr="00691084">
              <w:rPr>
                <w:rFonts w:asciiTheme="minorHAnsi" w:hAnsiTheme="minorHAnsi" w:cstheme="minorHAnsi"/>
                <w:sz w:val="16"/>
                <w:szCs w:val="16"/>
              </w:rPr>
              <w:t xml:space="preserve"> (Remained smokers at Time 3): </w:t>
            </w:r>
          </w:p>
          <w:p w14:paraId="06BA2A34" w14:textId="77777777" w:rsidR="00881FE9" w:rsidRPr="00691084" w:rsidRDefault="00881FE9" w:rsidP="00881FE9">
            <w:pPr>
              <w:rPr>
                <w:rFonts w:asciiTheme="minorHAnsi" w:hAnsiTheme="minorHAnsi" w:cstheme="minorHAnsi"/>
                <w:b/>
                <w:sz w:val="16"/>
                <w:szCs w:val="16"/>
              </w:rPr>
            </w:pPr>
            <w:r w:rsidRPr="00691084">
              <w:rPr>
                <w:rFonts w:asciiTheme="minorHAnsi" w:hAnsiTheme="minorHAnsi" w:cstheme="minorHAnsi"/>
                <w:sz w:val="16"/>
                <w:szCs w:val="16"/>
              </w:rPr>
              <w:t>8.5 (3.9 to 18.4)</w:t>
            </w:r>
          </w:p>
        </w:tc>
        <w:tc>
          <w:tcPr>
            <w:tcW w:w="1260" w:type="dxa"/>
          </w:tcPr>
          <w:p w14:paraId="2EF1B2BB" w14:textId="77777777" w:rsidR="00881FE9" w:rsidRPr="00691084" w:rsidRDefault="00881FE9" w:rsidP="00881FE9">
            <w:pPr>
              <w:rPr>
                <w:rFonts w:asciiTheme="minorHAnsi" w:hAnsiTheme="minorHAnsi" w:cstheme="minorHAnsi"/>
                <w:b/>
                <w:sz w:val="16"/>
                <w:szCs w:val="16"/>
              </w:rPr>
            </w:pPr>
            <w:r w:rsidRPr="00691084">
              <w:rPr>
                <w:rFonts w:asciiTheme="minorHAnsi" w:hAnsiTheme="minorHAnsi" w:cstheme="minorHAnsi"/>
                <w:sz w:val="16"/>
                <w:szCs w:val="16"/>
              </w:rPr>
              <w:t>NR</w:t>
            </w:r>
          </w:p>
        </w:tc>
        <w:tc>
          <w:tcPr>
            <w:tcW w:w="3027" w:type="dxa"/>
          </w:tcPr>
          <w:p w14:paraId="09627F5C" w14:textId="77777777" w:rsidR="00881FE9" w:rsidRPr="00691084" w:rsidRDefault="00881FE9" w:rsidP="00881FE9">
            <w:pPr>
              <w:rPr>
                <w:rFonts w:asciiTheme="minorHAnsi" w:hAnsiTheme="minorHAnsi" w:cstheme="minorHAnsi"/>
                <w:b/>
                <w:sz w:val="16"/>
                <w:szCs w:val="16"/>
              </w:rPr>
            </w:pPr>
            <w:r w:rsidRPr="00691084">
              <w:rPr>
                <w:rFonts w:asciiTheme="minorHAnsi" w:hAnsiTheme="minorHAnsi" w:cstheme="minorHAnsi"/>
                <w:sz w:val="16"/>
                <w:szCs w:val="16"/>
              </w:rPr>
              <w:t>NR</w:t>
            </w:r>
          </w:p>
        </w:tc>
      </w:tr>
      <w:tr w:rsidR="004149DE" w:rsidRPr="00691084" w14:paraId="1EE317D3" w14:textId="77777777" w:rsidTr="00881FE9">
        <w:trPr>
          <w:trHeight w:val="1574"/>
        </w:trPr>
        <w:tc>
          <w:tcPr>
            <w:tcW w:w="1975" w:type="dxa"/>
          </w:tcPr>
          <w:p w14:paraId="3C686888" w14:textId="3DD3F6B9" w:rsidR="00881FE9" w:rsidRPr="00691084" w:rsidRDefault="00D2134A" w:rsidP="00881FE9">
            <w:pPr>
              <w:rPr>
                <w:rFonts w:asciiTheme="minorHAnsi" w:hAnsiTheme="minorHAnsi" w:cstheme="minorHAnsi"/>
                <w:sz w:val="16"/>
                <w:szCs w:val="16"/>
              </w:rPr>
            </w:pPr>
            <w:r>
              <w:rPr>
                <w:rFonts w:cstheme="minorHAnsi"/>
                <w:sz w:val="16"/>
                <w:szCs w:val="16"/>
              </w:rPr>
              <w:fldChar w:fldCharType="begin"/>
            </w:r>
            <w:r>
              <w:rPr>
                <w:rFonts w:cstheme="minorHAnsi"/>
                <w:sz w:val="16"/>
                <w:szCs w:val="16"/>
              </w:rPr>
              <w:instrText xml:space="preserve"> ADDIN EN.CITE &lt;EndNote&gt;&lt;Cite&gt;&lt;Author&gt;Sidney&lt;/Author&gt;&lt;Year&gt;1989&lt;/Year&gt;&lt;RecNum&gt;92&lt;/RecNum&gt;&lt;DisplayText&gt;(82)&lt;/DisplayText&gt;&lt;record&gt;&lt;rec-number&gt;92&lt;/rec-number&gt;&lt;foreign-keys&gt;&lt;key app="EN" db-id="a2vz2dfp8xrad6exes75zwpiw5rxwa0vwapv" timestamp="0"&gt;92&lt;/key&gt;&lt;/foreign-keys&gt;&lt;ref-type name="Journal Article"&gt;17&lt;/ref-type&gt;&lt;contributors&gt;&lt;authors&gt;&lt;author&gt;Sidney, S.&lt;/author&gt;&lt;author&gt;Tekawa, I. S.&lt;/author&gt;&lt;author&gt;Friedman, G. D.&lt;/author&gt;&lt;/authors&gt;&lt;/contributors&gt;&lt;titles&gt;&lt;title&gt;Mentholated cigarette use among multiphasic examinees, 1979-86&lt;/title&gt;&lt;secondary-title&gt;Am J Public Health&lt;/secondary-title&gt;&lt;/titles&gt;&lt;periodical&gt;&lt;full-title&gt;Am J Public Health&lt;/full-title&gt;&lt;/periodical&gt;&lt;pages&gt;1415-1416&lt;/pages&gt;&lt;volume&gt;79&lt;/volume&gt;&lt;section&gt;1415&lt;/section&gt;&lt;dates&gt;&lt;year&gt;1989&lt;/year&gt;&lt;/dates&gt;&lt;urls&gt;&lt;/urls&gt;&lt;research-notes&gt;#505&lt;/research-notes&gt;&lt;/record&gt;&lt;/Cite&gt;&lt;/EndNote&gt;</w:instrText>
            </w:r>
            <w:r>
              <w:rPr>
                <w:rFonts w:cstheme="minorHAnsi"/>
                <w:sz w:val="16"/>
                <w:szCs w:val="16"/>
              </w:rPr>
              <w:fldChar w:fldCharType="separate"/>
            </w:r>
            <w:r>
              <w:rPr>
                <w:rFonts w:cstheme="minorHAnsi"/>
                <w:noProof/>
                <w:sz w:val="16"/>
                <w:szCs w:val="16"/>
              </w:rPr>
              <w:t>(</w:t>
            </w:r>
            <w:hyperlink w:anchor="_ENREF_82" w:tooltip="Sidney, 1989 #92" w:history="1">
              <w:r w:rsidR="00A234A9">
                <w:rPr>
                  <w:rFonts w:cstheme="minorHAnsi"/>
                  <w:noProof/>
                  <w:sz w:val="16"/>
                  <w:szCs w:val="16"/>
                </w:rPr>
                <w:t>82</w:t>
              </w:r>
            </w:hyperlink>
            <w:r>
              <w:rPr>
                <w:rFonts w:cstheme="minorHAnsi"/>
                <w:noProof/>
                <w:sz w:val="16"/>
                <w:szCs w:val="16"/>
              </w:rPr>
              <w:t>)</w:t>
            </w:r>
            <w:r>
              <w:rPr>
                <w:rFonts w:cstheme="minorHAnsi"/>
                <w:sz w:val="16"/>
                <w:szCs w:val="16"/>
              </w:rPr>
              <w:fldChar w:fldCharType="end"/>
            </w:r>
            <w:r w:rsidR="00881FE9" w:rsidRPr="00691084">
              <w:rPr>
                <w:rFonts w:asciiTheme="minorHAnsi" w:hAnsiTheme="minorHAnsi" w:cstheme="minorHAnsi"/>
                <w:sz w:val="16"/>
                <w:szCs w:val="16"/>
                <w:vertAlign w:val="superscript"/>
              </w:rPr>
              <w:t>b</w:t>
            </w:r>
          </w:p>
          <w:p w14:paraId="0C7F1049"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None</w:t>
            </w:r>
          </w:p>
          <w:p w14:paraId="01A0830F" w14:textId="77777777" w:rsidR="00881FE9" w:rsidRPr="00691084" w:rsidRDefault="00881FE9" w:rsidP="00881FE9">
            <w:pPr>
              <w:rPr>
                <w:rFonts w:asciiTheme="minorHAnsi" w:hAnsiTheme="minorHAnsi" w:cstheme="minorHAnsi"/>
                <w:b/>
                <w:sz w:val="16"/>
                <w:szCs w:val="16"/>
              </w:rPr>
            </w:pPr>
            <w:r w:rsidRPr="00691084">
              <w:rPr>
                <w:rFonts w:asciiTheme="minorHAnsi" w:hAnsiTheme="minorHAnsi" w:cstheme="minorHAnsi"/>
                <w:sz w:val="16"/>
                <w:szCs w:val="16"/>
              </w:rPr>
              <w:t>Black HMO medical center patients</w:t>
            </w:r>
          </w:p>
        </w:tc>
        <w:tc>
          <w:tcPr>
            <w:tcW w:w="1170" w:type="dxa"/>
          </w:tcPr>
          <w:p w14:paraId="05D09551"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Independent;</w:t>
            </w:r>
          </w:p>
          <w:p w14:paraId="2DFD071D"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Proportional hazards;</w:t>
            </w:r>
          </w:p>
          <w:p w14:paraId="5F06BBD5" w14:textId="77777777" w:rsidR="00881FE9" w:rsidRPr="00691084" w:rsidRDefault="00881FE9" w:rsidP="00881FE9">
            <w:pPr>
              <w:rPr>
                <w:rFonts w:asciiTheme="minorHAnsi" w:hAnsiTheme="minorHAnsi" w:cstheme="minorHAnsi"/>
                <w:b/>
                <w:sz w:val="16"/>
                <w:szCs w:val="16"/>
              </w:rPr>
            </w:pPr>
            <w:r w:rsidRPr="00691084">
              <w:rPr>
                <w:rFonts w:asciiTheme="minorHAnsi" w:hAnsiTheme="minorHAnsi" w:cstheme="minorHAnsi"/>
                <w:sz w:val="16"/>
                <w:szCs w:val="16"/>
              </w:rPr>
              <w:t>Age, gender, duration of follow-up</w:t>
            </w:r>
          </w:p>
        </w:tc>
        <w:tc>
          <w:tcPr>
            <w:tcW w:w="1440" w:type="dxa"/>
          </w:tcPr>
          <w:p w14:paraId="2060C232" w14:textId="77777777" w:rsidR="00881FE9" w:rsidRPr="00691084" w:rsidRDefault="00881FE9" w:rsidP="00881FE9">
            <w:pPr>
              <w:rPr>
                <w:rFonts w:asciiTheme="minorHAnsi" w:hAnsiTheme="minorHAnsi" w:cstheme="minorHAnsi"/>
                <w:b/>
                <w:sz w:val="16"/>
                <w:szCs w:val="16"/>
              </w:rPr>
            </w:pPr>
            <w:r w:rsidRPr="00691084">
              <w:rPr>
                <w:rFonts w:asciiTheme="minorHAnsi" w:hAnsiTheme="minorHAnsi" w:cstheme="minorHAnsi"/>
                <w:sz w:val="16"/>
                <w:szCs w:val="16"/>
              </w:rPr>
              <w:t>NR</w:t>
            </w:r>
          </w:p>
        </w:tc>
        <w:tc>
          <w:tcPr>
            <w:tcW w:w="1530" w:type="dxa"/>
          </w:tcPr>
          <w:p w14:paraId="3B06B1DC" w14:textId="77777777" w:rsidR="00881FE9" w:rsidRPr="00691084" w:rsidRDefault="00881FE9" w:rsidP="00881FE9">
            <w:pPr>
              <w:rPr>
                <w:rFonts w:asciiTheme="minorHAnsi" w:hAnsiTheme="minorHAnsi" w:cstheme="minorHAnsi"/>
                <w:b/>
                <w:sz w:val="16"/>
                <w:szCs w:val="16"/>
              </w:rPr>
            </w:pPr>
            <w:r w:rsidRPr="00691084">
              <w:rPr>
                <w:rFonts w:asciiTheme="minorHAnsi" w:hAnsiTheme="minorHAnsi" w:cstheme="minorHAnsi"/>
                <w:sz w:val="16"/>
                <w:szCs w:val="16"/>
              </w:rPr>
              <w:t>NR</w:t>
            </w:r>
          </w:p>
        </w:tc>
        <w:tc>
          <w:tcPr>
            <w:tcW w:w="1530" w:type="dxa"/>
          </w:tcPr>
          <w:p w14:paraId="0AE21985" w14:textId="77777777" w:rsidR="00881FE9" w:rsidRPr="00691084" w:rsidRDefault="00881FE9" w:rsidP="00881FE9">
            <w:pPr>
              <w:rPr>
                <w:rFonts w:asciiTheme="minorHAnsi" w:hAnsiTheme="minorHAnsi" w:cstheme="minorHAnsi"/>
                <w:b/>
                <w:sz w:val="16"/>
                <w:szCs w:val="16"/>
              </w:rPr>
            </w:pPr>
            <w:r w:rsidRPr="00691084">
              <w:rPr>
                <w:rFonts w:asciiTheme="minorHAnsi" w:hAnsiTheme="minorHAnsi" w:cstheme="minorHAnsi"/>
                <w:sz w:val="16"/>
                <w:szCs w:val="16"/>
              </w:rPr>
              <w:t>NR</w:t>
            </w:r>
          </w:p>
        </w:tc>
        <w:tc>
          <w:tcPr>
            <w:tcW w:w="1530" w:type="dxa"/>
          </w:tcPr>
          <w:p w14:paraId="1EF9B991" w14:textId="77777777" w:rsidR="00881FE9" w:rsidRPr="00691084" w:rsidRDefault="00881FE9" w:rsidP="00881FE9">
            <w:pPr>
              <w:rPr>
                <w:rFonts w:asciiTheme="minorHAnsi" w:hAnsiTheme="minorHAnsi" w:cstheme="minorHAnsi"/>
                <w:sz w:val="16"/>
                <w:szCs w:val="16"/>
              </w:rPr>
            </w:pPr>
            <w:r w:rsidRPr="00691084">
              <w:rPr>
                <w:rFonts w:asciiTheme="minorHAnsi" w:hAnsiTheme="minorHAnsi" w:cstheme="minorHAnsi"/>
                <w:sz w:val="16"/>
                <w:szCs w:val="16"/>
              </w:rPr>
              <w:t>Switching types, HR (95% CI) for NM (ref=M):</w:t>
            </w:r>
          </w:p>
          <w:p w14:paraId="6D50B6A1" w14:textId="77777777" w:rsidR="00881FE9" w:rsidRPr="00691084" w:rsidRDefault="00881FE9" w:rsidP="00881FE9">
            <w:pPr>
              <w:rPr>
                <w:rFonts w:asciiTheme="minorHAnsi" w:hAnsiTheme="minorHAnsi" w:cstheme="minorHAnsi"/>
                <w:b/>
                <w:sz w:val="16"/>
                <w:szCs w:val="16"/>
              </w:rPr>
            </w:pPr>
            <w:r w:rsidRPr="00691084">
              <w:rPr>
                <w:rFonts w:asciiTheme="minorHAnsi" w:hAnsiTheme="minorHAnsi" w:cstheme="minorHAnsi"/>
                <w:sz w:val="16"/>
                <w:szCs w:val="16"/>
              </w:rPr>
              <w:t>4.2 (2.8 to 6.4)</w:t>
            </w:r>
          </w:p>
        </w:tc>
        <w:tc>
          <w:tcPr>
            <w:tcW w:w="1260" w:type="dxa"/>
          </w:tcPr>
          <w:p w14:paraId="4C7B3F37" w14:textId="77777777" w:rsidR="00881FE9" w:rsidRPr="00691084" w:rsidRDefault="00881FE9" w:rsidP="00881FE9">
            <w:pPr>
              <w:rPr>
                <w:rFonts w:asciiTheme="minorHAnsi" w:hAnsiTheme="minorHAnsi" w:cstheme="minorHAnsi"/>
                <w:b/>
                <w:sz w:val="16"/>
                <w:szCs w:val="16"/>
              </w:rPr>
            </w:pPr>
            <w:r w:rsidRPr="00691084">
              <w:rPr>
                <w:rFonts w:asciiTheme="minorHAnsi" w:hAnsiTheme="minorHAnsi" w:cstheme="minorHAnsi"/>
                <w:sz w:val="16"/>
                <w:szCs w:val="16"/>
              </w:rPr>
              <w:t>NR</w:t>
            </w:r>
          </w:p>
        </w:tc>
        <w:tc>
          <w:tcPr>
            <w:tcW w:w="3027" w:type="dxa"/>
          </w:tcPr>
          <w:p w14:paraId="2F34FD38" w14:textId="77777777" w:rsidR="00881FE9" w:rsidRPr="00691084" w:rsidRDefault="00881FE9" w:rsidP="00881FE9">
            <w:pPr>
              <w:rPr>
                <w:rFonts w:asciiTheme="minorHAnsi" w:hAnsiTheme="minorHAnsi" w:cstheme="minorHAnsi"/>
                <w:b/>
                <w:sz w:val="16"/>
                <w:szCs w:val="16"/>
              </w:rPr>
            </w:pPr>
            <w:r w:rsidRPr="00691084">
              <w:rPr>
                <w:rFonts w:asciiTheme="minorHAnsi" w:hAnsiTheme="minorHAnsi" w:cstheme="minorHAnsi"/>
                <w:sz w:val="16"/>
                <w:szCs w:val="16"/>
              </w:rPr>
              <w:t>NR</w:t>
            </w:r>
          </w:p>
        </w:tc>
      </w:tr>
    </w:tbl>
    <w:p w14:paraId="0915C243" w14:textId="77777777" w:rsidR="0069742C" w:rsidRPr="00734294" w:rsidRDefault="0069742C" w:rsidP="0069742C">
      <w:pPr>
        <w:contextualSpacing/>
        <w:jc w:val="both"/>
        <w:rPr>
          <w:sz w:val="16"/>
          <w:szCs w:val="16"/>
        </w:rPr>
      </w:pPr>
      <w:r w:rsidRPr="00734294">
        <w:rPr>
          <w:sz w:val="16"/>
          <w:szCs w:val="16"/>
          <w:vertAlign w:val="superscript"/>
        </w:rPr>
        <w:t>a</w:t>
      </w:r>
      <w:r w:rsidRPr="00734294">
        <w:rPr>
          <w:sz w:val="16"/>
          <w:szCs w:val="16"/>
        </w:rPr>
        <w:t xml:space="preserve"> Data are weighted</w:t>
      </w:r>
    </w:p>
    <w:p w14:paraId="22CA3831" w14:textId="77777777" w:rsidR="0069742C" w:rsidRDefault="0069742C" w:rsidP="00382374">
      <w:pPr>
        <w:spacing w:after="0" w:line="240" w:lineRule="auto"/>
        <w:jc w:val="both"/>
        <w:rPr>
          <w:sz w:val="16"/>
          <w:szCs w:val="16"/>
        </w:rPr>
      </w:pPr>
      <w:r w:rsidRPr="00734294">
        <w:rPr>
          <w:sz w:val="16"/>
          <w:szCs w:val="16"/>
          <w:vertAlign w:val="superscript"/>
        </w:rPr>
        <w:t>b</w:t>
      </w:r>
      <w:r w:rsidRPr="00734294">
        <w:rPr>
          <w:sz w:val="16"/>
          <w:szCs w:val="16"/>
        </w:rPr>
        <w:t xml:space="preserve"> Subsample of </w:t>
      </w:r>
      <w:r>
        <w:rPr>
          <w:sz w:val="16"/>
          <w:szCs w:val="16"/>
        </w:rPr>
        <w:t>Black</w:t>
      </w:r>
      <w:r w:rsidRPr="00734294">
        <w:rPr>
          <w:sz w:val="16"/>
          <w:szCs w:val="16"/>
        </w:rPr>
        <w:t xml:space="preserve"> patients age &lt;40.</w:t>
      </w:r>
    </w:p>
    <w:p w14:paraId="42DA7DF3" w14:textId="77777777" w:rsidR="0069742C" w:rsidRPr="00734294" w:rsidRDefault="0069742C" w:rsidP="00382374">
      <w:pPr>
        <w:spacing w:after="0" w:line="240" w:lineRule="auto"/>
        <w:jc w:val="both"/>
        <w:rPr>
          <w:sz w:val="16"/>
          <w:szCs w:val="16"/>
        </w:rPr>
      </w:pPr>
      <w:r>
        <w:rPr>
          <w:sz w:val="16"/>
          <w:szCs w:val="16"/>
          <w:vertAlign w:val="superscript"/>
        </w:rPr>
        <w:t>c</w:t>
      </w:r>
      <w:r w:rsidRPr="00734294">
        <w:rPr>
          <w:sz w:val="16"/>
          <w:szCs w:val="16"/>
        </w:rPr>
        <w:t xml:space="preserve"> </w:t>
      </w:r>
      <w:r w:rsidRPr="002D2DB6">
        <w:rPr>
          <w:sz w:val="16"/>
          <w:szCs w:val="16"/>
        </w:rPr>
        <w:t>“Initiation”: first smoking all or part of a cigarette.</w:t>
      </w:r>
    </w:p>
    <w:p w14:paraId="531EBE6D" w14:textId="77777777" w:rsidR="0069742C" w:rsidRDefault="0069742C" w:rsidP="0069742C">
      <w:pPr>
        <w:spacing w:after="0" w:line="240" w:lineRule="auto"/>
        <w:jc w:val="both"/>
        <w:rPr>
          <w:sz w:val="16"/>
          <w:szCs w:val="16"/>
        </w:rPr>
      </w:pPr>
      <w:r>
        <w:rPr>
          <w:sz w:val="16"/>
          <w:szCs w:val="16"/>
          <w:vertAlign w:val="superscript"/>
        </w:rPr>
        <w:lastRenderedPageBreak/>
        <w:t>d</w:t>
      </w:r>
      <w:r w:rsidRPr="00734294">
        <w:rPr>
          <w:sz w:val="16"/>
          <w:szCs w:val="16"/>
        </w:rPr>
        <w:t xml:space="preserve"> </w:t>
      </w:r>
      <w:r w:rsidRPr="002D2DB6">
        <w:rPr>
          <w:sz w:val="16"/>
          <w:szCs w:val="16"/>
        </w:rPr>
        <w:t>“Initiation”: first smoking cigarettes every day.</w:t>
      </w:r>
    </w:p>
    <w:p w14:paraId="5D7C2BB2" w14:textId="77777777" w:rsidR="0069742C" w:rsidRPr="002D2DB6" w:rsidRDefault="0069742C" w:rsidP="00382374">
      <w:pPr>
        <w:spacing w:after="0" w:line="240" w:lineRule="auto"/>
        <w:jc w:val="both"/>
        <w:rPr>
          <w:sz w:val="16"/>
          <w:szCs w:val="16"/>
        </w:rPr>
      </w:pPr>
    </w:p>
    <w:p w14:paraId="7FA52C2B" w14:textId="77777777" w:rsidR="00D04C52" w:rsidRPr="00734294" w:rsidRDefault="00D04C52" w:rsidP="00046A4A">
      <w:pPr>
        <w:pStyle w:val="AppTableNote"/>
        <w:keepNext/>
        <w:rPr>
          <w:rFonts w:asciiTheme="minorHAnsi" w:hAnsiTheme="minorHAnsi"/>
        </w:rPr>
      </w:pPr>
      <w:r w:rsidRPr="00734294">
        <w:rPr>
          <w:rFonts w:asciiTheme="minorHAnsi" w:hAnsiTheme="minorHAnsi"/>
          <w:sz w:val="16"/>
          <w:szCs w:val="16"/>
        </w:rPr>
        <w:t xml:space="preserve">Abbreviations: ALLTURS=American Legacy Longitudinal Tobacco Use Reduction Study; </w:t>
      </w:r>
      <w:r w:rsidR="00667B57">
        <w:rPr>
          <w:rFonts w:asciiTheme="minorHAnsi" w:hAnsiTheme="minorHAnsi"/>
          <w:sz w:val="16"/>
          <w:szCs w:val="16"/>
        </w:rPr>
        <w:t xml:space="preserve">AOR=adjusted odds ratio; </w:t>
      </w:r>
      <w:r w:rsidRPr="00734294">
        <w:rPr>
          <w:rFonts w:asciiTheme="minorHAnsi" w:hAnsiTheme="minorHAnsi"/>
          <w:sz w:val="16"/>
          <w:szCs w:val="16"/>
        </w:rPr>
        <w:t>cig(s)=cigarette(s); CPD=cigarettes per day; HR=hazard ratio; ITC-4=International Tobacco Control Four Country Survey (U</w:t>
      </w:r>
      <w:r w:rsidR="00621FF9">
        <w:rPr>
          <w:rFonts w:asciiTheme="minorHAnsi" w:hAnsiTheme="minorHAnsi"/>
          <w:sz w:val="16"/>
          <w:szCs w:val="16"/>
        </w:rPr>
        <w:t>.</w:t>
      </w:r>
      <w:r w:rsidRPr="00734294">
        <w:rPr>
          <w:rFonts w:asciiTheme="minorHAnsi" w:hAnsiTheme="minorHAnsi"/>
          <w:sz w:val="16"/>
          <w:szCs w:val="16"/>
        </w:rPr>
        <w:t>S</w:t>
      </w:r>
      <w:r w:rsidR="00621FF9">
        <w:rPr>
          <w:rFonts w:asciiTheme="minorHAnsi" w:hAnsiTheme="minorHAnsi"/>
          <w:sz w:val="16"/>
          <w:szCs w:val="16"/>
        </w:rPr>
        <w:t>.</w:t>
      </w:r>
      <w:r w:rsidRPr="00734294">
        <w:rPr>
          <w:rFonts w:asciiTheme="minorHAnsi" w:hAnsiTheme="minorHAnsi"/>
          <w:sz w:val="16"/>
          <w:szCs w:val="16"/>
        </w:rPr>
        <w:t xml:space="preserve"> data only); LYAC=Legacy Young Adult Cohort; M=menthol; NH=non-Hispanic; NHANES=National Health and Nutrition Examination Survey; NHIS=National Health Interview Survey; NHIS</w:t>
      </w:r>
      <w:r w:rsidR="00046A4A">
        <w:rPr>
          <w:rFonts w:asciiTheme="minorHAnsi" w:hAnsiTheme="minorHAnsi"/>
          <w:sz w:val="16"/>
          <w:szCs w:val="16"/>
        </w:rPr>
        <w:t>-</w:t>
      </w:r>
      <w:r w:rsidRPr="00734294">
        <w:rPr>
          <w:rFonts w:asciiTheme="minorHAnsi" w:hAnsiTheme="minorHAnsi"/>
          <w:sz w:val="16"/>
          <w:szCs w:val="16"/>
        </w:rPr>
        <w:t>CCS=National Health Interview Survey Cancer Control Supplement;</w:t>
      </w:r>
      <w:r w:rsidR="00A40A4C">
        <w:rPr>
          <w:rFonts w:asciiTheme="minorHAnsi" w:hAnsiTheme="minorHAnsi"/>
          <w:sz w:val="16"/>
          <w:szCs w:val="16"/>
        </w:rPr>
        <w:t xml:space="preserve"> </w:t>
      </w:r>
      <w:r w:rsidRPr="00734294">
        <w:rPr>
          <w:rFonts w:asciiTheme="minorHAnsi" w:hAnsiTheme="minorHAnsi"/>
          <w:sz w:val="16"/>
          <w:szCs w:val="16"/>
        </w:rPr>
        <w:t>NM=non-menthol; NR=not reported; NSDUH=National Survey on Drug Use and Health; NYAHS=National Young Adult Health Survey; OR=odds ratio; PI=Pacific Islander; RR=relative risk; SE=standard error; TUS-CPS=Tobacco Use Supplement to the Current Population Survey.</w:t>
      </w:r>
    </w:p>
    <w:p w14:paraId="424592CC" w14:textId="021D8157" w:rsidR="00B73380" w:rsidRDefault="00B73380">
      <w:r>
        <w:br w:type="page"/>
      </w:r>
    </w:p>
    <w:p w14:paraId="118284FF" w14:textId="77777777" w:rsidR="00E60174" w:rsidRDefault="00E60174" w:rsidP="00B73380">
      <w:pPr>
        <w:spacing w:after="240" w:line="240" w:lineRule="auto"/>
        <w:jc w:val="center"/>
        <w:rPr>
          <w:b/>
        </w:rPr>
        <w:sectPr w:rsidR="00E60174" w:rsidSect="00D04C52">
          <w:pgSz w:w="15840" w:h="12240" w:orient="landscape"/>
          <w:pgMar w:top="1440" w:right="1440" w:bottom="1440" w:left="1440" w:header="720" w:footer="720" w:gutter="0"/>
          <w:cols w:space="720"/>
          <w:docGrid w:linePitch="360"/>
        </w:sectPr>
      </w:pPr>
    </w:p>
    <w:p w14:paraId="51E90C81" w14:textId="77777777" w:rsidR="00D04C52" w:rsidRDefault="00D04C52" w:rsidP="00EA69AA">
      <w:pPr>
        <w:pStyle w:val="ChapterHeading"/>
        <w:spacing w:after="0"/>
        <w:rPr>
          <w:rFonts w:asciiTheme="minorHAnsi" w:hAnsiTheme="minorHAnsi"/>
          <w:sz w:val="22"/>
          <w:szCs w:val="22"/>
        </w:rPr>
      </w:pPr>
      <w:r w:rsidRPr="00C64BA1">
        <w:rPr>
          <w:rFonts w:asciiTheme="minorHAnsi" w:hAnsiTheme="minorHAnsi"/>
          <w:sz w:val="22"/>
          <w:szCs w:val="22"/>
        </w:rPr>
        <w:lastRenderedPageBreak/>
        <w:t xml:space="preserve">SUPPLEMENTAL SECTION </w:t>
      </w:r>
      <w:r w:rsidR="00B44564">
        <w:rPr>
          <w:rFonts w:asciiTheme="minorHAnsi" w:hAnsiTheme="minorHAnsi"/>
          <w:sz w:val="22"/>
          <w:szCs w:val="22"/>
        </w:rPr>
        <w:t>1</w:t>
      </w:r>
      <w:r w:rsidR="00C82C02">
        <w:rPr>
          <w:rFonts w:asciiTheme="minorHAnsi" w:hAnsiTheme="minorHAnsi"/>
          <w:sz w:val="22"/>
          <w:szCs w:val="22"/>
        </w:rPr>
        <w:t>1</w:t>
      </w:r>
      <w:r w:rsidRPr="00C64BA1">
        <w:rPr>
          <w:rFonts w:asciiTheme="minorHAnsi" w:hAnsiTheme="minorHAnsi"/>
          <w:sz w:val="22"/>
          <w:szCs w:val="22"/>
        </w:rPr>
        <w:t>: Study Quality Assessments</w:t>
      </w:r>
    </w:p>
    <w:p w14:paraId="7491811C" w14:textId="77777777" w:rsidR="00D04C52" w:rsidRPr="00633820" w:rsidRDefault="00D04C52" w:rsidP="00B46744">
      <w:pPr>
        <w:contextualSpacing/>
        <w:rPr>
          <w:sz w:val="20"/>
          <w:szCs w:val="20"/>
        </w:rPr>
      </w:pPr>
    </w:p>
    <w:tbl>
      <w:tblPr>
        <w:tblW w:w="11646"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2728"/>
        <w:gridCol w:w="1195"/>
        <w:gridCol w:w="1192"/>
        <w:gridCol w:w="1330"/>
        <w:gridCol w:w="1452"/>
        <w:gridCol w:w="953"/>
        <w:gridCol w:w="968"/>
        <w:gridCol w:w="1828"/>
      </w:tblGrid>
      <w:tr w:rsidR="00D04C52" w:rsidRPr="003D64AE" w14:paraId="34B29D06" w14:textId="77777777" w:rsidTr="00B46744">
        <w:trPr>
          <w:cantSplit/>
          <w:trHeight w:val="926"/>
          <w:tblHeader/>
        </w:trPr>
        <w:tc>
          <w:tcPr>
            <w:tcW w:w="2728" w:type="dxa"/>
            <w:shd w:val="clear" w:color="auto" w:fill="44546A" w:themeFill="text2"/>
            <w:noWrap/>
            <w:vAlign w:val="center"/>
            <w:hideMark/>
          </w:tcPr>
          <w:p w14:paraId="0D12FD9F" w14:textId="77777777" w:rsidR="00D04C52" w:rsidRPr="003D64AE" w:rsidRDefault="00D04C52" w:rsidP="00B46744">
            <w:pPr>
              <w:contextualSpacing/>
              <w:jc w:val="center"/>
              <w:rPr>
                <w:b/>
                <w:bCs/>
                <w:color w:val="FFFFFF"/>
                <w:sz w:val="18"/>
                <w:szCs w:val="18"/>
              </w:rPr>
            </w:pPr>
            <w:r w:rsidRPr="003D64AE">
              <w:rPr>
                <w:b/>
                <w:bCs/>
                <w:color w:val="FFFFFF"/>
                <w:sz w:val="18"/>
                <w:szCs w:val="18"/>
              </w:rPr>
              <w:t>Study</w:t>
            </w:r>
          </w:p>
        </w:tc>
        <w:tc>
          <w:tcPr>
            <w:tcW w:w="1195" w:type="dxa"/>
            <w:shd w:val="clear" w:color="auto" w:fill="44546A" w:themeFill="text2"/>
            <w:vAlign w:val="center"/>
            <w:hideMark/>
          </w:tcPr>
          <w:p w14:paraId="2C986659" w14:textId="77777777" w:rsidR="00D04C52" w:rsidRPr="003D64AE" w:rsidRDefault="00D04C52" w:rsidP="00B46744">
            <w:pPr>
              <w:contextualSpacing/>
              <w:jc w:val="center"/>
              <w:rPr>
                <w:b/>
                <w:bCs/>
                <w:color w:val="FFFFFF"/>
                <w:sz w:val="18"/>
                <w:szCs w:val="18"/>
              </w:rPr>
            </w:pPr>
            <w:r w:rsidRPr="003D64AE">
              <w:rPr>
                <w:b/>
                <w:bCs/>
                <w:color w:val="FFFFFF"/>
                <w:sz w:val="18"/>
                <w:szCs w:val="18"/>
              </w:rPr>
              <w:t>Reporting (Q1-10)</w:t>
            </w:r>
          </w:p>
        </w:tc>
        <w:tc>
          <w:tcPr>
            <w:tcW w:w="1192" w:type="dxa"/>
            <w:shd w:val="clear" w:color="auto" w:fill="44546A" w:themeFill="text2"/>
            <w:vAlign w:val="center"/>
            <w:hideMark/>
          </w:tcPr>
          <w:p w14:paraId="6D9B36E7" w14:textId="77777777" w:rsidR="00D04C52" w:rsidRPr="003D64AE" w:rsidRDefault="00D04C52" w:rsidP="00B46744">
            <w:pPr>
              <w:contextualSpacing/>
              <w:jc w:val="center"/>
              <w:rPr>
                <w:b/>
                <w:bCs/>
                <w:color w:val="FFFFFF"/>
                <w:sz w:val="18"/>
                <w:szCs w:val="18"/>
              </w:rPr>
            </w:pPr>
            <w:r w:rsidRPr="003D64AE">
              <w:rPr>
                <w:b/>
                <w:bCs/>
                <w:color w:val="FFFFFF"/>
                <w:sz w:val="18"/>
                <w:szCs w:val="18"/>
              </w:rPr>
              <w:t>External Validity (Q11-13)</w:t>
            </w:r>
          </w:p>
        </w:tc>
        <w:tc>
          <w:tcPr>
            <w:tcW w:w="1330" w:type="dxa"/>
            <w:shd w:val="clear" w:color="auto" w:fill="44546A" w:themeFill="text2"/>
            <w:vAlign w:val="center"/>
            <w:hideMark/>
          </w:tcPr>
          <w:p w14:paraId="76961C33" w14:textId="77777777" w:rsidR="00D04C52" w:rsidRPr="003D64AE" w:rsidRDefault="00D04C52" w:rsidP="00B46744">
            <w:pPr>
              <w:contextualSpacing/>
              <w:jc w:val="center"/>
              <w:rPr>
                <w:b/>
                <w:bCs/>
                <w:color w:val="FFFFFF"/>
                <w:sz w:val="18"/>
                <w:szCs w:val="18"/>
              </w:rPr>
            </w:pPr>
            <w:r w:rsidRPr="003D64AE">
              <w:rPr>
                <w:b/>
                <w:bCs/>
                <w:color w:val="FFFFFF"/>
                <w:sz w:val="18"/>
                <w:szCs w:val="18"/>
              </w:rPr>
              <w:t>Internal Validity/ Bias (Q14-20)</w:t>
            </w:r>
          </w:p>
        </w:tc>
        <w:tc>
          <w:tcPr>
            <w:tcW w:w="1452" w:type="dxa"/>
            <w:shd w:val="clear" w:color="auto" w:fill="44546A" w:themeFill="text2"/>
            <w:vAlign w:val="center"/>
            <w:hideMark/>
          </w:tcPr>
          <w:p w14:paraId="77C4BA19" w14:textId="77777777" w:rsidR="00D04C52" w:rsidRPr="003D64AE" w:rsidRDefault="00D04C52" w:rsidP="00B46744">
            <w:pPr>
              <w:contextualSpacing/>
              <w:jc w:val="center"/>
              <w:rPr>
                <w:b/>
                <w:bCs/>
                <w:color w:val="FFFFFF"/>
                <w:sz w:val="18"/>
                <w:szCs w:val="18"/>
              </w:rPr>
            </w:pPr>
            <w:r w:rsidRPr="003D64AE">
              <w:rPr>
                <w:b/>
                <w:bCs/>
                <w:color w:val="FFFFFF"/>
                <w:sz w:val="18"/>
                <w:szCs w:val="18"/>
              </w:rPr>
              <w:t>Internal Validity / Confounding (Q21-26)</w:t>
            </w:r>
          </w:p>
        </w:tc>
        <w:tc>
          <w:tcPr>
            <w:tcW w:w="953" w:type="dxa"/>
            <w:shd w:val="clear" w:color="auto" w:fill="44546A" w:themeFill="text2"/>
            <w:vAlign w:val="center"/>
            <w:hideMark/>
          </w:tcPr>
          <w:p w14:paraId="51244EBC" w14:textId="77777777" w:rsidR="00D04C52" w:rsidRPr="003D64AE" w:rsidRDefault="00D04C52" w:rsidP="00B46744">
            <w:pPr>
              <w:contextualSpacing/>
              <w:jc w:val="center"/>
              <w:rPr>
                <w:b/>
                <w:bCs/>
                <w:color w:val="FFFFFF"/>
                <w:sz w:val="18"/>
                <w:szCs w:val="18"/>
              </w:rPr>
            </w:pPr>
            <w:r w:rsidRPr="003D64AE">
              <w:rPr>
                <w:b/>
                <w:bCs/>
                <w:color w:val="FFFFFF"/>
                <w:sz w:val="18"/>
                <w:szCs w:val="18"/>
              </w:rPr>
              <w:t>Power (Q27)</w:t>
            </w:r>
          </w:p>
        </w:tc>
        <w:tc>
          <w:tcPr>
            <w:tcW w:w="968" w:type="dxa"/>
            <w:shd w:val="clear" w:color="auto" w:fill="44546A" w:themeFill="text2"/>
            <w:noWrap/>
            <w:vAlign w:val="center"/>
            <w:hideMark/>
          </w:tcPr>
          <w:p w14:paraId="78ED73A9" w14:textId="77777777" w:rsidR="00D04C52" w:rsidRPr="003D64AE" w:rsidRDefault="00D04C52" w:rsidP="00B46744">
            <w:pPr>
              <w:contextualSpacing/>
              <w:jc w:val="center"/>
              <w:rPr>
                <w:b/>
                <w:bCs/>
                <w:color w:val="FFFFFF"/>
                <w:sz w:val="18"/>
                <w:szCs w:val="18"/>
              </w:rPr>
            </w:pPr>
            <w:r w:rsidRPr="003D64AE">
              <w:rPr>
                <w:b/>
                <w:bCs/>
                <w:color w:val="FFFFFF"/>
                <w:sz w:val="18"/>
                <w:szCs w:val="18"/>
              </w:rPr>
              <w:t>Total</w:t>
            </w:r>
          </w:p>
        </w:tc>
        <w:tc>
          <w:tcPr>
            <w:tcW w:w="1828" w:type="dxa"/>
            <w:shd w:val="clear" w:color="auto" w:fill="44546A" w:themeFill="text2"/>
            <w:noWrap/>
            <w:vAlign w:val="center"/>
            <w:hideMark/>
          </w:tcPr>
          <w:p w14:paraId="487B13C7" w14:textId="77777777" w:rsidR="00D04C52" w:rsidRPr="003D64AE" w:rsidRDefault="00D04C52" w:rsidP="00B46744">
            <w:pPr>
              <w:contextualSpacing/>
              <w:jc w:val="center"/>
              <w:rPr>
                <w:b/>
                <w:bCs/>
                <w:color w:val="FFFFFF"/>
                <w:sz w:val="18"/>
                <w:szCs w:val="18"/>
              </w:rPr>
            </w:pPr>
            <w:r w:rsidRPr="003D64AE">
              <w:rPr>
                <w:b/>
                <w:bCs/>
                <w:color w:val="FFFFFF"/>
                <w:sz w:val="18"/>
                <w:szCs w:val="18"/>
              </w:rPr>
              <w:t>Rating</w:t>
            </w:r>
          </w:p>
        </w:tc>
      </w:tr>
      <w:tr w:rsidR="0069742C" w:rsidRPr="003D64AE" w14:paraId="3298A267" w14:textId="77777777" w:rsidTr="00B46744">
        <w:trPr>
          <w:cantSplit/>
          <w:trHeight w:val="288"/>
        </w:trPr>
        <w:tc>
          <w:tcPr>
            <w:tcW w:w="2728" w:type="dxa"/>
            <w:shd w:val="clear" w:color="auto" w:fill="auto"/>
            <w:noWrap/>
            <w:vAlign w:val="bottom"/>
          </w:tcPr>
          <w:p w14:paraId="433EBFF4" w14:textId="7EC4B55C" w:rsidR="0069742C" w:rsidRDefault="00D2134A" w:rsidP="00173F0A">
            <w:pPr>
              <w:contextualSpacing/>
              <w:rPr>
                <w:color w:val="000000"/>
                <w:sz w:val="18"/>
                <w:szCs w:val="18"/>
              </w:rPr>
            </w:pPr>
            <w:r>
              <w:rPr>
                <w:color w:val="000000"/>
                <w:sz w:val="18"/>
                <w:szCs w:val="18"/>
              </w:rPr>
              <w:fldChar w:fldCharType="begin">
                <w:fldData xml:space="preserve">PEVuZE5vdGU+PENpdGU+PEF1dGhvcj5BbGV4YW5kZXI8L0F1dGhvcj48WWVhcj4yMDEwPC9ZZWFy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</w:fldData>
              </w:fldChar>
            </w:r>
            <w:r>
              <w:rPr>
                <w:color w:val="000000"/>
                <w:sz w:val="18"/>
                <w:szCs w:val="18"/>
              </w:rPr>
              <w:instrText xml:space="preserve"> ADDIN EN.CITE </w:instrText>
            </w:r>
            <w:r>
              <w:rPr>
                <w:color w:val="000000"/>
                <w:sz w:val="18"/>
                <w:szCs w:val="18"/>
              </w:rPr>
              <w:fldChar w:fldCharType="begin">
                <w:fldData xml:space="preserve">PEVuZE5vdGU+PENpdGU+PEF1dGhvcj5BbGV4YW5kZXI8L0F1dGhvcj48WWVhcj4yMDEwPC9ZZWFy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</w:fldData>
              </w:fldChar>
            </w:r>
            <w:r>
              <w:rPr>
                <w:color w:val="000000"/>
                <w:sz w:val="18"/>
                <w:szCs w:val="18"/>
              </w:rPr>
              <w:instrText xml:space="preserve"> ADDIN EN.CITE.DATA </w:instrText>
            </w:r>
            <w:r>
              <w:rPr>
                <w:color w:val="000000"/>
                <w:sz w:val="18"/>
                <w:szCs w:val="18"/>
              </w:rPr>
            </w:r>
            <w:r>
              <w:rPr>
                <w:color w:val="000000"/>
                <w:sz w:val="18"/>
                <w:szCs w:val="18"/>
              </w:rPr>
              <w:fldChar w:fldCharType="end"/>
            </w:r>
            <w:r>
              <w:rPr>
                <w:color w:val="000000"/>
                <w:sz w:val="18"/>
                <w:szCs w:val="18"/>
              </w:rPr>
              <w:fldChar w:fldCharType="separate"/>
            </w:r>
            <w:r>
              <w:rPr>
                <w:noProof/>
                <w:color w:val="000000"/>
                <w:sz w:val="18"/>
                <w:szCs w:val="18"/>
              </w:rPr>
              <w:t>(</w:t>
            </w:r>
            <w:hyperlink w:anchor="_ENREF_46" w:tooltip="Alexander, 2010 #59" w:history="1">
              <w:r w:rsidR="00A234A9">
                <w:rPr>
                  <w:noProof/>
                  <w:color w:val="000000"/>
                  <w:sz w:val="18"/>
                  <w:szCs w:val="18"/>
                </w:rPr>
                <w:t>46</w:t>
              </w:r>
            </w:hyperlink>
            <w:r>
              <w:rPr>
                <w:noProof/>
                <w:color w:val="000000"/>
                <w:sz w:val="18"/>
                <w:szCs w:val="18"/>
              </w:rPr>
              <w:t>)</w:t>
            </w:r>
            <w:r>
              <w:rPr>
                <w:color w:val="000000"/>
                <w:sz w:val="18"/>
                <w:szCs w:val="18"/>
              </w:rPr>
              <w:fldChar w:fldCharType="end"/>
            </w:r>
          </w:p>
        </w:tc>
        <w:tc>
          <w:tcPr>
            <w:tcW w:w="1195" w:type="dxa"/>
            <w:shd w:val="clear" w:color="auto" w:fill="auto"/>
            <w:noWrap/>
            <w:vAlign w:val="bottom"/>
          </w:tcPr>
          <w:p w14:paraId="5956C623" w14:textId="77777777" w:rsidR="0069742C" w:rsidRPr="003D64AE" w:rsidRDefault="0069742C" w:rsidP="0069742C">
            <w:pPr>
              <w:contextualSpacing/>
              <w:jc w:val="center"/>
              <w:rPr>
                <w:color w:val="000000"/>
                <w:sz w:val="18"/>
                <w:szCs w:val="18"/>
              </w:rPr>
            </w:pPr>
            <w:r w:rsidRPr="00806697">
              <w:rPr>
                <w:color w:val="000000"/>
                <w:sz w:val="18"/>
                <w:szCs w:val="18"/>
              </w:rPr>
              <w:t>9</w:t>
            </w:r>
          </w:p>
        </w:tc>
        <w:tc>
          <w:tcPr>
            <w:tcW w:w="1192" w:type="dxa"/>
            <w:shd w:val="clear" w:color="auto" w:fill="auto"/>
            <w:noWrap/>
            <w:vAlign w:val="bottom"/>
          </w:tcPr>
          <w:p w14:paraId="70FC0607" w14:textId="77777777" w:rsidR="0069742C" w:rsidRPr="003D64AE" w:rsidRDefault="0069742C" w:rsidP="0069742C">
            <w:pPr>
              <w:contextualSpacing/>
              <w:jc w:val="center"/>
              <w:rPr>
                <w:color w:val="000000"/>
                <w:sz w:val="18"/>
                <w:szCs w:val="18"/>
              </w:rPr>
            </w:pPr>
            <w:r w:rsidRPr="00806697">
              <w:rPr>
                <w:color w:val="000000"/>
                <w:sz w:val="18"/>
                <w:szCs w:val="18"/>
              </w:rPr>
              <w:t>1</w:t>
            </w:r>
          </w:p>
        </w:tc>
        <w:tc>
          <w:tcPr>
            <w:tcW w:w="1330" w:type="dxa"/>
            <w:shd w:val="clear" w:color="auto" w:fill="auto"/>
            <w:noWrap/>
            <w:vAlign w:val="bottom"/>
          </w:tcPr>
          <w:p w14:paraId="0F80282B" w14:textId="77777777" w:rsidR="0069742C" w:rsidRPr="003D64AE" w:rsidRDefault="0069742C" w:rsidP="0069742C">
            <w:pPr>
              <w:contextualSpacing/>
              <w:jc w:val="center"/>
              <w:rPr>
                <w:color w:val="000000"/>
                <w:sz w:val="18"/>
                <w:szCs w:val="18"/>
              </w:rPr>
            </w:pPr>
            <w:r w:rsidRPr="00806697">
              <w:rPr>
                <w:color w:val="000000"/>
                <w:sz w:val="18"/>
                <w:szCs w:val="18"/>
              </w:rPr>
              <w:t>5</w:t>
            </w:r>
          </w:p>
        </w:tc>
        <w:tc>
          <w:tcPr>
            <w:tcW w:w="1452" w:type="dxa"/>
            <w:shd w:val="clear" w:color="auto" w:fill="auto"/>
            <w:noWrap/>
            <w:vAlign w:val="bottom"/>
          </w:tcPr>
          <w:p w14:paraId="4291A335" w14:textId="77777777" w:rsidR="0069742C" w:rsidRPr="003D64AE" w:rsidRDefault="0069742C" w:rsidP="0069742C">
            <w:pPr>
              <w:contextualSpacing/>
              <w:jc w:val="center"/>
              <w:rPr>
                <w:color w:val="000000"/>
                <w:sz w:val="18"/>
                <w:szCs w:val="18"/>
              </w:rPr>
            </w:pPr>
            <w:r w:rsidRPr="00806697">
              <w:rPr>
                <w:color w:val="000000"/>
                <w:sz w:val="18"/>
                <w:szCs w:val="18"/>
              </w:rPr>
              <w:t>4</w:t>
            </w:r>
          </w:p>
        </w:tc>
        <w:tc>
          <w:tcPr>
            <w:tcW w:w="953" w:type="dxa"/>
            <w:shd w:val="clear" w:color="auto" w:fill="auto"/>
            <w:noWrap/>
            <w:vAlign w:val="bottom"/>
          </w:tcPr>
          <w:p w14:paraId="682EFAD3" w14:textId="77777777" w:rsidR="0069742C" w:rsidRPr="003D64AE" w:rsidRDefault="0069742C" w:rsidP="0069742C">
            <w:pPr>
              <w:contextualSpacing/>
              <w:jc w:val="center"/>
              <w:rPr>
                <w:color w:val="000000"/>
                <w:sz w:val="18"/>
                <w:szCs w:val="18"/>
              </w:rPr>
            </w:pPr>
            <w:r w:rsidRPr="00806697">
              <w:rPr>
                <w:color w:val="000000"/>
                <w:sz w:val="18"/>
                <w:szCs w:val="18"/>
              </w:rPr>
              <w:t>1</w:t>
            </w:r>
          </w:p>
        </w:tc>
        <w:tc>
          <w:tcPr>
            <w:tcW w:w="968" w:type="dxa"/>
            <w:shd w:val="clear" w:color="auto" w:fill="auto"/>
            <w:noWrap/>
            <w:vAlign w:val="bottom"/>
          </w:tcPr>
          <w:p w14:paraId="6D5950EF" w14:textId="77777777" w:rsidR="0069742C" w:rsidRPr="003D64AE" w:rsidRDefault="0069742C" w:rsidP="0069742C">
            <w:pPr>
              <w:contextualSpacing/>
              <w:jc w:val="center"/>
              <w:rPr>
                <w:color w:val="000000"/>
                <w:sz w:val="18"/>
                <w:szCs w:val="18"/>
              </w:rPr>
            </w:pPr>
            <w:r w:rsidRPr="00806697">
              <w:rPr>
                <w:color w:val="000000"/>
                <w:sz w:val="18"/>
                <w:szCs w:val="18"/>
              </w:rPr>
              <w:t>20</w:t>
            </w:r>
          </w:p>
        </w:tc>
        <w:tc>
          <w:tcPr>
            <w:tcW w:w="1828" w:type="dxa"/>
            <w:shd w:val="clear" w:color="auto" w:fill="auto"/>
            <w:noWrap/>
            <w:vAlign w:val="bottom"/>
          </w:tcPr>
          <w:p w14:paraId="1682CA53" w14:textId="77777777" w:rsidR="0069742C" w:rsidRPr="003D64AE" w:rsidRDefault="0069742C" w:rsidP="0069742C">
            <w:pPr>
              <w:contextualSpacing/>
              <w:jc w:val="center"/>
              <w:rPr>
                <w:color w:val="000000"/>
                <w:sz w:val="18"/>
                <w:szCs w:val="18"/>
              </w:rPr>
            </w:pPr>
            <w:r w:rsidRPr="00806697">
              <w:rPr>
                <w:color w:val="000000"/>
                <w:sz w:val="18"/>
                <w:szCs w:val="18"/>
              </w:rPr>
              <w:t>Good (20-25)</w:t>
            </w:r>
          </w:p>
        </w:tc>
      </w:tr>
      <w:tr w:rsidR="0069742C" w:rsidRPr="003D64AE" w14:paraId="0B4CE2DA" w14:textId="77777777" w:rsidTr="00B46744">
        <w:trPr>
          <w:cantSplit/>
          <w:trHeight w:val="288"/>
        </w:trPr>
        <w:tc>
          <w:tcPr>
            <w:tcW w:w="2728" w:type="dxa"/>
            <w:shd w:val="clear" w:color="auto" w:fill="auto"/>
            <w:noWrap/>
            <w:vAlign w:val="bottom"/>
            <w:hideMark/>
          </w:tcPr>
          <w:p w14:paraId="249B1180" w14:textId="2064E895" w:rsidR="0069742C" w:rsidRPr="003D64AE" w:rsidRDefault="00D2134A" w:rsidP="00173F0A">
            <w:pPr>
              <w:contextualSpacing/>
              <w:rPr>
                <w:color w:val="000000"/>
                <w:sz w:val="18"/>
                <w:szCs w:val="18"/>
              </w:rPr>
            </w:pPr>
            <w:r>
              <w:rPr>
                <w:color w:val="000000"/>
                <w:sz w:val="18"/>
                <w:szCs w:val="18"/>
              </w:rPr>
              <w:fldChar w:fldCharType="begin"/>
            </w:r>
            <w:r>
              <w:rPr>
                <w:color w:val="000000"/>
                <w:sz w:val="18"/>
                <w:szCs w:val="18"/>
              </w:rPr>
              <w:instrText xml:space="preserve"> ADDIN EN.CITE &lt;EndNote&gt;&lt;Cite&gt;&lt;Author&gt;Allen&lt;/Author&gt;&lt;Year&gt;2007&lt;/Year&gt;&lt;RecNum&gt;76&lt;/RecNum&gt;&lt;DisplayText&gt;(47)&lt;/DisplayText&gt;&lt;record&gt;&lt;rec-number&gt;76&lt;/rec-number&gt;&lt;foreign-keys&gt;&lt;key app="EN" db-id="a2vz2dfp8xrad6exes75zwpiw5rxwa0vwapv" timestamp="0"&gt;76&lt;/key&gt;&lt;/foreign-keys&gt;&lt;ref-type name="Journal Article"&gt;17&lt;/ref-type&gt;&lt;contributors&gt;&lt;authors&gt;&lt;author&gt;Allen, B., Jr.&lt;/author&gt;&lt;author&gt;Unger, J. B.&lt;/author&gt;&lt;/authors&gt;&lt;/contributors&gt;&lt;auth-address&gt;Charles R. Drew University of Medicine and Science, Los Angeles, CA 90059, USA. brallen@cdrewu.edu&lt;/auth-address&gt;&lt;titles&gt;&lt;title&gt;Sociocultural correlates of menthol cigarette smoking among adult African Americans in Los Angeles&lt;/title&gt;&lt;secondary-title&gt;Nicotine Tob Res&lt;/secondary-title&gt;&lt;/titles&gt;&lt;periodical&gt;&lt;full-title&gt;Nicotine Tob Res&lt;/full-title&gt;&lt;/periodical&gt;&lt;pages&gt;447-51&lt;/pages&gt;&lt;volume&gt;9&lt;/volume&gt;&lt;number&gt;4&lt;/number&gt;&lt;keywords&gt;&lt;keyword&gt;Adult&lt;/keyword&gt;&lt;keyword&gt;African Americans/psychology/*statistics &amp;amp; numerical data&lt;/keyword&gt;&lt;keyword&gt;Attitude to Health/*ethnology&lt;/keyword&gt;&lt;keyword&gt;Cultural Characteristics&lt;/keyword&gt;&lt;keyword&gt;Female&lt;/keyword&gt;&lt;keyword&gt;*Flavoring Agents&lt;/keyword&gt;&lt;keyword&gt;Health Behavior/ethnology&lt;/keyword&gt;&lt;keyword&gt;Humans&lt;/keyword&gt;&lt;keyword&gt;Los Angeles/epidemiology&lt;/keyword&gt;&lt;keyword&gt;Male&lt;/keyword&gt;&lt;keyword&gt;*Menthol&lt;/keyword&gt;&lt;keyword&gt;Middle Aged&lt;/keyword&gt;&lt;keyword&gt;Smoking/*ethnology&lt;/keyword&gt;&lt;keyword&gt;Smoking Cessation/*ethnology&lt;/keyword&gt;&lt;keyword&gt;Socioeconomic Factors&lt;/keyword&gt;&lt;keyword&gt;Surveys and Questionnaires&lt;/keyword&gt;&lt;keyword&gt;Urban Population/statistics &amp;amp; numerical data&lt;/keyword&gt;&lt;/keywords&gt;&lt;dates&gt;&lt;year&gt;2007&lt;/year&gt;&lt;pub-dates&gt;&lt;date&gt;Apr&lt;/date&gt;&lt;/pub-dates&gt;&lt;/dates&gt;&lt;isbn&gt;1462-2203 (Print)&amp;#xD;1462-2203 (Linking)&lt;/isbn&gt;&lt;accession-num&gt;17454699&lt;/accession-num&gt;&lt;urls&gt;&lt;related-urls&gt;&lt;url&gt;http://www.ncbi.nlm.nih.gov/pubmed/17454699&lt;/url&gt;&lt;/related-urls&gt;&lt;/urls&gt;&lt;electronic-resource-num&gt;10.1080/14622200701239647&lt;/electronic-resource-num&gt;&lt;research-notes&gt;#377&lt;/research-notes&gt;&lt;/record&gt;&lt;/Cite&gt;&lt;/EndNote&gt;</w:instrText>
            </w:r>
            <w:r>
              <w:rPr>
                <w:color w:val="000000"/>
                <w:sz w:val="18"/>
                <w:szCs w:val="18"/>
              </w:rPr>
              <w:fldChar w:fldCharType="separate"/>
            </w:r>
            <w:r>
              <w:rPr>
                <w:noProof/>
                <w:color w:val="000000"/>
                <w:sz w:val="18"/>
                <w:szCs w:val="18"/>
              </w:rPr>
              <w:t>(</w:t>
            </w:r>
            <w:hyperlink w:anchor="_ENREF_47" w:tooltip="Allen, 2007 #76" w:history="1">
              <w:r w:rsidR="00A234A9">
                <w:rPr>
                  <w:noProof/>
                  <w:color w:val="000000"/>
                  <w:sz w:val="18"/>
                  <w:szCs w:val="18"/>
                </w:rPr>
                <w:t>47</w:t>
              </w:r>
            </w:hyperlink>
            <w:r>
              <w:rPr>
                <w:noProof/>
                <w:color w:val="000000"/>
                <w:sz w:val="18"/>
                <w:szCs w:val="18"/>
              </w:rPr>
              <w:t>)</w:t>
            </w:r>
            <w:r>
              <w:rPr>
                <w:color w:val="000000"/>
                <w:sz w:val="18"/>
                <w:szCs w:val="18"/>
              </w:rPr>
              <w:fldChar w:fldCharType="end"/>
            </w:r>
          </w:p>
        </w:tc>
        <w:tc>
          <w:tcPr>
            <w:tcW w:w="1195" w:type="dxa"/>
            <w:shd w:val="clear" w:color="auto" w:fill="auto"/>
            <w:noWrap/>
            <w:vAlign w:val="bottom"/>
            <w:hideMark/>
          </w:tcPr>
          <w:p w14:paraId="6BFB2B4C" w14:textId="77777777" w:rsidR="0069742C" w:rsidRPr="003D64AE" w:rsidRDefault="0069742C" w:rsidP="0069742C">
            <w:pPr>
              <w:contextualSpacing/>
              <w:jc w:val="center"/>
              <w:rPr>
                <w:color w:val="000000"/>
                <w:sz w:val="18"/>
                <w:szCs w:val="18"/>
              </w:rPr>
            </w:pPr>
            <w:r w:rsidRPr="003D64AE">
              <w:rPr>
                <w:color w:val="000000"/>
                <w:sz w:val="18"/>
                <w:szCs w:val="18"/>
              </w:rPr>
              <w:t>8</w:t>
            </w:r>
          </w:p>
        </w:tc>
        <w:tc>
          <w:tcPr>
            <w:tcW w:w="1192" w:type="dxa"/>
            <w:shd w:val="clear" w:color="auto" w:fill="auto"/>
            <w:noWrap/>
            <w:vAlign w:val="bottom"/>
            <w:hideMark/>
          </w:tcPr>
          <w:p w14:paraId="1DB8ED9C" w14:textId="77777777" w:rsidR="0069742C" w:rsidRPr="003D64AE" w:rsidRDefault="0069742C" w:rsidP="0069742C">
            <w:pPr>
              <w:contextualSpacing/>
              <w:jc w:val="center"/>
              <w:rPr>
                <w:color w:val="000000"/>
                <w:sz w:val="18"/>
                <w:szCs w:val="18"/>
              </w:rPr>
            </w:pPr>
            <w:r w:rsidRPr="003D64AE">
              <w:rPr>
                <w:color w:val="000000"/>
                <w:sz w:val="18"/>
                <w:szCs w:val="18"/>
              </w:rPr>
              <w:t>0</w:t>
            </w:r>
          </w:p>
        </w:tc>
        <w:tc>
          <w:tcPr>
            <w:tcW w:w="1330" w:type="dxa"/>
            <w:shd w:val="clear" w:color="auto" w:fill="auto"/>
            <w:noWrap/>
            <w:vAlign w:val="bottom"/>
            <w:hideMark/>
          </w:tcPr>
          <w:p w14:paraId="5A803BD5" w14:textId="77777777" w:rsidR="0069742C" w:rsidRPr="003D64AE" w:rsidRDefault="0069742C" w:rsidP="0069742C">
            <w:pPr>
              <w:contextualSpacing/>
              <w:jc w:val="center"/>
              <w:rPr>
                <w:color w:val="000000"/>
                <w:sz w:val="18"/>
                <w:szCs w:val="18"/>
              </w:rPr>
            </w:pPr>
            <w:r w:rsidRPr="003D64AE">
              <w:rPr>
                <w:color w:val="000000"/>
                <w:sz w:val="18"/>
                <w:szCs w:val="18"/>
              </w:rPr>
              <w:t>3</w:t>
            </w:r>
          </w:p>
        </w:tc>
        <w:tc>
          <w:tcPr>
            <w:tcW w:w="1452" w:type="dxa"/>
            <w:shd w:val="clear" w:color="auto" w:fill="auto"/>
            <w:noWrap/>
            <w:vAlign w:val="bottom"/>
            <w:hideMark/>
          </w:tcPr>
          <w:p w14:paraId="04844322" w14:textId="77777777" w:rsidR="0069742C" w:rsidRPr="003D64AE" w:rsidRDefault="0069742C" w:rsidP="0069742C">
            <w:pPr>
              <w:contextualSpacing/>
              <w:jc w:val="center"/>
              <w:rPr>
                <w:color w:val="000000"/>
                <w:sz w:val="18"/>
                <w:szCs w:val="18"/>
              </w:rPr>
            </w:pPr>
            <w:r w:rsidRPr="003D64AE">
              <w:rPr>
                <w:color w:val="000000"/>
                <w:sz w:val="18"/>
                <w:szCs w:val="18"/>
              </w:rPr>
              <w:t>3</w:t>
            </w:r>
          </w:p>
        </w:tc>
        <w:tc>
          <w:tcPr>
            <w:tcW w:w="953" w:type="dxa"/>
            <w:shd w:val="clear" w:color="auto" w:fill="auto"/>
            <w:noWrap/>
            <w:vAlign w:val="bottom"/>
            <w:hideMark/>
          </w:tcPr>
          <w:p w14:paraId="61102047"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968" w:type="dxa"/>
            <w:shd w:val="clear" w:color="auto" w:fill="auto"/>
            <w:noWrap/>
            <w:vAlign w:val="bottom"/>
            <w:hideMark/>
          </w:tcPr>
          <w:p w14:paraId="42B33516" w14:textId="77777777" w:rsidR="0069742C" w:rsidRPr="003D64AE" w:rsidRDefault="0069742C" w:rsidP="0069742C">
            <w:pPr>
              <w:contextualSpacing/>
              <w:jc w:val="center"/>
              <w:rPr>
                <w:color w:val="000000"/>
                <w:sz w:val="18"/>
                <w:szCs w:val="18"/>
              </w:rPr>
            </w:pPr>
            <w:r w:rsidRPr="003D64AE">
              <w:rPr>
                <w:color w:val="000000"/>
                <w:sz w:val="18"/>
                <w:szCs w:val="18"/>
              </w:rPr>
              <w:t>15</w:t>
            </w:r>
          </w:p>
        </w:tc>
        <w:tc>
          <w:tcPr>
            <w:tcW w:w="1828" w:type="dxa"/>
            <w:shd w:val="clear" w:color="auto" w:fill="auto"/>
            <w:noWrap/>
            <w:vAlign w:val="bottom"/>
            <w:hideMark/>
          </w:tcPr>
          <w:p w14:paraId="7008590B" w14:textId="77777777" w:rsidR="0069742C" w:rsidRPr="003D64AE" w:rsidRDefault="0069742C" w:rsidP="0069742C">
            <w:pPr>
              <w:contextualSpacing/>
              <w:jc w:val="center"/>
              <w:rPr>
                <w:color w:val="000000"/>
                <w:sz w:val="18"/>
                <w:szCs w:val="18"/>
              </w:rPr>
            </w:pPr>
            <w:r w:rsidRPr="003D64AE">
              <w:rPr>
                <w:color w:val="000000"/>
                <w:sz w:val="18"/>
                <w:szCs w:val="18"/>
              </w:rPr>
              <w:t>Fair (1</w:t>
            </w:r>
            <w:r>
              <w:rPr>
                <w:color w:val="000000"/>
                <w:sz w:val="18"/>
                <w:szCs w:val="18"/>
              </w:rPr>
              <w:t>5</w:t>
            </w:r>
            <w:r w:rsidRPr="003D64AE">
              <w:rPr>
                <w:color w:val="000000"/>
                <w:sz w:val="18"/>
                <w:szCs w:val="18"/>
              </w:rPr>
              <w:t>-19)</w:t>
            </w:r>
          </w:p>
        </w:tc>
      </w:tr>
      <w:tr w:rsidR="0069742C" w:rsidRPr="003D64AE" w14:paraId="6761BCA5" w14:textId="77777777" w:rsidTr="00B46744">
        <w:trPr>
          <w:cantSplit/>
          <w:trHeight w:val="288"/>
        </w:trPr>
        <w:tc>
          <w:tcPr>
            <w:tcW w:w="2728" w:type="dxa"/>
            <w:shd w:val="clear" w:color="auto" w:fill="auto"/>
            <w:noWrap/>
            <w:vAlign w:val="bottom"/>
          </w:tcPr>
          <w:p w14:paraId="1FA76F62" w14:textId="637734E5" w:rsidR="0069742C" w:rsidRPr="003D64AE" w:rsidRDefault="00D2134A" w:rsidP="00173F0A">
            <w:pPr>
              <w:contextualSpacing/>
              <w:rPr>
                <w:color w:val="000000"/>
                <w:sz w:val="18"/>
                <w:szCs w:val="18"/>
              </w:rPr>
            </w:pPr>
            <w:r>
              <w:rPr>
                <w:color w:val="000000"/>
                <w:sz w:val="18"/>
                <w:szCs w:val="18"/>
              </w:rPr>
              <w:fldChar w:fldCharType="begin">
                <w:fldData xml:space="preserve">PEVuZE5vdGU+PENpdGU+PEF1dGhvcj5CZW5vd2l0ejwvQXV0aG9yPjxZZWFyPjIwMTA8L1llYXI+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</w:fldData>
              </w:fldChar>
            </w:r>
            <w:r>
              <w:rPr>
                <w:color w:val="000000"/>
                <w:sz w:val="18"/>
                <w:szCs w:val="18"/>
              </w:rPr>
              <w:instrText xml:space="preserve"> ADDIN EN.CITE </w:instrText>
            </w:r>
            <w:r>
              <w:rPr>
                <w:color w:val="000000"/>
                <w:sz w:val="18"/>
                <w:szCs w:val="18"/>
              </w:rPr>
              <w:fldChar w:fldCharType="begin">
                <w:fldData xml:space="preserve">PEVuZE5vdGU+PENpdGU+PEF1dGhvcj5CZW5vd2l0ejwvQXV0aG9yPjxZZWFyPjIwMTA8L1llYXI+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</w:fldData>
              </w:fldChar>
            </w:r>
            <w:r>
              <w:rPr>
                <w:color w:val="000000"/>
                <w:sz w:val="18"/>
                <w:szCs w:val="18"/>
              </w:rPr>
              <w:instrText xml:space="preserve"> ADDIN EN.CITE.DATA </w:instrText>
            </w:r>
            <w:r>
              <w:rPr>
                <w:color w:val="000000"/>
                <w:sz w:val="18"/>
                <w:szCs w:val="18"/>
              </w:rPr>
            </w:r>
            <w:r>
              <w:rPr>
                <w:color w:val="000000"/>
                <w:sz w:val="18"/>
                <w:szCs w:val="18"/>
              </w:rPr>
              <w:fldChar w:fldCharType="end"/>
            </w:r>
            <w:r>
              <w:rPr>
                <w:color w:val="000000"/>
                <w:sz w:val="18"/>
                <w:szCs w:val="18"/>
              </w:rPr>
              <w:fldChar w:fldCharType="separate"/>
            </w:r>
            <w:r>
              <w:rPr>
                <w:noProof/>
                <w:color w:val="000000"/>
                <w:sz w:val="18"/>
                <w:szCs w:val="18"/>
              </w:rPr>
              <w:t>(</w:t>
            </w:r>
            <w:hyperlink w:anchor="_ENREF_48" w:tooltip="Benowitz, 2010 #286" w:history="1">
              <w:r w:rsidR="00A234A9">
                <w:rPr>
                  <w:noProof/>
                  <w:color w:val="000000"/>
                  <w:sz w:val="18"/>
                  <w:szCs w:val="18"/>
                </w:rPr>
                <w:t>48</w:t>
              </w:r>
            </w:hyperlink>
            <w:r>
              <w:rPr>
                <w:noProof/>
                <w:color w:val="000000"/>
                <w:sz w:val="18"/>
                <w:szCs w:val="18"/>
              </w:rPr>
              <w:t>)</w:t>
            </w:r>
            <w:r>
              <w:rPr>
                <w:color w:val="000000"/>
                <w:sz w:val="18"/>
                <w:szCs w:val="18"/>
              </w:rPr>
              <w:fldChar w:fldCharType="end"/>
            </w:r>
          </w:p>
        </w:tc>
        <w:tc>
          <w:tcPr>
            <w:tcW w:w="1195" w:type="dxa"/>
            <w:shd w:val="clear" w:color="auto" w:fill="auto"/>
            <w:noWrap/>
            <w:vAlign w:val="bottom"/>
          </w:tcPr>
          <w:p w14:paraId="7568C031" w14:textId="77777777" w:rsidR="0069742C" w:rsidRPr="003D64AE" w:rsidRDefault="0069742C" w:rsidP="0069742C">
            <w:pPr>
              <w:contextualSpacing/>
              <w:jc w:val="center"/>
              <w:rPr>
                <w:color w:val="000000"/>
                <w:sz w:val="18"/>
                <w:szCs w:val="18"/>
              </w:rPr>
            </w:pPr>
            <w:r w:rsidRPr="003D64AE">
              <w:rPr>
                <w:color w:val="000000"/>
                <w:sz w:val="18"/>
                <w:szCs w:val="18"/>
              </w:rPr>
              <w:t>9</w:t>
            </w:r>
          </w:p>
        </w:tc>
        <w:tc>
          <w:tcPr>
            <w:tcW w:w="1192" w:type="dxa"/>
            <w:shd w:val="clear" w:color="auto" w:fill="auto"/>
            <w:noWrap/>
            <w:vAlign w:val="bottom"/>
          </w:tcPr>
          <w:p w14:paraId="4EA1FD7A" w14:textId="77777777" w:rsidR="0069742C" w:rsidRPr="003D64AE" w:rsidRDefault="0069742C" w:rsidP="0069742C">
            <w:pPr>
              <w:contextualSpacing/>
              <w:jc w:val="center"/>
              <w:rPr>
                <w:color w:val="000000"/>
                <w:sz w:val="18"/>
                <w:szCs w:val="18"/>
              </w:rPr>
            </w:pPr>
            <w:r w:rsidRPr="003D64AE">
              <w:rPr>
                <w:color w:val="000000"/>
                <w:sz w:val="18"/>
                <w:szCs w:val="18"/>
              </w:rPr>
              <w:t>0</w:t>
            </w:r>
          </w:p>
        </w:tc>
        <w:tc>
          <w:tcPr>
            <w:tcW w:w="1330" w:type="dxa"/>
            <w:shd w:val="clear" w:color="auto" w:fill="auto"/>
            <w:noWrap/>
            <w:vAlign w:val="bottom"/>
          </w:tcPr>
          <w:p w14:paraId="37861DE4" w14:textId="77777777" w:rsidR="0069742C" w:rsidRPr="003D64AE" w:rsidRDefault="0069742C" w:rsidP="0069742C">
            <w:pPr>
              <w:contextualSpacing/>
              <w:jc w:val="center"/>
              <w:rPr>
                <w:color w:val="000000"/>
                <w:sz w:val="18"/>
                <w:szCs w:val="18"/>
              </w:rPr>
            </w:pPr>
            <w:r w:rsidRPr="003D64AE">
              <w:rPr>
                <w:color w:val="000000"/>
                <w:sz w:val="18"/>
                <w:szCs w:val="18"/>
              </w:rPr>
              <w:t>4</w:t>
            </w:r>
          </w:p>
        </w:tc>
        <w:tc>
          <w:tcPr>
            <w:tcW w:w="1452" w:type="dxa"/>
            <w:shd w:val="clear" w:color="auto" w:fill="auto"/>
            <w:noWrap/>
            <w:vAlign w:val="bottom"/>
          </w:tcPr>
          <w:p w14:paraId="2F35953C" w14:textId="77777777" w:rsidR="0069742C" w:rsidRPr="003D64AE" w:rsidRDefault="0069742C" w:rsidP="0069742C">
            <w:pPr>
              <w:contextualSpacing/>
              <w:jc w:val="center"/>
              <w:rPr>
                <w:color w:val="000000"/>
                <w:sz w:val="18"/>
                <w:szCs w:val="18"/>
              </w:rPr>
            </w:pPr>
            <w:r w:rsidRPr="003D64AE">
              <w:rPr>
                <w:color w:val="000000"/>
                <w:sz w:val="18"/>
                <w:szCs w:val="18"/>
              </w:rPr>
              <w:t>3</w:t>
            </w:r>
          </w:p>
        </w:tc>
        <w:tc>
          <w:tcPr>
            <w:tcW w:w="953" w:type="dxa"/>
            <w:shd w:val="clear" w:color="auto" w:fill="auto"/>
            <w:noWrap/>
            <w:vAlign w:val="bottom"/>
          </w:tcPr>
          <w:p w14:paraId="35AAFDBB" w14:textId="77777777" w:rsidR="0069742C" w:rsidRPr="003D64AE" w:rsidRDefault="0069742C" w:rsidP="0069742C">
            <w:pPr>
              <w:contextualSpacing/>
              <w:jc w:val="center"/>
              <w:rPr>
                <w:color w:val="000000"/>
                <w:sz w:val="18"/>
                <w:szCs w:val="18"/>
              </w:rPr>
            </w:pPr>
            <w:r w:rsidRPr="003D64AE">
              <w:rPr>
                <w:color w:val="000000"/>
                <w:sz w:val="18"/>
                <w:szCs w:val="18"/>
              </w:rPr>
              <w:t>0</w:t>
            </w:r>
          </w:p>
        </w:tc>
        <w:tc>
          <w:tcPr>
            <w:tcW w:w="968" w:type="dxa"/>
            <w:shd w:val="clear" w:color="auto" w:fill="auto"/>
            <w:noWrap/>
            <w:vAlign w:val="bottom"/>
          </w:tcPr>
          <w:p w14:paraId="7BD4CE17" w14:textId="77777777" w:rsidR="0069742C" w:rsidRPr="003D64AE" w:rsidRDefault="0069742C" w:rsidP="0069742C">
            <w:pPr>
              <w:contextualSpacing/>
              <w:jc w:val="center"/>
              <w:rPr>
                <w:color w:val="000000"/>
                <w:sz w:val="18"/>
                <w:szCs w:val="18"/>
              </w:rPr>
            </w:pPr>
            <w:r w:rsidRPr="003D64AE">
              <w:rPr>
                <w:color w:val="000000"/>
                <w:sz w:val="18"/>
                <w:szCs w:val="18"/>
              </w:rPr>
              <w:t>16</w:t>
            </w:r>
          </w:p>
        </w:tc>
        <w:tc>
          <w:tcPr>
            <w:tcW w:w="1828" w:type="dxa"/>
            <w:shd w:val="clear" w:color="auto" w:fill="auto"/>
            <w:noWrap/>
            <w:vAlign w:val="bottom"/>
          </w:tcPr>
          <w:p w14:paraId="2DF33C6C" w14:textId="77777777" w:rsidR="0069742C" w:rsidRPr="003D64AE" w:rsidRDefault="0069742C" w:rsidP="0069742C">
            <w:pPr>
              <w:contextualSpacing/>
              <w:jc w:val="center"/>
              <w:rPr>
                <w:color w:val="000000"/>
                <w:sz w:val="18"/>
                <w:szCs w:val="18"/>
              </w:rPr>
            </w:pPr>
            <w:r>
              <w:rPr>
                <w:color w:val="000000"/>
                <w:sz w:val="18"/>
                <w:szCs w:val="18"/>
              </w:rPr>
              <w:t>Fair (15-19)</w:t>
            </w:r>
          </w:p>
        </w:tc>
      </w:tr>
      <w:tr w:rsidR="0069742C" w:rsidRPr="003D64AE" w14:paraId="469143F8" w14:textId="77777777" w:rsidTr="00B46744">
        <w:trPr>
          <w:cantSplit/>
          <w:trHeight w:val="288"/>
        </w:trPr>
        <w:tc>
          <w:tcPr>
            <w:tcW w:w="2728" w:type="dxa"/>
            <w:shd w:val="clear" w:color="auto" w:fill="auto"/>
            <w:noWrap/>
            <w:vAlign w:val="bottom"/>
            <w:hideMark/>
          </w:tcPr>
          <w:p w14:paraId="2B8EF5BC" w14:textId="73EC40C1" w:rsidR="0069742C" w:rsidRPr="003D64AE" w:rsidRDefault="00D2134A" w:rsidP="00173F0A">
            <w:pPr>
              <w:contextualSpacing/>
              <w:rPr>
                <w:color w:val="000000"/>
                <w:sz w:val="18"/>
                <w:szCs w:val="18"/>
              </w:rPr>
            </w:pPr>
            <w:r>
              <w:rPr>
                <w:color w:val="000000"/>
                <w:sz w:val="18"/>
                <w:szCs w:val="18"/>
              </w:rPr>
              <w:fldChar w:fldCharType="begin"/>
            </w:r>
            <w:r>
              <w:rPr>
                <w:color w:val="000000"/>
                <w:sz w:val="18"/>
                <w:szCs w:val="18"/>
              </w:rPr>
              <w:instrText xml:space="preserve"> ADDIN EN.CITE &lt;EndNote&gt;&lt;Cite&gt;&lt;Author&gt;Caraballo&lt;/Author&gt;&lt;Year&gt;2011&lt;/Year&gt;&lt;RecNum&gt;47&lt;/RecNum&gt;&lt;DisplayText&gt;(49)&lt;/DisplayText&gt;&lt;record&gt;&lt;rec-number&gt;47&lt;/rec-number&gt;&lt;foreign-keys&gt;&lt;key app="EN" db-id="a2vz2dfp8xrad6exes75zwpiw5rxwa0vwapv" timestamp="0"&gt;47&lt;/key&gt;&lt;/foreign-keys&gt;&lt;ref-type name="Journal Article"&gt;17&lt;/ref-type&gt;&lt;contributors&gt;&lt;authors&gt;&lt;author&gt;Caraballo, R. S.&lt;/author&gt;&lt;author&gt;Asman, K.&lt;/author&gt;&lt;/authors&gt;&lt;/contributors&gt;&lt;auth-address&gt;Mail Stop K-50, Office on Smoking and Health, National Center for Chronic Disease Prevention and Health Promotion, Centers for Disease Control and Prevention, 4770 Buford Highway, N,E,, Atlanta, GA, USA. rfc8@cdc.gov.&lt;/auth-address&gt;&lt;titles&gt;&lt;title&gt;Epidemiology of menthol cigarette use in the United States&lt;/title&gt;&lt;secondary-title&gt;Tob Induc Dis&lt;/secondary-title&gt;&lt;/titles&gt;&lt;periodical&gt;&lt;full-title&gt;Tob Induc Dis&lt;/full-title&gt;&lt;/periodical&gt;&lt;pages&gt;S1&lt;/pages&gt;&lt;volume&gt;9 Suppl 1&lt;/volume&gt;&lt;dates&gt;&lt;year&gt;2011&lt;/year&gt;&lt;/dates&gt;&lt;isbn&gt;1617-9625 (Electronic)&amp;#xD;1617-9625 (Linking)&lt;/isbn&gt;&lt;accession-num&gt;21624147&lt;/accession-num&gt;&lt;urls&gt;&lt;related-urls&gt;&lt;url&gt;http://www.ncbi.nlm.nih.gov/pubmed/21624147&lt;/url&gt;&lt;/related-urls&gt;&lt;/urls&gt;&lt;custom2&gt;PMC3102900&lt;/custom2&gt;&lt;electronic-resource-num&gt;10.1186/1617-9625-9-S1-S1&lt;/electronic-resource-num&gt;&lt;research-notes&gt;#247&lt;/research-notes&gt;&lt;/record&gt;&lt;/Cite&gt;&lt;/EndNote&gt;</w:instrText>
            </w:r>
            <w:r>
              <w:rPr>
                <w:color w:val="000000"/>
                <w:sz w:val="18"/>
                <w:szCs w:val="18"/>
              </w:rPr>
              <w:fldChar w:fldCharType="separate"/>
            </w:r>
            <w:r>
              <w:rPr>
                <w:noProof/>
                <w:color w:val="000000"/>
                <w:sz w:val="18"/>
                <w:szCs w:val="18"/>
              </w:rPr>
              <w:t>(</w:t>
            </w:r>
            <w:hyperlink w:anchor="_ENREF_49" w:tooltip="Caraballo, 2011 #47" w:history="1">
              <w:r w:rsidR="00A234A9">
                <w:rPr>
                  <w:noProof/>
                  <w:color w:val="000000"/>
                  <w:sz w:val="18"/>
                  <w:szCs w:val="18"/>
                </w:rPr>
                <w:t>49</w:t>
              </w:r>
            </w:hyperlink>
            <w:r>
              <w:rPr>
                <w:noProof/>
                <w:color w:val="000000"/>
                <w:sz w:val="18"/>
                <w:szCs w:val="18"/>
              </w:rPr>
              <w:t>)</w:t>
            </w:r>
            <w:r>
              <w:rPr>
                <w:color w:val="000000"/>
                <w:sz w:val="18"/>
                <w:szCs w:val="18"/>
              </w:rPr>
              <w:fldChar w:fldCharType="end"/>
            </w:r>
          </w:p>
        </w:tc>
        <w:tc>
          <w:tcPr>
            <w:tcW w:w="1195" w:type="dxa"/>
            <w:shd w:val="clear" w:color="auto" w:fill="auto"/>
            <w:noWrap/>
            <w:vAlign w:val="bottom"/>
            <w:hideMark/>
          </w:tcPr>
          <w:p w14:paraId="26760770" w14:textId="77777777" w:rsidR="0069742C" w:rsidRPr="003D64AE" w:rsidRDefault="0069742C" w:rsidP="0069742C">
            <w:pPr>
              <w:contextualSpacing/>
              <w:jc w:val="center"/>
              <w:rPr>
                <w:color w:val="000000"/>
                <w:sz w:val="18"/>
                <w:szCs w:val="18"/>
              </w:rPr>
            </w:pPr>
            <w:r w:rsidRPr="003D64AE">
              <w:rPr>
                <w:color w:val="000000"/>
                <w:sz w:val="18"/>
                <w:szCs w:val="18"/>
              </w:rPr>
              <w:t>8</w:t>
            </w:r>
          </w:p>
        </w:tc>
        <w:tc>
          <w:tcPr>
            <w:tcW w:w="1192" w:type="dxa"/>
            <w:shd w:val="clear" w:color="auto" w:fill="auto"/>
            <w:noWrap/>
            <w:vAlign w:val="bottom"/>
            <w:hideMark/>
          </w:tcPr>
          <w:p w14:paraId="19081ADF"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1330" w:type="dxa"/>
            <w:shd w:val="clear" w:color="auto" w:fill="auto"/>
            <w:noWrap/>
            <w:vAlign w:val="bottom"/>
            <w:hideMark/>
          </w:tcPr>
          <w:p w14:paraId="66FBA5EA" w14:textId="77777777" w:rsidR="0069742C" w:rsidRPr="003D64AE" w:rsidRDefault="0069742C" w:rsidP="0069742C">
            <w:pPr>
              <w:contextualSpacing/>
              <w:jc w:val="center"/>
              <w:rPr>
                <w:color w:val="000000"/>
                <w:sz w:val="18"/>
                <w:szCs w:val="18"/>
              </w:rPr>
            </w:pPr>
            <w:r w:rsidRPr="003D64AE">
              <w:rPr>
                <w:color w:val="000000"/>
                <w:sz w:val="18"/>
                <w:szCs w:val="18"/>
              </w:rPr>
              <w:t>5</w:t>
            </w:r>
          </w:p>
        </w:tc>
        <w:tc>
          <w:tcPr>
            <w:tcW w:w="1452" w:type="dxa"/>
            <w:shd w:val="clear" w:color="auto" w:fill="auto"/>
            <w:noWrap/>
            <w:vAlign w:val="bottom"/>
            <w:hideMark/>
          </w:tcPr>
          <w:p w14:paraId="5F18F818" w14:textId="77777777" w:rsidR="0069742C" w:rsidRPr="003D64AE" w:rsidRDefault="0069742C" w:rsidP="0069742C">
            <w:pPr>
              <w:contextualSpacing/>
              <w:jc w:val="center"/>
              <w:rPr>
                <w:color w:val="000000"/>
                <w:sz w:val="18"/>
                <w:szCs w:val="18"/>
              </w:rPr>
            </w:pPr>
            <w:r w:rsidRPr="003D64AE">
              <w:rPr>
                <w:color w:val="000000"/>
                <w:sz w:val="18"/>
                <w:szCs w:val="18"/>
              </w:rPr>
              <w:t>2</w:t>
            </w:r>
          </w:p>
        </w:tc>
        <w:tc>
          <w:tcPr>
            <w:tcW w:w="953" w:type="dxa"/>
            <w:shd w:val="clear" w:color="auto" w:fill="auto"/>
            <w:noWrap/>
            <w:vAlign w:val="bottom"/>
            <w:hideMark/>
          </w:tcPr>
          <w:p w14:paraId="5BF294BF" w14:textId="77777777" w:rsidR="0069742C" w:rsidRPr="003D64AE" w:rsidRDefault="0069742C" w:rsidP="0069742C">
            <w:pPr>
              <w:contextualSpacing/>
              <w:jc w:val="center"/>
              <w:rPr>
                <w:color w:val="000000"/>
                <w:sz w:val="18"/>
                <w:szCs w:val="18"/>
              </w:rPr>
            </w:pPr>
            <w:r w:rsidRPr="003D64AE">
              <w:rPr>
                <w:color w:val="000000"/>
                <w:sz w:val="18"/>
                <w:szCs w:val="18"/>
              </w:rPr>
              <w:t>u</w:t>
            </w:r>
          </w:p>
        </w:tc>
        <w:tc>
          <w:tcPr>
            <w:tcW w:w="968" w:type="dxa"/>
            <w:shd w:val="clear" w:color="auto" w:fill="auto"/>
            <w:noWrap/>
            <w:vAlign w:val="bottom"/>
            <w:hideMark/>
          </w:tcPr>
          <w:p w14:paraId="04415009" w14:textId="77777777" w:rsidR="0069742C" w:rsidRPr="003D64AE" w:rsidRDefault="0069742C" w:rsidP="0069742C">
            <w:pPr>
              <w:contextualSpacing/>
              <w:jc w:val="center"/>
              <w:rPr>
                <w:color w:val="000000"/>
                <w:sz w:val="18"/>
                <w:szCs w:val="18"/>
              </w:rPr>
            </w:pPr>
            <w:r w:rsidRPr="003D64AE">
              <w:rPr>
                <w:color w:val="000000"/>
                <w:sz w:val="18"/>
                <w:szCs w:val="18"/>
              </w:rPr>
              <w:t>17</w:t>
            </w:r>
          </w:p>
        </w:tc>
        <w:tc>
          <w:tcPr>
            <w:tcW w:w="1828" w:type="dxa"/>
            <w:shd w:val="clear" w:color="auto" w:fill="auto"/>
            <w:noWrap/>
            <w:vAlign w:val="bottom"/>
            <w:hideMark/>
          </w:tcPr>
          <w:p w14:paraId="58A82B48" w14:textId="77777777" w:rsidR="0069742C" w:rsidRPr="003D64AE" w:rsidRDefault="0069742C" w:rsidP="0069742C">
            <w:pPr>
              <w:contextualSpacing/>
              <w:jc w:val="center"/>
              <w:rPr>
                <w:color w:val="000000"/>
                <w:sz w:val="18"/>
                <w:szCs w:val="18"/>
              </w:rPr>
            </w:pPr>
            <w:r>
              <w:rPr>
                <w:color w:val="000000"/>
                <w:sz w:val="18"/>
                <w:szCs w:val="18"/>
              </w:rPr>
              <w:t>Fair (15-19)</w:t>
            </w:r>
          </w:p>
        </w:tc>
      </w:tr>
      <w:tr w:rsidR="0069742C" w:rsidRPr="003D64AE" w14:paraId="1C31D55F" w14:textId="77777777" w:rsidTr="00B46744">
        <w:trPr>
          <w:cantSplit/>
          <w:trHeight w:val="296"/>
        </w:trPr>
        <w:tc>
          <w:tcPr>
            <w:tcW w:w="2728" w:type="dxa"/>
            <w:shd w:val="clear" w:color="auto" w:fill="auto"/>
            <w:noWrap/>
            <w:vAlign w:val="bottom"/>
            <w:hideMark/>
          </w:tcPr>
          <w:p w14:paraId="4DE960A0" w14:textId="63ABC83E" w:rsidR="0069742C" w:rsidRPr="003D64AE" w:rsidRDefault="00D2134A" w:rsidP="00173F0A">
            <w:pPr>
              <w:contextualSpacing/>
              <w:rPr>
                <w:color w:val="000000"/>
                <w:sz w:val="18"/>
                <w:szCs w:val="18"/>
              </w:rPr>
            </w:pPr>
            <w:r>
              <w:rPr>
                <w:color w:val="000000"/>
                <w:sz w:val="18"/>
                <w:szCs w:val="18"/>
              </w:rPr>
              <w:fldChar w:fldCharType="begin"/>
            </w:r>
            <w:r>
              <w:rPr>
                <w:color w:val="000000"/>
                <w:sz w:val="18"/>
                <w:szCs w:val="18"/>
              </w:rPr>
              <w:instrText xml:space="preserve"> ADDIN EN.CITE &lt;EndNote&gt;&lt;Cite&gt;&lt;Author&gt;Cubbin&lt;/Author&gt;&lt;Year&gt;2010&lt;/Year&gt;&lt;RecNum&gt;53&lt;/RecNum&gt;&lt;DisplayText&gt;(50)&lt;/DisplayText&gt;&lt;record&gt;&lt;rec-number&gt;53&lt;/rec-number&gt;&lt;foreign-keys&gt;&lt;key app="EN" db-id="a2vz2dfp8xrad6exes75zwpiw5rxwa0vwapv" timestamp="0"&gt;53&lt;/key&gt;&lt;/foreign-keys&gt;&lt;ref-type name="Journal Article"&gt;17&lt;/ref-type&gt;&lt;contributors&gt;&lt;authors&gt;&lt;author&gt;Cubbin, C.&lt;/author&gt;&lt;author&gt;Soobader, M. J.&lt;/author&gt;&lt;author&gt;LeClere, F. B.&lt;/author&gt;&lt;/authors&gt;&lt;/contributors&gt;&lt;auth-address&gt;School of Social Work, University of Texas at Austin, Austin, TX 78712-0358, USA. ccubbin@austin.utexas.edu&lt;/auth-address&gt;&lt;titles&gt;&lt;title&gt;The intersection of gender and race/ethnicity in smoking behaviors among menthol and non-menthol smokers in the United States&lt;/title&gt;&lt;secondary-title&gt;Addiction&lt;/secondary-title&gt;&lt;/titles&gt;&lt;periodical&gt;&lt;full-title&gt;Addiction&lt;/full-title&gt;&lt;/periodical&gt;&lt;pages&gt;32-8&lt;/pages&gt;&lt;volume&gt;105 Suppl 1&lt;/volume&gt;&lt;keywords&gt;&lt;keyword&gt;Adult&lt;/keyword&gt;&lt;keyword&gt;African Americans/statistics &amp;amp; numerical data&lt;/keyword&gt;&lt;keyword&gt;Age of Onset&lt;/keyword&gt;&lt;keyword&gt;Cross-Sectional Studies&lt;/keyword&gt;&lt;keyword&gt;European Continental Ancestry Group/statistics &amp;amp; numerical data&lt;/keyword&gt;&lt;keyword&gt;Female&lt;/keyword&gt;&lt;keyword&gt;Hispanic Americans/statistics &amp;amp; numerical data&lt;/keyword&gt;&lt;keyword&gt;Humans&lt;/keyword&gt;&lt;keyword&gt;Male&lt;/keyword&gt;&lt;keyword&gt;*Menthol&lt;/keyword&gt;&lt;keyword&gt;Middle Aged&lt;/keyword&gt;&lt;keyword&gt;*Population Surveillance&lt;/keyword&gt;&lt;keyword&gt;Sex Factors&lt;/keyword&gt;&lt;keyword&gt;Smoking/*epidemiology/ethnology&lt;/keyword&gt;&lt;keyword&gt;Smoking Cessation/ethnology/statistics &amp;amp; numerical data&lt;/keyword&gt;&lt;keyword&gt;Socioeconomic Factors&lt;/keyword&gt;&lt;keyword&gt;United States/epidemiology&lt;/keyword&gt;&lt;/keywords&gt;&lt;dates&gt;&lt;year&gt;2010&lt;/year&gt;&lt;pub-dates&gt;&lt;date&gt;Dec&lt;/date&gt;&lt;/pub-dates&gt;&lt;/dates&gt;&lt;isbn&gt;1360-0443 (Electronic)&amp;#xD;0965-2140 (Linking)&lt;/isbn&gt;&lt;accession-num&gt;21059134&lt;/accession-num&gt;&lt;urls&gt;&lt;related-urls&gt;&lt;url&gt;http://www.ncbi.nlm.nih.gov/pubmed/21059134&lt;/url&gt;&lt;/related-urls&gt;&lt;/urls&gt;&lt;electronic-resource-num&gt;10.1111/j.1360-0443.2010.03191.x&lt;/electronic-resource-num&gt;&lt;research-notes&gt;#281&lt;/research-notes&gt;&lt;/record&gt;&lt;/Cite&gt;&lt;/EndNote&gt;</w:instrText>
            </w:r>
            <w:r>
              <w:rPr>
                <w:color w:val="000000"/>
                <w:sz w:val="18"/>
                <w:szCs w:val="18"/>
              </w:rPr>
              <w:fldChar w:fldCharType="separate"/>
            </w:r>
            <w:r>
              <w:rPr>
                <w:noProof/>
                <w:color w:val="000000"/>
                <w:sz w:val="18"/>
                <w:szCs w:val="18"/>
              </w:rPr>
              <w:t>(</w:t>
            </w:r>
            <w:hyperlink w:anchor="_ENREF_50" w:tooltip="Cubbin, 2010 #53" w:history="1">
              <w:r w:rsidR="00A234A9">
                <w:rPr>
                  <w:noProof/>
                  <w:color w:val="000000"/>
                  <w:sz w:val="18"/>
                  <w:szCs w:val="18"/>
                </w:rPr>
                <w:t>50</w:t>
              </w:r>
            </w:hyperlink>
            <w:r>
              <w:rPr>
                <w:noProof/>
                <w:color w:val="000000"/>
                <w:sz w:val="18"/>
                <w:szCs w:val="18"/>
              </w:rPr>
              <w:t>)</w:t>
            </w:r>
            <w:r>
              <w:rPr>
                <w:color w:val="000000"/>
                <w:sz w:val="18"/>
                <w:szCs w:val="18"/>
              </w:rPr>
              <w:fldChar w:fldCharType="end"/>
            </w:r>
          </w:p>
        </w:tc>
        <w:tc>
          <w:tcPr>
            <w:tcW w:w="1195" w:type="dxa"/>
            <w:shd w:val="clear" w:color="auto" w:fill="auto"/>
            <w:noWrap/>
            <w:vAlign w:val="bottom"/>
            <w:hideMark/>
          </w:tcPr>
          <w:p w14:paraId="0D2CCAAC" w14:textId="77777777" w:rsidR="0069742C" w:rsidRPr="003D64AE" w:rsidRDefault="0069742C" w:rsidP="0069742C">
            <w:pPr>
              <w:contextualSpacing/>
              <w:jc w:val="center"/>
              <w:rPr>
                <w:color w:val="000000"/>
                <w:sz w:val="18"/>
                <w:szCs w:val="18"/>
              </w:rPr>
            </w:pPr>
            <w:r w:rsidRPr="003D64AE">
              <w:rPr>
                <w:color w:val="000000"/>
                <w:sz w:val="18"/>
                <w:szCs w:val="18"/>
              </w:rPr>
              <w:t>9</w:t>
            </w:r>
          </w:p>
        </w:tc>
        <w:tc>
          <w:tcPr>
            <w:tcW w:w="1192" w:type="dxa"/>
            <w:shd w:val="clear" w:color="auto" w:fill="auto"/>
            <w:noWrap/>
            <w:vAlign w:val="bottom"/>
            <w:hideMark/>
          </w:tcPr>
          <w:p w14:paraId="0A67D538"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1330" w:type="dxa"/>
            <w:shd w:val="clear" w:color="auto" w:fill="auto"/>
            <w:noWrap/>
            <w:vAlign w:val="bottom"/>
            <w:hideMark/>
          </w:tcPr>
          <w:p w14:paraId="4C6B89AE" w14:textId="77777777" w:rsidR="0069742C" w:rsidRPr="003D64AE" w:rsidRDefault="0069742C" w:rsidP="0069742C">
            <w:pPr>
              <w:contextualSpacing/>
              <w:jc w:val="center"/>
              <w:rPr>
                <w:color w:val="000000"/>
                <w:sz w:val="18"/>
                <w:szCs w:val="18"/>
              </w:rPr>
            </w:pPr>
            <w:r w:rsidRPr="003D64AE">
              <w:rPr>
                <w:color w:val="000000"/>
                <w:sz w:val="18"/>
                <w:szCs w:val="18"/>
              </w:rPr>
              <w:t>6</w:t>
            </w:r>
          </w:p>
        </w:tc>
        <w:tc>
          <w:tcPr>
            <w:tcW w:w="1452" w:type="dxa"/>
            <w:shd w:val="clear" w:color="auto" w:fill="auto"/>
            <w:noWrap/>
            <w:vAlign w:val="bottom"/>
            <w:hideMark/>
          </w:tcPr>
          <w:p w14:paraId="548DA4DD" w14:textId="77777777" w:rsidR="0069742C" w:rsidRPr="003D64AE" w:rsidRDefault="0069742C" w:rsidP="0069742C">
            <w:pPr>
              <w:contextualSpacing/>
              <w:jc w:val="center"/>
              <w:rPr>
                <w:color w:val="000000"/>
                <w:sz w:val="18"/>
                <w:szCs w:val="18"/>
              </w:rPr>
            </w:pPr>
            <w:r w:rsidRPr="003D64AE">
              <w:rPr>
                <w:color w:val="000000"/>
                <w:sz w:val="18"/>
                <w:szCs w:val="18"/>
              </w:rPr>
              <w:t>3</w:t>
            </w:r>
          </w:p>
        </w:tc>
        <w:tc>
          <w:tcPr>
            <w:tcW w:w="953" w:type="dxa"/>
            <w:shd w:val="clear" w:color="auto" w:fill="auto"/>
            <w:noWrap/>
            <w:vAlign w:val="bottom"/>
            <w:hideMark/>
          </w:tcPr>
          <w:p w14:paraId="58FA8528"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968" w:type="dxa"/>
            <w:shd w:val="clear" w:color="auto" w:fill="auto"/>
            <w:noWrap/>
            <w:vAlign w:val="bottom"/>
            <w:hideMark/>
          </w:tcPr>
          <w:p w14:paraId="1DD32554" w14:textId="77777777" w:rsidR="0069742C" w:rsidRPr="003D64AE" w:rsidRDefault="0069742C" w:rsidP="0069742C">
            <w:pPr>
              <w:contextualSpacing/>
              <w:jc w:val="center"/>
              <w:rPr>
                <w:color w:val="000000"/>
                <w:sz w:val="18"/>
                <w:szCs w:val="18"/>
              </w:rPr>
            </w:pPr>
            <w:r w:rsidRPr="003D64AE">
              <w:rPr>
                <w:color w:val="000000"/>
                <w:sz w:val="18"/>
                <w:szCs w:val="18"/>
              </w:rPr>
              <w:t>20</w:t>
            </w:r>
          </w:p>
        </w:tc>
        <w:tc>
          <w:tcPr>
            <w:tcW w:w="1828" w:type="dxa"/>
            <w:shd w:val="clear" w:color="auto" w:fill="auto"/>
            <w:noWrap/>
            <w:vAlign w:val="bottom"/>
            <w:hideMark/>
          </w:tcPr>
          <w:p w14:paraId="484BBA2B" w14:textId="77777777" w:rsidR="0069742C" w:rsidRPr="003D64AE" w:rsidRDefault="0069742C" w:rsidP="0069742C">
            <w:pPr>
              <w:contextualSpacing/>
              <w:jc w:val="center"/>
              <w:rPr>
                <w:color w:val="000000"/>
                <w:sz w:val="18"/>
                <w:szCs w:val="18"/>
              </w:rPr>
            </w:pPr>
            <w:r w:rsidRPr="003D64AE">
              <w:rPr>
                <w:color w:val="000000"/>
                <w:sz w:val="18"/>
                <w:szCs w:val="18"/>
              </w:rPr>
              <w:t>Good (20-25)</w:t>
            </w:r>
          </w:p>
        </w:tc>
      </w:tr>
      <w:tr w:rsidR="0069742C" w:rsidRPr="003D64AE" w14:paraId="4FCD43F3" w14:textId="77777777" w:rsidTr="00B46744">
        <w:trPr>
          <w:cantSplit/>
          <w:trHeight w:val="288"/>
        </w:trPr>
        <w:tc>
          <w:tcPr>
            <w:tcW w:w="2728" w:type="dxa"/>
            <w:shd w:val="clear" w:color="auto" w:fill="auto"/>
            <w:noWrap/>
            <w:vAlign w:val="bottom"/>
            <w:hideMark/>
          </w:tcPr>
          <w:p w14:paraId="3ED35782" w14:textId="19EC922E" w:rsidR="0069742C" w:rsidRPr="007D0FF0" w:rsidRDefault="00D2134A" w:rsidP="00173F0A">
            <w:pPr>
              <w:spacing w:after="0"/>
              <w:rPr>
                <w:sz w:val="18"/>
                <w:szCs w:val="18"/>
              </w:rPr>
            </w:pPr>
            <w:r>
              <w:rPr>
                <w:sz w:val="18"/>
                <w:szCs w:val="18"/>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sz w:val="18"/>
                <w:szCs w:val="18"/>
              </w:rPr>
              <w:instrText xml:space="preserve"> ADDIN EN.CITE </w:instrText>
            </w:r>
            <w:r>
              <w:rPr>
                <w:sz w:val="18"/>
                <w:szCs w:val="18"/>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Pr>
                <w:sz w:val="18"/>
                <w:szCs w:val="18"/>
              </w:rPr>
              <w:instrText xml:space="preserve"> ADDIN EN.CITE.DATA </w:instrText>
            </w:r>
            <w:r>
              <w:rPr>
                <w:sz w:val="18"/>
                <w:szCs w:val="18"/>
              </w:rPr>
            </w:r>
            <w:r>
              <w:rPr>
                <w:sz w:val="18"/>
                <w:szCs w:val="18"/>
              </w:rPr>
              <w:fldChar w:fldCharType="end"/>
            </w:r>
            <w:r>
              <w:rPr>
                <w:sz w:val="18"/>
                <w:szCs w:val="18"/>
              </w:rPr>
              <w:fldChar w:fldCharType="separate"/>
            </w:r>
            <w:r>
              <w:rPr>
                <w:noProof/>
                <w:sz w:val="18"/>
                <w:szCs w:val="18"/>
              </w:rPr>
              <w:t>(</w:t>
            </w:r>
            <w:hyperlink w:anchor="_ENREF_51" w:tooltip="Curtin, 2014 #13" w:history="1">
              <w:r w:rsidR="00A234A9">
                <w:rPr>
                  <w:noProof/>
                  <w:sz w:val="18"/>
                  <w:szCs w:val="18"/>
                </w:rPr>
                <w:t>51</w:t>
              </w:r>
            </w:hyperlink>
            <w:r>
              <w:rPr>
                <w:noProof/>
                <w:sz w:val="18"/>
                <w:szCs w:val="18"/>
              </w:rPr>
              <w:t>)</w:t>
            </w:r>
            <w:r>
              <w:rPr>
                <w:sz w:val="18"/>
                <w:szCs w:val="18"/>
              </w:rPr>
              <w:fldChar w:fldCharType="end"/>
            </w:r>
          </w:p>
        </w:tc>
        <w:tc>
          <w:tcPr>
            <w:tcW w:w="1195" w:type="dxa"/>
            <w:shd w:val="clear" w:color="auto" w:fill="auto"/>
            <w:noWrap/>
            <w:vAlign w:val="bottom"/>
            <w:hideMark/>
          </w:tcPr>
          <w:p w14:paraId="4CD0E055" w14:textId="77777777" w:rsidR="0069742C" w:rsidRPr="003D64AE" w:rsidRDefault="0069742C" w:rsidP="0069742C">
            <w:pPr>
              <w:contextualSpacing/>
              <w:jc w:val="center"/>
              <w:rPr>
                <w:color w:val="000000"/>
                <w:sz w:val="18"/>
                <w:szCs w:val="18"/>
              </w:rPr>
            </w:pPr>
            <w:r w:rsidRPr="003D64AE">
              <w:rPr>
                <w:color w:val="000000"/>
                <w:sz w:val="18"/>
                <w:szCs w:val="18"/>
              </w:rPr>
              <w:t>9</w:t>
            </w:r>
          </w:p>
        </w:tc>
        <w:tc>
          <w:tcPr>
            <w:tcW w:w="1192" w:type="dxa"/>
            <w:shd w:val="clear" w:color="auto" w:fill="auto"/>
            <w:noWrap/>
            <w:vAlign w:val="bottom"/>
            <w:hideMark/>
          </w:tcPr>
          <w:p w14:paraId="043AE903" w14:textId="77777777" w:rsidR="0069742C" w:rsidRPr="003D64AE" w:rsidRDefault="0069742C" w:rsidP="0069742C">
            <w:pPr>
              <w:contextualSpacing/>
              <w:jc w:val="center"/>
              <w:rPr>
                <w:color w:val="000000"/>
                <w:sz w:val="18"/>
                <w:szCs w:val="18"/>
              </w:rPr>
            </w:pPr>
            <w:r w:rsidRPr="003D64AE">
              <w:rPr>
                <w:color w:val="000000"/>
                <w:sz w:val="18"/>
                <w:szCs w:val="18"/>
              </w:rPr>
              <w:t>2</w:t>
            </w:r>
          </w:p>
        </w:tc>
        <w:tc>
          <w:tcPr>
            <w:tcW w:w="1330" w:type="dxa"/>
            <w:shd w:val="clear" w:color="auto" w:fill="auto"/>
            <w:noWrap/>
            <w:vAlign w:val="bottom"/>
            <w:hideMark/>
          </w:tcPr>
          <w:p w14:paraId="6309BA2E" w14:textId="77777777" w:rsidR="0069742C" w:rsidRPr="003D64AE" w:rsidRDefault="0069742C" w:rsidP="0069742C">
            <w:pPr>
              <w:contextualSpacing/>
              <w:jc w:val="center"/>
              <w:rPr>
                <w:color w:val="000000"/>
                <w:sz w:val="18"/>
                <w:szCs w:val="18"/>
              </w:rPr>
            </w:pPr>
            <w:r w:rsidRPr="003D64AE">
              <w:rPr>
                <w:color w:val="000000"/>
                <w:sz w:val="18"/>
                <w:szCs w:val="18"/>
              </w:rPr>
              <w:t>6</w:t>
            </w:r>
          </w:p>
        </w:tc>
        <w:tc>
          <w:tcPr>
            <w:tcW w:w="1452" w:type="dxa"/>
            <w:shd w:val="clear" w:color="auto" w:fill="auto"/>
            <w:noWrap/>
            <w:vAlign w:val="bottom"/>
            <w:hideMark/>
          </w:tcPr>
          <w:p w14:paraId="0738695B" w14:textId="77777777" w:rsidR="0069742C" w:rsidRPr="003D64AE" w:rsidRDefault="0069742C" w:rsidP="0069742C">
            <w:pPr>
              <w:contextualSpacing/>
              <w:jc w:val="center"/>
              <w:rPr>
                <w:color w:val="000000"/>
                <w:sz w:val="18"/>
                <w:szCs w:val="18"/>
              </w:rPr>
            </w:pPr>
            <w:r w:rsidRPr="003D64AE">
              <w:rPr>
                <w:color w:val="000000"/>
                <w:sz w:val="18"/>
                <w:szCs w:val="18"/>
              </w:rPr>
              <w:t>3</w:t>
            </w:r>
          </w:p>
        </w:tc>
        <w:tc>
          <w:tcPr>
            <w:tcW w:w="953" w:type="dxa"/>
            <w:shd w:val="clear" w:color="auto" w:fill="auto"/>
            <w:noWrap/>
            <w:vAlign w:val="bottom"/>
            <w:hideMark/>
          </w:tcPr>
          <w:p w14:paraId="1A2E7817"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968" w:type="dxa"/>
            <w:shd w:val="clear" w:color="auto" w:fill="auto"/>
            <w:noWrap/>
            <w:vAlign w:val="bottom"/>
            <w:hideMark/>
          </w:tcPr>
          <w:p w14:paraId="03C1CE65" w14:textId="77777777" w:rsidR="0069742C" w:rsidRPr="003D64AE" w:rsidRDefault="0069742C" w:rsidP="0069742C">
            <w:pPr>
              <w:contextualSpacing/>
              <w:jc w:val="center"/>
              <w:rPr>
                <w:color w:val="000000"/>
                <w:sz w:val="18"/>
                <w:szCs w:val="18"/>
              </w:rPr>
            </w:pPr>
            <w:r w:rsidRPr="003D64AE">
              <w:rPr>
                <w:color w:val="000000"/>
                <w:sz w:val="18"/>
                <w:szCs w:val="18"/>
              </w:rPr>
              <w:t>21</w:t>
            </w:r>
          </w:p>
        </w:tc>
        <w:tc>
          <w:tcPr>
            <w:tcW w:w="1828" w:type="dxa"/>
            <w:shd w:val="clear" w:color="auto" w:fill="auto"/>
            <w:noWrap/>
            <w:vAlign w:val="bottom"/>
            <w:hideMark/>
          </w:tcPr>
          <w:p w14:paraId="3D17A978" w14:textId="77777777" w:rsidR="0069742C" w:rsidRPr="003D64AE" w:rsidRDefault="0069742C" w:rsidP="0069742C">
            <w:pPr>
              <w:contextualSpacing/>
              <w:jc w:val="center"/>
              <w:rPr>
                <w:color w:val="000000"/>
                <w:sz w:val="18"/>
                <w:szCs w:val="18"/>
              </w:rPr>
            </w:pPr>
            <w:r w:rsidRPr="003D64AE">
              <w:rPr>
                <w:color w:val="000000"/>
                <w:sz w:val="18"/>
                <w:szCs w:val="18"/>
              </w:rPr>
              <w:t>Good (20-25)</w:t>
            </w:r>
          </w:p>
        </w:tc>
      </w:tr>
      <w:tr w:rsidR="0069742C" w:rsidRPr="003D64AE" w14:paraId="1F7B783C" w14:textId="77777777" w:rsidTr="00B46744">
        <w:trPr>
          <w:cantSplit/>
          <w:trHeight w:val="288"/>
        </w:trPr>
        <w:tc>
          <w:tcPr>
            <w:tcW w:w="2728" w:type="dxa"/>
            <w:shd w:val="clear" w:color="auto" w:fill="auto"/>
            <w:noWrap/>
            <w:vAlign w:val="bottom"/>
          </w:tcPr>
          <w:p w14:paraId="10B49593" w14:textId="328C23A4" w:rsidR="0069742C" w:rsidRPr="007D0FF0" w:rsidRDefault="00D2134A" w:rsidP="00173F0A">
            <w:pPr>
              <w:spacing w:after="0"/>
              <w:rPr>
                <w:sz w:val="18"/>
                <w:szCs w:val="18"/>
              </w:rPr>
            </w:pPr>
            <w:r>
              <w:rPr>
                <w:sz w:val="18"/>
                <w:szCs w:val="18"/>
              </w:rPr>
              <w:fldChar w:fldCharType="begin">
                <w:fldData xml:space="preserve">PEVuZE5vdGU+PENpdGU+PEF1dGhvcj5DdXJ0aW48L0F1dGhvcj48WWVhcj4yMDE0PC9ZZWFyPjxS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</w:fldData>
              </w:fldChar>
            </w:r>
            <w:r>
              <w:rPr>
                <w:sz w:val="18"/>
                <w:szCs w:val="18"/>
              </w:rPr>
              <w:instrText xml:space="preserve"> ADDIN EN.CITE </w:instrText>
            </w:r>
            <w:r>
              <w:rPr>
                <w:sz w:val="18"/>
                <w:szCs w:val="18"/>
              </w:rPr>
              <w:fldChar w:fldCharType="begin">
                <w:fldData xml:space="preserve">PEVuZE5vdGU+PENpdGU+PEF1dGhvcj5DdXJ0aW48L0F1dGhvcj48WWVhcj4yMDE0PC9ZZWFyPjxS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</w:fldData>
              </w:fldChar>
            </w:r>
            <w:r>
              <w:rPr>
                <w:sz w:val="18"/>
                <w:szCs w:val="18"/>
              </w:rPr>
              <w:instrText xml:space="preserve"> ADDIN EN.CITE.DATA </w:instrText>
            </w:r>
            <w:r>
              <w:rPr>
                <w:sz w:val="18"/>
                <w:szCs w:val="18"/>
              </w:rPr>
            </w:r>
            <w:r>
              <w:rPr>
                <w:sz w:val="18"/>
                <w:szCs w:val="18"/>
              </w:rPr>
              <w:fldChar w:fldCharType="end"/>
            </w:r>
            <w:r>
              <w:rPr>
                <w:sz w:val="18"/>
                <w:szCs w:val="18"/>
              </w:rPr>
              <w:fldChar w:fldCharType="separate"/>
            </w:r>
            <w:r>
              <w:rPr>
                <w:noProof/>
                <w:sz w:val="18"/>
                <w:szCs w:val="18"/>
              </w:rPr>
              <w:t>(</w:t>
            </w:r>
            <w:hyperlink w:anchor="_ENREF_52" w:tooltip="Curtin, 2014 #14" w:history="1">
              <w:r w:rsidR="00A234A9">
                <w:rPr>
                  <w:noProof/>
                  <w:sz w:val="18"/>
                  <w:szCs w:val="18"/>
                </w:rPr>
                <w:t>52</w:t>
              </w:r>
            </w:hyperlink>
            <w:r>
              <w:rPr>
                <w:noProof/>
                <w:sz w:val="18"/>
                <w:szCs w:val="18"/>
              </w:rPr>
              <w:t>)</w:t>
            </w:r>
            <w:r>
              <w:rPr>
                <w:sz w:val="18"/>
                <w:szCs w:val="18"/>
              </w:rPr>
              <w:fldChar w:fldCharType="end"/>
            </w:r>
          </w:p>
        </w:tc>
        <w:tc>
          <w:tcPr>
            <w:tcW w:w="1195" w:type="dxa"/>
            <w:shd w:val="clear" w:color="auto" w:fill="auto"/>
            <w:noWrap/>
            <w:vAlign w:val="bottom"/>
          </w:tcPr>
          <w:p w14:paraId="7ADAE923" w14:textId="77777777" w:rsidR="0069742C" w:rsidRPr="003D64AE" w:rsidRDefault="0069742C" w:rsidP="0069742C">
            <w:pPr>
              <w:contextualSpacing/>
              <w:jc w:val="center"/>
              <w:rPr>
                <w:color w:val="000000"/>
                <w:sz w:val="18"/>
                <w:szCs w:val="18"/>
              </w:rPr>
            </w:pPr>
            <w:r w:rsidRPr="00683A8E">
              <w:rPr>
                <w:rFonts w:ascii="Calibri" w:hAnsi="Calibri"/>
                <w:color w:val="000000"/>
                <w:sz w:val="18"/>
                <w:szCs w:val="18"/>
              </w:rPr>
              <w:t>8</w:t>
            </w:r>
          </w:p>
        </w:tc>
        <w:tc>
          <w:tcPr>
            <w:tcW w:w="1192" w:type="dxa"/>
            <w:shd w:val="clear" w:color="auto" w:fill="auto"/>
            <w:noWrap/>
            <w:vAlign w:val="bottom"/>
          </w:tcPr>
          <w:p w14:paraId="3B2EE185" w14:textId="77777777" w:rsidR="0069742C" w:rsidRPr="003D64AE" w:rsidRDefault="0069742C" w:rsidP="0069742C">
            <w:pPr>
              <w:contextualSpacing/>
              <w:jc w:val="center"/>
              <w:rPr>
                <w:color w:val="000000"/>
                <w:sz w:val="18"/>
                <w:szCs w:val="18"/>
              </w:rPr>
            </w:pPr>
            <w:r w:rsidRPr="00683A8E">
              <w:rPr>
                <w:rFonts w:ascii="Calibri" w:hAnsi="Calibri"/>
                <w:color w:val="000000"/>
                <w:sz w:val="18"/>
                <w:szCs w:val="18"/>
              </w:rPr>
              <w:t>3</w:t>
            </w:r>
          </w:p>
        </w:tc>
        <w:tc>
          <w:tcPr>
            <w:tcW w:w="1330" w:type="dxa"/>
            <w:shd w:val="clear" w:color="auto" w:fill="auto"/>
            <w:noWrap/>
            <w:vAlign w:val="bottom"/>
          </w:tcPr>
          <w:p w14:paraId="108E8442" w14:textId="77777777" w:rsidR="0069742C" w:rsidRPr="003D64AE" w:rsidRDefault="0069742C" w:rsidP="0069742C">
            <w:pPr>
              <w:contextualSpacing/>
              <w:jc w:val="center"/>
              <w:rPr>
                <w:color w:val="000000"/>
                <w:sz w:val="18"/>
                <w:szCs w:val="18"/>
              </w:rPr>
            </w:pPr>
            <w:r w:rsidRPr="00683A8E">
              <w:rPr>
                <w:rFonts w:ascii="Calibri" w:hAnsi="Calibri"/>
                <w:color w:val="000000"/>
                <w:sz w:val="18"/>
                <w:szCs w:val="18"/>
              </w:rPr>
              <w:t>3</w:t>
            </w:r>
          </w:p>
        </w:tc>
        <w:tc>
          <w:tcPr>
            <w:tcW w:w="1452" w:type="dxa"/>
            <w:shd w:val="clear" w:color="auto" w:fill="auto"/>
            <w:noWrap/>
            <w:vAlign w:val="bottom"/>
          </w:tcPr>
          <w:p w14:paraId="4674A2C1" w14:textId="77777777" w:rsidR="0069742C" w:rsidRPr="003D64AE" w:rsidRDefault="0069742C" w:rsidP="0069742C">
            <w:pPr>
              <w:contextualSpacing/>
              <w:jc w:val="center"/>
              <w:rPr>
                <w:color w:val="000000"/>
                <w:sz w:val="18"/>
                <w:szCs w:val="18"/>
              </w:rPr>
            </w:pPr>
            <w:r w:rsidRPr="00683A8E">
              <w:rPr>
                <w:rFonts w:ascii="Calibri" w:hAnsi="Calibri"/>
                <w:color w:val="000000"/>
                <w:sz w:val="18"/>
                <w:szCs w:val="18"/>
              </w:rPr>
              <w:t>2</w:t>
            </w:r>
          </w:p>
        </w:tc>
        <w:tc>
          <w:tcPr>
            <w:tcW w:w="953" w:type="dxa"/>
            <w:shd w:val="clear" w:color="auto" w:fill="auto"/>
            <w:noWrap/>
            <w:vAlign w:val="bottom"/>
          </w:tcPr>
          <w:p w14:paraId="0394AA99" w14:textId="77777777" w:rsidR="0069742C" w:rsidRPr="003D64AE" w:rsidRDefault="0069742C" w:rsidP="0069742C">
            <w:pPr>
              <w:contextualSpacing/>
              <w:jc w:val="center"/>
              <w:rPr>
                <w:color w:val="000000"/>
                <w:sz w:val="18"/>
                <w:szCs w:val="18"/>
              </w:rPr>
            </w:pPr>
            <w:r w:rsidRPr="00683A8E">
              <w:rPr>
                <w:rFonts w:ascii="Calibri" w:hAnsi="Calibri"/>
                <w:color w:val="000000"/>
                <w:sz w:val="18"/>
                <w:szCs w:val="18"/>
              </w:rPr>
              <w:t>1</w:t>
            </w:r>
          </w:p>
        </w:tc>
        <w:tc>
          <w:tcPr>
            <w:tcW w:w="968" w:type="dxa"/>
            <w:shd w:val="clear" w:color="auto" w:fill="auto"/>
            <w:noWrap/>
            <w:vAlign w:val="bottom"/>
          </w:tcPr>
          <w:p w14:paraId="796152F2" w14:textId="77777777" w:rsidR="0069742C" w:rsidRPr="003D64AE" w:rsidRDefault="0069742C" w:rsidP="0069742C">
            <w:pPr>
              <w:contextualSpacing/>
              <w:jc w:val="center"/>
              <w:rPr>
                <w:color w:val="000000"/>
                <w:sz w:val="18"/>
                <w:szCs w:val="18"/>
              </w:rPr>
            </w:pPr>
            <w:r w:rsidRPr="00683A8E">
              <w:rPr>
                <w:rFonts w:ascii="Calibri" w:hAnsi="Calibri"/>
                <w:color w:val="000000"/>
                <w:sz w:val="18"/>
                <w:szCs w:val="18"/>
              </w:rPr>
              <w:t>17</w:t>
            </w:r>
          </w:p>
        </w:tc>
        <w:tc>
          <w:tcPr>
            <w:tcW w:w="1828" w:type="dxa"/>
            <w:shd w:val="clear" w:color="auto" w:fill="auto"/>
            <w:noWrap/>
            <w:vAlign w:val="bottom"/>
          </w:tcPr>
          <w:p w14:paraId="25B803EE" w14:textId="77777777" w:rsidR="0069742C" w:rsidRPr="003D64AE" w:rsidRDefault="0069742C" w:rsidP="0069742C">
            <w:pPr>
              <w:contextualSpacing/>
              <w:jc w:val="center"/>
              <w:rPr>
                <w:color w:val="000000"/>
                <w:sz w:val="18"/>
                <w:szCs w:val="18"/>
              </w:rPr>
            </w:pPr>
            <w:r w:rsidRPr="00683A8E">
              <w:rPr>
                <w:rFonts w:ascii="Calibri" w:hAnsi="Calibri"/>
                <w:color w:val="000000"/>
                <w:sz w:val="18"/>
                <w:szCs w:val="18"/>
              </w:rPr>
              <w:t>Fair (</w:t>
            </w:r>
            <w:r w:rsidR="00110937" w:rsidRPr="003D64AE">
              <w:rPr>
                <w:color w:val="000000"/>
                <w:sz w:val="18"/>
                <w:szCs w:val="18"/>
              </w:rPr>
              <w:t>1</w:t>
            </w:r>
            <w:r w:rsidR="00110937">
              <w:rPr>
                <w:color w:val="000000"/>
                <w:sz w:val="18"/>
                <w:szCs w:val="18"/>
              </w:rPr>
              <w:t>5</w:t>
            </w:r>
            <w:r w:rsidR="00110937" w:rsidRPr="003D64AE">
              <w:rPr>
                <w:color w:val="000000"/>
                <w:sz w:val="18"/>
                <w:szCs w:val="18"/>
              </w:rPr>
              <w:t>-19</w:t>
            </w:r>
            <w:r w:rsidRPr="00683A8E">
              <w:rPr>
                <w:rFonts w:ascii="Calibri" w:hAnsi="Calibri"/>
                <w:color w:val="000000"/>
                <w:sz w:val="18"/>
                <w:szCs w:val="18"/>
              </w:rPr>
              <w:t>)</w:t>
            </w:r>
          </w:p>
        </w:tc>
      </w:tr>
      <w:tr w:rsidR="0069742C" w:rsidRPr="003D64AE" w14:paraId="2EEC12C8" w14:textId="77777777" w:rsidTr="00B46744">
        <w:trPr>
          <w:cantSplit/>
          <w:trHeight w:val="288"/>
        </w:trPr>
        <w:tc>
          <w:tcPr>
            <w:tcW w:w="2728" w:type="dxa"/>
            <w:shd w:val="clear" w:color="auto" w:fill="auto"/>
            <w:noWrap/>
            <w:vAlign w:val="bottom"/>
            <w:hideMark/>
          </w:tcPr>
          <w:p w14:paraId="5EC0672B" w14:textId="7F3B388C" w:rsidR="0069742C" w:rsidRPr="003D64AE" w:rsidRDefault="00D2134A" w:rsidP="00173F0A">
            <w:pPr>
              <w:contextualSpacing/>
              <w:rPr>
                <w:color w:val="000000"/>
                <w:sz w:val="18"/>
                <w:szCs w:val="18"/>
              </w:rPr>
            </w:pPr>
            <w:r>
              <w:rPr>
                <w:color w:val="000000"/>
                <w:sz w:val="18"/>
                <w:szCs w:val="18"/>
              </w:rPr>
              <w:fldChar w:fldCharType="begin">
                <w:fldData xml:space="preserve">PEVuZE5vdGU+PENpdGU+PEF1dGhvcj5EZWxuZXZvPC9BdXRob3I+PFllYXI+MjAxNTwvWWVhcj48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</w:fldData>
              </w:fldChar>
            </w:r>
            <w:r>
              <w:rPr>
                <w:color w:val="000000"/>
                <w:sz w:val="18"/>
                <w:szCs w:val="18"/>
              </w:rPr>
              <w:instrText xml:space="preserve"> ADDIN EN.CITE </w:instrText>
            </w:r>
            <w:r>
              <w:rPr>
                <w:color w:val="000000"/>
                <w:sz w:val="18"/>
                <w:szCs w:val="18"/>
              </w:rPr>
              <w:fldChar w:fldCharType="begin">
                <w:fldData xml:space="preserve">PEVuZE5vdGU+PENpdGU+PEF1dGhvcj5EZWxuZXZvPC9BdXRob3I+PFllYXI+MjAxNTwvWWVhcj48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</w:fldData>
              </w:fldChar>
            </w:r>
            <w:r>
              <w:rPr>
                <w:color w:val="000000"/>
                <w:sz w:val="18"/>
                <w:szCs w:val="18"/>
              </w:rPr>
              <w:instrText xml:space="preserve"> ADDIN EN.CITE.DATA </w:instrText>
            </w:r>
            <w:r>
              <w:rPr>
                <w:color w:val="000000"/>
                <w:sz w:val="18"/>
                <w:szCs w:val="18"/>
              </w:rPr>
            </w:r>
            <w:r>
              <w:rPr>
                <w:color w:val="000000"/>
                <w:sz w:val="18"/>
                <w:szCs w:val="18"/>
              </w:rPr>
              <w:fldChar w:fldCharType="end"/>
            </w:r>
            <w:r>
              <w:rPr>
                <w:color w:val="000000"/>
                <w:sz w:val="18"/>
                <w:szCs w:val="18"/>
              </w:rPr>
              <w:fldChar w:fldCharType="separate"/>
            </w:r>
            <w:r>
              <w:rPr>
                <w:noProof/>
                <w:color w:val="000000"/>
                <w:sz w:val="18"/>
                <w:szCs w:val="18"/>
              </w:rPr>
              <w:t>(</w:t>
            </w:r>
            <w:hyperlink w:anchor="_ENREF_53" w:tooltip="Delnevo, 2015 #1" w:history="1">
              <w:r w:rsidR="00A234A9">
                <w:rPr>
                  <w:noProof/>
                  <w:color w:val="000000"/>
                  <w:sz w:val="18"/>
                  <w:szCs w:val="18"/>
                </w:rPr>
                <w:t>53</w:t>
              </w:r>
            </w:hyperlink>
            <w:r>
              <w:rPr>
                <w:noProof/>
                <w:color w:val="000000"/>
                <w:sz w:val="18"/>
                <w:szCs w:val="18"/>
              </w:rPr>
              <w:t>)</w:t>
            </w:r>
            <w:r>
              <w:rPr>
                <w:color w:val="000000"/>
                <w:sz w:val="18"/>
                <w:szCs w:val="18"/>
              </w:rPr>
              <w:fldChar w:fldCharType="end"/>
            </w:r>
          </w:p>
        </w:tc>
        <w:tc>
          <w:tcPr>
            <w:tcW w:w="1195" w:type="dxa"/>
            <w:shd w:val="clear" w:color="auto" w:fill="auto"/>
            <w:noWrap/>
            <w:vAlign w:val="bottom"/>
            <w:hideMark/>
          </w:tcPr>
          <w:p w14:paraId="1642C081" w14:textId="77777777" w:rsidR="0069742C" w:rsidRPr="003D64AE" w:rsidRDefault="0069742C" w:rsidP="0069742C">
            <w:pPr>
              <w:contextualSpacing/>
              <w:jc w:val="center"/>
              <w:rPr>
                <w:color w:val="000000"/>
                <w:sz w:val="18"/>
                <w:szCs w:val="18"/>
              </w:rPr>
            </w:pPr>
            <w:r w:rsidRPr="003D64AE">
              <w:rPr>
                <w:color w:val="000000"/>
                <w:sz w:val="18"/>
                <w:szCs w:val="18"/>
              </w:rPr>
              <w:t>9</w:t>
            </w:r>
          </w:p>
        </w:tc>
        <w:tc>
          <w:tcPr>
            <w:tcW w:w="1192" w:type="dxa"/>
            <w:shd w:val="clear" w:color="auto" w:fill="auto"/>
            <w:noWrap/>
            <w:vAlign w:val="bottom"/>
            <w:hideMark/>
          </w:tcPr>
          <w:p w14:paraId="19DFCD36" w14:textId="77777777" w:rsidR="0069742C" w:rsidRPr="003D64AE" w:rsidRDefault="0069742C" w:rsidP="0069742C">
            <w:pPr>
              <w:contextualSpacing/>
              <w:jc w:val="center"/>
              <w:rPr>
                <w:color w:val="000000"/>
                <w:sz w:val="18"/>
                <w:szCs w:val="18"/>
              </w:rPr>
            </w:pPr>
            <w:r w:rsidRPr="003D64AE">
              <w:rPr>
                <w:color w:val="000000"/>
                <w:sz w:val="18"/>
                <w:szCs w:val="18"/>
              </w:rPr>
              <w:t>2</w:t>
            </w:r>
          </w:p>
        </w:tc>
        <w:tc>
          <w:tcPr>
            <w:tcW w:w="1330" w:type="dxa"/>
            <w:shd w:val="clear" w:color="auto" w:fill="auto"/>
            <w:noWrap/>
            <w:vAlign w:val="bottom"/>
            <w:hideMark/>
          </w:tcPr>
          <w:p w14:paraId="39D05ADF" w14:textId="77777777" w:rsidR="0069742C" w:rsidRPr="003D64AE" w:rsidRDefault="0069742C" w:rsidP="0069742C">
            <w:pPr>
              <w:contextualSpacing/>
              <w:jc w:val="center"/>
              <w:rPr>
                <w:color w:val="000000"/>
                <w:sz w:val="18"/>
                <w:szCs w:val="18"/>
              </w:rPr>
            </w:pPr>
            <w:r w:rsidRPr="003D64AE">
              <w:rPr>
                <w:color w:val="000000"/>
                <w:sz w:val="18"/>
                <w:szCs w:val="18"/>
              </w:rPr>
              <w:t>6</w:t>
            </w:r>
          </w:p>
        </w:tc>
        <w:tc>
          <w:tcPr>
            <w:tcW w:w="1452" w:type="dxa"/>
            <w:shd w:val="clear" w:color="auto" w:fill="auto"/>
            <w:noWrap/>
            <w:vAlign w:val="bottom"/>
            <w:hideMark/>
          </w:tcPr>
          <w:p w14:paraId="093AF714" w14:textId="77777777" w:rsidR="0069742C" w:rsidRPr="003D64AE" w:rsidRDefault="0069742C" w:rsidP="0069742C">
            <w:pPr>
              <w:contextualSpacing/>
              <w:jc w:val="center"/>
              <w:rPr>
                <w:color w:val="000000"/>
                <w:sz w:val="18"/>
                <w:szCs w:val="18"/>
              </w:rPr>
            </w:pPr>
            <w:r w:rsidRPr="003D64AE">
              <w:rPr>
                <w:color w:val="000000"/>
                <w:sz w:val="18"/>
                <w:szCs w:val="18"/>
              </w:rPr>
              <w:t>3</w:t>
            </w:r>
          </w:p>
        </w:tc>
        <w:tc>
          <w:tcPr>
            <w:tcW w:w="953" w:type="dxa"/>
            <w:shd w:val="clear" w:color="auto" w:fill="auto"/>
            <w:noWrap/>
            <w:vAlign w:val="bottom"/>
            <w:hideMark/>
          </w:tcPr>
          <w:p w14:paraId="36257A7B"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968" w:type="dxa"/>
            <w:shd w:val="clear" w:color="auto" w:fill="auto"/>
            <w:noWrap/>
            <w:vAlign w:val="bottom"/>
            <w:hideMark/>
          </w:tcPr>
          <w:p w14:paraId="56D88DB5" w14:textId="77777777" w:rsidR="0069742C" w:rsidRPr="003D64AE" w:rsidRDefault="0069742C" w:rsidP="0069742C">
            <w:pPr>
              <w:contextualSpacing/>
              <w:jc w:val="center"/>
              <w:rPr>
                <w:color w:val="000000"/>
                <w:sz w:val="18"/>
                <w:szCs w:val="18"/>
              </w:rPr>
            </w:pPr>
            <w:r w:rsidRPr="003D64AE">
              <w:rPr>
                <w:color w:val="000000"/>
                <w:sz w:val="18"/>
                <w:szCs w:val="18"/>
              </w:rPr>
              <w:t>21</w:t>
            </w:r>
          </w:p>
        </w:tc>
        <w:tc>
          <w:tcPr>
            <w:tcW w:w="1828" w:type="dxa"/>
            <w:shd w:val="clear" w:color="auto" w:fill="auto"/>
            <w:noWrap/>
            <w:vAlign w:val="bottom"/>
            <w:hideMark/>
          </w:tcPr>
          <w:p w14:paraId="4CC14E77" w14:textId="77777777" w:rsidR="0069742C" w:rsidRPr="003D64AE" w:rsidRDefault="0069742C" w:rsidP="0069742C">
            <w:pPr>
              <w:contextualSpacing/>
              <w:jc w:val="center"/>
              <w:rPr>
                <w:color w:val="000000"/>
                <w:sz w:val="18"/>
                <w:szCs w:val="18"/>
              </w:rPr>
            </w:pPr>
            <w:r w:rsidRPr="003D64AE">
              <w:rPr>
                <w:color w:val="000000"/>
                <w:sz w:val="18"/>
                <w:szCs w:val="18"/>
              </w:rPr>
              <w:t>Good (20-25)</w:t>
            </w:r>
          </w:p>
        </w:tc>
      </w:tr>
      <w:tr w:rsidR="0069742C" w:rsidRPr="003D64AE" w14:paraId="6710F9AA" w14:textId="77777777" w:rsidTr="00B46744">
        <w:trPr>
          <w:cantSplit/>
          <w:trHeight w:val="288"/>
        </w:trPr>
        <w:tc>
          <w:tcPr>
            <w:tcW w:w="2728" w:type="dxa"/>
            <w:shd w:val="clear" w:color="auto" w:fill="auto"/>
            <w:noWrap/>
            <w:vAlign w:val="bottom"/>
            <w:hideMark/>
          </w:tcPr>
          <w:p w14:paraId="31995D8C" w14:textId="648B61B7" w:rsidR="0069742C" w:rsidRPr="003D64AE" w:rsidRDefault="00D2134A" w:rsidP="00173F0A">
            <w:pPr>
              <w:contextualSpacing/>
              <w:rPr>
                <w:color w:val="000000"/>
                <w:sz w:val="18"/>
                <w:szCs w:val="18"/>
              </w:rPr>
            </w:pPr>
            <w:r>
              <w:rPr>
                <w:color w:val="000000"/>
                <w:sz w:val="18"/>
                <w:szCs w:val="18"/>
              </w:rPr>
              <w:fldChar w:fldCharType="begin"/>
            </w:r>
            <w:r>
              <w:rPr>
                <w:color w:val="000000"/>
                <w:sz w:val="18"/>
                <w:szCs w:val="18"/>
              </w:rPr>
              <w:instrText xml:space="preserve"> ADDIN EN.CITE &lt;EndNote&gt;&lt;Cite&gt;&lt;Author&gt;DiFranza&lt;/Author&gt;&lt;Year&gt;2004&lt;/Year&gt;&lt;RecNum&gt;83&lt;/RecNum&gt;&lt;DisplayText&gt;(54)&lt;/DisplayText&gt;&lt;record&gt;&lt;rec-number&gt;83&lt;/rec-number&gt;&lt;foreign-keys&gt;&lt;key app="EN" db-id="a2vz2dfp8xrad6exes75zwpiw5rxwa0vwapv" timestamp="0"&gt;83&lt;/key&gt;&lt;/foreign-keys&gt;&lt;ref-type name="Journal Article"&gt;17&lt;/ref-type&gt;&lt;contributors&gt;&lt;authors&gt;&lt;author&gt;DiFranza, J.R.&lt;/author&gt;&lt;author&gt;Savageau, J.A.&lt;/author&gt;&lt;author&gt;Fletcher, K.&lt;/author&gt;&lt;author&gt;Ockene, J.K.&lt;/author&gt;&lt;author&gt;Rigotti, N.A.&lt;/author&gt;&lt;author&gt;McNeill, A.D.&lt;/author&gt;&lt;author&gt;Coleman, M.&lt;/author&gt;&lt;author&gt;Wood, C.&lt;/author&gt;&lt;/authors&gt;&lt;/contributors&gt;&lt;titles&gt;&lt;title&gt;Recollections and repercussions of the first inhaled cigarette&lt;/title&gt;&lt;secondary-title&gt;Addictive Behaviors&lt;/secondary-title&gt;&lt;/titles&gt;&lt;periodical&gt;&lt;full-title&gt;Addictive Behaviors&lt;/full-title&gt;&lt;/periodical&gt;&lt;pages&gt;261-272&lt;/pages&gt;&lt;volume&gt;29&lt;/volume&gt;&lt;number&gt;2&lt;/number&gt;&lt;dates&gt;&lt;year&gt;2004&lt;/year&gt;&lt;/dates&gt;&lt;isbn&gt;03064603&lt;/isbn&gt;&lt;urls&gt;&lt;/urls&gt;&lt;electronic-resource-num&gt;10.1016/j.addbeh.2003.08.002&lt;/electronic-resource-num&gt;&lt;research-notes&gt;#413&lt;/research-notes&gt;&lt;/record&gt;&lt;/Cite&gt;&lt;/EndNote&gt;</w:instrText>
            </w:r>
            <w:r>
              <w:rPr>
                <w:color w:val="000000"/>
                <w:sz w:val="18"/>
                <w:szCs w:val="18"/>
              </w:rPr>
              <w:fldChar w:fldCharType="separate"/>
            </w:r>
            <w:r>
              <w:rPr>
                <w:noProof/>
                <w:color w:val="000000"/>
                <w:sz w:val="18"/>
                <w:szCs w:val="18"/>
              </w:rPr>
              <w:t>(</w:t>
            </w:r>
            <w:hyperlink w:anchor="_ENREF_54" w:tooltip="DiFranza, 2004 #83" w:history="1">
              <w:r w:rsidR="00A234A9">
                <w:rPr>
                  <w:noProof/>
                  <w:color w:val="000000"/>
                  <w:sz w:val="18"/>
                  <w:szCs w:val="18"/>
                </w:rPr>
                <w:t>54</w:t>
              </w:r>
            </w:hyperlink>
            <w:r>
              <w:rPr>
                <w:noProof/>
                <w:color w:val="000000"/>
                <w:sz w:val="18"/>
                <w:szCs w:val="18"/>
              </w:rPr>
              <w:t>)</w:t>
            </w:r>
            <w:r>
              <w:rPr>
                <w:color w:val="000000"/>
                <w:sz w:val="18"/>
                <w:szCs w:val="18"/>
              </w:rPr>
              <w:fldChar w:fldCharType="end"/>
            </w:r>
          </w:p>
        </w:tc>
        <w:tc>
          <w:tcPr>
            <w:tcW w:w="1195" w:type="dxa"/>
            <w:shd w:val="clear" w:color="auto" w:fill="auto"/>
            <w:noWrap/>
            <w:vAlign w:val="bottom"/>
            <w:hideMark/>
          </w:tcPr>
          <w:p w14:paraId="63A683FF" w14:textId="77777777" w:rsidR="0069742C" w:rsidRPr="003D64AE" w:rsidRDefault="0069742C" w:rsidP="0069742C">
            <w:pPr>
              <w:contextualSpacing/>
              <w:jc w:val="center"/>
              <w:rPr>
                <w:color w:val="000000"/>
                <w:sz w:val="18"/>
                <w:szCs w:val="18"/>
              </w:rPr>
            </w:pPr>
            <w:r w:rsidRPr="003D64AE">
              <w:rPr>
                <w:color w:val="000000"/>
                <w:sz w:val="18"/>
                <w:szCs w:val="18"/>
              </w:rPr>
              <w:t>8</w:t>
            </w:r>
          </w:p>
        </w:tc>
        <w:tc>
          <w:tcPr>
            <w:tcW w:w="1192" w:type="dxa"/>
            <w:shd w:val="clear" w:color="auto" w:fill="auto"/>
            <w:noWrap/>
            <w:vAlign w:val="bottom"/>
            <w:hideMark/>
          </w:tcPr>
          <w:p w14:paraId="0622BA10"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1330" w:type="dxa"/>
            <w:shd w:val="clear" w:color="auto" w:fill="auto"/>
            <w:noWrap/>
            <w:vAlign w:val="bottom"/>
            <w:hideMark/>
          </w:tcPr>
          <w:p w14:paraId="7D48A4EA" w14:textId="77777777" w:rsidR="0069742C" w:rsidRPr="003D64AE" w:rsidRDefault="0069742C" w:rsidP="0069742C">
            <w:pPr>
              <w:contextualSpacing/>
              <w:jc w:val="center"/>
              <w:rPr>
                <w:color w:val="000000"/>
                <w:sz w:val="18"/>
                <w:szCs w:val="18"/>
              </w:rPr>
            </w:pPr>
            <w:r w:rsidRPr="003D64AE">
              <w:rPr>
                <w:color w:val="000000"/>
                <w:sz w:val="18"/>
                <w:szCs w:val="18"/>
              </w:rPr>
              <w:t>4</w:t>
            </w:r>
          </w:p>
        </w:tc>
        <w:tc>
          <w:tcPr>
            <w:tcW w:w="1452" w:type="dxa"/>
            <w:shd w:val="clear" w:color="auto" w:fill="auto"/>
            <w:noWrap/>
            <w:vAlign w:val="bottom"/>
            <w:hideMark/>
          </w:tcPr>
          <w:p w14:paraId="66EBB28C" w14:textId="77777777" w:rsidR="0069742C" w:rsidRPr="003D64AE" w:rsidRDefault="0069742C" w:rsidP="0069742C">
            <w:pPr>
              <w:contextualSpacing/>
              <w:jc w:val="center"/>
              <w:rPr>
                <w:color w:val="000000"/>
                <w:sz w:val="18"/>
                <w:szCs w:val="18"/>
              </w:rPr>
            </w:pPr>
            <w:r w:rsidRPr="003D64AE">
              <w:rPr>
                <w:color w:val="000000"/>
                <w:sz w:val="18"/>
                <w:szCs w:val="18"/>
              </w:rPr>
              <w:t>2</w:t>
            </w:r>
          </w:p>
        </w:tc>
        <w:tc>
          <w:tcPr>
            <w:tcW w:w="953" w:type="dxa"/>
            <w:shd w:val="clear" w:color="auto" w:fill="auto"/>
            <w:noWrap/>
            <w:vAlign w:val="bottom"/>
            <w:hideMark/>
          </w:tcPr>
          <w:p w14:paraId="7B2D8357"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968" w:type="dxa"/>
            <w:shd w:val="clear" w:color="auto" w:fill="auto"/>
            <w:noWrap/>
            <w:vAlign w:val="bottom"/>
            <w:hideMark/>
          </w:tcPr>
          <w:p w14:paraId="1C14A2AF" w14:textId="77777777" w:rsidR="0069742C" w:rsidRPr="003D64AE" w:rsidRDefault="0069742C" w:rsidP="0069742C">
            <w:pPr>
              <w:contextualSpacing/>
              <w:jc w:val="center"/>
              <w:rPr>
                <w:color w:val="000000"/>
                <w:sz w:val="18"/>
                <w:szCs w:val="18"/>
              </w:rPr>
            </w:pPr>
            <w:r w:rsidRPr="003D64AE">
              <w:rPr>
                <w:color w:val="000000"/>
                <w:sz w:val="18"/>
                <w:szCs w:val="18"/>
              </w:rPr>
              <w:t>16</w:t>
            </w:r>
          </w:p>
        </w:tc>
        <w:tc>
          <w:tcPr>
            <w:tcW w:w="1828" w:type="dxa"/>
            <w:shd w:val="clear" w:color="auto" w:fill="auto"/>
            <w:noWrap/>
            <w:vAlign w:val="bottom"/>
            <w:hideMark/>
          </w:tcPr>
          <w:p w14:paraId="5EB1D3A3" w14:textId="77777777" w:rsidR="0069742C" w:rsidRPr="003D64AE" w:rsidRDefault="0069742C" w:rsidP="0069742C">
            <w:pPr>
              <w:contextualSpacing/>
              <w:jc w:val="center"/>
              <w:rPr>
                <w:color w:val="000000"/>
                <w:sz w:val="18"/>
                <w:szCs w:val="18"/>
              </w:rPr>
            </w:pPr>
            <w:r>
              <w:rPr>
                <w:color w:val="000000"/>
                <w:sz w:val="18"/>
                <w:szCs w:val="18"/>
              </w:rPr>
              <w:t>Fair (15-19)</w:t>
            </w:r>
          </w:p>
        </w:tc>
      </w:tr>
      <w:tr w:rsidR="0069742C" w:rsidRPr="003D64AE" w14:paraId="352B5DF0" w14:textId="77777777" w:rsidTr="00B46744">
        <w:trPr>
          <w:cantSplit/>
          <w:trHeight w:val="288"/>
        </w:trPr>
        <w:tc>
          <w:tcPr>
            <w:tcW w:w="2728" w:type="dxa"/>
            <w:shd w:val="clear" w:color="auto" w:fill="auto"/>
            <w:noWrap/>
            <w:vAlign w:val="bottom"/>
            <w:hideMark/>
          </w:tcPr>
          <w:p w14:paraId="1146ECB7" w14:textId="78DE6EA7" w:rsidR="0069742C" w:rsidRPr="003D64AE" w:rsidRDefault="00D2134A" w:rsidP="00173F0A">
            <w:pPr>
              <w:contextualSpacing/>
              <w:rPr>
                <w:color w:val="000000"/>
                <w:sz w:val="18"/>
                <w:szCs w:val="18"/>
              </w:rPr>
            </w:pPr>
            <w:r>
              <w:rPr>
                <w:color w:val="000000"/>
                <w:sz w:val="18"/>
                <w:szCs w:val="18"/>
              </w:rPr>
              <w:fldChar w:fldCharType="begin">
                <w:fldData xml:space="preserve">PEVuZE5vdGU+PENpdGU+PEF1dGhvcj5GYWdhbjwvQXV0aG9yPjxZZWFyPjIwMTA8L1llYXI+PFJl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</w:fldData>
              </w:fldChar>
            </w:r>
            <w:r>
              <w:rPr>
                <w:color w:val="000000"/>
                <w:sz w:val="18"/>
                <w:szCs w:val="18"/>
              </w:rPr>
              <w:instrText xml:space="preserve"> ADDIN EN.CITE </w:instrText>
            </w:r>
            <w:r>
              <w:rPr>
                <w:color w:val="000000"/>
                <w:sz w:val="18"/>
                <w:szCs w:val="18"/>
              </w:rPr>
              <w:fldChar w:fldCharType="begin">
                <w:fldData xml:space="preserve">PEVuZE5vdGU+PENpdGU+PEF1dGhvcj5GYWdhbjwvQXV0aG9yPjxZZWFyPjIwMTA8L1llYXI+PFJl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</w:fldData>
              </w:fldChar>
            </w:r>
            <w:r>
              <w:rPr>
                <w:color w:val="000000"/>
                <w:sz w:val="18"/>
                <w:szCs w:val="18"/>
              </w:rPr>
              <w:instrText xml:space="preserve"> ADDIN EN.CITE.DATA </w:instrText>
            </w:r>
            <w:r>
              <w:rPr>
                <w:color w:val="000000"/>
                <w:sz w:val="18"/>
                <w:szCs w:val="18"/>
              </w:rPr>
            </w:r>
            <w:r>
              <w:rPr>
                <w:color w:val="000000"/>
                <w:sz w:val="18"/>
                <w:szCs w:val="18"/>
              </w:rPr>
              <w:fldChar w:fldCharType="end"/>
            </w:r>
            <w:r>
              <w:rPr>
                <w:color w:val="000000"/>
                <w:sz w:val="18"/>
                <w:szCs w:val="18"/>
              </w:rPr>
              <w:fldChar w:fldCharType="separate"/>
            </w:r>
            <w:r>
              <w:rPr>
                <w:noProof/>
                <w:color w:val="000000"/>
                <w:sz w:val="18"/>
                <w:szCs w:val="18"/>
              </w:rPr>
              <w:t>(</w:t>
            </w:r>
            <w:hyperlink w:anchor="_ENREF_57" w:tooltip="Fagan, 2010 #56" w:history="1">
              <w:r w:rsidR="00A234A9">
                <w:rPr>
                  <w:noProof/>
                  <w:color w:val="000000"/>
                  <w:sz w:val="18"/>
                  <w:szCs w:val="18"/>
                </w:rPr>
                <w:t>57</w:t>
              </w:r>
            </w:hyperlink>
            <w:r>
              <w:rPr>
                <w:noProof/>
                <w:color w:val="000000"/>
                <w:sz w:val="18"/>
                <w:szCs w:val="18"/>
              </w:rPr>
              <w:t>)</w:t>
            </w:r>
            <w:r>
              <w:rPr>
                <w:color w:val="000000"/>
                <w:sz w:val="18"/>
                <w:szCs w:val="18"/>
              </w:rPr>
              <w:fldChar w:fldCharType="end"/>
            </w:r>
          </w:p>
        </w:tc>
        <w:tc>
          <w:tcPr>
            <w:tcW w:w="1195" w:type="dxa"/>
            <w:shd w:val="clear" w:color="auto" w:fill="auto"/>
            <w:noWrap/>
            <w:vAlign w:val="bottom"/>
            <w:hideMark/>
          </w:tcPr>
          <w:p w14:paraId="68F3E8EB" w14:textId="77777777" w:rsidR="0069742C" w:rsidRPr="003D64AE" w:rsidRDefault="0069742C" w:rsidP="0069742C">
            <w:pPr>
              <w:contextualSpacing/>
              <w:jc w:val="center"/>
              <w:rPr>
                <w:color w:val="000000"/>
                <w:sz w:val="18"/>
                <w:szCs w:val="18"/>
              </w:rPr>
            </w:pPr>
            <w:r w:rsidRPr="003D64AE">
              <w:rPr>
                <w:color w:val="000000"/>
                <w:sz w:val="18"/>
                <w:szCs w:val="18"/>
              </w:rPr>
              <w:t>7</w:t>
            </w:r>
          </w:p>
        </w:tc>
        <w:tc>
          <w:tcPr>
            <w:tcW w:w="1192" w:type="dxa"/>
            <w:shd w:val="clear" w:color="auto" w:fill="auto"/>
            <w:noWrap/>
            <w:vAlign w:val="bottom"/>
            <w:hideMark/>
          </w:tcPr>
          <w:p w14:paraId="703B614D"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1330" w:type="dxa"/>
            <w:shd w:val="clear" w:color="auto" w:fill="auto"/>
            <w:noWrap/>
            <w:vAlign w:val="bottom"/>
            <w:hideMark/>
          </w:tcPr>
          <w:p w14:paraId="3110B053" w14:textId="77777777" w:rsidR="0069742C" w:rsidRPr="003D64AE" w:rsidRDefault="0069742C" w:rsidP="0069742C">
            <w:pPr>
              <w:contextualSpacing/>
              <w:jc w:val="center"/>
              <w:rPr>
                <w:color w:val="000000"/>
                <w:sz w:val="18"/>
                <w:szCs w:val="18"/>
              </w:rPr>
            </w:pPr>
            <w:r w:rsidRPr="003D64AE">
              <w:rPr>
                <w:color w:val="000000"/>
                <w:sz w:val="18"/>
                <w:szCs w:val="18"/>
              </w:rPr>
              <w:t>5</w:t>
            </w:r>
          </w:p>
        </w:tc>
        <w:tc>
          <w:tcPr>
            <w:tcW w:w="1452" w:type="dxa"/>
            <w:shd w:val="clear" w:color="auto" w:fill="auto"/>
            <w:noWrap/>
            <w:vAlign w:val="bottom"/>
            <w:hideMark/>
          </w:tcPr>
          <w:p w14:paraId="6849229D" w14:textId="77777777" w:rsidR="0069742C" w:rsidRPr="003D64AE" w:rsidRDefault="0069742C" w:rsidP="0069742C">
            <w:pPr>
              <w:contextualSpacing/>
              <w:jc w:val="center"/>
              <w:rPr>
                <w:color w:val="000000"/>
                <w:sz w:val="18"/>
                <w:szCs w:val="18"/>
              </w:rPr>
            </w:pPr>
            <w:r w:rsidRPr="003D64AE">
              <w:rPr>
                <w:color w:val="000000"/>
                <w:sz w:val="18"/>
                <w:szCs w:val="18"/>
              </w:rPr>
              <w:t>3</w:t>
            </w:r>
          </w:p>
        </w:tc>
        <w:tc>
          <w:tcPr>
            <w:tcW w:w="953" w:type="dxa"/>
            <w:shd w:val="clear" w:color="auto" w:fill="auto"/>
            <w:noWrap/>
            <w:vAlign w:val="bottom"/>
            <w:hideMark/>
          </w:tcPr>
          <w:p w14:paraId="58C1BF4B"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968" w:type="dxa"/>
            <w:shd w:val="clear" w:color="auto" w:fill="auto"/>
            <w:noWrap/>
            <w:vAlign w:val="bottom"/>
            <w:hideMark/>
          </w:tcPr>
          <w:p w14:paraId="1BD48D6B" w14:textId="77777777" w:rsidR="0069742C" w:rsidRPr="003D64AE" w:rsidRDefault="0069742C" w:rsidP="0069742C">
            <w:pPr>
              <w:contextualSpacing/>
              <w:jc w:val="center"/>
              <w:rPr>
                <w:color w:val="000000"/>
                <w:sz w:val="18"/>
                <w:szCs w:val="18"/>
              </w:rPr>
            </w:pPr>
            <w:r w:rsidRPr="003D64AE">
              <w:rPr>
                <w:color w:val="000000"/>
                <w:sz w:val="18"/>
                <w:szCs w:val="18"/>
              </w:rPr>
              <w:t>17</w:t>
            </w:r>
          </w:p>
        </w:tc>
        <w:tc>
          <w:tcPr>
            <w:tcW w:w="1828" w:type="dxa"/>
            <w:shd w:val="clear" w:color="auto" w:fill="auto"/>
            <w:noWrap/>
            <w:vAlign w:val="bottom"/>
            <w:hideMark/>
          </w:tcPr>
          <w:p w14:paraId="44420E4C" w14:textId="77777777" w:rsidR="0069742C" w:rsidRPr="003D64AE" w:rsidRDefault="0069742C" w:rsidP="0069742C">
            <w:pPr>
              <w:contextualSpacing/>
              <w:jc w:val="center"/>
              <w:rPr>
                <w:color w:val="000000"/>
                <w:sz w:val="18"/>
                <w:szCs w:val="18"/>
              </w:rPr>
            </w:pPr>
            <w:r>
              <w:rPr>
                <w:color w:val="000000"/>
                <w:sz w:val="18"/>
                <w:szCs w:val="18"/>
              </w:rPr>
              <w:t>Fair (15-19)</w:t>
            </w:r>
          </w:p>
        </w:tc>
      </w:tr>
      <w:tr w:rsidR="0069742C" w:rsidRPr="003D64AE" w14:paraId="2F7D9847" w14:textId="77777777" w:rsidTr="00B46744">
        <w:trPr>
          <w:cantSplit/>
          <w:trHeight w:val="288"/>
        </w:trPr>
        <w:tc>
          <w:tcPr>
            <w:tcW w:w="2728" w:type="dxa"/>
            <w:shd w:val="clear" w:color="auto" w:fill="auto"/>
            <w:noWrap/>
            <w:vAlign w:val="bottom"/>
            <w:hideMark/>
          </w:tcPr>
          <w:p w14:paraId="5BBFA258" w14:textId="059F0F6C" w:rsidR="0069742C" w:rsidRPr="003D64AE" w:rsidRDefault="00D2134A" w:rsidP="00173F0A">
            <w:pPr>
              <w:contextualSpacing/>
              <w:rPr>
                <w:color w:val="000000"/>
                <w:sz w:val="18"/>
                <w:szCs w:val="18"/>
              </w:rPr>
            </w:pPr>
            <w:r>
              <w:rPr>
                <w:color w:val="000000"/>
                <w:sz w:val="18"/>
                <w:szCs w:val="18"/>
              </w:rPr>
              <w:fldChar w:fldCharType="begin">
                <w:fldData xml:space="preserve">PEVuZE5vdGU+PENpdGU+PEF1dGhvcj5GYWdhbjwvQXV0aG9yPjxZZWFyPjIwMTU8L1llYXI+PFJl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</w:fldData>
              </w:fldChar>
            </w:r>
            <w:r>
              <w:rPr>
                <w:color w:val="000000"/>
                <w:sz w:val="18"/>
                <w:szCs w:val="18"/>
              </w:rPr>
              <w:instrText xml:space="preserve"> ADDIN EN.CITE </w:instrText>
            </w:r>
            <w:r>
              <w:rPr>
                <w:color w:val="000000"/>
                <w:sz w:val="18"/>
                <w:szCs w:val="18"/>
              </w:rPr>
              <w:fldChar w:fldCharType="begin">
                <w:fldData xml:space="preserve">PEVuZE5vdGU+PENpdGU+PEF1dGhvcj5GYWdhbjwvQXV0aG9yPjxZZWFyPjIwMTU8L1llYXI+PFJl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</w:fldData>
              </w:fldChar>
            </w:r>
            <w:r>
              <w:rPr>
                <w:color w:val="000000"/>
                <w:sz w:val="18"/>
                <w:szCs w:val="18"/>
              </w:rPr>
              <w:instrText xml:space="preserve"> ADDIN EN.CITE.DATA </w:instrText>
            </w:r>
            <w:r>
              <w:rPr>
                <w:color w:val="000000"/>
                <w:sz w:val="18"/>
                <w:szCs w:val="18"/>
              </w:rPr>
            </w:r>
            <w:r>
              <w:rPr>
                <w:color w:val="000000"/>
                <w:sz w:val="18"/>
                <w:szCs w:val="18"/>
              </w:rPr>
              <w:fldChar w:fldCharType="end"/>
            </w:r>
            <w:r>
              <w:rPr>
                <w:color w:val="000000"/>
                <w:sz w:val="18"/>
                <w:szCs w:val="18"/>
              </w:rPr>
              <w:fldChar w:fldCharType="separate"/>
            </w:r>
            <w:r>
              <w:rPr>
                <w:noProof/>
                <w:color w:val="000000"/>
                <w:sz w:val="18"/>
                <w:szCs w:val="18"/>
              </w:rPr>
              <w:t>(</w:t>
            </w:r>
            <w:hyperlink w:anchor="_ENREF_55" w:tooltip="Fagan, 2015 #5" w:history="1">
              <w:r w:rsidR="00A234A9">
                <w:rPr>
                  <w:noProof/>
                  <w:color w:val="000000"/>
                  <w:sz w:val="18"/>
                  <w:szCs w:val="18"/>
                </w:rPr>
                <w:t>55</w:t>
              </w:r>
            </w:hyperlink>
            <w:r>
              <w:rPr>
                <w:noProof/>
                <w:color w:val="000000"/>
                <w:sz w:val="18"/>
                <w:szCs w:val="18"/>
              </w:rPr>
              <w:t xml:space="preserve">, </w:t>
            </w:r>
            <w:hyperlink w:anchor="_ENREF_56" w:tooltip="Fagan, 2016 #4" w:history="1">
              <w:r w:rsidR="00A234A9">
                <w:rPr>
                  <w:noProof/>
                  <w:color w:val="000000"/>
                  <w:sz w:val="18"/>
                  <w:szCs w:val="18"/>
                </w:rPr>
                <w:t>56</w:t>
              </w:r>
            </w:hyperlink>
            <w:r>
              <w:rPr>
                <w:noProof/>
                <w:color w:val="000000"/>
                <w:sz w:val="18"/>
                <w:szCs w:val="18"/>
              </w:rPr>
              <w:t>)</w:t>
            </w:r>
            <w:r>
              <w:rPr>
                <w:color w:val="000000"/>
                <w:sz w:val="18"/>
                <w:szCs w:val="18"/>
              </w:rPr>
              <w:fldChar w:fldCharType="end"/>
            </w:r>
          </w:p>
        </w:tc>
        <w:tc>
          <w:tcPr>
            <w:tcW w:w="1195" w:type="dxa"/>
            <w:shd w:val="clear" w:color="auto" w:fill="auto"/>
            <w:noWrap/>
            <w:vAlign w:val="bottom"/>
            <w:hideMark/>
          </w:tcPr>
          <w:p w14:paraId="61C3E1DC" w14:textId="77777777" w:rsidR="0069742C" w:rsidRPr="003D64AE" w:rsidRDefault="0069742C" w:rsidP="0069742C">
            <w:pPr>
              <w:contextualSpacing/>
              <w:jc w:val="center"/>
              <w:rPr>
                <w:color w:val="000000"/>
                <w:sz w:val="18"/>
                <w:szCs w:val="18"/>
              </w:rPr>
            </w:pPr>
            <w:r w:rsidRPr="003D64AE">
              <w:rPr>
                <w:color w:val="000000"/>
                <w:sz w:val="18"/>
                <w:szCs w:val="18"/>
              </w:rPr>
              <w:t>10</w:t>
            </w:r>
          </w:p>
        </w:tc>
        <w:tc>
          <w:tcPr>
            <w:tcW w:w="1192" w:type="dxa"/>
            <w:shd w:val="clear" w:color="auto" w:fill="auto"/>
            <w:noWrap/>
            <w:vAlign w:val="bottom"/>
            <w:hideMark/>
          </w:tcPr>
          <w:p w14:paraId="32BC913C" w14:textId="77777777" w:rsidR="0069742C" w:rsidRPr="003D64AE" w:rsidRDefault="0069742C" w:rsidP="0069742C">
            <w:pPr>
              <w:contextualSpacing/>
              <w:jc w:val="center"/>
              <w:rPr>
                <w:color w:val="000000"/>
                <w:sz w:val="18"/>
                <w:szCs w:val="18"/>
              </w:rPr>
            </w:pPr>
            <w:r w:rsidRPr="003D64AE">
              <w:rPr>
                <w:color w:val="000000"/>
                <w:sz w:val="18"/>
                <w:szCs w:val="18"/>
              </w:rPr>
              <w:t>0</w:t>
            </w:r>
          </w:p>
        </w:tc>
        <w:tc>
          <w:tcPr>
            <w:tcW w:w="1330" w:type="dxa"/>
            <w:shd w:val="clear" w:color="auto" w:fill="auto"/>
            <w:noWrap/>
            <w:vAlign w:val="bottom"/>
            <w:hideMark/>
          </w:tcPr>
          <w:p w14:paraId="071C7C3F" w14:textId="77777777" w:rsidR="0069742C" w:rsidRPr="003D64AE" w:rsidRDefault="0069742C" w:rsidP="0069742C">
            <w:pPr>
              <w:contextualSpacing/>
              <w:jc w:val="center"/>
              <w:rPr>
                <w:color w:val="000000"/>
                <w:sz w:val="18"/>
                <w:szCs w:val="18"/>
              </w:rPr>
            </w:pPr>
            <w:r w:rsidRPr="003D64AE">
              <w:rPr>
                <w:color w:val="000000"/>
                <w:sz w:val="18"/>
                <w:szCs w:val="18"/>
              </w:rPr>
              <w:t>5</w:t>
            </w:r>
          </w:p>
        </w:tc>
        <w:tc>
          <w:tcPr>
            <w:tcW w:w="1452" w:type="dxa"/>
            <w:shd w:val="clear" w:color="auto" w:fill="auto"/>
            <w:noWrap/>
            <w:vAlign w:val="bottom"/>
            <w:hideMark/>
          </w:tcPr>
          <w:p w14:paraId="6AD7415E" w14:textId="77777777" w:rsidR="0069742C" w:rsidRPr="003D64AE" w:rsidRDefault="0069742C" w:rsidP="0069742C">
            <w:pPr>
              <w:contextualSpacing/>
              <w:jc w:val="center"/>
              <w:rPr>
                <w:color w:val="000000"/>
                <w:sz w:val="18"/>
                <w:szCs w:val="18"/>
              </w:rPr>
            </w:pPr>
            <w:r w:rsidRPr="003D64AE">
              <w:rPr>
                <w:color w:val="000000"/>
                <w:sz w:val="18"/>
                <w:szCs w:val="18"/>
              </w:rPr>
              <w:t>4</w:t>
            </w:r>
          </w:p>
        </w:tc>
        <w:tc>
          <w:tcPr>
            <w:tcW w:w="953" w:type="dxa"/>
            <w:shd w:val="clear" w:color="auto" w:fill="auto"/>
            <w:noWrap/>
            <w:vAlign w:val="bottom"/>
            <w:hideMark/>
          </w:tcPr>
          <w:p w14:paraId="5EF3B419" w14:textId="77777777" w:rsidR="0069742C" w:rsidRPr="003D64AE" w:rsidRDefault="0069742C" w:rsidP="0069742C">
            <w:pPr>
              <w:contextualSpacing/>
              <w:jc w:val="center"/>
              <w:rPr>
                <w:color w:val="000000"/>
                <w:sz w:val="18"/>
                <w:szCs w:val="18"/>
              </w:rPr>
            </w:pPr>
            <w:r w:rsidRPr="003D64AE">
              <w:rPr>
                <w:color w:val="000000"/>
                <w:sz w:val="18"/>
                <w:szCs w:val="18"/>
              </w:rPr>
              <w:t>u</w:t>
            </w:r>
          </w:p>
        </w:tc>
        <w:tc>
          <w:tcPr>
            <w:tcW w:w="968" w:type="dxa"/>
            <w:shd w:val="clear" w:color="auto" w:fill="auto"/>
            <w:noWrap/>
            <w:vAlign w:val="bottom"/>
            <w:hideMark/>
          </w:tcPr>
          <w:p w14:paraId="46511426" w14:textId="77777777" w:rsidR="0069742C" w:rsidRPr="003D64AE" w:rsidRDefault="0069742C" w:rsidP="0069742C">
            <w:pPr>
              <w:contextualSpacing/>
              <w:jc w:val="center"/>
              <w:rPr>
                <w:color w:val="000000"/>
                <w:sz w:val="18"/>
                <w:szCs w:val="18"/>
              </w:rPr>
            </w:pPr>
            <w:r w:rsidRPr="003D64AE">
              <w:rPr>
                <w:color w:val="000000"/>
                <w:sz w:val="18"/>
                <w:szCs w:val="18"/>
              </w:rPr>
              <w:t>19</w:t>
            </w:r>
          </w:p>
        </w:tc>
        <w:tc>
          <w:tcPr>
            <w:tcW w:w="1828" w:type="dxa"/>
            <w:shd w:val="clear" w:color="auto" w:fill="auto"/>
            <w:noWrap/>
            <w:vAlign w:val="bottom"/>
            <w:hideMark/>
          </w:tcPr>
          <w:p w14:paraId="2F7ED351" w14:textId="77777777" w:rsidR="0069742C" w:rsidRPr="003D64AE" w:rsidRDefault="0069742C" w:rsidP="0069742C">
            <w:pPr>
              <w:contextualSpacing/>
              <w:jc w:val="center"/>
              <w:rPr>
                <w:color w:val="000000"/>
                <w:sz w:val="18"/>
                <w:szCs w:val="18"/>
              </w:rPr>
            </w:pPr>
            <w:r>
              <w:rPr>
                <w:color w:val="000000"/>
                <w:sz w:val="18"/>
                <w:szCs w:val="18"/>
              </w:rPr>
              <w:t>Fair (15-19)</w:t>
            </w:r>
          </w:p>
        </w:tc>
      </w:tr>
      <w:tr w:rsidR="0069742C" w:rsidRPr="003D64AE" w14:paraId="47DF2338" w14:textId="77777777" w:rsidTr="00B46744">
        <w:trPr>
          <w:cantSplit/>
          <w:trHeight w:val="288"/>
        </w:trPr>
        <w:tc>
          <w:tcPr>
            <w:tcW w:w="2728" w:type="dxa"/>
            <w:shd w:val="clear" w:color="auto" w:fill="auto"/>
            <w:noWrap/>
            <w:vAlign w:val="bottom"/>
            <w:hideMark/>
          </w:tcPr>
          <w:p w14:paraId="0047AB12" w14:textId="12393A4C" w:rsidR="0069742C" w:rsidRPr="003D64AE" w:rsidRDefault="00D2134A" w:rsidP="00173F0A">
            <w:pPr>
              <w:contextualSpacing/>
              <w:rPr>
                <w:color w:val="000000"/>
                <w:sz w:val="18"/>
                <w:szCs w:val="18"/>
              </w:rPr>
            </w:pPr>
            <w:r>
              <w:rPr>
                <w:color w:val="000000"/>
                <w:sz w:val="18"/>
                <w:szCs w:val="18"/>
              </w:rPr>
              <w:fldChar w:fldCharType="begin">
                <w:fldData xml:space="preserve">PEVuZE5vdGU+PENpdGU+PEF1dGhvcj5GYXNlcnU8L0F1dGhvcj48WWVhcj4yMDExPC9ZZWFyPjxS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</w:fldData>
              </w:fldChar>
            </w:r>
            <w:r>
              <w:rPr>
                <w:color w:val="000000"/>
                <w:sz w:val="18"/>
                <w:szCs w:val="18"/>
              </w:rPr>
              <w:instrText xml:space="preserve"> ADDIN EN.CITE </w:instrText>
            </w:r>
            <w:r>
              <w:rPr>
                <w:color w:val="000000"/>
                <w:sz w:val="18"/>
                <w:szCs w:val="18"/>
              </w:rPr>
              <w:fldChar w:fldCharType="begin">
                <w:fldData xml:space="preserve">PEVuZE5vdGU+PENpdGU+PEF1dGhvcj5GYXNlcnU8L0F1dGhvcj48WWVhcj4yMDExPC9ZZWFyPjxS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</w:fldData>
              </w:fldChar>
            </w:r>
            <w:r>
              <w:rPr>
                <w:color w:val="000000"/>
                <w:sz w:val="18"/>
                <w:szCs w:val="18"/>
              </w:rPr>
              <w:instrText xml:space="preserve"> ADDIN EN.CITE.DATA </w:instrText>
            </w:r>
            <w:r>
              <w:rPr>
                <w:color w:val="000000"/>
                <w:sz w:val="18"/>
                <w:szCs w:val="18"/>
              </w:rPr>
            </w:r>
            <w:r>
              <w:rPr>
                <w:color w:val="000000"/>
                <w:sz w:val="18"/>
                <w:szCs w:val="18"/>
              </w:rPr>
              <w:fldChar w:fldCharType="end"/>
            </w:r>
            <w:r>
              <w:rPr>
                <w:color w:val="000000"/>
                <w:sz w:val="18"/>
                <w:szCs w:val="18"/>
              </w:rPr>
              <w:fldChar w:fldCharType="separate"/>
            </w:r>
            <w:r>
              <w:rPr>
                <w:noProof/>
                <w:color w:val="000000"/>
                <w:sz w:val="18"/>
                <w:szCs w:val="18"/>
              </w:rPr>
              <w:t>(</w:t>
            </w:r>
            <w:hyperlink w:anchor="_ENREF_58" w:tooltip="Faseru, 2011 #40" w:history="1">
              <w:r w:rsidR="00A234A9">
                <w:rPr>
                  <w:noProof/>
                  <w:color w:val="000000"/>
                  <w:sz w:val="18"/>
                  <w:szCs w:val="18"/>
                </w:rPr>
                <w:t>58</w:t>
              </w:r>
            </w:hyperlink>
            <w:r>
              <w:rPr>
                <w:noProof/>
                <w:color w:val="000000"/>
                <w:sz w:val="18"/>
                <w:szCs w:val="18"/>
              </w:rPr>
              <w:t xml:space="preserve">, </w:t>
            </w:r>
            <w:hyperlink w:anchor="_ENREF_59" w:tooltip="Faseru, 2013 #29" w:history="1">
              <w:r w:rsidR="00A234A9">
                <w:rPr>
                  <w:noProof/>
                  <w:color w:val="000000"/>
                  <w:sz w:val="18"/>
                  <w:szCs w:val="18"/>
                </w:rPr>
                <w:t>59</w:t>
              </w:r>
            </w:hyperlink>
            <w:r>
              <w:rPr>
                <w:noProof/>
                <w:color w:val="000000"/>
                <w:sz w:val="18"/>
                <w:szCs w:val="18"/>
              </w:rPr>
              <w:t>)</w:t>
            </w:r>
            <w:r>
              <w:rPr>
                <w:color w:val="000000"/>
                <w:sz w:val="18"/>
                <w:szCs w:val="18"/>
              </w:rPr>
              <w:fldChar w:fldCharType="end"/>
            </w:r>
          </w:p>
        </w:tc>
        <w:tc>
          <w:tcPr>
            <w:tcW w:w="1195" w:type="dxa"/>
            <w:shd w:val="clear" w:color="auto" w:fill="auto"/>
            <w:noWrap/>
            <w:vAlign w:val="bottom"/>
            <w:hideMark/>
          </w:tcPr>
          <w:p w14:paraId="587A8BC2" w14:textId="77777777" w:rsidR="0069742C" w:rsidRPr="003D64AE" w:rsidRDefault="0069742C" w:rsidP="0069742C">
            <w:pPr>
              <w:contextualSpacing/>
              <w:jc w:val="center"/>
              <w:rPr>
                <w:color w:val="000000"/>
                <w:sz w:val="18"/>
                <w:szCs w:val="18"/>
              </w:rPr>
            </w:pPr>
            <w:r w:rsidRPr="003D64AE">
              <w:rPr>
                <w:color w:val="000000"/>
                <w:sz w:val="18"/>
                <w:szCs w:val="18"/>
              </w:rPr>
              <w:t>9</w:t>
            </w:r>
          </w:p>
        </w:tc>
        <w:tc>
          <w:tcPr>
            <w:tcW w:w="1192" w:type="dxa"/>
            <w:shd w:val="clear" w:color="auto" w:fill="auto"/>
            <w:noWrap/>
            <w:vAlign w:val="bottom"/>
            <w:hideMark/>
          </w:tcPr>
          <w:p w14:paraId="7050707C"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1330" w:type="dxa"/>
            <w:shd w:val="clear" w:color="auto" w:fill="auto"/>
            <w:noWrap/>
            <w:vAlign w:val="bottom"/>
            <w:hideMark/>
          </w:tcPr>
          <w:p w14:paraId="58F8398F" w14:textId="77777777" w:rsidR="0069742C" w:rsidRPr="003D64AE" w:rsidRDefault="0069742C" w:rsidP="0069742C">
            <w:pPr>
              <w:contextualSpacing/>
              <w:jc w:val="center"/>
              <w:rPr>
                <w:color w:val="000000"/>
                <w:sz w:val="18"/>
                <w:szCs w:val="18"/>
              </w:rPr>
            </w:pPr>
            <w:r w:rsidRPr="003D64AE">
              <w:rPr>
                <w:color w:val="000000"/>
                <w:sz w:val="18"/>
                <w:szCs w:val="18"/>
              </w:rPr>
              <w:t>7</w:t>
            </w:r>
          </w:p>
        </w:tc>
        <w:tc>
          <w:tcPr>
            <w:tcW w:w="1452" w:type="dxa"/>
            <w:shd w:val="clear" w:color="auto" w:fill="auto"/>
            <w:noWrap/>
            <w:vAlign w:val="bottom"/>
            <w:hideMark/>
          </w:tcPr>
          <w:p w14:paraId="45C50E2C" w14:textId="77777777" w:rsidR="0069742C" w:rsidRPr="003D64AE" w:rsidRDefault="0069742C" w:rsidP="0069742C">
            <w:pPr>
              <w:contextualSpacing/>
              <w:jc w:val="center"/>
              <w:rPr>
                <w:color w:val="000000"/>
                <w:sz w:val="18"/>
                <w:szCs w:val="18"/>
              </w:rPr>
            </w:pPr>
            <w:r w:rsidRPr="003D64AE">
              <w:rPr>
                <w:color w:val="000000"/>
                <w:sz w:val="18"/>
                <w:szCs w:val="18"/>
              </w:rPr>
              <w:t>4</w:t>
            </w:r>
          </w:p>
        </w:tc>
        <w:tc>
          <w:tcPr>
            <w:tcW w:w="953" w:type="dxa"/>
            <w:shd w:val="clear" w:color="auto" w:fill="auto"/>
            <w:noWrap/>
            <w:vAlign w:val="bottom"/>
            <w:hideMark/>
          </w:tcPr>
          <w:p w14:paraId="33BD850D"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968" w:type="dxa"/>
            <w:shd w:val="clear" w:color="auto" w:fill="auto"/>
            <w:noWrap/>
            <w:vAlign w:val="bottom"/>
            <w:hideMark/>
          </w:tcPr>
          <w:p w14:paraId="08A6201D" w14:textId="77777777" w:rsidR="0069742C" w:rsidRPr="003D64AE" w:rsidRDefault="0069742C" w:rsidP="0069742C">
            <w:pPr>
              <w:contextualSpacing/>
              <w:jc w:val="center"/>
              <w:rPr>
                <w:color w:val="000000"/>
                <w:sz w:val="18"/>
                <w:szCs w:val="18"/>
              </w:rPr>
            </w:pPr>
            <w:r w:rsidRPr="003D64AE">
              <w:rPr>
                <w:color w:val="000000"/>
                <w:sz w:val="18"/>
                <w:szCs w:val="18"/>
              </w:rPr>
              <w:t>22</w:t>
            </w:r>
          </w:p>
        </w:tc>
        <w:tc>
          <w:tcPr>
            <w:tcW w:w="1828" w:type="dxa"/>
            <w:shd w:val="clear" w:color="auto" w:fill="auto"/>
            <w:noWrap/>
            <w:vAlign w:val="bottom"/>
            <w:hideMark/>
          </w:tcPr>
          <w:p w14:paraId="682AAA96" w14:textId="77777777" w:rsidR="0069742C" w:rsidRPr="003D64AE" w:rsidRDefault="0069742C" w:rsidP="0069742C">
            <w:pPr>
              <w:contextualSpacing/>
              <w:jc w:val="center"/>
              <w:rPr>
                <w:color w:val="000000"/>
                <w:sz w:val="18"/>
                <w:szCs w:val="18"/>
              </w:rPr>
            </w:pPr>
            <w:r w:rsidRPr="003D64AE">
              <w:rPr>
                <w:color w:val="000000"/>
                <w:sz w:val="18"/>
                <w:szCs w:val="18"/>
              </w:rPr>
              <w:t>Good (20-25)</w:t>
            </w:r>
          </w:p>
        </w:tc>
      </w:tr>
      <w:tr w:rsidR="0069742C" w:rsidRPr="003D64AE" w14:paraId="7C017618" w14:textId="77777777" w:rsidTr="00B46744">
        <w:trPr>
          <w:cantSplit/>
          <w:trHeight w:val="288"/>
        </w:trPr>
        <w:tc>
          <w:tcPr>
            <w:tcW w:w="2728" w:type="dxa"/>
            <w:shd w:val="clear" w:color="auto" w:fill="auto"/>
            <w:noWrap/>
            <w:vAlign w:val="bottom"/>
            <w:hideMark/>
          </w:tcPr>
          <w:p w14:paraId="5656F64E" w14:textId="5B4A4F34" w:rsidR="0069742C" w:rsidRPr="003D64AE" w:rsidRDefault="00D2134A" w:rsidP="00173F0A">
            <w:pPr>
              <w:contextualSpacing/>
              <w:rPr>
                <w:color w:val="000000"/>
                <w:sz w:val="18"/>
                <w:szCs w:val="18"/>
              </w:rPr>
            </w:pPr>
            <w:r>
              <w:rPr>
                <w:color w:val="000000"/>
                <w:sz w:val="18"/>
                <w:szCs w:val="18"/>
              </w:rPr>
              <w:fldChar w:fldCharType="begin">
                <w:fldData xml:space="preserve">PEVuZE5vdGU+PENpdGU+PEF1dGhvcj5GZXJuYW5kZXI8L0F1dGhvcj48WWVhcj4yMDEwPC9ZZWFy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</w:fldData>
              </w:fldChar>
            </w:r>
            <w:r>
              <w:rPr>
                <w:color w:val="000000"/>
                <w:sz w:val="18"/>
                <w:szCs w:val="18"/>
              </w:rPr>
              <w:instrText xml:space="preserve"> ADDIN EN.CITE </w:instrText>
            </w:r>
            <w:r>
              <w:rPr>
                <w:color w:val="000000"/>
                <w:sz w:val="18"/>
                <w:szCs w:val="18"/>
              </w:rPr>
              <w:fldChar w:fldCharType="begin">
                <w:fldData xml:space="preserve">PEVuZE5vdGU+PENpdGU+PEF1dGhvcj5GZXJuYW5kZXI8L0F1dGhvcj48WWVhcj4yMDEwPC9ZZWFy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</w:fldData>
              </w:fldChar>
            </w:r>
            <w:r>
              <w:rPr>
                <w:color w:val="000000"/>
                <w:sz w:val="18"/>
                <w:szCs w:val="18"/>
              </w:rPr>
              <w:instrText xml:space="preserve"> ADDIN EN.CITE.DATA </w:instrText>
            </w:r>
            <w:r>
              <w:rPr>
                <w:color w:val="000000"/>
                <w:sz w:val="18"/>
                <w:szCs w:val="18"/>
              </w:rPr>
            </w:r>
            <w:r>
              <w:rPr>
                <w:color w:val="000000"/>
                <w:sz w:val="18"/>
                <w:szCs w:val="18"/>
              </w:rPr>
              <w:fldChar w:fldCharType="end"/>
            </w:r>
            <w:r>
              <w:rPr>
                <w:color w:val="000000"/>
                <w:sz w:val="18"/>
                <w:szCs w:val="18"/>
              </w:rPr>
              <w:fldChar w:fldCharType="separate"/>
            </w:r>
            <w:r>
              <w:rPr>
                <w:noProof/>
                <w:color w:val="000000"/>
                <w:sz w:val="18"/>
                <w:szCs w:val="18"/>
              </w:rPr>
              <w:t>(</w:t>
            </w:r>
            <w:hyperlink w:anchor="_ENREF_60" w:tooltip="Fernander, 2010 #54" w:history="1">
              <w:r w:rsidR="00A234A9">
                <w:rPr>
                  <w:noProof/>
                  <w:color w:val="000000"/>
                  <w:sz w:val="18"/>
                  <w:szCs w:val="18"/>
                </w:rPr>
                <w:t>60</w:t>
              </w:r>
            </w:hyperlink>
            <w:r>
              <w:rPr>
                <w:noProof/>
                <w:color w:val="000000"/>
                <w:sz w:val="18"/>
                <w:szCs w:val="18"/>
              </w:rPr>
              <w:t>)</w:t>
            </w:r>
            <w:r>
              <w:rPr>
                <w:color w:val="000000"/>
                <w:sz w:val="18"/>
                <w:szCs w:val="18"/>
              </w:rPr>
              <w:fldChar w:fldCharType="end"/>
            </w:r>
          </w:p>
        </w:tc>
        <w:tc>
          <w:tcPr>
            <w:tcW w:w="1195" w:type="dxa"/>
            <w:shd w:val="clear" w:color="auto" w:fill="auto"/>
            <w:noWrap/>
            <w:vAlign w:val="bottom"/>
            <w:hideMark/>
          </w:tcPr>
          <w:p w14:paraId="6133FBCE" w14:textId="77777777" w:rsidR="0069742C" w:rsidRPr="003D64AE" w:rsidRDefault="0069742C" w:rsidP="0069742C">
            <w:pPr>
              <w:contextualSpacing/>
              <w:jc w:val="center"/>
              <w:rPr>
                <w:color w:val="000000"/>
                <w:sz w:val="18"/>
                <w:szCs w:val="18"/>
              </w:rPr>
            </w:pPr>
            <w:r w:rsidRPr="003D64AE">
              <w:rPr>
                <w:color w:val="000000"/>
                <w:sz w:val="18"/>
                <w:szCs w:val="18"/>
              </w:rPr>
              <w:t>8</w:t>
            </w:r>
          </w:p>
        </w:tc>
        <w:tc>
          <w:tcPr>
            <w:tcW w:w="1192" w:type="dxa"/>
            <w:shd w:val="clear" w:color="auto" w:fill="auto"/>
            <w:noWrap/>
            <w:vAlign w:val="bottom"/>
            <w:hideMark/>
          </w:tcPr>
          <w:p w14:paraId="224FF623"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1330" w:type="dxa"/>
            <w:shd w:val="clear" w:color="auto" w:fill="auto"/>
            <w:noWrap/>
            <w:vAlign w:val="bottom"/>
            <w:hideMark/>
          </w:tcPr>
          <w:p w14:paraId="70A2708F" w14:textId="77777777" w:rsidR="0069742C" w:rsidRPr="003D64AE" w:rsidRDefault="0069742C" w:rsidP="0069742C">
            <w:pPr>
              <w:contextualSpacing/>
              <w:jc w:val="center"/>
              <w:rPr>
                <w:color w:val="000000"/>
                <w:sz w:val="18"/>
                <w:szCs w:val="18"/>
              </w:rPr>
            </w:pPr>
            <w:r w:rsidRPr="003D64AE">
              <w:rPr>
                <w:color w:val="000000"/>
                <w:sz w:val="18"/>
                <w:szCs w:val="18"/>
              </w:rPr>
              <w:t>5</w:t>
            </w:r>
          </w:p>
        </w:tc>
        <w:tc>
          <w:tcPr>
            <w:tcW w:w="1452" w:type="dxa"/>
            <w:shd w:val="clear" w:color="auto" w:fill="auto"/>
            <w:noWrap/>
            <w:vAlign w:val="bottom"/>
            <w:hideMark/>
          </w:tcPr>
          <w:p w14:paraId="22C5019B" w14:textId="77777777" w:rsidR="0069742C" w:rsidRPr="003D64AE" w:rsidRDefault="0069742C" w:rsidP="0069742C">
            <w:pPr>
              <w:contextualSpacing/>
              <w:jc w:val="center"/>
              <w:rPr>
                <w:color w:val="000000"/>
                <w:sz w:val="18"/>
                <w:szCs w:val="18"/>
              </w:rPr>
            </w:pPr>
            <w:r w:rsidRPr="003D64AE">
              <w:rPr>
                <w:color w:val="000000"/>
                <w:sz w:val="18"/>
                <w:szCs w:val="18"/>
              </w:rPr>
              <w:t>3</w:t>
            </w:r>
          </w:p>
        </w:tc>
        <w:tc>
          <w:tcPr>
            <w:tcW w:w="953" w:type="dxa"/>
            <w:shd w:val="clear" w:color="auto" w:fill="auto"/>
            <w:noWrap/>
            <w:vAlign w:val="bottom"/>
            <w:hideMark/>
          </w:tcPr>
          <w:p w14:paraId="7ADB6142"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968" w:type="dxa"/>
            <w:shd w:val="clear" w:color="auto" w:fill="auto"/>
            <w:noWrap/>
            <w:vAlign w:val="bottom"/>
            <w:hideMark/>
          </w:tcPr>
          <w:p w14:paraId="4D2F2BE5" w14:textId="77777777" w:rsidR="0069742C" w:rsidRPr="003D64AE" w:rsidRDefault="0069742C" w:rsidP="0069742C">
            <w:pPr>
              <w:contextualSpacing/>
              <w:jc w:val="center"/>
              <w:rPr>
                <w:color w:val="000000"/>
                <w:sz w:val="18"/>
                <w:szCs w:val="18"/>
              </w:rPr>
            </w:pPr>
            <w:r w:rsidRPr="003D64AE">
              <w:rPr>
                <w:color w:val="000000"/>
                <w:sz w:val="18"/>
                <w:szCs w:val="18"/>
              </w:rPr>
              <w:t>18</w:t>
            </w:r>
          </w:p>
        </w:tc>
        <w:tc>
          <w:tcPr>
            <w:tcW w:w="1828" w:type="dxa"/>
            <w:shd w:val="clear" w:color="auto" w:fill="auto"/>
            <w:noWrap/>
            <w:vAlign w:val="bottom"/>
            <w:hideMark/>
          </w:tcPr>
          <w:p w14:paraId="25B3C10A" w14:textId="77777777" w:rsidR="0069742C" w:rsidRPr="003D64AE" w:rsidRDefault="0069742C" w:rsidP="0069742C">
            <w:pPr>
              <w:contextualSpacing/>
              <w:jc w:val="center"/>
              <w:rPr>
                <w:color w:val="000000"/>
                <w:sz w:val="18"/>
                <w:szCs w:val="18"/>
              </w:rPr>
            </w:pPr>
            <w:r>
              <w:rPr>
                <w:color w:val="000000"/>
                <w:sz w:val="18"/>
                <w:szCs w:val="18"/>
              </w:rPr>
              <w:t>Fair (15-19)</w:t>
            </w:r>
          </w:p>
        </w:tc>
      </w:tr>
      <w:tr w:rsidR="0069742C" w:rsidRPr="003D64AE" w14:paraId="13E4B44F" w14:textId="77777777" w:rsidTr="00B46744">
        <w:trPr>
          <w:cantSplit/>
          <w:trHeight w:val="288"/>
        </w:trPr>
        <w:tc>
          <w:tcPr>
            <w:tcW w:w="2728" w:type="dxa"/>
            <w:shd w:val="clear" w:color="auto" w:fill="auto"/>
            <w:noWrap/>
            <w:vAlign w:val="bottom"/>
            <w:hideMark/>
          </w:tcPr>
          <w:p w14:paraId="5F1C7246" w14:textId="58F9251F" w:rsidR="0069742C" w:rsidRPr="003D64AE" w:rsidRDefault="00D2134A" w:rsidP="00173F0A">
            <w:pPr>
              <w:contextualSpacing/>
              <w:rPr>
                <w:color w:val="000000"/>
                <w:sz w:val="18"/>
                <w:szCs w:val="18"/>
              </w:rPr>
            </w:pPr>
            <w:r>
              <w:rPr>
                <w:color w:val="000000"/>
                <w:sz w:val="18"/>
                <w:szCs w:val="18"/>
              </w:rPr>
              <w:fldChar w:fldCharType="begin"/>
            </w:r>
            <w:r>
              <w:rPr>
                <w:color w:val="000000"/>
                <w:sz w:val="18"/>
                <w:szCs w:val="18"/>
              </w:rPr>
              <w:instrText xml:space="preserve"> ADDIN EN.CITE &lt;EndNote&gt;&lt;Cite&gt;&lt;Author&gt;Gandhi&lt;/Author&gt;&lt;Year&gt;2009&lt;/Year&gt;&lt;RecNum&gt;67&lt;/RecNum&gt;&lt;DisplayText&gt;(61)&lt;/DisplayText&gt;&lt;record&gt;&lt;rec-number&gt;67&lt;/rec-number&gt;&lt;foreign-keys&gt;&lt;key app="EN" db-id="a2vz2dfp8xrad6exes75zwpiw5rxwa0vwapv" timestamp="0"&gt;67&lt;/key&gt;&lt;/foreign-keys&gt;&lt;ref-type name="Journal Article"&gt;17&lt;/ref-type&gt;&lt;contributors&gt;&lt;authors&gt;&lt;author&gt;Gandhi, K. K.&lt;/author&gt;&lt;author&gt;Foulds, J.&lt;/author&gt;&lt;author&gt;Steinberg, M. B.&lt;/author&gt;&lt;author&gt;Lu, S. E.&lt;/author&gt;&lt;author&gt;Williams, J. M.&lt;/author&gt;&lt;/authors&gt;&lt;/contributors&gt;&lt;auth-address&gt;Division of Addiction Psychiatry, UMDNJ-Robert Wood Johnson Medical School, New Brunswick, NJ 08901, USA. kunal.gandhi@umdnj.edu&lt;/auth-address&gt;&lt;titles&gt;&lt;title&gt;Lower quit rates among African American and Latino menthol cigarette smokers at a tobacco treatment clinic&lt;/title&gt;&lt;secondary-title&gt;Int J Clin Pract&lt;/secondary-title&gt;&lt;/titles&gt;&lt;pages&gt;360-7&lt;/pages&gt;&lt;volume&gt;63&lt;/volume&gt;&lt;number&gt;3&lt;/number&gt;&lt;keywords&gt;&lt;keyword&gt;Adult&lt;/keyword&gt;&lt;keyword&gt;African Americans/*statistics &amp;amp; numerical data&lt;/keyword&gt;&lt;keyword&gt;Cohort Studies&lt;/keyword&gt;&lt;keyword&gt;Educational Status&lt;/keyword&gt;&lt;keyword&gt;European Continental Ancestry Group/statistics &amp;amp; numerical data&lt;/keyword&gt;&lt;keyword&gt;Female&lt;/keyword&gt;&lt;keyword&gt;Hispanic Americans/*statistics &amp;amp; numerical data&lt;/keyword&gt;&lt;keyword&gt;Humans&lt;/keyword&gt;&lt;keyword&gt;Male&lt;/keyword&gt;&lt;keyword&gt;Menthol&lt;/keyword&gt;&lt;keyword&gt;New Jersey&lt;/keyword&gt;&lt;keyword&gt;Retrospective Studies&lt;/keyword&gt;&lt;keyword&gt;Smoking/ethnology/*prevention &amp;amp; control&lt;/keyword&gt;&lt;keyword&gt;Smoking Cessation/*ethnology/statistics &amp;amp; numerical data&lt;/keyword&gt;&lt;keyword&gt;Socioeconomic Factors&lt;/keyword&gt;&lt;keyword&gt;Treatment Outcome&lt;/keyword&gt;&lt;/keywords&gt;&lt;dates&gt;&lt;year&gt;2009&lt;/year&gt;&lt;pub-dates&gt;&lt;date&gt;Mar&lt;/date&gt;&lt;/pub-dates&gt;&lt;/dates&gt;&lt;isbn&gt;1742-1241 (Electronic)&amp;#xD;1368-5031 (Linking)&lt;/isbn&gt;&lt;accession-num&gt;19222622&lt;/accession-num&gt;&lt;urls&gt;&lt;related-urls&gt;&lt;url&gt;http://www.ncbi.nlm.nih.gov/pubmed/19222622&lt;/url&gt;&lt;/related-urls&gt;&lt;/urls&gt;&lt;electronic-resource-num&gt;10.1111/j.1742-1241.2008.01969.x&lt;/electronic-resource-num&gt;&lt;research-notes&gt;#335&lt;/research-notes&gt;&lt;/record&gt;&lt;/Cite&gt;&lt;/EndNote&gt;</w:instrText>
            </w:r>
            <w:r>
              <w:rPr>
                <w:color w:val="000000"/>
                <w:sz w:val="18"/>
                <w:szCs w:val="18"/>
              </w:rPr>
              <w:fldChar w:fldCharType="separate"/>
            </w:r>
            <w:r>
              <w:rPr>
                <w:noProof/>
                <w:color w:val="000000"/>
                <w:sz w:val="18"/>
                <w:szCs w:val="18"/>
              </w:rPr>
              <w:t>(</w:t>
            </w:r>
            <w:hyperlink w:anchor="_ENREF_61" w:tooltip="Gandhi, 2009 #67" w:history="1">
              <w:r w:rsidR="00A234A9">
                <w:rPr>
                  <w:noProof/>
                  <w:color w:val="000000"/>
                  <w:sz w:val="18"/>
                  <w:szCs w:val="18"/>
                </w:rPr>
                <w:t>61</w:t>
              </w:r>
            </w:hyperlink>
            <w:r>
              <w:rPr>
                <w:noProof/>
                <w:color w:val="000000"/>
                <w:sz w:val="18"/>
                <w:szCs w:val="18"/>
              </w:rPr>
              <w:t>)</w:t>
            </w:r>
            <w:r>
              <w:rPr>
                <w:color w:val="000000"/>
                <w:sz w:val="18"/>
                <w:szCs w:val="18"/>
              </w:rPr>
              <w:fldChar w:fldCharType="end"/>
            </w:r>
          </w:p>
        </w:tc>
        <w:tc>
          <w:tcPr>
            <w:tcW w:w="1195" w:type="dxa"/>
            <w:shd w:val="clear" w:color="auto" w:fill="auto"/>
            <w:noWrap/>
            <w:vAlign w:val="bottom"/>
            <w:hideMark/>
          </w:tcPr>
          <w:p w14:paraId="6158D57F" w14:textId="77777777" w:rsidR="0069742C" w:rsidRPr="003D64AE" w:rsidRDefault="0069742C" w:rsidP="0069742C">
            <w:pPr>
              <w:contextualSpacing/>
              <w:jc w:val="center"/>
              <w:rPr>
                <w:color w:val="000000"/>
                <w:sz w:val="18"/>
                <w:szCs w:val="18"/>
              </w:rPr>
            </w:pPr>
            <w:r w:rsidRPr="003D64AE">
              <w:rPr>
                <w:color w:val="000000"/>
                <w:sz w:val="18"/>
                <w:szCs w:val="18"/>
              </w:rPr>
              <w:t>8</w:t>
            </w:r>
          </w:p>
        </w:tc>
        <w:tc>
          <w:tcPr>
            <w:tcW w:w="1192" w:type="dxa"/>
            <w:shd w:val="clear" w:color="auto" w:fill="auto"/>
            <w:noWrap/>
            <w:vAlign w:val="bottom"/>
            <w:hideMark/>
          </w:tcPr>
          <w:p w14:paraId="280362D2"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1330" w:type="dxa"/>
            <w:shd w:val="clear" w:color="auto" w:fill="auto"/>
            <w:noWrap/>
            <w:vAlign w:val="bottom"/>
            <w:hideMark/>
          </w:tcPr>
          <w:p w14:paraId="24F2EB88" w14:textId="77777777" w:rsidR="0069742C" w:rsidRPr="003D64AE" w:rsidRDefault="0069742C" w:rsidP="0069742C">
            <w:pPr>
              <w:contextualSpacing/>
              <w:jc w:val="center"/>
              <w:rPr>
                <w:color w:val="000000"/>
                <w:sz w:val="18"/>
                <w:szCs w:val="18"/>
              </w:rPr>
            </w:pPr>
            <w:r w:rsidRPr="003D64AE">
              <w:rPr>
                <w:color w:val="000000"/>
                <w:sz w:val="18"/>
                <w:szCs w:val="18"/>
              </w:rPr>
              <w:t>5</w:t>
            </w:r>
          </w:p>
        </w:tc>
        <w:tc>
          <w:tcPr>
            <w:tcW w:w="1452" w:type="dxa"/>
            <w:shd w:val="clear" w:color="auto" w:fill="auto"/>
            <w:noWrap/>
            <w:vAlign w:val="bottom"/>
            <w:hideMark/>
          </w:tcPr>
          <w:p w14:paraId="164280B3" w14:textId="77777777" w:rsidR="0069742C" w:rsidRPr="003D64AE" w:rsidRDefault="0069742C" w:rsidP="0069742C">
            <w:pPr>
              <w:contextualSpacing/>
              <w:jc w:val="center"/>
              <w:rPr>
                <w:color w:val="000000"/>
                <w:sz w:val="18"/>
                <w:szCs w:val="18"/>
              </w:rPr>
            </w:pPr>
            <w:r w:rsidRPr="003D64AE">
              <w:rPr>
                <w:color w:val="000000"/>
                <w:sz w:val="18"/>
                <w:szCs w:val="18"/>
              </w:rPr>
              <w:t>4</w:t>
            </w:r>
          </w:p>
        </w:tc>
        <w:tc>
          <w:tcPr>
            <w:tcW w:w="953" w:type="dxa"/>
            <w:shd w:val="clear" w:color="auto" w:fill="auto"/>
            <w:noWrap/>
            <w:vAlign w:val="bottom"/>
            <w:hideMark/>
          </w:tcPr>
          <w:p w14:paraId="105000A9" w14:textId="77777777" w:rsidR="0069742C" w:rsidRPr="003D64AE" w:rsidRDefault="0069742C" w:rsidP="0069742C">
            <w:pPr>
              <w:contextualSpacing/>
              <w:jc w:val="center"/>
              <w:rPr>
                <w:color w:val="000000"/>
                <w:sz w:val="18"/>
                <w:szCs w:val="18"/>
              </w:rPr>
            </w:pPr>
            <w:r w:rsidRPr="003D64AE">
              <w:rPr>
                <w:color w:val="000000"/>
                <w:sz w:val="18"/>
                <w:szCs w:val="18"/>
              </w:rPr>
              <w:t>u</w:t>
            </w:r>
          </w:p>
        </w:tc>
        <w:tc>
          <w:tcPr>
            <w:tcW w:w="968" w:type="dxa"/>
            <w:shd w:val="clear" w:color="auto" w:fill="auto"/>
            <w:noWrap/>
            <w:vAlign w:val="bottom"/>
            <w:hideMark/>
          </w:tcPr>
          <w:p w14:paraId="68361E9F" w14:textId="77777777" w:rsidR="0069742C" w:rsidRPr="003D64AE" w:rsidRDefault="0069742C" w:rsidP="0069742C">
            <w:pPr>
              <w:contextualSpacing/>
              <w:jc w:val="center"/>
              <w:rPr>
                <w:color w:val="000000"/>
                <w:sz w:val="18"/>
                <w:szCs w:val="18"/>
              </w:rPr>
            </w:pPr>
            <w:r w:rsidRPr="003D64AE">
              <w:rPr>
                <w:color w:val="000000"/>
                <w:sz w:val="18"/>
                <w:szCs w:val="18"/>
              </w:rPr>
              <w:t>18</w:t>
            </w:r>
          </w:p>
        </w:tc>
        <w:tc>
          <w:tcPr>
            <w:tcW w:w="1828" w:type="dxa"/>
            <w:shd w:val="clear" w:color="auto" w:fill="auto"/>
            <w:noWrap/>
            <w:vAlign w:val="bottom"/>
            <w:hideMark/>
          </w:tcPr>
          <w:p w14:paraId="7F41A1AF" w14:textId="77777777" w:rsidR="0069742C" w:rsidRPr="003D64AE" w:rsidRDefault="0069742C" w:rsidP="0069742C">
            <w:pPr>
              <w:contextualSpacing/>
              <w:jc w:val="center"/>
              <w:rPr>
                <w:color w:val="000000"/>
                <w:sz w:val="18"/>
                <w:szCs w:val="18"/>
              </w:rPr>
            </w:pPr>
            <w:r>
              <w:rPr>
                <w:color w:val="000000"/>
                <w:sz w:val="18"/>
                <w:szCs w:val="18"/>
              </w:rPr>
              <w:t>Fair (15-19)</w:t>
            </w:r>
          </w:p>
        </w:tc>
      </w:tr>
      <w:tr w:rsidR="0069742C" w:rsidRPr="003D64AE" w14:paraId="04CF7BF5" w14:textId="77777777" w:rsidTr="00B46744">
        <w:trPr>
          <w:cantSplit/>
          <w:trHeight w:val="288"/>
        </w:trPr>
        <w:tc>
          <w:tcPr>
            <w:tcW w:w="2728" w:type="dxa"/>
            <w:shd w:val="clear" w:color="auto" w:fill="auto"/>
            <w:noWrap/>
            <w:vAlign w:val="bottom"/>
          </w:tcPr>
          <w:p w14:paraId="47E5E662" w14:textId="0E752F51" w:rsidR="0069742C" w:rsidRDefault="00D2134A" w:rsidP="00173F0A">
            <w:pPr>
              <w:contextualSpacing/>
              <w:rPr>
                <w:color w:val="000000"/>
                <w:sz w:val="18"/>
                <w:szCs w:val="18"/>
              </w:rPr>
            </w:pPr>
            <w:r>
              <w:rPr>
                <w:color w:val="000000"/>
                <w:sz w:val="18"/>
                <w:szCs w:val="18"/>
              </w:rPr>
              <w:fldChar w:fldCharType="begin">
                <w:fldData xml:space="preserve">PEVuZE5vdGU+PENpdGU+PEF1dGhvcj5HaW92aW5vPC9BdXRob3I+PFllYXI+MjAxNTwvWWVhcj48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</w:fldData>
              </w:fldChar>
            </w:r>
            <w:r>
              <w:rPr>
                <w:color w:val="000000"/>
                <w:sz w:val="18"/>
                <w:szCs w:val="18"/>
              </w:rPr>
              <w:instrText xml:space="preserve"> ADDIN EN.CITE </w:instrText>
            </w:r>
            <w:r>
              <w:rPr>
                <w:color w:val="000000"/>
                <w:sz w:val="18"/>
                <w:szCs w:val="18"/>
              </w:rPr>
              <w:fldChar w:fldCharType="begin">
                <w:fldData xml:space="preserve">PEVuZE5vdGU+PENpdGU+PEF1dGhvcj5HaW92aW5vPC9BdXRob3I+PFllYXI+MjAxNTwvWWVhcj48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</w:fldData>
              </w:fldChar>
            </w:r>
            <w:r>
              <w:rPr>
                <w:color w:val="000000"/>
                <w:sz w:val="18"/>
                <w:szCs w:val="18"/>
              </w:rPr>
              <w:instrText xml:space="preserve"> ADDIN EN.CITE.DATA </w:instrText>
            </w:r>
            <w:r>
              <w:rPr>
                <w:color w:val="000000"/>
                <w:sz w:val="18"/>
                <w:szCs w:val="18"/>
              </w:rPr>
            </w:r>
            <w:r>
              <w:rPr>
                <w:color w:val="000000"/>
                <w:sz w:val="18"/>
                <w:szCs w:val="18"/>
              </w:rPr>
              <w:fldChar w:fldCharType="end"/>
            </w:r>
            <w:r>
              <w:rPr>
                <w:color w:val="000000"/>
                <w:sz w:val="18"/>
                <w:szCs w:val="18"/>
              </w:rPr>
              <w:fldChar w:fldCharType="separate"/>
            </w:r>
            <w:r>
              <w:rPr>
                <w:noProof/>
                <w:color w:val="000000"/>
                <w:sz w:val="18"/>
                <w:szCs w:val="18"/>
              </w:rPr>
              <w:t>(</w:t>
            </w:r>
            <w:hyperlink w:anchor="_ENREF_62" w:tooltip="Giovino, 2015 #10" w:history="1">
              <w:r w:rsidR="00A234A9">
                <w:rPr>
                  <w:noProof/>
                  <w:color w:val="000000"/>
                  <w:sz w:val="18"/>
                  <w:szCs w:val="18"/>
                </w:rPr>
                <w:t>62</w:t>
              </w:r>
            </w:hyperlink>
            <w:r>
              <w:rPr>
                <w:noProof/>
                <w:color w:val="000000"/>
                <w:sz w:val="18"/>
                <w:szCs w:val="18"/>
              </w:rPr>
              <w:t>)</w:t>
            </w:r>
            <w:r>
              <w:rPr>
                <w:color w:val="000000"/>
                <w:sz w:val="18"/>
                <w:szCs w:val="18"/>
              </w:rPr>
              <w:fldChar w:fldCharType="end"/>
            </w:r>
          </w:p>
        </w:tc>
        <w:tc>
          <w:tcPr>
            <w:tcW w:w="1195" w:type="dxa"/>
            <w:shd w:val="clear" w:color="auto" w:fill="auto"/>
            <w:noWrap/>
            <w:vAlign w:val="bottom"/>
          </w:tcPr>
          <w:p w14:paraId="59C41378" w14:textId="77777777" w:rsidR="0069742C" w:rsidRPr="003D64AE" w:rsidRDefault="0069742C" w:rsidP="0069742C">
            <w:pPr>
              <w:contextualSpacing/>
              <w:jc w:val="center"/>
              <w:rPr>
                <w:color w:val="000000"/>
                <w:sz w:val="18"/>
                <w:szCs w:val="18"/>
              </w:rPr>
            </w:pPr>
            <w:r w:rsidRPr="00806697">
              <w:rPr>
                <w:color w:val="000000"/>
                <w:sz w:val="18"/>
                <w:szCs w:val="18"/>
              </w:rPr>
              <w:t>9</w:t>
            </w:r>
          </w:p>
        </w:tc>
        <w:tc>
          <w:tcPr>
            <w:tcW w:w="1192" w:type="dxa"/>
            <w:shd w:val="clear" w:color="auto" w:fill="auto"/>
            <w:noWrap/>
            <w:vAlign w:val="bottom"/>
          </w:tcPr>
          <w:p w14:paraId="522BC293" w14:textId="77777777" w:rsidR="0069742C" w:rsidRPr="003D64AE" w:rsidRDefault="0069742C" w:rsidP="0069742C">
            <w:pPr>
              <w:contextualSpacing/>
              <w:jc w:val="center"/>
              <w:rPr>
                <w:color w:val="000000"/>
                <w:sz w:val="18"/>
                <w:szCs w:val="18"/>
              </w:rPr>
            </w:pPr>
            <w:r w:rsidRPr="00806697">
              <w:rPr>
                <w:color w:val="000000"/>
                <w:sz w:val="18"/>
                <w:szCs w:val="18"/>
              </w:rPr>
              <w:t>1</w:t>
            </w:r>
          </w:p>
        </w:tc>
        <w:tc>
          <w:tcPr>
            <w:tcW w:w="1330" w:type="dxa"/>
            <w:shd w:val="clear" w:color="auto" w:fill="auto"/>
            <w:noWrap/>
            <w:vAlign w:val="bottom"/>
          </w:tcPr>
          <w:p w14:paraId="73D47563" w14:textId="77777777" w:rsidR="0069742C" w:rsidRPr="003D64AE" w:rsidRDefault="0069742C" w:rsidP="0069742C">
            <w:pPr>
              <w:contextualSpacing/>
              <w:jc w:val="center"/>
              <w:rPr>
                <w:color w:val="000000"/>
                <w:sz w:val="18"/>
                <w:szCs w:val="18"/>
              </w:rPr>
            </w:pPr>
            <w:r w:rsidRPr="00806697">
              <w:rPr>
                <w:color w:val="000000"/>
                <w:sz w:val="18"/>
                <w:szCs w:val="18"/>
              </w:rPr>
              <w:t>6</w:t>
            </w:r>
          </w:p>
        </w:tc>
        <w:tc>
          <w:tcPr>
            <w:tcW w:w="1452" w:type="dxa"/>
            <w:shd w:val="clear" w:color="auto" w:fill="auto"/>
            <w:noWrap/>
            <w:vAlign w:val="bottom"/>
          </w:tcPr>
          <w:p w14:paraId="38A85E10" w14:textId="77777777" w:rsidR="0069742C" w:rsidRPr="003D64AE" w:rsidRDefault="0069742C" w:rsidP="0069742C">
            <w:pPr>
              <w:contextualSpacing/>
              <w:jc w:val="center"/>
              <w:rPr>
                <w:color w:val="000000"/>
                <w:sz w:val="18"/>
                <w:szCs w:val="18"/>
              </w:rPr>
            </w:pPr>
            <w:r w:rsidRPr="00806697">
              <w:rPr>
                <w:color w:val="000000"/>
                <w:sz w:val="18"/>
                <w:szCs w:val="18"/>
              </w:rPr>
              <w:t>3</w:t>
            </w:r>
          </w:p>
        </w:tc>
        <w:tc>
          <w:tcPr>
            <w:tcW w:w="953" w:type="dxa"/>
            <w:shd w:val="clear" w:color="auto" w:fill="auto"/>
            <w:noWrap/>
            <w:vAlign w:val="bottom"/>
          </w:tcPr>
          <w:p w14:paraId="2E2D5279" w14:textId="77777777" w:rsidR="0069742C" w:rsidRPr="003D64AE" w:rsidRDefault="0069742C" w:rsidP="0069742C">
            <w:pPr>
              <w:contextualSpacing/>
              <w:jc w:val="center"/>
              <w:rPr>
                <w:color w:val="000000"/>
                <w:sz w:val="18"/>
                <w:szCs w:val="18"/>
              </w:rPr>
            </w:pPr>
            <w:r w:rsidRPr="00806697">
              <w:rPr>
                <w:color w:val="000000"/>
                <w:sz w:val="18"/>
                <w:szCs w:val="18"/>
              </w:rPr>
              <w:t>1</w:t>
            </w:r>
          </w:p>
        </w:tc>
        <w:tc>
          <w:tcPr>
            <w:tcW w:w="968" w:type="dxa"/>
            <w:shd w:val="clear" w:color="auto" w:fill="auto"/>
            <w:noWrap/>
            <w:vAlign w:val="bottom"/>
          </w:tcPr>
          <w:p w14:paraId="1BC1AA73" w14:textId="77777777" w:rsidR="0069742C" w:rsidRPr="003D64AE" w:rsidRDefault="0069742C" w:rsidP="0069742C">
            <w:pPr>
              <w:contextualSpacing/>
              <w:jc w:val="center"/>
              <w:rPr>
                <w:color w:val="000000"/>
                <w:sz w:val="18"/>
                <w:szCs w:val="18"/>
              </w:rPr>
            </w:pPr>
            <w:r w:rsidRPr="00806697">
              <w:rPr>
                <w:color w:val="000000"/>
                <w:sz w:val="18"/>
                <w:szCs w:val="18"/>
              </w:rPr>
              <w:t>20</w:t>
            </w:r>
          </w:p>
        </w:tc>
        <w:tc>
          <w:tcPr>
            <w:tcW w:w="1828" w:type="dxa"/>
            <w:shd w:val="clear" w:color="auto" w:fill="auto"/>
            <w:noWrap/>
            <w:vAlign w:val="bottom"/>
          </w:tcPr>
          <w:p w14:paraId="6FB4C3FC" w14:textId="77777777" w:rsidR="0069742C" w:rsidRDefault="0069742C" w:rsidP="0069742C">
            <w:pPr>
              <w:contextualSpacing/>
              <w:jc w:val="center"/>
              <w:rPr>
                <w:color w:val="000000"/>
                <w:sz w:val="18"/>
                <w:szCs w:val="18"/>
              </w:rPr>
            </w:pPr>
            <w:r w:rsidRPr="00806697">
              <w:rPr>
                <w:color w:val="000000"/>
                <w:sz w:val="18"/>
                <w:szCs w:val="18"/>
              </w:rPr>
              <w:t>Good (20-25)</w:t>
            </w:r>
          </w:p>
        </w:tc>
      </w:tr>
      <w:tr w:rsidR="0069742C" w:rsidRPr="003D64AE" w14:paraId="0C4A70F7" w14:textId="77777777" w:rsidTr="00B46744">
        <w:trPr>
          <w:cantSplit/>
          <w:trHeight w:val="288"/>
        </w:trPr>
        <w:tc>
          <w:tcPr>
            <w:tcW w:w="2728" w:type="dxa"/>
            <w:shd w:val="clear" w:color="auto" w:fill="auto"/>
            <w:noWrap/>
            <w:vAlign w:val="bottom"/>
          </w:tcPr>
          <w:p w14:paraId="26D31E94" w14:textId="08D3DCA9" w:rsidR="0069742C" w:rsidRDefault="00D2134A" w:rsidP="00173F0A">
            <w:pPr>
              <w:contextualSpacing/>
              <w:rPr>
                <w:color w:val="000000"/>
                <w:sz w:val="18"/>
                <w:szCs w:val="18"/>
              </w:rPr>
            </w:pPr>
            <w:r>
              <w:rPr>
                <w:color w:val="000000"/>
                <w:sz w:val="18"/>
                <w:szCs w:val="18"/>
              </w:rPr>
              <w:fldChar w:fldCharType="begin"/>
            </w:r>
            <w:r>
              <w:rPr>
                <w:color w:val="000000"/>
                <w:sz w:val="18"/>
                <w:szCs w:val="18"/>
              </w:rPr>
              <w:instrText xml:space="preserve"> ADDIN EN.CITE &lt;EndNote&gt;&lt;Cite&gt;&lt;Author&gt;Hersey&lt;/Author&gt;&lt;Year&gt;2006&lt;/Year&gt;&lt;RecNum&gt;80&lt;/RecNum&gt;&lt;DisplayText&gt;(64)&lt;/DisplayText&gt;&lt;record&gt;&lt;rec-number&gt;80&lt;/rec-number&gt;&lt;foreign-keys&gt;&lt;key app="EN" db-id="a2vz2dfp8xrad6exes75zwpiw5rxwa0vwapv" timestamp="0"&gt;80&lt;/key&gt;&lt;/foreign-keys&gt;&lt;ref-type name="Journal Article"&gt;17&lt;/ref-type&gt;&lt;contributors&gt;&lt;authors&gt;&lt;author&gt;Hersey, J. C.&lt;/author&gt;&lt;author&gt;Ng, S. W.&lt;/author&gt;&lt;author&gt;Nonnemaker, J. M.&lt;/author&gt;&lt;author&gt;Mowery, P.&lt;/author&gt;&lt;author&gt;Thomas, K. Y.&lt;/author&gt;&lt;author&gt;Vilsaint, M. C.&lt;/author&gt;&lt;author&gt;Allen, J. A.&lt;/author&gt;&lt;author&gt;Haviland, M. L.&lt;/author&gt;&lt;/authors&gt;&lt;/contributors&gt;&lt;auth-address&gt;RTI International, Washington, DC 20036, USA. hersey@rti.org&lt;/auth-address&gt;&lt;titles&gt;&lt;title&gt;Are menthol cigarettes a starter product for youth?&lt;/title&gt;&lt;secondary-title&gt;Nicotine Tob Res&lt;/secondary-title&gt;&lt;/titles&gt;&lt;periodical&gt;&lt;full-title&gt;Nicotine Tob Res&lt;/full-title&gt;&lt;/periodical&gt;&lt;pages&gt;403-13&lt;/pages&gt;&lt;volume&gt;8&lt;/volume&gt;&lt;number&gt;3&lt;/number&gt;&lt;keywords&gt;&lt;keyword&gt;Adolescent&lt;/keyword&gt;&lt;keyword&gt;Adolescent Behavior&lt;/keyword&gt;&lt;keyword&gt;Behavior, Addictive/*epidemiology&lt;/keyword&gt;&lt;keyword&gt;Causality&lt;/keyword&gt;&lt;keyword&gt;Comorbidity&lt;/keyword&gt;&lt;keyword&gt;Female&lt;/keyword&gt;&lt;keyword&gt;Flavoring Agents/administration &amp;amp; dosage&lt;/keyword&gt;&lt;keyword&gt;Humans&lt;/keyword&gt;&lt;keyword&gt;Male&lt;/keyword&gt;&lt;keyword&gt;Menthol/*administration &amp;amp; dosage&lt;/keyword&gt;&lt;keyword&gt;Population Surveillance&lt;/keyword&gt;&lt;keyword&gt;Smoking/*epidemiology/psychology&lt;/keyword&gt;&lt;keyword&gt;*Tobacco Industry&lt;/keyword&gt;&lt;keyword&gt;Tobacco Use Disorder/*epidemiology&lt;/keyword&gt;&lt;keyword&gt;United States/epidemiology&lt;/keyword&gt;&lt;/keywords&gt;&lt;dates&gt;&lt;year&gt;2006&lt;/year&gt;&lt;pub-dates&gt;&lt;date&gt;Jun&lt;/date&gt;&lt;/pub-dates&gt;&lt;/dates&gt;&lt;isbn&gt;1462-2203 (Print)&amp;#xD;1462-2203 (Linking)&lt;/isbn&gt;&lt;accession-num&gt;16801298&lt;/accession-num&gt;&lt;urls&gt;&lt;related-urls&gt;&lt;url&gt;http://www.ncbi.nlm.nih.gov/pubmed/16801298&lt;/url&gt;&lt;/related-urls&gt;&lt;/urls&gt;&lt;electronic-resource-num&gt;10.1080/14622200600670389&lt;/electronic-resource-num&gt;&lt;research-notes&gt;#389&lt;/research-notes&gt;&lt;/record&gt;&lt;/Cite&gt;&lt;/EndNote&gt;</w:instrText>
            </w:r>
            <w:r>
              <w:rPr>
                <w:color w:val="000000"/>
                <w:sz w:val="18"/>
                <w:szCs w:val="18"/>
              </w:rPr>
              <w:fldChar w:fldCharType="separate"/>
            </w:r>
            <w:r>
              <w:rPr>
                <w:noProof/>
                <w:color w:val="000000"/>
                <w:sz w:val="18"/>
                <w:szCs w:val="18"/>
              </w:rPr>
              <w:t>(</w:t>
            </w:r>
            <w:hyperlink w:anchor="_ENREF_64" w:tooltip="Hersey, 2006 #80" w:history="1">
              <w:r w:rsidR="00A234A9">
                <w:rPr>
                  <w:noProof/>
                  <w:color w:val="000000"/>
                  <w:sz w:val="18"/>
                  <w:szCs w:val="18"/>
                </w:rPr>
                <w:t>64</w:t>
              </w:r>
            </w:hyperlink>
            <w:r>
              <w:rPr>
                <w:noProof/>
                <w:color w:val="000000"/>
                <w:sz w:val="18"/>
                <w:szCs w:val="18"/>
              </w:rPr>
              <w:t>)</w:t>
            </w:r>
            <w:r>
              <w:rPr>
                <w:color w:val="000000"/>
                <w:sz w:val="18"/>
                <w:szCs w:val="18"/>
              </w:rPr>
              <w:fldChar w:fldCharType="end"/>
            </w:r>
          </w:p>
        </w:tc>
        <w:tc>
          <w:tcPr>
            <w:tcW w:w="1195" w:type="dxa"/>
            <w:shd w:val="clear" w:color="auto" w:fill="auto"/>
            <w:noWrap/>
            <w:vAlign w:val="bottom"/>
          </w:tcPr>
          <w:p w14:paraId="0C48CC91" w14:textId="77777777" w:rsidR="0069742C" w:rsidRPr="003D64AE" w:rsidRDefault="0069742C" w:rsidP="0069742C">
            <w:pPr>
              <w:contextualSpacing/>
              <w:jc w:val="center"/>
              <w:rPr>
                <w:color w:val="000000"/>
                <w:sz w:val="18"/>
                <w:szCs w:val="18"/>
              </w:rPr>
            </w:pPr>
            <w:r w:rsidRPr="00806697">
              <w:rPr>
                <w:color w:val="000000"/>
                <w:sz w:val="18"/>
                <w:szCs w:val="18"/>
              </w:rPr>
              <w:t>9</w:t>
            </w:r>
          </w:p>
        </w:tc>
        <w:tc>
          <w:tcPr>
            <w:tcW w:w="1192" w:type="dxa"/>
            <w:shd w:val="clear" w:color="auto" w:fill="auto"/>
            <w:noWrap/>
            <w:vAlign w:val="bottom"/>
          </w:tcPr>
          <w:p w14:paraId="5FDC7E03" w14:textId="77777777" w:rsidR="0069742C" w:rsidRPr="003D64AE" w:rsidRDefault="0069742C" w:rsidP="0069742C">
            <w:pPr>
              <w:contextualSpacing/>
              <w:jc w:val="center"/>
              <w:rPr>
                <w:color w:val="000000"/>
                <w:sz w:val="18"/>
                <w:szCs w:val="18"/>
              </w:rPr>
            </w:pPr>
            <w:r w:rsidRPr="00806697">
              <w:rPr>
                <w:color w:val="000000"/>
                <w:sz w:val="18"/>
                <w:szCs w:val="18"/>
              </w:rPr>
              <w:t>2</w:t>
            </w:r>
          </w:p>
        </w:tc>
        <w:tc>
          <w:tcPr>
            <w:tcW w:w="1330" w:type="dxa"/>
            <w:shd w:val="clear" w:color="auto" w:fill="auto"/>
            <w:noWrap/>
            <w:vAlign w:val="bottom"/>
          </w:tcPr>
          <w:p w14:paraId="28DB20CB" w14:textId="77777777" w:rsidR="0069742C" w:rsidRPr="003D64AE" w:rsidRDefault="0069742C" w:rsidP="0069742C">
            <w:pPr>
              <w:contextualSpacing/>
              <w:jc w:val="center"/>
              <w:rPr>
                <w:color w:val="000000"/>
                <w:sz w:val="18"/>
                <w:szCs w:val="18"/>
              </w:rPr>
            </w:pPr>
            <w:r w:rsidRPr="00806697">
              <w:rPr>
                <w:color w:val="000000"/>
                <w:sz w:val="18"/>
                <w:szCs w:val="18"/>
              </w:rPr>
              <w:t>6</w:t>
            </w:r>
          </w:p>
        </w:tc>
        <w:tc>
          <w:tcPr>
            <w:tcW w:w="1452" w:type="dxa"/>
            <w:shd w:val="clear" w:color="auto" w:fill="auto"/>
            <w:noWrap/>
            <w:vAlign w:val="bottom"/>
          </w:tcPr>
          <w:p w14:paraId="7985CE34" w14:textId="77777777" w:rsidR="0069742C" w:rsidRPr="003D64AE" w:rsidRDefault="0069742C" w:rsidP="0069742C">
            <w:pPr>
              <w:contextualSpacing/>
              <w:jc w:val="center"/>
              <w:rPr>
                <w:color w:val="000000"/>
                <w:sz w:val="18"/>
                <w:szCs w:val="18"/>
              </w:rPr>
            </w:pPr>
            <w:r w:rsidRPr="00806697">
              <w:rPr>
                <w:color w:val="000000"/>
                <w:sz w:val="18"/>
                <w:szCs w:val="18"/>
              </w:rPr>
              <w:t>4</w:t>
            </w:r>
          </w:p>
        </w:tc>
        <w:tc>
          <w:tcPr>
            <w:tcW w:w="953" w:type="dxa"/>
            <w:shd w:val="clear" w:color="auto" w:fill="auto"/>
            <w:noWrap/>
            <w:vAlign w:val="bottom"/>
          </w:tcPr>
          <w:p w14:paraId="1D44A584" w14:textId="77777777" w:rsidR="0069742C" w:rsidRPr="003D64AE" w:rsidRDefault="0069742C" w:rsidP="0069742C">
            <w:pPr>
              <w:contextualSpacing/>
              <w:jc w:val="center"/>
              <w:rPr>
                <w:color w:val="000000"/>
                <w:sz w:val="18"/>
                <w:szCs w:val="18"/>
              </w:rPr>
            </w:pPr>
            <w:r w:rsidRPr="00806697">
              <w:rPr>
                <w:color w:val="000000"/>
                <w:sz w:val="18"/>
                <w:szCs w:val="18"/>
              </w:rPr>
              <w:t>1</w:t>
            </w:r>
          </w:p>
        </w:tc>
        <w:tc>
          <w:tcPr>
            <w:tcW w:w="968" w:type="dxa"/>
            <w:shd w:val="clear" w:color="auto" w:fill="auto"/>
            <w:noWrap/>
            <w:vAlign w:val="bottom"/>
          </w:tcPr>
          <w:p w14:paraId="6D8E7FE8" w14:textId="77777777" w:rsidR="0069742C" w:rsidRPr="003D64AE" w:rsidRDefault="0069742C" w:rsidP="0069742C">
            <w:pPr>
              <w:contextualSpacing/>
              <w:jc w:val="center"/>
              <w:rPr>
                <w:color w:val="000000"/>
                <w:sz w:val="18"/>
                <w:szCs w:val="18"/>
              </w:rPr>
            </w:pPr>
            <w:r w:rsidRPr="00806697">
              <w:rPr>
                <w:color w:val="000000"/>
                <w:sz w:val="18"/>
                <w:szCs w:val="18"/>
              </w:rPr>
              <w:t>22</w:t>
            </w:r>
          </w:p>
        </w:tc>
        <w:tc>
          <w:tcPr>
            <w:tcW w:w="1828" w:type="dxa"/>
            <w:shd w:val="clear" w:color="auto" w:fill="auto"/>
            <w:noWrap/>
            <w:vAlign w:val="bottom"/>
          </w:tcPr>
          <w:p w14:paraId="0ECDE803" w14:textId="77777777" w:rsidR="0069742C" w:rsidRDefault="0069742C" w:rsidP="0069742C">
            <w:pPr>
              <w:contextualSpacing/>
              <w:jc w:val="center"/>
              <w:rPr>
                <w:color w:val="000000"/>
                <w:sz w:val="18"/>
                <w:szCs w:val="18"/>
              </w:rPr>
            </w:pPr>
            <w:r w:rsidRPr="00806697">
              <w:rPr>
                <w:color w:val="000000"/>
                <w:sz w:val="18"/>
                <w:szCs w:val="18"/>
              </w:rPr>
              <w:t>Good (20-25)</w:t>
            </w:r>
          </w:p>
        </w:tc>
      </w:tr>
      <w:tr w:rsidR="0069742C" w:rsidRPr="003D64AE" w14:paraId="3FD76295" w14:textId="77777777" w:rsidTr="00B46744">
        <w:trPr>
          <w:cantSplit/>
          <w:trHeight w:val="288"/>
        </w:trPr>
        <w:tc>
          <w:tcPr>
            <w:tcW w:w="2728" w:type="dxa"/>
            <w:shd w:val="clear" w:color="auto" w:fill="auto"/>
            <w:noWrap/>
            <w:vAlign w:val="bottom"/>
            <w:hideMark/>
          </w:tcPr>
          <w:p w14:paraId="1EDC7E36" w14:textId="57E639AC" w:rsidR="0069742C" w:rsidRPr="007D0FF0" w:rsidRDefault="00D2134A" w:rsidP="00173F0A">
            <w:pPr>
              <w:contextualSpacing/>
              <w:rPr>
                <w:color w:val="000000"/>
                <w:sz w:val="18"/>
                <w:szCs w:val="18"/>
              </w:rPr>
            </w:pPr>
            <w:r>
              <w:rPr>
                <w:color w:val="000000"/>
                <w:sz w:val="18"/>
                <w:szCs w:val="18"/>
              </w:rPr>
              <w:fldChar w:fldCharType="begin"/>
            </w:r>
            <w:r>
              <w:rPr>
                <w:color w:val="000000"/>
                <w:sz w:val="18"/>
                <w:szCs w:val="18"/>
              </w:rPr>
              <w:instrText xml:space="preserve"> ADDIN EN.CITE &lt;EndNote&gt;&lt;Cite&gt;&lt;Author&gt;Hersey&lt;/Author&gt;&lt;Year&gt;2010&lt;/Year&gt;&lt;RecNum&gt;103&lt;/RecNum&gt;&lt;DisplayText&gt;(63)&lt;/DisplayText&gt;&lt;record&gt;&lt;rec-number&gt;103&lt;/rec-number&gt;&lt;foreign-keys&gt;&lt;key app="EN" db-id="a2vz2dfp8xrad6exes75zwpiw5rxwa0vwapv" timestamp="0"&gt;103&lt;/key&gt;&lt;/foreign-keys&gt;&lt;ref-type name="Journal Article"&gt;17&lt;/ref-type&gt;&lt;contributors&gt;&lt;authors&gt;&lt;author&gt;Hersey, J. C.&lt;/author&gt;&lt;author&gt;Nonnemaker, J.&lt;/author&gt;&lt;author&gt;Homsi, G.&lt;/author&gt;&lt;author&gt;Allen, J.&lt;/author&gt;&lt;/authors&gt;&lt;/contributors&gt;&lt;titles&gt;&lt;title&gt;Menthol cigarettes, saliva cotinine, and nicotine dependence in adolescents&lt;/title&gt;&lt;/titles&gt;&lt;dates&gt;&lt;year&gt;2010&lt;/year&gt;&lt;/dates&gt;&lt;publisher&gt;RTI International&lt;/publisher&gt;&lt;urls&gt;&lt;/urls&gt;&lt;research-notes&gt;#827&lt;/research-notes&gt;&lt;/record&gt;&lt;/Cite&gt;&lt;/EndNote&gt;</w:instrText>
            </w:r>
            <w:r>
              <w:rPr>
                <w:color w:val="000000"/>
                <w:sz w:val="18"/>
                <w:szCs w:val="18"/>
              </w:rPr>
              <w:fldChar w:fldCharType="separate"/>
            </w:r>
            <w:r>
              <w:rPr>
                <w:noProof/>
                <w:color w:val="000000"/>
                <w:sz w:val="18"/>
                <w:szCs w:val="18"/>
              </w:rPr>
              <w:t>(</w:t>
            </w:r>
            <w:hyperlink w:anchor="_ENREF_63" w:tooltip="Hersey, 2010 #103" w:history="1">
              <w:r w:rsidR="00A234A9">
                <w:rPr>
                  <w:noProof/>
                  <w:color w:val="000000"/>
                  <w:sz w:val="18"/>
                  <w:szCs w:val="18"/>
                </w:rPr>
                <w:t>63</w:t>
              </w:r>
            </w:hyperlink>
            <w:r>
              <w:rPr>
                <w:noProof/>
                <w:color w:val="000000"/>
                <w:sz w:val="18"/>
                <w:szCs w:val="18"/>
              </w:rPr>
              <w:t>)</w:t>
            </w:r>
            <w:r>
              <w:rPr>
                <w:color w:val="000000"/>
                <w:sz w:val="18"/>
                <w:szCs w:val="18"/>
              </w:rPr>
              <w:fldChar w:fldCharType="end"/>
            </w:r>
          </w:p>
        </w:tc>
        <w:tc>
          <w:tcPr>
            <w:tcW w:w="1195" w:type="dxa"/>
            <w:shd w:val="clear" w:color="auto" w:fill="auto"/>
            <w:noWrap/>
            <w:vAlign w:val="center"/>
            <w:hideMark/>
          </w:tcPr>
          <w:p w14:paraId="0BE2A63A" w14:textId="77777777" w:rsidR="0069742C" w:rsidRPr="007D0FF0" w:rsidRDefault="0069742C" w:rsidP="0069742C">
            <w:pPr>
              <w:contextualSpacing/>
              <w:jc w:val="center"/>
              <w:rPr>
                <w:color w:val="000000"/>
                <w:sz w:val="18"/>
                <w:szCs w:val="18"/>
              </w:rPr>
            </w:pPr>
            <w:r w:rsidRPr="007D0FF0">
              <w:rPr>
                <w:sz w:val="18"/>
                <w:szCs w:val="18"/>
              </w:rPr>
              <w:t>9</w:t>
            </w:r>
          </w:p>
        </w:tc>
        <w:tc>
          <w:tcPr>
            <w:tcW w:w="1192" w:type="dxa"/>
            <w:shd w:val="clear" w:color="auto" w:fill="auto"/>
            <w:noWrap/>
            <w:vAlign w:val="center"/>
            <w:hideMark/>
          </w:tcPr>
          <w:p w14:paraId="110FB2ED" w14:textId="77777777" w:rsidR="0069742C" w:rsidRPr="005C6795" w:rsidRDefault="0069742C" w:rsidP="0069742C">
            <w:pPr>
              <w:contextualSpacing/>
              <w:jc w:val="center"/>
              <w:rPr>
                <w:color w:val="000000"/>
                <w:sz w:val="18"/>
                <w:szCs w:val="18"/>
              </w:rPr>
            </w:pPr>
            <w:r w:rsidRPr="005C6795">
              <w:rPr>
                <w:sz w:val="18"/>
                <w:szCs w:val="18"/>
              </w:rPr>
              <w:t>1</w:t>
            </w:r>
          </w:p>
        </w:tc>
        <w:tc>
          <w:tcPr>
            <w:tcW w:w="1330" w:type="dxa"/>
            <w:shd w:val="clear" w:color="auto" w:fill="auto"/>
            <w:noWrap/>
            <w:vAlign w:val="center"/>
            <w:hideMark/>
          </w:tcPr>
          <w:p w14:paraId="224FD5E3" w14:textId="77777777" w:rsidR="0069742C" w:rsidRPr="005C6795" w:rsidRDefault="0069742C" w:rsidP="0069742C">
            <w:pPr>
              <w:contextualSpacing/>
              <w:jc w:val="center"/>
              <w:rPr>
                <w:color w:val="000000"/>
                <w:sz w:val="18"/>
                <w:szCs w:val="18"/>
              </w:rPr>
            </w:pPr>
            <w:r w:rsidRPr="005C6795">
              <w:rPr>
                <w:sz w:val="18"/>
                <w:szCs w:val="18"/>
              </w:rPr>
              <w:t>7</w:t>
            </w:r>
          </w:p>
        </w:tc>
        <w:tc>
          <w:tcPr>
            <w:tcW w:w="1452" w:type="dxa"/>
            <w:shd w:val="clear" w:color="auto" w:fill="auto"/>
            <w:noWrap/>
            <w:vAlign w:val="center"/>
            <w:hideMark/>
          </w:tcPr>
          <w:p w14:paraId="6BCD2A3F" w14:textId="77777777" w:rsidR="0069742C" w:rsidRPr="005C6795" w:rsidRDefault="0069742C" w:rsidP="0069742C">
            <w:pPr>
              <w:contextualSpacing/>
              <w:jc w:val="center"/>
              <w:rPr>
                <w:color w:val="000000"/>
                <w:sz w:val="18"/>
                <w:szCs w:val="18"/>
              </w:rPr>
            </w:pPr>
            <w:r w:rsidRPr="005C6795">
              <w:rPr>
                <w:sz w:val="18"/>
                <w:szCs w:val="18"/>
              </w:rPr>
              <w:t>3</w:t>
            </w:r>
          </w:p>
        </w:tc>
        <w:tc>
          <w:tcPr>
            <w:tcW w:w="953" w:type="dxa"/>
            <w:shd w:val="clear" w:color="auto" w:fill="auto"/>
            <w:noWrap/>
            <w:vAlign w:val="center"/>
            <w:hideMark/>
          </w:tcPr>
          <w:p w14:paraId="38DAA959" w14:textId="77777777" w:rsidR="0069742C" w:rsidRPr="005C6795" w:rsidRDefault="0069742C" w:rsidP="0069742C">
            <w:pPr>
              <w:contextualSpacing/>
              <w:jc w:val="center"/>
              <w:rPr>
                <w:color w:val="000000"/>
                <w:sz w:val="18"/>
                <w:szCs w:val="18"/>
              </w:rPr>
            </w:pPr>
            <w:r w:rsidRPr="005C6795">
              <w:rPr>
                <w:sz w:val="18"/>
                <w:szCs w:val="18"/>
              </w:rPr>
              <w:t>u</w:t>
            </w:r>
          </w:p>
        </w:tc>
        <w:tc>
          <w:tcPr>
            <w:tcW w:w="968" w:type="dxa"/>
            <w:shd w:val="clear" w:color="auto" w:fill="auto"/>
            <w:noWrap/>
            <w:vAlign w:val="center"/>
            <w:hideMark/>
          </w:tcPr>
          <w:p w14:paraId="379F9BEA" w14:textId="77777777" w:rsidR="0069742C" w:rsidRPr="005C6795" w:rsidRDefault="0069742C" w:rsidP="0069742C">
            <w:pPr>
              <w:contextualSpacing/>
              <w:jc w:val="center"/>
              <w:rPr>
                <w:color w:val="000000"/>
                <w:sz w:val="18"/>
                <w:szCs w:val="18"/>
              </w:rPr>
            </w:pPr>
            <w:r w:rsidRPr="005C6795">
              <w:rPr>
                <w:sz w:val="18"/>
                <w:szCs w:val="18"/>
              </w:rPr>
              <w:t>20</w:t>
            </w:r>
          </w:p>
        </w:tc>
        <w:tc>
          <w:tcPr>
            <w:tcW w:w="1828" w:type="dxa"/>
            <w:shd w:val="clear" w:color="auto" w:fill="auto"/>
            <w:noWrap/>
            <w:vAlign w:val="center"/>
            <w:hideMark/>
          </w:tcPr>
          <w:p w14:paraId="012D3F05" w14:textId="77777777" w:rsidR="0069742C" w:rsidRPr="005C6795" w:rsidRDefault="0069742C" w:rsidP="0069742C">
            <w:pPr>
              <w:contextualSpacing/>
              <w:jc w:val="center"/>
              <w:rPr>
                <w:color w:val="000000"/>
                <w:sz w:val="18"/>
                <w:szCs w:val="18"/>
              </w:rPr>
            </w:pPr>
            <w:r w:rsidRPr="005C6795">
              <w:rPr>
                <w:sz w:val="18"/>
                <w:szCs w:val="18"/>
              </w:rPr>
              <w:t>Good (20-25)</w:t>
            </w:r>
          </w:p>
        </w:tc>
      </w:tr>
      <w:tr w:rsidR="0069742C" w:rsidRPr="003D64AE" w14:paraId="12C517A0" w14:textId="77777777" w:rsidTr="00B46744">
        <w:trPr>
          <w:cantSplit/>
          <w:trHeight w:val="288"/>
        </w:trPr>
        <w:tc>
          <w:tcPr>
            <w:tcW w:w="2728" w:type="dxa"/>
            <w:shd w:val="clear" w:color="auto" w:fill="auto"/>
            <w:noWrap/>
            <w:vAlign w:val="bottom"/>
            <w:hideMark/>
          </w:tcPr>
          <w:p w14:paraId="44EDB7B6" w14:textId="2C48430E" w:rsidR="0069742C" w:rsidRPr="003D64AE" w:rsidRDefault="00D2134A" w:rsidP="00173F0A">
            <w:pPr>
              <w:contextualSpacing/>
              <w:rPr>
                <w:color w:val="000000"/>
                <w:sz w:val="18"/>
                <w:szCs w:val="18"/>
              </w:rPr>
            </w:pPr>
            <w:r>
              <w:rPr>
                <w:color w:val="000000"/>
                <w:sz w:val="18"/>
                <w:szCs w:val="18"/>
              </w:rPr>
              <w:fldChar w:fldCharType="begin"/>
            </w:r>
            <w:r>
              <w:rPr>
                <w:color w:val="000000"/>
                <w:sz w:val="18"/>
                <w:szCs w:val="18"/>
              </w:rPr>
              <w:instrText xml:space="preserve"> ADDIN EN.CITE &lt;EndNote&gt;&lt;Cite&gt;&lt;Author&gt;Hyland&lt;/Author&gt;&lt;Year&gt;2002&lt;/Year&gt;&lt;RecNum&gt;87&lt;/RecNum&gt;&lt;DisplayText&gt;(65, 66)&lt;/DisplayText&gt;&lt;record&gt;&lt;rec-number&gt;87&lt;/rec-number&gt;&lt;foreign-keys&gt;&lt;key app="EN" db-id="a2vz2dfp8xrad6exes75zwpiw5rxwa0vwapv" timestamp="0"&gt;87&lt;/key&gt;&lt;/foreign-keys&gt;&lt;ref-type name="Journal Article"&gt;17&lt;/ref-type&gt;&lt;contributors&gt;&lt;authors&gt;&lt;author&gt;Hyland, A. &lt;/author&gt;&lt;author&gt;Garten, S. &lt;/author&gt;&lt;author&gt;Giovino, G. A.&lt;/author&gt;&lt;author&gt;Cummings, K. M.&lt;/author&gt;&lt;/authors&gt;&lt;/contributors&gt;&lt;titles&gt;&lt;title&gt;Mentholated cigarettes and smoking cessation: Findings from COMMIT&lt;/title&gt;&lt;secondary-title&gt;Tob Control&lt;/secondary-title&gt;&lt;/titles&gt;&lt;periodical&gt;&lt;full-title&gt;Tob Control&lt;/full-title&gt;&lt;/periodical&gt;&lt;pages&gt;135-139&lt;/pages&gt;&lt;volume&gt;11&lt;/volume&gt;&lt;section&gt;135&lt;/section&gt;&lt;dates&gt;&lt;year&gt;2002&lt;/year&gt;&lt;/dates&gt;&lt;urls&gt;&lt;/urls&gt;&lt;research-notes&gt;#442&lt;/research-notes&gt;&lt;/record&gt;&lt;/Cite&gt;&lt;Cite&gt;&lt;Author&gt;Hyland&lt;/Author&gt;&lt;Year&gt;2010&lt;/Year&gt;&lt;RecNum&gt;100&lt;/RecNum&gt;&lt;record&gt;&lt;rec-number&gt;100&lt;/rec-number&gt;&lt;foreign-keys&gt;&lt;key app="EN" db-id="a2vz2dfp8xrad6exes75zwpiw5rxwa0vwapv" timestamp="0"&gt;100&lt;/key&gt;&lt;/foreign-keys&gt;&lt;ref-type name="Report"&gt;27&lt;/ref-type&gt;&lt;contributors&gt;&lt;authors&gt;&lt;author&gt;Hyland, A.&lt;/author&gt;&lt;author&gt;Rivard, C.&lt;/author&gt;&lt;/authors&gt;&lt;/contributors&gt;&lt;titles&gt;&lt;title&gt;Analysis of mentholated cigarettes using the COMMIT data -- summary&lt;/title&gt;&lt;/titles&gt;&lt;dates&gt;&lt;year&gt;2010&lt;/year&gt;&lt;/dates&gt;&lt;publisher&gt;Department of Health Behavior, Roswell Park Cancer Institute&lt;/publisher&gt;&lt;urls&gt;&lt;/urls&gt;&lt;research-notes&gt;#818&lt;/research-notes&gt;&lt;/record&gt;&lt;/Cite&gt;&lt;/EndNote&gt;</w:instrText>
            </w:r>
            <w:r>
              <w:rPr>
                <w:color w:val="000000"/>
                <w:sz w:val="18"/>
                <w:szCs w:val="18"/>
              </w:rPr>
              <w:fldChar w:fldCharType="separate"/>
            </w:r>
            <w:r>
              <w:rPr>
                <w:noProof/>
                <w:color w:val="000000"/>
                <w:sz w:val="18"/>
                <w:szCs w:val="18"/>
              </w:rPr>
              <w:t>(</w:t>
            </w:r>
            <w:hyperlink w:anchor="_ENREF_65" w:tooltip="Hyland, 2002 #87" w:history="1">
              <w:r w:rsidR="00A234A9">
                <w:rPr>
                  <w:noProof/>
                  <w:color w:val="000000"/>
                  <w:sz w:val="18"/>
                  <w:szCs w:val="18"/>
                </w:rPr>
                <w:t>65</w:t>
              </w:r>
            </w:hyperlink>
            <w:r>
              <w:rPr>
                <w:noProof/>
                <w:color w:val="000000"/>
                <w:sz w:val="18"/>
                <w:szCs w:val="18"/>
              </w:rPr>
              <w:t xml:space="preserve">, </w:t>
            </w:r>
            <w:hyperlink w:anchor="_ENREF_66" w:tooltip="Hyland, 2010 #100" w:history="1">
              <w:r w:rsidR="00A234A9">
                <w:rPr>
                  <w:noProof/>
                  <w:color w:val="000000"/>
                  <w:sz w:val="18"/>
                  <w:szCs w:val="18"/>
                </w:rPr>
                <w:t>66</w:t>
              </w:r>
            </w:hyperlink>
            <w:r>
              <w:rPr>
                <w:noProof/>
                <w:color w:val="000000"/>
                <w:sz w:val="18"/>
                <w:szCs w:val="18"/>
              </w:rPr>
              <w:t>)</w:t>
            </w:r>
            <w:r>
              <w:rPr>
                <w:color w:val="000000"/>
                <w:sz w:val="18"/>
                <w:szCs w:val="18"/>
              </w:rPr>
              <w:fldChar w:fldCharType="end"/>
            </w:r>
          </w:p>
        </w:tc>
        <w:tc>
          <w:tcPr>
            <w:tcW w:w="1195" w:type="dxa"/>
            <w:shd w:val="clear" w:color="auto" w:fill="auto"/>
            <w:noWrap/>
            <w:vAlign w:val="bottom"/>
            <w:hideMark/>
          </w:tcPr>
          <w:p w14:paraId="6EAD8E4A" w14:textId="77777777" w:rsidR="0069742C" w:rsidRPr="003D64AE" w:rsidRDefault="0069742C" w:rsidP="0069742C">
            <w:pPr>
              <w:contextualSpacing/>
              <w:jc w:val="center"/>
              <w:rPr>
                <w:color w:val="000000"/>
                <w:sz w:val="18"/>
                <w:szCs w:val="18"/>
              </w:rPr>
            </w:pPr>
            <w:r w:rsidRPr="003D64AE">
              <w:rPr>
                <w:color w:val="000000"/>
                <w:sz w:val="18"/>
                <w:szCs w:val="18"/>
              </w:rPr>
              <w:t>9</w:t>
            </w:r>
          </w:p>
        </w:tc>
        <w:tc>
          <w:tcPr>
            <w:tcW w:w="1192" w:type="dxa"/>
            <w:shd w:val="clear" w:color="auto" w:fill="auto"/>
            <w:noWrap/>
            <w:vAlign w:val="bottom"/>
            <w:hideMark/>
          </w:tcPr>
          <w:p w14:paraId="1338B089" w14:textId="77777777" w:rsidR="0069742C" w:rsidRPr="003D64AE" w:rsidRDefault="0069742C" w:rsidP="0069742C">
            <w:pPr>
              <w:contextualSpacing/>
              <w:jc w:val="center"/>
              <w:rPr>
                <w:color w:val="000000"/>
                <w:sz w:val="18"/>
                <w:szCs w:val="18"/>
              </w:rPr>
            </w:pPr>
            <w:r w:rsidRPr="003D64AE">
              <w:rPr>
                <w:color w:val="000000"/>
                <w:sz w:val="18"/>
                <w:szCs w:val="18"/>
              </w:rPr>
              <w:t>2</w:t>
            </w:r>
          </w:p>
        </w:tc>
        <w:tc>
          <w:tcPr>
            <w:tcW w:w="1330" w:type="dxa"/>
            <w:shd w:val="clear" w:color="auto" w:fill="auto"/>
            <w:noWrap/>
            <w:vAlign w:val="bottom"/>
            <w:hideMark/>
          </w:tcPr>
          <w:p w14:paraId="00D930CB" w14:textId="77777777" w:rsidR="0069742C" w:rsidRPr="003D64AE" w:rsidRDefault="0069742C" w:rsidP="0069742C">
            <w:pPr>
              <w:contextualSpacing/>
              <w:jc w:val="center"/>
              <w:rPr>
                <w:color w:val="000000"/>
                <w:sz w:val="18"/>
                <w:szCs w:val="18"/>
              </w:rPr>
            </w:pPr>
            <w:r w:rsidRPr="003D64AE">
              <w:rPr>
                <w:color w:val="000000"/>
                <w:sz w:val="18"/>
                <w:szCs w:val="18"/>
              </w:rPr>
              <w:t>7</w:t>
            </w:r>
          </w:p>
        </w:tc>
        <w:tc>
          <w:tcPr>
            <w:tcW w:w="1452" w:type="dxa"/>
            <w:shd w:val="clear" w:color="auto" w:fill="auto"/>
            <w:noWrap/>
            <w:vAlign w:val="bottom"/>
            <w:hideMark/>
          </w:tcPr>
          <w:p w14:paraId="273197FE" w14:textId="77777777" w:rsidR="0069742C" w:rsidRPr="003D64AE" w:rsidRDefault="0069742C" w:rsidP="0069742C">
            <w:pPr>
              <w:contextualSpacing/>
              <w:jc w:val="center"/>
              <w:rPr>
                <w:color w:val="000000"/>
                <w:sz w:val="18"/>
                <w:szCs w:val="18"/>
              </w:rPr>
            </w:pPr>
            <w:r w:rsidRPr="003D64AE">
              <w:rPr>
                <w:color w:val="000000"/>
                <w:sz w:val="18"/>
                <w:szCs w:val="18"/>
              </w:rPr>
              <w:t>4</w:t>
            </w:r>
          </w:p>
        </w:tc>
        <w:tc>
          <w:tcPr>
            <w:tcW w:w="953" w:type="dxa"/>
            <w:shd w:val="clear" w:color="auto" w:fill="auto"/>
            <w:noWrap/>
            <w:vAlign w:val="bottom"/>
            <w:hideMark/>
          </w:tcPr>
          <w:p w14:paraId="34A0A040"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968" w:type="dxa"/>
            <w:shd w:val="clear" w:color="auto" w:fill="auto"/>
            <w:noWrap/>
            <w:vAlign w:val="bottom"/>
            <w:hideMark/>
          </w:tcPr>
          <w:p w14:paraId="11308657" w14:textId="77777777" w:rsidR="0069742C" w:rsidRPr="003D64AE" w:rsidRDefault="0069742C" w:rsidP="0069742C">
            <w:pPr>
              <w:contextualSpacing/>
              <w:jc w:val="center"/>
              <w:rPr>
                <w:color w:val="000000"/>
                <w:sz w:val="18"/>
                <w:szCs w:val="18"/>
              </w:rPr>
            </w:pPr>
            <w:r w:rsidRPr="003D64AE">
              <w:rPr>
                <w:color w:val="000000"/>
                <w:sz w:val="18"/>
                <w:szCs w:val="18"/>
              </w:rPr>
              <w:t>23</w:t>
            </w:r>
          </w:p>
        </w:tc>
        <w:tc>
          <w:tcPr>
            <w:tcW w:w="1828" w:type="dxa"/>
            <w:shd w:val="clear" w:color="auto" w:fill="auto"/>
            <w:noWrap/>
            <w:vAlign w:val="bottom"/>
            <w:hideMark/>
          </w:tcPr>
          <w:p w14:paraId="0D9E7397" w14:textId="77777777" w:rsidR="0069742C" w:rsidRPr="003D64AE" w:rsidRDefault="0069742C" w:rsidP="0069742C">
            <w:pPr>
              <w:contextualSpacing/>
              <w:jc w:val="center"/>
              <w:rPr>
                <w:color w:val="000000"/>
                <w:sz w:val="18"/>
                <w:szCs w:val="18"/>
              </w:rPr>
            </w:pPr>
            <w:r w:rsidRPr="003D64AE">
              <w:rPr>
                <w:color w:val="000000"/>
                <w:sz w:val="18"/>
                <w:szCs w:val="18"/>
              </w:rPr>
              <w:t>Good (20-25)</w:t>
            </w:r>
          </w:p>
        </w:tc>
      </w:tr>
      <w:tr w:rsidR="0069742C" w:rsidRPr="003D64AE" w14:paraId="6F3148A3" w14:textId="77777777" w:rsidTr="00B46744">
        <w:trPr>
          <w:cantSplit/>
          <w:trHeight w:val="288"/>
        </w:trPr>
        <w:tc>
          <w:tcPr>
            <w:tcW w:w="2728" w:type="dxa"/>
            <w:shd w:val="clear" w:color="auto" w:fill="auto"/>
            <w:noWrap/>
            <w:vAlign w:val="bottom"/>
            <w:hideMark/>
          </w:tcPr>
          <w:p w14:paraId="2E2813F4" w14:textId="7296CFBD" w:rsidR="0069742C" w:rsidRPr="003D64AE" w:rsidRDefault="00D2134A" w:rsidP="00173F0A">
            <w:pPr>
              <w:contextualSpacing/>
              <w:rPr>
                <w:color w:val="000000"/>
                <w:sz w:val="18"/>
                <w:szCs w:val="18"/>
              </w:rPr>
            </w:pPr>
            <w:r>
              <w:rPr>
                <w:color w:val="000000"/>
                <w:sz w:val="18"/>
                <w:szCs w:val="18"/>
              </w:rPr>
              <w:fldChar w:fldCharType="begin"/>
            </w:r>
            <w:r>
              <w:rPr>
                <w:color w:val="000000"/>
                <w:sz w:val="18"/>
                <w:szCs w:val="18"/>
              </w:rPr>
              <w:instrText xml:space="preserve"> ADDIN EN.CITE &lt;EndNote&gt;&lt;Cite&gt;&lt;Author&gt;Jain&lt;/Author&gt;&lt;Year&gt;2014&lt;/Year&gt;&lt;RecNum&gt;21&lt;/RecNum&gt;&lt;DisplayText&gt;(67)&lt;/DisplayText&gt;&lt;record&gt;&lt;rec-number&gt;21&lt;/rec-number&gt;&lt;foreign-keys&gt;&lt;key app="EN" db-id="a2vz2dfp8xrad6exes75zwpiw5rxwa0vwapv" timestamp="0"&gt;21&lt;/key&gt;&lt;/foreign-keys&gt;&lt;ref-type name="Journal Article"&gt;17&lt;/ref-type&gt;&lt;contributors&gt;&lt;authors&gt;&lt;author&gt;Jain, R. B.&lt;/author&gt;&lt;/authors&gt;&lt;/contributors&gt;&lt;auth-address&gt;Lawrenceville, GA 30044, United States. Electronic address: Jain.ram.b@gmail.com.&lt;/auth-address&gt;&lt;titles&gt;&lt;title&gt;Trends in serum cotinine concentrations among daily cigarette smokers: data from NHANES 1999-2010&lt;/title&gt;&lt;secondary-title&gt;Sci Total Environ&lt;/secondary-title&gt;&lt;/titles&gt;&lt;pages&gt;72-7&lt;/pages&gt;&lt;volume&gt;472&lt;/volume&gt;&lt;keywords&gt;&lt;keyword&gt;Adult&lt;/keyword&gt;&lt;keyword&gt;Cotinine/*blood&lt;/keyword&gt;&lt;keyword&gt;Female&lt;/keyword&gt;&lt;keyword&gt;Humans&lt;/keyword&gt;&lt;keyword&gt;Male&lt;/keyword&gt;&lt;keyword&gt;*Nutrition Surveys&lt;/keyword&gt;&lt;keyword&gt;Smoking/*blood/epidemiology&lt;/keyword&gt;&lt;keyword&gt;Tobacco Smoke Pollution/statistics &amp;amp; numerical data&lt;/keyword&gt;&lt;keyword&gt;Nicotine&lt;/keyword&gt;&lt;keyword&gt;Serum cotinine&lt;/keyword&gt;&lt;keyword&gt;Smoking&lt;/keyword&gt;&lt;/keywords&gt;&lt;dates&gt;&lt;year&gt;2014&lt;/year&gt;&lt;pub-dates&gt;&lt;date&gt;Feb 15&lt;/date&gt;&lt;/pub-dates&gt;&lt;/dates&gt;&lt;isbn&gt;1879-1026 (Electronic)&amp;#xD;0048-9697 (Linking)&lt;/isbn&gt;&lt;accession-num&gt;24291557&lt;/accession-num&gt;&lt;urls&gt;&lt;related-urls&gt;&lt;url&gt;http://www.ncbi.nlm.nih.gov/pubmed/24291557&lt;/url&gt;&lt;/related-urls&gt;&lt;/urls&gt;&lt;electronic-resource-num&gt;10.1016/j.scitotenv.2013.11.002&lt;/electronic-resource-num&gt;&lt;research-notes&gt;#110&lt;/research-notes&gt;&lt;/record&gt;&lt;/Cite&gt;&lt;/EndNote&gt;</w:instrText>
            </w:r>
            <w:r>
              <w:rPr>
                <w:color w:val="000000"/>
                <w:sz w:val="18"/>
                <w:szCs w:val="18"/>
              </w:rPr>
              <w:fldChar w:fldCharType="separate"/>
            </w:r>
            <w:r>
              <w:rPr>
                <w:noProof/>
                <w:color w:val="000000"/>
                <w:sz w:val="18"/>
                <w:szCs w:val="18"/>
              </w:rPr>
              <w:t>(</w:t>
            </w:r>
            <w:hyperlink w:anchor="_ENREF_67" w:tooltip="Jain, 2014 #21" w:history="1">
              <w:r w:rsidR="00A234A9">
                <w:rPr>
                  <w:noProof/>
                  <w:color w:val="000000"/>
                  <w:sz w:val="18"/>
                  <w:szCs w:val="18"/>
                </w:rPr>
                <w:t>67</w:t>
              </w:r>
            </w:hyperlink>
            <w:r>
              <w:rPr>
                <w:noProof/>
                <w:color w:val="000000"/>
                <w:sz w:val="18"/>
                <w:szCs w:val="18"/>
              </w:rPr>
              <w:t>)</w:t>
            </w:r>
            <w:r>
              <w:rPr>
                <w:color w:val="000000"/>
                <w:sz w:val="18"/>
                <w:szCs w:val="18"/>
              </w:rPr>
              <w:fldChar w:fldCharType="end"/>
            </w:r>
          </w:p>
        </w:tc>
        <w:tc>
          <w:tcPr>
            <w:tcW w:w="1195" w:type="dxa"/>
            <w:shd w:val="clear" w:color="auto" w:fill="auto"/>
            <w:noWrap/>
            <w:vAlign w:val="bottom"/>
            <w:hideMark/>
          </w:tcPr>
          <w:p w14:paraId="52924A06" w14:textId="77777777" w:rsidR="0069742C" w:rsidRPr="003D64AE" w:rsidRDefault="0069742C" w:rsidP="0069742C">
            <w:pPr>
              <w:contextualSpacing/>
              <w:jc w:val="center"/>
              <w:rPr>
                <w:color w:val="000000"/>
                <w:sz w:val="18"/>
                <w:szCs w:val="18"/>
              </w:rPr>
            </w:pPr>
            <w:r w:rsidRPr="003D64AE">
              <w:rPr>
                <w:color w:val="000000"/>
                <w:sz w:val="18"/>
                <w:szCs w:val="18"/>
              </w:rPr>
              <w:t>8</w:t>
            </w:r>
          </w:p>
        </w:tc>
        <w:tc>
          <w:tcPr>
            <w:tcW w:w="1192" w:type="dxa"/>
            <w:shd w:val="clear" w:color="auto" w:fill="auto"/>
            <w:noWrap/>
            <w:vAlign w:val="bottom"/>
            <w:hideMark/>
          </w:tcPr>
          <w:p w14:paraId="512EAA39"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1330" w:type="dxa"/>
            <w:shd w:val="clear" w:color="auto" w:fill="auto"/>
            <w:noWrap/>
            <w:vAlign w:val="bottom"/>
            <w:hideMark/>
          </w:tcPr>
          <w:p w14:paraId="06452D5E" w14:textId="77777777" w:rsidR="0069742C" w:rsidRPr="003D64AE" w:rsidRDefault="0069742C" w:rsidP="0069742C">
            <w:pPr>
              <w:contextualSpacing/>
              <w:jc w:val="center"/>
              <w:rPr>
                <w:color w:val="000000"/>
                <w:sz w:val="18"/>
                <w:szCs w:val="18"/>
              </w:rPr>
            </w:pPr>
            <w:r w:rsidRPr="003D64AE">
              <w:rPr>
                <w:color w:val="000000"/>
                <w:sz w:val="18"/>
                <w:szCs w:val="18"/>
              </w:rPr>
              <w:t>7</w:t>
            </w:r>
          </w:p>
        </w:tc>
        <w:tc>
          <w:tcPr>
            <w:tcW w:w="1452" w:type="dxa"/>
            <w:shd w:val="clear" w:color="auto" w:fill="auto"/>
            <w:noWrap/>
            <w:vAlign w:val="bottom"/>
            <w:hideMark/>
          </w:tcPr>
          <w:p w14:paraId="26EA2EC4" w14:textId="77777777" w:rsidR="0069742C" w:rsidRPr="003D64AE" w:rsidRDefault="0069742C" w:rsidP="0069742C">
            <w:pPr>
              <w:contextualSpacing/>
              <w:jc w:val="center"/>
              <w:rPr>
                <w:color w:val="000000"/>
                <w:sz w:val="18"/>
                <w:szCs w:val="18"/>
              </w:rPr>
            </w:pPr>
            <w:r w:rsidRPr="003D64AE">
              <w:rPr>
                <w:color w:val="000000"/>
                <w:sz w:val="18"/>
                <w:szCs w:val="18"/>
              </w:rPr>
              <w:t>2</w:t>
            </w:r>
          </w:p>
        </w:tc>
        <w:tc>
          <w:tcPr>
            <w:tcW w:w="953" w:type="dxa"/>
            <w:shd w:val="clear" w:color="auto" w:fill="auto"/>
            <w:noWrap/>
            <w:vAlign w:val="bottom"/>
            <w:hideMark/>
          </w:tcPr>
          <w:p w14:paraId="0110D0DA"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968" w:type="dxa"/>
            <w:shd w:val="clear" w:color="auto" w:fill="auto"/>
            <w:noWrap/>
            <w:vAlign w:val="bottom"/>
            <w:hideMark/>
          </w:tcPr>
          <w:p w14:paraId="7D28DEC8" w14:textId="77777777" w:rsidR="0069742C" w:rsidRPr="003D64AE" w:rsidRDefault="0069742C" w:rsidP="0069742C">
            <w:pPr>
              <w:contextualSpacing/>
              <w:jc w:val="center"/>
              <w:rPr>
                <w:color w:val="000000"/>
                <w:sz w:val="18"/>
                <w:szCs w:val="18"/>
              </w:rPr>
            </w:pPr>
            <w:r w:rsidRPr="003D64AE">
              <w:rPr>
                <w:color w:val="000000"/>
                <w:sz w:val="18"/>
                <w:szCs w:val="18"/>
              </w:rPr>
              <w:t>19</w:t>
            </w:r>
          </w:p>
        </w:tc>
        <w:tc>
          <w:tcPr>
            <w:tcW w:w="1828" w:type="dxa"/>
            <w:shd w:val="clear" w:color="auto" w:fill="auto"/>
            <w:noWrap/>
            <w:vAlign w:val="bottom"/>
            <w:hideMark/>
          </w:tcPr>
          <w:p w14:paraId="23F7A994" w14:textId="77777777" w:rsidR="0069742C" w:rsidRPr="003D64AE" w:rsidRDefault="0069742C" w:rsidP="0069742C">
            <w:pPr>
              <w:contextualSpacing/>
              <w:jc w:val="center"/>
              <w:rPr>
                <w:color w:val="000000"/>
                <w:sz w:val="18"/>
                <w:szCs w:val="18"/>
              </w:rPr>
            </w:pPr>
            <w:r>
              <w:rPr>
                <w:color w:val="000000"/>
                <w:sz w:val="18"/>
                <w:szCs w:val="18"/>
              </w:rPr>
              <w:t>Fair (15-19)</w:t>
            </w:r>
          </w:p>
        </w:tc>
      </w:tr>
      <w:tr w:rsidR="0069742C" w:rsidRPr="003D64AE" w14:paraId="5E71DFD2" w14:textId="77777777" w:rsidTr="00B46744">
        <w:trPr>
          <w:cantSplit/>
          <w:trHeight w:val="288"/>
        </w:trPr>
        <w:tc>
          <w:tcPr>
            <w:tcW w:w="2728" w:type="dxa"/>
            <w:shd w:val="clear" w:color="auto" w:fill="auto"/>
            <w:noWrap/>
            <w:vAlign w:val="bottom"/>
            <w:hideMark/>
          </w:tcPr>
          <w:p w14:paraId="50BC860E" w14:textId="065E8B15" w:rsidR="0069742C" w:rsidRPr="003D64AE" w:rsidRDefault="00D2134A" w:rsidP="00173F0A">
            <w:pPr>
              <w:contextualSpacing/>
              <w:rPr>
                <w:color w:val="000000"/>
                <w:sz w:val="18"/>
                <w:szCs w:val="18"/>
              </w:rPr>
            </w:pPr>
            <w:r>
              <w:rPr>
                <w:color w:val="000000"/>
                <w:sz w:val="18"/>
                <w:szCs w:val="18"/>
              </w:rPr>
              <w:fldChar w:fldCharType="begin">
                <w:fldData xml:space="preserve">PEVuZE5vdGU+PENpdGU+PEF1dGhvcj5Kb25lczwvQXV0aG9yPjxZZWFyPjIwMTM8L1llYXI+PFJl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</w:fldData>
              </w:fldChar>
            </w:r>
            <w:r>
              <w:rPr>
                <w:color w:val="000000"/>
                <w:sz w:val="18"/>
                <w:szCs w:val="18"/>
              </w:rPr>
              <w:instrText xml:space="preserve"> ADDIN EN.CITE </w:instrText>
            </w:r>
            <w:r>
              <w:rPr>
                <w:color w:val="000000"/>
                <w:sz w:val="18"/>
                <w:szCs w:val="18"/>
              </w:rPr>
              <w:fldChar w:fldCharType="begin">
                <w:fldData xml:space="preserve">PEVuZE5vdGU+PENpdGU+PEF1dGhvcj5Kb25lczwvQXV0aG9yPjxZZWFyPjIwMTM8L1llYXI+PFJl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</w:fldData>
              </w:fldChar>
            </w:r>
            <w:r>
              <w:rPr>
                <w:color w:val="000000"/>
                <w:sz w:val="18"/>
                <w:szCs w:val="18"/>
              </w:rPr>
              <w:instrText xml:space="preserve"> ADDIN EN.CITE.DATA </w:instrText>
            </w:r>
            <w:r>
              <w:rPr>
                <w:color w:val="000000"/>
                <w:sz w:val="18"/>
                <w:szCs w:val="18"/>
              </w:rPr>
            </w:r>
            <w:r>
              <w:rPr>
                <w:color w:val="000000"/>
                <w:sz w:val="18"/>
                <w:szCs w:val="18"/>
              </w:rPr>
              <w:fldChar w:fldCharType="end"/>
            </w:r>
            <w:r>
              <w:rPr>
                <w:color w:val="000000"/>
                <w:sz w:val="18"/>
                <w:szCs w:val="18"/>
              </w:rPr>
              <w:fldChar w:fldCharType="separate"/>
            </w:r>
            <w:r>
              <w:rPr>
                <w:noProof/>
                <w:color w:val="000000"/>
                <w:sz w:val="18"/>
                <w:szCs w:val="18"/>
              </w:rPr>
              <w:t>(</w:t>
            </w:r>
            <w:hyperlink w:anchor="_ENREF_68" w:tooltip="Jones, 2013 #30" w:history="1">
              <w:r w:rsidR="00A234A9">
                <w:rPr>
                  <w:noProof/>
                  <w:color w:val="000000"/>
                  <w:sz w:val="18"/>
                  <w:szCs w:val="18"/>
                </w:rPr>
                <w:t>68</w:t>
              </w:r>
            </w:hyperlink>
            <w:r>
              <w:rPr>
                <w:noProof/>
                <w:color w:val="000000"/>
                <w:sz w:val="18"/>
                <w:szCs w:val="18"/>
              </w:rPr>
              <w:t>)</w:t>
            </w:r>
            <w:r>
              <w:rPr>
                <w:color w:val="000000"/>
                <w:sz w:val="18"/>
                <w:szCs w:val="18"/>
              </w:rPr>
              <w:fldChar w:fldCharType="end"/>
            </w:r>
          </w:p>
        </w:tc>
        <w:tc>
          <w:tcPr>
            <w:tcW w:w="1195" w:type="dxa"/>
            <w:shd w:val="clear" w:color="auto" w:fill="auto"/>
            <w:noWrap/>
            <w:vAlign w:val="bottom"/>
            <w:hideMark/>
          </w:tcPr>
          <w:p w14:paraId="6B6FB634" w14:textId="77777777" w:rsidR="0069742C" w:rsidRPr="003D64AE" w:rsidRDefault="0069742C" w:rsidP="0069742C">
            <w:pPr>
              <w:contextualSpacing/>
              <w:jc w:val="center"/>
              <w:rPr>
                <w:color w:val="000000"/>
                <w:sz w:val="18"/>
                <w:szCs w:val="18"/>
              </w:rPr>
            </w:pPr>
            <w:r w:rsidRPr="003D64AE">
              <w:rPr>
                <w:color w:val="000000"/>
                <w:sz w:val="18"/>
                <w:szCs w:val="18"/>
              </w:rPr>
              <w:t>9</w:t>
            </w:r>
          </w:p>
        </w:tc>
        <w:tc>
          <w:tcPr>
            <w:tcW w:w="1192" w:type="dxa"/>
            <w:shd w:val="clear" w:color="auto" w:fill="auto"/>
            <w:noWrap/>
            <w:vAlign w:val="bottom"/>
            <w:hideMark/>
          </w:tcPr>
          <w:p w14:paraId="37ADD10B" w14:textId="77777777" w:rsidR="0069742C" w:rsidRPr="003D64AE" w:rsidRDefault="0069742C" w:rsidP="0069742C">
            <w:pPr>
              <w:contextualSpacing/>
              <w:jc w:val="center"/>
              <w:rPr>
                <w:color w:val="000000"/>
                <w:sz w:val="18"/>
                <w:szCs w:val="18"/>
              </w:rPr>
            </w:pPr>
            <w:r w:rsidRPr="003D64AE">
              <w:rPr>
                <w:color w:val="000000"/>
                <w:sz w:val="18"/>
                <w:szCs w:val="18"/>
              </w:rPr>
              <w:t>2</w:t>
            </w:r>
          </w:p>
        </w:tc>
        <w:tc>
          <w:tcPr>
            <w:tcW w:w="1330" w:type="dxa"/>
            <w:shd w:val="clear" w:color="auto" w:fill="auto"/>
            <w:noWrap/>
            <w:vAlign w:val="bottom"/>
            <w:hideMark/>
          </w:tcPr>
          <w:p w14:paraId="2239590E" w14:textId="77777777" w:rsidR="0069742C" w:rsidRPr="003D64AE" w:rsidRDefault="0069742C" w:rsidP="0069742C">
            <w:pPr>
              <w:contextualSpacing/>
              <w:jc w:val="center"/>
              <w:rPr>
                <w:color w:val="000000"/>
                <w:sz w:val="18"/>
                <w:szCs w:val="18"/>
              </w:rPr>
            </w:pPr>
            <w:r w:rsidRPr="003D64AE">
              <w:rPr>
                <w:color w:val="000000"/>
                <w:sz w:val="18"/>
                <w:szCs w:val="18"/>
              </w:rPr>
              <w:t>6</w:t>
            </w:r>
          </w:p>
        </w:tc>
        <w:tc>
          <w:tcPr>
            <w:tcW w:w="1452" w:type="dxa"/>
            <w:shd w:val="clear" w:color="auto" w:fill="auto"/>
            <w:noWrap/>
            <w:vAlign w:val="bottom"/>
            <w:hideMark/>
          </w:tcPr>
          <w:p w14:paraId="0D1A418F" w14:textId="77777777" w:rsidR="0069742C" w:rsidRPr="003D64AE" w:rsidRDefault="0069742C" w:rsidP="0069742C">
            <w:pPr>
              <w:contextualSpacing/>
              <w:jc w:val="center"/>
              <w:rPr>
                <w:color w:val="000000"/>
                <w:sz w:val="18"/>
                <w:szCs w:val="18"/>
              </w:rPr>
            </w:pPr>
            <w:r w:rsidRPr="003D64AE">
              <w:rPr>
                <w:color w:val="000000"/>
                <w:sz w:val="18"/>
                <w:szCs w:val="18"/>
              </w:rPr>
              <w:t>4</w:t>
            </w:r>
          </w:p>
        </w:tc>
        <w:tc>
          <w:tcPr>
            <w:tcW w:w="953" w:type="dxa"/>
            <w:shd w:val="clear" w:color="auto" w:fill="auto"/>
            <w:noWrap/>
            <w:vAlign w:val="bottom"/>
            <w:hideMark/>
          </w:tcPr>
          <w:p w14:paraId="4351CBC3"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968" w:type="dxa"/>
            <w:shd w:val="clear" w:color="auto" w:fill="auto"/>
            <w:noWrap/>
            <w:vAlign w:val="bottom"/>
            <w:hideMark/>
          </w:tcPr>
          <w:p w14:paraId="3402D640" w14:textId="77777777" w:rsidR="0069742C" w:rsidRPr="003D64AE" w:rsidRDefault="0069742C" w:rsidP="0069742C">
            <w:pPr>
              <w:contextualSpacing/>
              <w:jc w:val="center"/>
              <w:rPr>
                <w:color w:val="000000"/>
                <w:sz w:val="18"/>
                <w:szCs w:val="18"/>
              </w:rPr>
            </w:pPr>
            <w:r w:rsidRPr="003D64AE">
              <w:rPr>
                <w:color w:val="000000"/>
                <w:sz w:val="18"/>
                <w:szCs w:val="18"/>
              </w:rPr>
              <w:t>22</w:t>
            </w:r>
          </w:p>
        </w:tc>
        <w:tc>
          <w:tcPr>
            <w:tcW w:w="1828" w:type="dxa"/>
            <w:shd w:val="clear" w:color="auto" w:fill="auto"/>
            <w:noWrap/>
            <w:vAlign w:val="bottom"/>
            <w:hideMark/>
          </w:tcPr>
          <w:p w14:paraId="6BE229FE" w14:textId="77777777" w:rsidR="0069742C" w:rsidRPr="003D64AE" w:rsidRDefault="0069742C" w:rsidP="0069742C">
            <w:pPr>
              <w:contextualSpacing/>
              <w:jc w:val="center"/>
              <w:rPr>
                <w:color w:val="000000"/>
                <w:sz w:val="18"/>
                <w:szCs w:val="18"/>
              </w:rPr>
            </w:pPr>
            <w:r w:rsidRPr="003D64AE">
              <w:rPr>
                <w:color w:val="000000"/>
                <w:sz w:val="18"/>
                <w:szCs w:val="18"/>
              </w:rPr>
              <w:t>Good (20-25)</w:t>
            </w:r>
          </w:p>
        </w:tc>
      </w:tr>
      <w:tr w:rsidR="0069742C" w:rsidRPr="003D64AE" w14:paraId="0025E7A8" w14:textId="77777777" w:rsidTr="00B46744">
        <w:trPr>
          <w:cantSplit/>
          <w:trHeight w:val="288"/>
        </w:trPr>
        <w:tc>
          <w:tcPr>
            <w:tcW w:w="2728" w:type="dxa"/>
            <w:shd w:val="clear" w:color="auto" w:fill="auto"/>
            <w:noWrap/>
            <w:vAlign w:val="bottom"/>
            <w:hideMark/>
          </w:tcPr>
          <w:p w14:paraId="51A46084" w14:textId="1F7DD9F4" w:rsidR="0069742C" w:rsidRPr="003D64AE" w:rsidRDefault="00D2134A" w:rsidP="00173F0A">
            <w:pPr>
              <w:contextualSpacing/>
              <w:rPr>
                <w:color w:val="000000"/>
                <w:sz w:val="18"/>
                <w:szCs w:val="18"/>
              </w:rPr>
            </w:pPr>
            <w:r>
              <w:rPr>
                <w:color w:val="000000"/>
                <w:sz w:val="18"/>
                <w:szCs w:val="18"/>
              </w:rPr>
              <w:fldChar w:fldCharType="begin">
                <w:fldData xml:space="preserve">PEVuZE5vdGU+PENpdGU+PEF1dGhvcj5LYXN6YTwvQXV0aG9yPjxZZWFyPjIwMTQ8L1llYXI+PFJl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</w:fldData>
              </w:fldChar>
            </w:r>
            <w:r>
              <w:rPr>
                <w:color w:val="000000"/>
                <w:sz w:val="18"/>
                <w:szCs w:val="18"/>
              </w:rPr>
              <w:instrText xml:space="preserve"> ADDIN EN.CITE </w:instrText>
            </w:r>
            <w:r>
              <w:rPr>
                <w:color w:val="000000"/>
                <w:sz w:val="18"/>
                <w:szCs w:val="18"/>
              </w:rPr>
              <w:fldChar w:fldCharType="begin">
                <w:fldData xml:space="preserve">PEVuZE5vdGU+PENpdGU+PEF1dGhvcj5LYXN6YTwvQXV0aG9yPjxZZWFyPjIwMTQ8L1llYXI+PFJl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</w:fldData>
              </w:fldChar>
            </w:r>
            <w:r>
              <w:rPr>
                <w:color w:val="000000"/>
                <w:sz w:val="18"/>
                <w:szCs w:val="18"/>
              </w:rPr>
              <w:instrText xml:space="preserve"> ADDIN EN.CITE.DATA </w:instrText>
            </w:r>
            <w:r>
              <w:rPr>
                <w:color w:val="000000"/>
                <w:sz w:val="18"/>
                <w:szCs w:val="18"/>
              </w:rPr>
            </w:r>
            <w:r>
              <w:rPr>
                <w:color w:val="000000"/>
                <w:sz w:val="18"/>
                <w:szCs w:val="18"/>
              </w:rPr>
              <w:fldChar w:fldCharType="end"/>
            </w:r>
            <w:r>
              <w:rPr>
                <w:color w:val="000000"/>
                <w:sz w:val="18"/>
                <w:szCs w:val="18"/>
              </w:rPr>
              <w:fldChar w:fldCharType="separate"/>
            </w:r>
            <w:r>
              <w:rPr>
                <w:noProof/>
                <w:color w:val="000000"/>
                <w:sz w:val="18"/>
                <w:szCs w:val="18"/>
              </w:rPr>
              <w:t>(</w:t>
            </w:r>
            <w:hyperlink w:anchor="_ENREF_69" w:tooltip="Kasza, 2014 #16" w:history="1">
              <w:r w:rsidR="00A234A9">
                <w:rPr>
                  <w:noProof/>
                  <w:color w:val="000000"/>
                  <w:sz w:val="18"/>
                  <w:szCs w:val="18"/>
                </w:rPr>
                <w:t>69</w:t>
              </w:r>
            </w:hyperlink>
            <w:r>
              <w:rPr>
                <w:noProof/>
                <w:color w:val="000000"/>
                <w:sz w:val="18"/>
                <w:szCs w:val="18"/>
              </w:rPr>
              <w:t>)</w:t>
            </w:r>
            <w:r>
              <w:rPr>
                <w:color w:val="000000"/>
                <w:sz w:val="18"/>
                <w:szCs w:val="18"/>
              </w:rPr>
              <w:fldChar w:fldCharType="end"/>
            </w:r>
          </w:p>
        </w:tc>
        <w:tc>
          <w:tcPr>
            <w:tcW w:w="1195" w:type="dxa"/>
            <w:shd w:val="clear" w:color="auto" w:fill="auto"/>
            <w:noWrap/>
            <w:vAlign w:val="bottom"/>
            <w:hideMark/>
          </w:tcPr>
          <w:p w14:paraId="2A179101" w14:textId="77777777" w:rsidR="0069742C" w:rsidRPr="003D64AE" w:rsidRDefault="0069742C" w:rsidP="0069742C">
            <w:pPr>
              <w:contextualSpacing/>
              <w:jc w:val="center"/>
              <w:rPr>
                <w:color w:val="000000"/>
                <w:sz w:val="18"/>
                <w:szCs w:val="18"/>
              </w:rPr>
            </w:pPr>
            <w:r w:rsidRPr="003D64AE">
              <w:rPr>
                <w:color w:val="000000"/>
                <w:sz w:val="18"/>
                <w:szCs w:val="18"/>
              </w:rPr>
              <w:t>8</w:t>
            </w:r>
          </w:p>
        </w:tc>
        <w:tc>
          <w:tcPr>
            <w:tcW w:w="1192" w:type="dxa"/>
            <w:shd w:val="clear" w:color="auto" w:fill="auto"/>
            <w:noWrap/>
            <w:vAlign w:val="bottom"/>
            <w:hideMark/>
          </w:tcPr>
          <w:p w14:paraId="6522A02A" w14:textId="77777777" w:rsidR="0069742C" w:rsidRPr="003D64AE" w:rsidRDefault="0069742C" w:rsidP="0069742C">
            <w:pPr>
              <w:contextualSpacing/>
              <w:jc w:val="center"/>
              <w:rPr>
                <w:color w:val="000000"/>
                <w:sz w:val="18"/>
                <w:szCs w:val="18"/>
              </w:rPr>
            </w:pPr>
            <w:r w:rsidRPr="003D64AE">
              <w:rPr>
                <w:color w:val="000000"/>
                <w:sz w:val="18"/>
                <w:szCs w:val="18"/>
              </w:rPr>
              <w:t>2</w:t>
            </w:r>
          </w:p>
        </w:tc>
        <w:tc>
          <w:tcPr>
            <w:tcW w:w="1330" w:type="dxa"/>
            <w:shd w:val="clear" w:color="auto" w:fill="auto"/>
            <w:noWrap/>
            <w:vAlign w:val="bottom"/>
            <w:hideMark/>
          </w:tcPr>
          <w:p w14:paraId="7C674C10" w14:textId="77777777" w:rsidR="0069742C" w:rsidRPr="003D64AE" w:rsidRDefault="0069742C" w:rsidP="0069742C">
            <w:pPr>
              <w:contextualSpacing/>
              <w:jc w:val="center"/>
              <w:rPr>
                <w:color w:val="000000"/>
                <w:sz w:val="18"/>
                <w:szCs w:val="18"/>
              </w:rPr>
            </w:pPr>
            <w:r w:rsidRPr="003D64AE">
              <w:rPr>
                <w:color w:val="000000"/>
                <w:sz w:val="18"/>
                <w:szCs w:val="18"/>
              </w:rPr>
              <w:t>5</w:t>
            </w:r>
          </w:p>
        </w:tc>
        <w:tc>
          <w:tcPr>
            <w:tcW w:w="1452" w:type="dxa"/>
            <w:shd w:val="clear" w:color="auto" w:fill="auto"/>
            <w:noWrap/>
            <w:vAlign w:val="bottom"/>
            <w:hideMark/>
          </w:tcPr>
          <w:p w14:paraId="21DDF5BB" w14:textId="77777777" w:rsidR="0069742C" w:rsidRPr="003D64AE" w:rsidRDefault="0069742C" w:rsidP="0069742C">
            <w:pPr>
              <w:contextualSpacing/>
              <w:jc w:val="center"/>
              <w:rPr>
                <w:color w:val="000000"/>
                <w:sz w:val="18"/>
                <w:szCs w:val="18"/>
              </w:rPr>
            </w:pPr>
            <w:r w:rsidRPr="003D64AE">
              <w:rPr>
                <w:color w:val="000000"/>
                <w:sz w:val="18"/>
                <w:szCs w:val="18"/>
              </w:rPr>
              <w:t>3</w:t>
            </w:r>
          </w:p>
        </w:tc>
        <w:tc>
          <w:tcPr>
            <w:tcW w:w="953" w:type="dxa"/>
            <w:shd w:val="clear" w:color="auto" w:fill="auto"/>
            <w:noWrap/>
            <w:vAlign w:val="bottom"/>
            <w:hideMark/>
          </w:tcPr>
          <w:p w14:paraId="5B28BA68"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968" w:type="dxa"/>
            <w:shd w:val="clear" w:color="auto" w:fill="auto"/>
            <w:noWrap/>
            <w:vAlign w:val="bottom"/>
            <w:hideMark/>
          </w:tcPr>
          <w:p w14:paraId="44841FD1" w14:textId="77777777" w:rsidR="0069742C" w:rsidRPr="003D64AE" w:rsidRDefault="0069742C" w:rsidP="0069742C">
            <w:pPr>
              <w:contextualSpacing/>
              <w:jc w:val="center"/>
              <w:rPr>
                <w:color w:val="000000"/>
                <w:sz w:val="18"/>
                <w:szCs w:val="18"/>
              </w:rPr>
            </w:pPr>
            <w:r w:rsidRPr="003D64AE">
              <w:rPr>
                <w:color w:val="000000"/>
                <w:sz w:val="18"/>
                <w:szCs w:val="18"/>
              </w:rPr>
              <w:t>19</w:t>
            </w:r>
          </w:p>
        </w:tc>
        <w:tc>
          <w:tcPr>
            <w:tcW w:w="1828" w:type="dxa"/>
            <w:shd w:val="clear" w:color="auto" w:fill="auto"/>
            <w:noWrap/>
            <w:vAlign w:val="bottom"/>
            <w:hideMark/>
          </w:tcPr>
          <w:p w14:paraId="1BC56E51" w14:textId="77777777" w:rsidR="0069742C" w:rsidRPr="003D64AE" w:rsidRDefault="0069742C" w:rsidP="0069742C">
            <w:pPr>
              <w:contextualSpacing/>
              <w:jc w:val="center"/>
              <w:rPr>
                <w:color w:val="000000"/>
                <w:sz w:val="18"/>
                <w:szCs w:val="18"/>
              </w:rPr>
            </w:pPr>
            <w:r>
              <w:rPr>
                <w:color w:val="000000"/>
                <w:sz w:val="18"/>
                <w:szCs w:val="18"/>
              </w:rPr>
              <w:t>Fair (15-19)</w:t>
            </w:r>
          </w:p>
        </w:tc>
      </w:tr>
      <w:tr w:rsidR="0069742C" w:rsidRPr="003D64AE" w14:paraId="70CA1D0C" w14:textId="77777777" w:rsidTr="00B46744">
        <w:trPr>
          <w:cantSplit/>
          <w:trHeight w:val="288"/>
        </w:trPr>
        <w:tc>
          <w:tcPr>
            <w:tcW w:w="2728" w:type="dxa"/>
            <w:shd w:val="clear" w:color="auto" w:fill="auto"/>
            <w:noWrap/>
            <w:vAlign w:val="bottom"/>
            <w:hideMark/>
          </w:tcPr>
          <w:p w14:paraId="4934BD6C" w14:textId="0FBCFCD0" w:rsidR="0069742C" w:rsidRPr="003D64AE" w:rsidRDefault="00D2134A" w:rsidP="00173F0A">
            <w:pPr>
              <w:contextualSpacing/>
              <w:rPr>
                <w:color w:val="000000"/>
                <w:sz w:val="18"/>
                <w:szCs w:val="18"/>
              </w:rPr>
            </w:pPr>
            <w:r>
              <w:rPr>
                <w:color w:val="000000"/>
                <w:sz w:val="18"/>
                <w:szCs w:val="18"/>
              </w:rPr>
              <w:fldChar w:fldCharType="begin">
                <w:fldData xml:space="preserve">PEVuZE5vdGU+PENpdGU+PEF1dGhvcj5MYXdyZW5jZTwvQXV0aG9yPjxZZWFyPjIwMTA8L1llYXI+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</w:fldData>
              </w:fldChar>
            </w:r>
            <w:r>
              <w:rPr>
                <w:color w:val="000000"/>
                <w:sz w:val="18"/>
                <w:szCs w:val="18"/>
              </w:rPr>
              <w:instrText xml:space="preserve"> ADDIN EN.CITE </w:instrText>
            </w:r>
            <w:r>
              <w:rPr>
                <w:color w:val="000000"/>
                <w:sz w:val="18"/>
                <w:szCs w:val="18"/>
              </w:rPr>
              <w:fldChar w:fldCharType="begin">
                <w:fldData xml:space="preserve">PEVuZE5vdGU+PENpdGU+PEF1dGhvcj5MYXdyZW5jZTwvQXV0aG9yPjxZZWFyPjIwMTA8L1llYXI+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</w:fldData>
              </w:fldChar>
            </w:r>
            <w:r>
              <w:rPr>
                <w:color w:val="000000"/>
                <w:sz w:val="18"/>
                <w:szCs w:val="18"/>
              </w:rPr>
              <w:instrText xml:space="preserve"> ADDIN EN.CITE.DATA </w:instrText>
            </w:r>
            <w:r>
              <w:rPr>
                <w:color w:val="000000"/>
                <w:sz w:val="18"/>
                <w:szCs w:val="18"/>
              </w:rPr>
            </w:r>
            <w:r>
              <w:rPr>
                <w:color w:val="000000"/>
                <w:sz w:val="18"/>
                <w:szCs w:val="18"/>
              </w:rPr>
              <w:fldChar w:fldCharType="end"/>
            </w:r>
            <w:r>
              <w:rPr>
                <w:color w:val="000000"/>
                <w:sz w:val="18"/>
                <w:szCs w:val="18"/>
              </w:rPr>
              <w:fldChar w:fldCharType="separate"/>
            </w:r>
            <w:r>
              <w:rPr>
                <w:noProof/>
                <w:color w:val="000000"/>
                <w:sz w:val="18"/>
                <w:szCs w:val="18"/>
              </w:rPr>
              <w:t>(</w:t>
            </w:r>
            <w:hyperlink w:anchor="_ENREF_70" w:tooltip="Lawrence, 2010 #52" w:history="1">
              <w:r w:rsidR="00A234A9">
                <w:rPr>
                  <w:noProof/>
                  <w:color w:val="000000"/>
                  <w:sz w:val="18"/>
                  <w:szCs w:val="18"/>
                </w:rPr>
                <w:t>70</w:t>
              </w:r>
            </w:hyperlink>
            <w:r>
              <w:rPr>
                <w:noProof/>
                <w:color w:val="000000"/>
                <w:sz w:val="18"/>
                <w:szCs w:val="18"/>
              </w:rPr>
              <w:t>)</w:t>
            </w:r>
            <w:r>
              <w:rPr>
                <w:color w:val="000000"/>
                <w:sz w:val="18"/>
                <w:szCs w:val="18"/>
              </w:rPr>
              <w:fldChar w:fldCharType="end"/>
            </w:r>
          </w:p>
        </w:tc>
        <w:tc>
          <w:tcPr>
            <w:tcW w:w="1195" w:type="dxa"/>
            <w:shd w:val="clear" w:color="auto" w:fill="auto"/>
            <w:noWrap/>
            <w:vAlign w:val="bottom"/>
            <w:hideMark/>
          </w:tcPr>
          <w:p w14:paraId="0753A438" w14:textId="77777777" w:rsidR="0069742C" w:rsidRPr="003D64AE" w:rsidRDefault="0069742C" w:rsidP="0069742C">
            <w:pPr>
              <w:contextualSpacing/>
              <w:jc w:val="center"/>
              <w:rPr>
                <w:color w:val="000000"/>
                <w:sz w:val="18"/>
                <w:szCs w:val="18"/>
              </w:rPr>
            </w:pPr>
            <w:r w:rsidRPr="003D64AE">
              <w:rPr>
                <w:color w:val="000000"/>
                <w:sz w:val="18"/>
                <w:szCs w:val="18"/>
              </w:rPr>
              <w:t>10</w:t>
            </w:r>
          </w:p>
        </w:tc>
        <w:tc>
          <w:tcPr>
            <w:tcW w:w="1192" w:type="dxa"/>
            <w:shd w:val="clear" w:color="auto" w:fill="auto"/>
            <w:noWrap/>
            <w:vAlign w:val="bottom"/>
            <w:hideMark/>
          </w:tcPr>
          <w:p w14:paraId="2ECF9AE3"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1330" w:type="dxa"/>
            <w:shd w:val="clear" w:color="auto" w:fill="auto"/>
            <w:noWrap/>
            <w:vAlign w:val="bottom"/>
            <w:hideMark/>
          </w:tcPr>
          <w:p w14:paraId="6D75C630" w14:textId="77777777" w:rsidR="0069742C" w:rsidRPr="003D64AE" w:rsidRDefault="0069742C" w:rsidP="0069742C">
            <w:pPr>
              <w:contextualSpacing/>
              <w:jc w:val="center"/>
              <w:rPr>
                <w:color w:val="000000"/>
                <w:sz w:val="18"/>
                <w:szCs w:val="18"/>
              </w:rPr>
            </w:pPr>
            <w:r w:rsidRPr="003D64AE">
              <w:rPr>
                <w:color w:val="000000"/>
                <w:sz w:val="18"/>
                <w:szCs w:val="18"/>
              </w:rPr>
              <w:t>6</w:t>
            </w:r>
          </w:p>
        </w:tc>
        <w:tc>
          <w:tcPr>
            <w:tcW w:w="1452" w:type="dxa"/>
            <w:shd w:val="clear" w:color="auto" w:fill="auto"/>
            <w:noWrap/>
            <w:vAlign w:val="bottom"/>
            <w:hideMark/>
          </w:tcPr>
          <w:p w14:paraId="5A410377" w14:textId="77777777" w:rsidR="0069742C" w:rsidRPr="003D64AE" w:rsidRDefault="0069742C" w:rsidP="0069742C">
            <w:pPr>
              <w:contextualSpacing/>
              <w:jc w:val="center"/>
              <w:rPr>
                <w:color w:val="000000"/>
                <w:sz w:val="18"/>
                <w:szCs w:val="18"/>
              </w:rPr>
            </w:pPr>
            <w:r w:rsidRPr="003D64AE">
              <w:rPr>
                <w:color w:val="000000"/>
                <w:sz w:val="18"/>
                <w:szCs w:val="18"/>
              </w:rPr>
              <w:t>4</w:t>
            </w:r>
          </w:p>
        </w:tc>
        <w:tc>
          <w:tcPr>
            <w:tcW w:w="953" w:type="dxa"/>
            <w:shd w:val="clear" w:color="auto" w:fill="auto"/>
            <w:noWrap/>
            <w:vAlign w:val="bottom"/>
            <w:hideMark/>
          </w:tcPr>
          <w:p w14:paraId="0B2ED8F4"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968" w:type="dxa"/>
            <w:shd w:val="clear" w:color="auto" w:fill="auto"/>
            <w:noWrap/>
            <w:vAlign w:val="bottom"/>
            <w:hideMark/>
          </w:tcPr>
          <w:p w14:paraId="1F45D1A0" w14:textId="77777777" w:rsidR="0069742C" w:rsidRPr="003D64AE" w:rsidRDefault="0069742C" w:rsidP="0069742C">
            <w:pPr>
              <w:contextualSpacing/>
              <w:jc w:val="center"/>
              <w:rPr>
                <w:color w:val="000000"/>
                <w:sz w:val="18"/>
                <w:szCs w:val="18"/>
              </w:rPr>
            </w:pPr>
            <w:r w:rsidRPr="003D64AE">
              <w:rPr>
                <w:color w:val="000000"/>
                <w:sz w:val="18"/>
                <w:szCs w:val="18"/>
              </w:rPr>
              <w:t>22</w:t>
            </w:r>
          </w:p>
        </w:tc>
        <w:tc>
          <w:tcPr>
            <w:tcW w:w="1828" w:type="dxa"/>
            <w:shd w:val="clear" w:color="auto" w:fill="auto"/>
            <w:noWrap/>
            <w:vAlign w:val="bottom"/>
            <w:hideMark/>
          </w:tcPr>
          <w:p w14:paraId="54879774" w14:textId="77777777" w:rsidR="0069742C" w:rsidRPr="003D64AE" w:rsidRDefault="0069742C" w:rsidP="0069742C">
            <w:pPr>
              <w:contextualSpacing/>
              <w:jc w:val="center"/>
              <w:rPr>
                <w:color w:val="000000"/>
                <w:sz w:val="18"/>
                <w:szCs w:val="18"/>
              </w:rPr>
            </w:pPr>
            <w:r w:rsidRPr="003D64AE">
              <w:rPr>
                <w:color w:val="000000"/>
                <w:sz w:val="18"/>
                <w:szCs w:val="18"/>
              </w:rPr>
              <w:t>Good (20-25)</w:t>
            </w:r>
          </w:p>
        </w:tc>
      </w:tr>
      <w:tr w:rsidR="0069742C" w:rsidRPr="003D64AE" w14:paraId="6C5B5E8E" w14:textId="77777777" w:rsidTr="00B46744">
        <w:trPr>
          <w:cantSplit/>
          <w:trHeight w:val="288"/>
        </w:trPr>
        <w:tc>
          <w:tcPr>
            <w:tcW w:w="2728" w:type="dxa"/>
            <w:shd w:val="clear" w:color="auto" w:fill="auto"/>
            <w:noWrap/>
            <w:vAlign w:val="bottom"/>
          </w:tcPr>
          <w:p w14:paraId="14C94262" w14:textId="531E5998" w:rsidR="0069742C" w:rsidRDefault="00D2134A" w:rsidP="00173F0A">
            <w:pPr>
              <w:contextualSpacing/>
              <w:rPr>
                <w:color w:val="000000"/>
                <w:sz w:val="18"/>
                <w:szCs w:val="18"/>
              </w:rPr>
            </w:pPr>
            <w:r>
              <w:rPr>
                <w:color w:val="000000"/>
                <w:sz w:val="18"/>
                <w:szCs w:val="18"/>
              </w:rPr>
              <w:fldChar w:fldCharType="begin"/>
            </w:r>
            <w:r>
              <w:rPr>
                <w:color w:val="000000"/>
                <w:sz w:val="18"/>
                <w:szCs w:val="18"/>
              </w:rPr>
              <w:instrText xml:space="preserve"> ADDIN EN.CITE &lt;EndNote&gt;&lt;Cite&gt;&lt;Author&gt;Muilenburg&lt;/Author&gt;&lt;Year&gt;2008&lt;/Year&gt;&lt;RecNum&gt;71&lt;/RecNum&gt;&lt;DisplayText&gt;(71)&lt;/DisplayText&gt;&lt;record&gt;&lt;rec-number&gt;71&lt;/rec-number&gt;&lt;foreign-keys&gt;&lt;key app="EN" db-id="a2vz2dfp8xrad6exes75zwpiw5rxwa0vwapv" timestamp="0"&gt;71&lt;/key&gt;&lt;/foreign-keys&gt;&lt;ref-type name="Journal Article"&gt;17&lt;/ref-type&gt;&lt;contributors&gt;&lt;authors&gt;&lt;author&gt;Muilenburg, J. L.&lt;/author&gt;&lt;author&gt;Legge, J. S., Jr.&lt;/author&gt;&lt;/authors&gt;&lt;/contributors&gt;&lt;auth-address&gt;Department of Health Promotion and Behavior, College of Public Health, University of Georgia, Athens, Georgia 30602, USA.&lt;/auth-address&gt;&lt;titles&gt;&lt;title&gt;African American adolescents and menthol cigarettes: smoking behavior among secondary school students&lt;/title&gt;&lt;secondary-title&gt;J Adolesc Health&lt;/secondary-title&gt;&lt;/titles&gt;&lt;pages&gt;570-5&lt;/pages&gt;&lt;volume&gt;43&lt;/volume&gt;&lt;number&gt;6&lt;/number&gt;&lt;keywords&gt;&lt;keyword&gt;Adolescent&lt;/keyword&gt;&lt;keyword&gt;Adolescent Behavior/*ethnology&lt;/keyword&gt;&lt;keyword&gt;African Americans/*statistics &amp;amp; numerical data&lt;/keyword&gt;&lt;keyword&gt;Age Distribution&lt;/keyword&gt;&lt;keyword&gt;Case-Control Studies&lt;/keyword&gt;&lt;keyword&gt;Child&lt;/keyword&gt;&lt;keyword&gt;European Continental Ancestry Group/statistics &amp;amp; numerical data&lt;/keyword&gt;&lt;keyword&gt;Female&lt;/keyword&gt;&lt;keyword&gt;Health Behavior/ethnology&lt;/keyword&gt;&lt;keyword&gt;Health Surveys&lt;/keyword&gt;&lt;keyword&gt;Humans&lt;/keyword&gt;&lt;keyword&gt;Male&lt;/keyword&gt;&lt;keyword&gt;Menthol&lt;/keyword&gt;&lt;keyword&gt;Sex Distribution&lt;/keyword&gt;&lt;keyword&gt;Smoking/*ethnology&lt;/keyword&gt;&lt;keyword&gt;Social Environment&lt;/keyword&gt;&lt;keyword&gt;Southeastern United States/epidemiology&lt;/keyword&gt;&lt;keyword&gt;Students/*statistics &amp;amp; numerical data&lt;/keyword&gt;&lt;keyword&gt;Young Adult&lt;/keyword&gt;&lt;/keywords&gt;&lt;dates&gt;&lt;year&gt;2008&lt;/year&gt;&lt;pub-dates&gt;&lt;date&gt;Dec&lt;/date&gt;&lt;/pub-dates&gt;&lt;/dates&gt;&lt;isbn&gt;1879-1972 (Electronic)&amp;#xD;1054-139X (Linking)&lt;/isbn&gt;&lt;accession-num&gt;19027645&lt;/accession-num&gt;&lt;urls&gt;&lt;related-urls&gt;&lt;url&gt;http://www.ncbi.nlm.nih.gov/pubmed/19027645&lt;/url&gt;&lt;/related-urls&gt;&lt;/urls&gt;&lt;electronic-resource-num&gt;10.1016/j.jadohealth.2008.08.017&lt;/electronic-resource-num&gt;&lt;research-notes&gt;#343&lt;/research-notes&gt;&lt;/record&gt;&lt;/Cite&gt;&lt;/EndNote&gt;</w:instrText>
            </w:r>
            <w:r>
              <w:rPr>
                <w:color w:val="000000"/>
                <w:sz w:val="18"/>
                <w:szCs w:val="18"/>
              </w:rPr>
              <w:fldChar w:fldCharType="separate"/>
            </w:r>
            <w:r>
              <w:rPr>
                <w:noProof/>
                <w:color w:val="000000"/>
                <w:sz w:val="18"/>
                <w:szCs w:val="18"/>
              </w:rPr>
              <w:t>(</w:t>
            </w:r>
            <w:hyperlink w:anchor="_ENREF_71" w:tooltip="Muilenburg, 2008 #71" w:history="1">
              <w:r w:rsidR="00A234A9">
                <w:rPr>
                  <w:noProof/>
                  <w:color w:val="000000"/>
                  <w:sz w:val="18"/>
                  <w:szCs w:val="18"/>
                </w:rPr>
                <w:t>71</w:t>
              </w:r>
            </w:hyperlink>
            <w:r>
              <w:rPr>
                <w:noProof/>
                <w:color w:val="000000"/>
                <w:sz w:val="18"/>
                <w:szCs w:val="18"/>
              </w:rPr>
              <w:t>)</w:t>
            </w:r>
            <w:r>
              <w:rPr>
                <w:color w:val="000000"/>
                <w:sz w:val="18"/>
                <w:szCs w:val="18"/>
              </w:rPr>
              <w:fldChar w:fldCharType="end"/>
            </w:r>
          </w:p>
        </w:tc>
        <w:tc>
          <w:tcPr>
            <w:tcW w:w="1195" w:type="dxa"/>
            <w:shd w:val="clear" w:color="auto" w:fill="auto"/>
            <w:noWrap/>
            <w:vAlign w:val="bottom"/>
          </w:tcPr>
          <w:p w14:paraId="0804682C" w14:textId="77777777" w:rsidR="0069742C" w:rsidRPr="003D64AE" w:rsidRDefault="0069742C" w:rsidP="0069742C">
            <w:pPr>
              <w:contextualSpacing/>
              <w:jc w:val="center"/>
              <w:rPr>
                <w:color w:val="000000"/>
                <w:sz w:val="18"/>
                <w:szCs w:val="18"/>
              </w:rPr>
            </w:pPr>
            <w:r w:rsidRPr="00806697">
              <w:rPr>
                <w:color w:val="000000"/>
                <w:sz w:val="18"/>
                <w:szCs w:val="18"/>
              </w:rPr>
              <w:t>7</w:t>
            </w:r>
          </w:p>
        </w:tc>
        <w:tc>
          <w:tcPr>
            <w:tcW w:w="1192" w:type="dxa"/>
            <w:shd w:val="clear" w:color="auto" w:fill="auto"/>
            <w:noWrap/>
            <w:vAlign w:val="bottom"/>
          </w:tcPr>
          <w:p w14:paraId="2C1D06CC" w14:textId="77777777" w:rsidR="0069742C" w:rsidRPr="003D64AE" w:rsidRDefault="0069742C" w:rsidP="0069742C">
            <w:pPr>
              <w:contextualSpacing/>
              <w:jc w:val="center"/>
              <w:rPr>
                <w:color w:val="000000"/>
                <w:sz w:val="18"/>
                <w:szCs w:val="18"/>
              </w:rPr>
            </w:pPr>
            <w:r w:rsidRPr="00806697">
              <w:rPr>
                <w:color w:val="000000"/>
                <w:sz w:val="18"/>
                <w:szCs w:val="18"/>
              </w:rPr>
              <w:t>0</w:t>
            </w:r>
          </w:p>
        </w:tc>
        <w:tc>
          <w:tcPr>
            <w:tcW w:w="1330" w:type="dxa"/>
            <w:shd w:val="clear" w:color="auto" w:fill="auto"/>
            <w:noWrap/>
            <w:vAlign w:val="bottom"/>
          </w:tcPr>
          <w:p w14:paraId="709A9D64" w14:textId="77777777" w:rsidR="0069742C" w:rsidRPr="003D64AE" w:rsidRDefault="0069742C" w:rsidP="0069742C">
            <w:pPr>
              <w:contextualSpacing/>
              <w:jc w:val="center"/>
              <w:rPr>
                <w:color w:val="000000"/>
                <w:sz w:val="18"/>
                <w:szCs w:val="18"/>
              </w:rPr>
            </w:pPr>
            <w:r w:rsidRPr="00806697">
              <w:rPr>
                <w:color w:val="000000"/>
                <w:sz w:val="18"/>
                <w:szCs w:val="18"/>
              </w:rPr>
              <w:t>4</w:t>
            </w:r>
          </w:p>
        </w:tc>
        <w:tc>
          <w:tcPr>
            <w:tcW w:w="1452" w:type="dxa"/>
            <w:shd w:val="clear" w:color="auto" w:fill="auto"/>
            <w:noWrap/>
            <w:vAlign w:val="bottom"/>
          </w:tcPr>
          <w:p w14:paraId="76950AFF" w14:textId="77777777" w:rsidR="0069742C" w:rsidRPr="003D64AE" w:rsidRDefault="0069742C" w:rsidP="0069742C">
            <w:pPr>
              <w:contextualSpacing/>
              <w:jc w:val="center"/>
              <w:rPr>
                <w:color w:val="000000"/>
                <w:sz w:val="18"/>
                <w:szCs w:val="18"/>
              </w:rPr>
            </w:pPr>
            <w:r w:rsidRPr="00806697">
              <w:rPr>
                <w:color w:val="000000"/>
                <w:sz w:val="18"/>
                <w:szCs w:val="18"/>
              </w:rPr>
              <w:t>3</w:t>
            </w:r>
          </w:p>
        </w:tc>
        <w:tc>
          <w:tcPr>
            <w:tcW w:w="953" w:type="dxa"/>
            <w:shd w:val="clear" w:color="auto" w:fill="auto"/>
            <w:noWrap/>
            <w:vAlign w:val="bottom"/>
          </w:tcPr>
          <w:p w14:paraId="4ED3DAA3" w14:textId="77777777" w:rsidR="0069742C" w:rsidRPr="003D64AE" w:rsidRDefault="0069742C" w:rsidP="0069742C">
            <w:pPr>
              <w:contextualSpacing/>
              <w:jc w:val="center"/>
              <w:rPr>
                <w:color w:val="000000"/>
                <w:sz w:val="18"/>
                <w:szCs w:val="18"/>
              </w:rPr>
            </w:pPr>
            <w:r w:rsidRPr="00806697">
              <w:rPr>
                <w:color w:val="000000"/>
                <w:sz w:val="18"/>
                <w:szCs w:val="18"/>
              </w:rPr>
              <w:t>1</w:t>
            </w:r>
          </w:p>
        </w:tc>
        <w:tc>
          <w:tcPr>
            <w:tcW w:w="968" w:type="dxa"/>
            <w:shd w:val="clear" w:color="auto" w:fill="auto"/>
            <w:noWrap/>
            <w:vAlign w:val="bottom"/>
          </w:tcPr>
          <w:p w14:paraId="30777EC0" w14:textId="77777777" w:rsidR="0069742C" w:rsidRPr="003D64AE" w:rsidRDefault="0069742C" w:rsidP="0069742C">
            <w:pPr>
              <w:contextualSpacing/>
              <w:jc w:val="center"/>
              <w:rPr>
                <w:color w:val="000000"/>
                <w:sz w:val="18"/>
                <w:szCs w:val="18"/>
              </w:rPr>
            </w:pPr>
            <w:r w:rsidRPr="00806697">
              <w:rPr>
                <w:color w:val="000000"/>
                <w:sz w:val="18"/>
                <w:szCs w:val="18"/>
              </w:rPr>
              <w:t>15</w:t>
            </w:r>
          </w:p>
        </w:tc>
        <w:tc>
          <w:tcPr>
            <w:tcW w:w="1828" w:type="dxa"/>
            <w:shd w:val="clear" w:color="auto" w:fill="auto"/>
            <w:noWrap/>
            <w:vAlign w:val="bottom"/>
          </w:tcPr>
          <w:p w14:paraId="734655ED" w14:textId="77777777" w:rsidR="0069742C" w:rsidRPr="003D64AE" w:rsidRDefault="0069742C" w:rsidP="0069742C">
            <w:pPr>
              <w:contextualSpacing/>
              <w:jc w:val="center"/>
              <w:rPr>
                <w:color w:val="000000"/>
                <w:sz w:val="18"/>
                <w:szCs w:val="18"/>
              </w:rPr>
            </w:pPr>
            <w:r w:rsidRPr="00806697">
              <w:rPr>
                <w:color w:val="000000"/>
                <w:sz w:val="18"/>
                <w:szCs w:val="18"/>
              </w:rPr>
              <w:t>Fair (1</w:t>
            </w:r>
            <w:r w:rsidR="00110937">
              <w:rPr>
                <w:color w:val="000000"/>
                <w:sz w:val="18"/>
                <w:szCs w:val="18"/>
              </w:rPr>
              <w:t>5</w:t>
            </w:r>
            <w:r w:rsidRPr="00806697">
              <w:rPr>
                <w:color w:val="000000"/>
                <w:sz w:val="18"/>
                <w:szCs w:val="18"/>
              </w:rPr>
              <w:t>-19)</w:t>
            </w:r>
          </w:p>
        </w:tc>
      </w:tr>
      <w:tr w:rsidR="0069742C" w:rsidRPr="003D64AE" w14:paraId="5A8B2FA4" w14:textId="77777777" w:rsidTr="00B46744">
        <w:trPr>
          <w:cantSplit/>
          <w:trHeight w:val="288"/>
        </w:trPr>
        <w:tc>
          <w:tcPr>
            <w:tcW w:w="2728" w:type="dxa"/>
            <w:shd w:val="clear" w:color="auto" w:fill="auto"/>
            <w:noWrap/>
            <w:vAlign w:val="bottom"/>
            <w:hideMark/>
          </w:tcPr>
          <w:p w14:paraId="0847585D" w14:textId="4A8405BD" w:rsidR="0069742C" w:rsidRPr="003D64AE" w:rsidRDefault="00D2134A" w:rsidP="00173F0A">
            <w:pPr>
              <w:contextualSpacing/>
              <w:rPr>
                <w:color w:val="000000"/>
                <w:sz w:val="18"/>
                <w:szCs w:val="18"/>
              </w:rPr>
            </w:pPr>
            <w:r>
              <w:rPr>
                <w:color w:val="000000"/>
                <w:sz w:val="18"/>
                <w:szCs w:val="18"/>
              </w:rPr>
              <w:fldChar w:fldCharType="begin"/>
            </w:r>
            <w:r>
              <w:rPr>
                <w:color w:val="000000"/>
                <w:sz w:val="18"/>
                <w:szCs w:val="18"/>
              </w:rPr>
              <w:instrText xml:space="preserve"> ADDIN EN.CITE &lt;EndNote&gt;&lt;Cite&gt;&lt;Author&gt;Nonnemaker&lt;/Author&gt;&lt;Year&gt;2010&lt;/Year&gt;&lt;RecNum&gt;97&lt;/RecNum&gt;&lt;DisplayText&gt;(73)&lt;/DisplayText&gt;&lt;record&gt;&lt;rec-number&gt;97&lt;/rec-number&gt;&lt;foreign-keys&gt;&lt;key app="EN" db-id="a2vz2dfp8xrad6exes75zwpiw5rxwa0vwapv" timestamp="0"&gt;97&lt;/key&gt;&lt;/foreign-keys&gt;&lt;ref-type name="Report"&gt;27&lt;/ref-type&gt;&lt;contributors&gt;&lt;authors&gt;&lt;author&gt;Nonnemaker, J.&lt;/author&gt;&lt;author&gt;Hersey, J.&lt;/author&gt;&lt;author&gt;Homsi, G.&lt;/author&gt;&lt;author&gt;Busey, A.&lt;/author&gt;&lt;/authors&gt;&lt;/contributors&gt;&lt;titles&gt;&lt;title&gt;Menthol cigarettes and youth smoking updake&lt;/title&gt;&lt;/titles&gt;&lt;dates&gt;&lt;year&gt;2010&lt;/year&gt;&lt;/dates&gt;&lt;pub-location&gt;RTI International&lt;/pub-location&gt;&lt;urls&gt;&lt;/urls&gt;&lt;research-notes&gt;#812&lt;/research-notes&gt;&lt;/record&gt;&lt;/Cite&gt;&lt;/EndNote&gt;</w:instrText>
            </w:r>
            <w:r>
              <w:rPr>
                <w:color w:val="000000"/>
                <w:sz w:val="18"/>
                <w:szCs w:val="18"/>
              </w:rPr>
              <w:fldChar w:fldCharType="separate"/>
            </w:r>
            <w:r>
              <w:rPr>
                <w:noProof/>
                <w:color w:val="000000"/>
                <w:sz w:val="18"/>
                <w:szCs w:val="18"/>
              </w:rPr>
              <w:t>(</w:t>
            </w:r>
            <w:hyperlink w:anchor="_ENREF_73" w:tooltip="Nonnemaker, 2010 #97" w:history="1">
              <w:r w:rsidR="00A234A9">
                <w:rPr>
                  <w:noProof/>
                  <w:color w:val="000000"/>
                  <w:sz w:val="18"/>
                  <w:szCs w:val="18"/>
                </w:rPr>
                <w:t>73</w:t>
              </w:r>
            </w:hyperlink>
            <w:r>
              <w:rPr>
                <w:noProof/>
                <w:color w:val="000000"/>
                <w:sz w:val="18"/>
                <w:szCs w:val="18"/>
              </w:rPr>
              <w:t>)</w:t>
            </w:r>
            <w:r>
              <w:rPr>
                <w:color w:val="000000"/>
                <w:sz w:val="18"/>
                <w:szCs w:val="18"/>
              </w:rPr>
              <w:fldChar w:fldCharType="end"/>
            </w:r>
          </w:p>
        </w:tc>
        <w:tc>
          <w:tcPr>
            <w:tcW w:w="1195" w:type="dxa"/>
            <w:shd w:val="clear" w:color="auto" w:fill="auto"/>
            <w:noWrap/>
            <w:vAlign w:val="bottom"/>
            <w:hideMark/>
          </w:tcPr>
          <w:p w14:paraId="3415951E" w14:textId="77777777" w:rsidR="0069742C" w:rsidRPr="003D64AE" w:rsidRDefault="0069742C" w:rsidP="0069742C">
            <w:pPr>
              <w:contextualSpacing/>
              <w:jc w:val="center"/>
              <w:rPr>
                <w:color w:val="000000"/>
                <w:sz w:val="18"/>
                <w:szCs w:val="18"/>
              </w:rPr>
            </w:pPr>
            <w:r w:rsidRPr="003D64AE">
              <w:rPr>
                <w:color w:val="000000"/>
                <w:sz w:val="18"/>
                <w:szCs w:val="18"/>
              </w:rPr>
              <w:t>9</w:t>
            </w:r>
          </w:p>
        </w:tc>
        <w:tc>
          <w:tcPr>
            <w:tcW w:w="1192" w:type="dxa"/>
            <w:shd w:val="clear" w:color="auto" w:fill="auto"/>
            <w:noWrap/>
            <w:vAlign w:val="bottom"/>
            <w:hideMark/>
          </w:tcPr>
          <w:p w14:paraId="3B06759E" w14:textId="77777777" w:rsidR="0069742C" w:rsidRPr="003D64AE" w:rsidRDefault="0069742C" w:rsidP="0069742C">
            <w:pPr>
              <w:contextualSpacing/>
              <w:jc w:val="center"/>
              <w:rPr>
                <w:color w:val="000000"/>
                <w:sz w:val="18"/>
                <w:szCs w:val="18"/>
              </w:rPr>
            </w:pPr>
            <w:r w:rsidRPr="003D64AE">
              <w:rPr>
                <w:color w:val="000000"/>
                <w:sz w:val="18"/>
                <w:szCs w:val="18"/>
              </w:rPr>
              <w:t>0</w:t>
            </w:r>
          </w:p>
        </w:tc>
        <w:tc>
          <w:tcPr>
            <w:tcW w:w="1330" w:type="dxa"/>
            <w:shd w:val="clear" w:color="auto" w:fill="auto"/>
            <w:noWrap/>
            <w:vAlign w:val="bottom"/>
            <w:hideMark/>
          </w:tcPr>
          <w:p w14:paraId="01DB0073" w14:textId="77777777" w:rsidR="0069742C" w:rsidRPr="003D64AE" w:rsidRDefault="0069742C" w:rsidP="0069742C">
            <w:pPr>
              <w:contextualSpacing/>
              <w:jc w:val="center"/>
              <w:rPr>
                <w:color w:val="000000"/>
                <w:sz w:val="18"/>
                <w:szCs w:val="18"/>
              </w:rPr>
            </w:pPr>
            <w:r w:rsidRPr="003D64AE">
              <w:rPr>
                <w:color w:val="000000"/>
                <w:sz w:val="18"/>
                <w:szCs w:val="18"/>
              </w:rPr>
              <w:t>6</w:t>
            </w:r>
          </w:p>
        </w:tc>
        <w:tc>
          <w:tcPr>
            <w:tcW w:w="1452" w:type="dxa"/>
            <w:shd w:val="clear" w:color="auto" w:fill="auto"/>
            <w:noWrap/>
            <w:vAlign w:val="bottom"/>
            <w:hideMark/>
          </w:tcPr>
          <w:p w14:paraId="49ACEB48" w14:textId="77777777" w:rsidR="0069742C" w:rsidRPr="003D64AE" w:rsidRDefault="0069742C" w:rsidP="0069742C">
            <w:pPr>
              <w:contextualSpacing/>
              <w:jc w:val="center"/>
              <w:rPr>
                <w:color w:val="000000"/>
                <w:sz w:val="18"/>
                <w:szCs w:val="18"/>
              </w:rPr>
            </w:pPr>
            <w:r w:rsidRPr="003D64AE">
              <w:rPr>
                <w:color w:val="000000"/>
                <w:sz w:val="18"/>
                <w:szCs w:val="18"/>
              </w:rPr>
              <w:t>4</w:t>
            </w:r>
          </w:p>
        </w:tc>
        <w:tc>
          <w:tcPr>
            <w:tcW w:w="953" w:type="dxa"/>
            <w:shd w:val="clear" w:color="auto" w:fill="auto"/>
            <w:noWrap/>
            <w:vAlign w:val="bottom"/>
            <w:hideMark/>
          </w:tcPr>
          <w:p w14:paraId="09CB0925"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968" w:type="dxa"/>
            <w:shd w:val="clear" w:color="auto" w:fill="auto"/>
            <w:noWrap/>
            <w:vAlign w:val="bottom"/>
            <w:hideMark/>
          </w:tcPr>
          <w:p w14:paraId="4D2A8EB5" w14:textId="77777777" w:rsidR="0069742C" w:rsidRPr="003D64AE" w:rsidRDefault="0069742C" w:rsidP="0069742C">
            <w:pPr>
              <w:contextualSpacing/>
              <w:jc w:val="center"/>
              <w:rPr>
                <w:color w:val="000000"/>
                <w:sz w:val="18"/>
                <w:szCs w:val="18"/>
              </w:rPr>
            </w:pPr>
            <w:r w:rsidRPr="003D64AE">
              <w:rPr>
                <w:color w:val="000000"/>
                <w:sz w:val="18"/>
                <w:szCs w:val="18"/>
              </w:rPr>
              <w:t>20</w:t>
            </w:r>
          </w:p>
        </w:tc>
        <w:tc>
          <w:tcPr>
            <w:tcW w:w="1828" w:type="dxa"/>
            <w:shd w:val="clear" w:color="auto" w:fill="auto"/>
            <w:noWrap/>
            <w:vAlign w:val="bottom"/>
            <w:hideMark/>
          </w:tcPr>
          <w:p w14:paraId="74B18D6B" w14:textId="77777777" w:rsidR="0069742C" w:rsidRPr="003D64AE" w:rsidRDefault="0069742C" w:rsidP="0069742C">
            <w:pPr>
              <w:contextualSpacing/>
              <w:jc w:val="center"/>
              <w:rPr>
                <w:color w:val="000000"/>
                <w:sz w:val="18"/>
                <w:szCs w:val="18"/>
              </w:rPr>
            </w:pPr>
            <w:r w:rsidRPr="003D64AE">
              <w:rPr>
                <w:color w:val="000000"/>
                <w:sz w:val="18"/>
                <w:szCs w:val="18"/>
              </w:rPr>
              <w:t>Good (20-25)</w:t>
            </w:r>
          </w:p>
        </w:tc>
      </w:tr>
      <w:tr w:rsidR="0069742C" w:rsidRPr="003D64AE" w14:paraId="137AB9F5" w14:textId="77777777" w:rsidTr="00B46744">
        <w:trPr>
          <w:cantSplit/>
          <w:trHeight w:val="288"/>
        </w:trPr>
        <w:tc>
          <w:tcPr>
            <w:tcW w:w="2728" w:type="dxa"/>
            <w:shd w:val="clear" w:color="auto" w:fill="auto"/>
            <w:noWrap/>
            <w:vAlign w:val="bottom"/>
            <w:hideMark/>
          </w:tcPr>
          <w:p w14:paraId="28AF8477" w14:textId="146400ED" w:rsidR="0069742C" w:rsidRPr="003D64AE" w:rsidRDefault="00D2134A" w:rsidP="00173F0A">
            <w:pPr>
              <w:contextualSpacing/>
              <w:rPr>
                <w:color w:val="000000"/>
                <w:sz w:val="18"/>
                <w:szCs w:val="18"/>
              </w:rPr>
            </w:pPr>
            <w:r>
              <w:rPr>
                <w:color w:val="000000"/>
                <w:sz w:val="18"/>
                <w:szCs w:val="18"/>
              </w:rPr>
              <w:fldChar w:fldCharType="begin"/>
            </w:r>
            <w:r>
              <w:rPr>
                <w:color w:val="000000"/>
                <w:sz w:val="18"/>
                <w:szCs w:val="18"/>
              </w:rPr>
              <w:instrText xml:space="preserve"> ADDIN EN.CITE &lt;EndNote&gt;&lt;Cite&gt;&lt;Author&gt;Nonnemaker&lt;/Author&gt;&lt;Year&gt;2012&lt;/Year&gt;&lt;RecNum&gt;31&lt;/RecNum&gt;&lt;DisplayText&gt;(72)&lt;/DisplayText&gt;&lt;record&gt;&lt;rec-number&gt;31&lt;/rec-number&gt;&lt;foreign-keys&gt;&lt;key app="EN" db-id="a2vz2dfp8xrad6exes75zwpiw5rxwa0vwapv" timestamp="0"&gt;31&lt;/key&gt;&lt;/foreign-keys&gt;&lt;ref-type name="Journal Article"&gt;17&lt;/ref-type&gt;&lt;contributors&gt;&lt;authors&gt;&lt;author&gt;Nonnemaker, J.&lt;/author&gt;&lt;author&gt;Hersey, J.&lt;/author&gt;&lt;author&gt;Homsi, G.&lt;/author&gt;&lt;author&gt;Busey, A.&lt;/author&gt;&lt;author&gt;Allen, J.&lt;/author&gt;&lt;author&gt;Vallone, D.&lt;/author&gt;&lt;/authors&gt;&lt;/contributors&gt;&lt;auth-address&gt;RTI International, Research Triangle Park, NC 27709-2194, USA. jnonnemaker@rti.org&lt;/auth-address&gt;&lt;titles&gt;&lt;title&gt;Initiation with menthol cigarettes and youth smoking uptake&lt;/title&gt;&lt;secondary-title&gt;Addiction&lt;/secondary-title&gt;&lt;/titles&gt;&lt;periodical&gt;&lt;full-title&gt;Addiction&lt;/full-title&gt;&lt;/periodical&gt;&lt;pages&gt;171-8&lt;/pages&gt;&lt;volume&gt;108&lt;/volume&gt;&lt;number&gt;1&lt;/number&gt;&lt;keywords&gt;&lt;keyword&gt;Adolescent&lt;/keyword&gt;&lt;keyword&gt;Age Distribution&lt;/keyword&gt;&lt;keyword&gt;Child&lt;/keyword&gt;&lt;keyword&gt;Female&lt;/keyword&gt;&lt;keyword&gt;Flavoring Agents/*adverse effects&lt;/keyword&gt;&lt;keyword&gt;Humans&lt;/keyword&gt;&lt;keyword&gt;Longitudinal Studies&lt;/keyword&gt;&lt;keyword&gt;Male&lt;/keyword&gt;&lt;keyword&gt;Menthol/*adverse effects&lt;/keyword&gt;&lt;keyword&gt;Risk Factors&lt;/keyword&gt;&lt;keyword&gt;Sex Distribution&lt;/keyword&gt;&lt;keyword&gt;Smoking/*adverse effects&lt;/keyword&gt;&lt;keyword&gt;Smoking Cessation/psychology/statistics &amp;amp; numerical data&lt;/keyword&gt;&lt;keyword&gt;Tobacco Products/*adverse effects&lt;/keyword&gt;&lt;keyword&gt;Tobacco Use Disorder/*etiology&lt;/keyword&gt;&lt;keyword&gt;United States&lt;/keyword&gt;&lt;/keywords&gt;&lt;dates&gt;&lt;year&gt;2012&lt;/year&gt;&lt;pub-dates&gt;&lt;date&gt;Jan&lt;/date&gt;&lt;/pub-dates&gt;&lt;/dates&gt;&lt;isbn&gt;1360-0443 (Electronic)&amp;#xD;0965-2140 (Linking)&lt;/isbn&gt;&lt;accession-num&gt;22862154&lt;/accession-num&gt;&lt;urls&gt;&lt;related-urls&gt;&lt;url&gt;http://www.ncbi.nlm.nih.gov/pubmed/22862154&lt;/url&gt;&lt;/related-urls&gt;&lt;/urls&gt;&lt;electronic-resource-num&gt;10.1111/j.1360-0443.2012.04045.x&lt;/electronic-resource-num&gt;&lt;research-notes&gt;#160&lt;/research-notes&gt;&lt;/record&gt;&lt;/Cite&gt;&lt;/EndNote&gt;</w:instrText>
            </w:r>
            <w:r>
              <w:rPr>
                <w:color w:val="000000"/>
                <w:sz w:val="18"/>
                <w:szCs w:val="18"/>
              </w:rPr>
              <w:fldChar w:fldCharType="separate"/>
            </w:r>
            <w:r>
              <w:rPr>
                <w:noProof/>
                <w:color w:val="000000"/>
                <w:sz w:val="18"/>
                <w:szCs w:val="18"/>
              </w:rPr>
              <w:t>(</w:t>
            </w:r>
            <w:hyperlink w:anchor="_ENREF_72" w:tooltip="Nonnemaker, 2012 #31" w:history="1">
              <w:r w:rsidR="00A234A9">
                <w:rPr>
                  <w:noProof/>
                  <w:color w:val="000000"/>
                  <w:sz w:val="18"/>
                  <w:szCs w:val="18"/>
                </w:rPr>
                <w:t>72</w:t>
              </w:r>
            </w:hyperlink>
            <w:r>
              <w:rPr>
                <w:noProof/>
                <w:color w:val="000000"/>
                <w:sz w:val="18"/>
                <w:szCs w:val="18"/>
              </w:rPr>
              <w:t>)</w:t>
            </w:r>
            <w:r>
              <w:rPr>
                <w:color w:val="000000"/>
                <w:sz w:val="18"/>
                <w:szCs w:val="18"/>
              </w:rPr>
              <w:fldChar w:fldCharType="end"/>
            </w:r>
          </w:p>
        </w:tc>
        <w:tc>
          <w:tcPr>
            <w:tcW w:w="1195" w:type="dxa"/>
            <w:shd w:val="clear" w:color="auto" w:fill="auto"/>
            <w:noWrap/>
            <w:vAlign w:val="bottom"/>
            <w:hideMark/>
          </w:tcPr>
          <w:p w14:paraId="7079938F" w14:textId="77777777" w:rsidR="0069742C" w:rsidRPr="003D64AE" w:rsidRDefault="0069742C" w:rsidP="0069742C">
            <w:pPr>
              <w:contextualSpacing/>
              <w:jc w:val="center"/>
              <w:rPr>
                <w:color w:val="000000"/>
                <w:sz w:val="18"/>
                <w:szCs w:val="18"/>
              </w:rPr>
            </w:pPr>
            <w:r w:rsidRPr="003D64AE">
              <w:rPr>
                <w:color w:val="000000"/>
                <w:sz w:val="18"/>
                <w:szCs w:val="18"/>
              </w:rPr>
              <w:t>10</w:t>
            </w:r>
          </w:p>
        </w:tc>
        <w:tc>
          <w:tcPr>
            <w:tcW w:w="1192" w:type="dxa"/>
            <w:shd w:val="clear" w:color="auto" w:fill="auto"/>
            <w:noWrap/>
            <w:vAlign w:val="bottom"/>
            <w:hideMark/>
          </w:tcPr>
          <w:p w14:paraId="031EB5FC" w14:textId="77777777" w:rsidR="0069742C" w:rsidRPr="003D64AE" w:rsidRDefault="0069742C" w:rsidP="0069742C">
            <w:pPr>
              <w:contextualSpacing/>
              <w:jc w:val="center"/>
              <w:rPr>
                <w:color w:val="000000"/>
                <w:sz w:val="18"/>
                <w:szCs w:val="18"/>
              </w:rPr>
            </w:pPr>
            <w:r w:rsidRPr="003D64AE">
              <w:rPr>
                <w:color w:val="000000"/>
                <w:sz w:val="18"/>
                <w:szCs w:val="18"/>
              </w:rPr>
              <w:t>2</w:t>
            </w:r>
          </w:p>
        </w:tc>
        <w:tc>
          <w:tcPr>
            <w:tcW w:w="1330" w:type="dxa"/>
            <w:shd w:val="clear" w:color="auto" w:fill="auto"/>
            <w:noWrap/>
            <w:vAlign w:val="bottom"/>
            <w:hideMark/>
          </w:tcPr>
          <w:p w14:paraId="4C3840B7" w14:textId="77777777" w:rsidR="0069742C" w:rsidRPr="003D64AE" w:rsidRDefault="0069742C" w:rsidP="0069742C">
            <w:pPr>
              <w:contextualSpacing/>
              <w:jc w:val="center"/>
              <w:rPr>
                <w:color w:val="000000"/>
                <w:sz w:val="18"/>
                <w:szCs w:val="18"/>
              </w:rPr>
            </w:pPr>
            <w:r w:rsidRPr="003D64AE">
              <w:rPr>
                <w:color w:val="000000"/>
                <w:sz w:val="18"/>
                <w:szCs w:val="18"/>
              </w:rPr>
              <w:t>6</w:t>
            </w:r>
          </w:p>
        </w:tc>
        <w:tc>
          <w:tcPr>
            <w:tcW w:w="1452" w:type="dxa"/>
            <w:shd w:val="clear" w:color="auto" w:fill="auto"/>
            <w:noWrap/>
            <w:vAlign w:val="bottom"/>
            <w:hideMark/>
          </w:tcPr>
          <w:p w14:paraId="251780DB" w14:textId="77777777" w:rsidR="0069742C" w:rsidRPr="003D64AE" w:rsidRDefault="0069742C" w:rsidP="0069742C">
            <w:pPr>
              <w:contextualSpacing/>
              <w:jc w:val="center"/>
              <w:rPr>
                <w:color w:val="000000"/>
                <w:sz w:val="18"/>
                <w:szCs w:val="18"/>
              </w:rPr>
            </w:pPr>
            <w:r w:rsidRPr="003D64AE">
              <w:rPr>
                <w:color w:val="000000"/>
                <w:sz w:val="18"/>
                <w:szCs w:val="18"/>
              </w:rPr>
              <w:t>4</w:t>
            </w:r>
          </w:p>
        </w:tc>
        <w:tc>
          <w:tcPr>
            <w:tcW w:w="953" w:type="dxa"/>
            <w:shd w:val="clear" w:color="auto" w:fill="auto"/>
            <w:noWrap/>
            <w:vAlign w:val="bottom"/>
            <w:hideMark/>
          </w:tcPr>
          <w:p w14:paraId="11B709E8"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968" w:type="dxa"/>
            <w:shd w:val="clear" w:color="auto" w:fill="auto"/>
            <w:noWrap/>
            <w:vAlign w:val="bottom"/>
            <w:hideMark/>
          </w:tcPr>
          <w:p w14:paraId="3603D389" w14:textId="77777777" w:rsidR="0069742C" w:rsidRPr="003D64AE" w:rsidRDefault="0069742C" w:rsidP="0069742C">
            <w:pPr>
              <w:contextualSpacing/>
              <w:jc w:val="center"/>
              <w:rPr>
                <w:color w:val="000000"/>
                <w:sz w:val="18"/>
                <w:szCs w:val="18"/>
              </w:rPr>
            </w:pPr>
            <w:r w:rsidRPr="003D64AE">
              <w:rPr>
                <w:color w:val="000000"/>
                <w:sz w:val="18"/>
                <w:szCs w:val="18"/>
              </w:rPr>
              <w:t>23</w:t>
            </w:r>
          </w:p>
        </w:tc>
        <w:tc>
          <w:tcPr>
            <w:tcW w:w="1828" w:type="dxa"/>
            <w:shd w:val="clear" w:color="auto" w:fill="auto"/>
            <w:noWrap/>
            <w:vAlign w:val="bottom"/>
            <w:hideMark/>
          </w:tcPr>
          <w:p w14:paraId="4BD708D5" w14:textId="77777777" w:rsidR="0069742C" w:rsidRPr="003D64AE" w:rsidRDefault="0069742C" w:rsidP="0069742C">
            <w:pPr>
              <w:contextualSpacing/>
              <w:jc w:val="center"/>
              <w:rPr>
                <w:color w:val="000000"/>
                <w:sz w:val="18"/>
                <w:szCs w:val="18"/>
              </w:rPr>
            </w:pPr>
            <w:r w:rsidRPr="003D64AE">
              <w:rPr>
                <w:color w:val="000000"/>
                <w:sz w:val="18"/>
                <w:szCs w:val="18"/>
              </w:rPr>
              <w:t>Good (20-25)</w:t>
            </w:r>
          </w:p>
        </w:tc>
      </w:tr>
      <w:tr w:rsidR="0069742C" w:rsidRPr="003D64AE" w14:paraId="2B3BF1D7" w14:textId="77777777" w:rsidTr="00B46744">
        <w:trPr>
          <w:cantSplit/>
          <w:trHeight w:val="288"/>
        </w:trPr>
        <w:tc>
          <w:tcPr>
            <w:tcW w:w="2728" w:type="dxa"/>
            <w:shd w:val="clear" w:color="auto" w:fill="auto"/>
            <w:noWrap/>
            <w:vAlign w:val="bottom"/>
            <w:hideMark/>
          </w:tcPr>
          <w:p w14:paraId="663CB907" w14:textId="2C179097" w:rsidR="0069742C" w:rsidRPr="003D64AE" w:rsidRDefault="00D2134A" w:rsidP="00173F0A">
            <w:pPr>
              <w:contextualSpacing/>
              <w:rPr>
                <w:color w:val="000000"/>
                <w:sz w:val="18"/>
                <w:szCs w:val="18"/>
              </w:rPr>
            </w:pPr>
            <w:r>
              <w:rPr>
                <w:color w:val="000000"/>
                <w:sz w:val="18"/>
                <w:szCs w:val="18"/>
              </w:rPr>
              <w:fldChar w:fldCharType="begin"/>
            </w:r>
            <w:r>
              <w:rPr>
                <w:color w:val="000000"/>
                <w:sz w:val="18"/>
                <w:szCs w:val="18"/>
              </w:rPr>
              <w:instrText xml:space="preserve"> ADDIN EN.CITE &lt;EndNote&gt;&lt;Cite&gt;&lt;Author&gt;Okuyemi&lt;/Author&gt;&lt;Year&gt;2004&lt;/Year&gt;&lt;RecNum&gt;81&lt;/RecNum&gt;&lt;DisplayText&gt;(75)&lt;/DisplayText&gt;&lt;record&gt;&lt;rec-number&gt;81&lt;/rec-number&gt;&lt;foreign-keys&gt;&lt;key app="EN" db-id="a2vz2dfp8xrad6exes75zwpiw5rxwa0vwapv" timestamp="0"&gt;81&lt;/key&gt;&lt;/foreign-keys&gt;&lt;ref-type name="Journal Article"&gt;17&lt;/ref-type&gt;&lt;contributors&gt;&lt;authors&gt;&lt;author&gt;Okuyemi, K. S.&lt;/author&gt;&lt;author&gt;Ebersole-Robinson, M. &lt;/author&gt;&lt;author&gt;Nazir, N. &lt;/author&gt;&lt;author&gt;Ahluwalia, J. S.&lt;/author&gt;&lt;/authors&gt;&lt;/contributors&gt;&lt;titles&gt;&lt;title&gt;African-American menthol and nonmenthol smokers: Differences in smoking and cessation experiences&lt;/title&gt;&lt;secondary-title&gt;J Natl Med Assoc&lt;/secondary-title&gt;&lt;/titles&gt;&lt;pages&gt;1208-1211&lt;/pages&gt;&lt;volume&gt;96&lt;/volume&gt;&lt;number&gt;9&lt;/number&gt;&lt;section&gt;1208&lt;/section&gt;&lt;dates&gt;&lt;year&gt;2004&lt;/year&gt;&lt;/dates&gt;&lt;urls&gt;&lt;/urls&gt;&lt;research-notes&gt;#405&lt;/research-notes&gt;&lt;/record&gt;&lt;/Cite&gt;&lt;/EndNote&gt;</w:instrText>
            </w:r>
            <w:r>
              <w:rPr>
                <w:color w:val="000000"/>
                <w:sz w:val="18"/>
                <w:szCs w:val="18"/>
              </w:rPr>
              <w:fldChar w:fldCharType="separate"/>
            </w:r>
            <w:r>
              <w:rPr>
                <w:noProof/>
                <w:color w:val="000000"/>
                <w:sz w:val="18"/>
                <w:szCs w:val="18"/>
              </w:rPr>
              <w:t>(</w:t>
            </w:r>
            <w:hyperlink w:anchor="_ENREF_75" w:tooltip="Okuyemi, 2004 #81" w:history="1">
              <w:r w:rsidR="00A234A9">
                <w:rPr>
                  <w:noProof/>
                  <w:color w:val="000000"/>
                  <w:sz w:val="18"/>
                  <w:szCs w:val="18"/>
                </w:rPr>
                <w:t>75</w:t>
              </w:r>
            </w:hyperlink>
            <w:r>
              <w:rPr>
                <w:noProof/>
                <w:color w:val="000000"/>
                <w:sz w:val="18"/>
                <w:szCs w:val="18"/>
              </w:rPr>
              <w:t>)</w:t>
            </w:r>
            <w:r>
              <w:rPr>
                <w:color w:val="000000"/>
                <w:sz w:val="18"/>
                <w:szCs w:val="18"/>
              </w:rPr>
              <w:fldChar w:fldCharType="end"/>
            </w:r>
          </w:p>
        </w:tc>
        <w:tc>
          <w:tcPr>
            <w:tcW w:w="1195" w:type="dxa"/>
            <w:shd w:val="clear" w:color="auto" w:fill="auto"/>
            <w:noWrap/>
            <w:vAlign w:val="bottom"/>
            <w:hideMark/>
          </w:tcPr>
          <w:p w14:paraId="42933741" w14:textId="77777777" w:rsidR="0069742C" w:rsidRPr="003D64AE" w:rsidRDefault="0069742C" w:rsidP="0069742C">
            <w:pPr>
              <w:contextualSpacing/>
              <w:jc w:val="center"/>
              <w:rPr>
                <w:color w:val="000000"/>
                <w:sz w:val="18"/>
                <w:szCs w:val="18"/>
              </w:rPr>
            </w:pPr>
            <w:r w:rsidRPr="003D64AE">
              <w:rPr>
                <w:color w:val="000000"/>
                <w:sz w:val="18"/>
                <w:szCs w:val="18"/>
              </w:rPr>
              <w:t>9</w:t>
            </w:r>
          </w:p>
        </w:tc>
        <w:tc>
          <w:tcPr>
            <w:tcW w:w="1192" w:type="dxa"/>
            <w:shd w:val="clear" w:color="auto" w:fill="auto"/>
            <w:noWrap/>
            <w:vAlign w:val="bottom"/>
            <w:hideMark/>
          </w:tcPr>
          <w:p w14:paraId="24BBA02B"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1330" w:type="dxa"/>
            <w:shd w:val="clear" w:color="auto" w:fill="auto"/>
            <w:noWrap/>
            <w:vAlign w:val="bottom"/>
            <w:hideMark/>
          </w:tcPr>
          <w:p w14:paraId="4CFC4625" w14:textId="77777777" w:rsidR="0069742C" w:rsidRPr="003D64AE" w:rsidRDefault="0069742C" w:rsidP="0069742C">
            <w:pPr>
              <w:contextualSpacing/>
              <w:jc w:val="center"/>
              <w:rPr>
                <w:color w:val="000000"/>
                <w:sz w:val="18"/>
                <w:szCs w:val="18"/>
              </w:rPr>
            </w:pPr>
            <w:r w:rsidRPr="003D64AE">
              <w:rPr>
                <w:color w:val="000000"/>
                <w:sz w:val="18"/>
                <w:szCs w:val="18"/>
              </w:rPr>
              <w:t>7</w:t>
            </w:r>
          </w:p>
        </w:tc>
        <w:tc>
          <w:tcPr>
            <w:tcW w:w="1452" w:type="dxa"/>
            <w:shd w:val="clear" w:color="auto" w:fill="auto"/>
            <w:noWrap/>
            <w:vAlign w:val="bottom"/>
            <w:hideMark/>
          </w:tcPr>
          <w:p w14:paraId="051BDFF2" w14:textId="77777777" w:rsidR="0069742C" w:rsidRPr="003D64AE" w:rsidRDefault="0069742C" w:rsidP="0069742C">
            <w:pPr>
              <w:contextualSpacing/>
              <w:jc w:val="center"/>
              <w:rPr>
                <w:color w:val="000000"/>
                <w:sz w:val="18"/>
                <w:szCs w:val="18"/>
              </w:rPr>
            </w:pPr>
            <w:r w:rsidRPr="003D64AE">
              <w:rPr>
                <w:color w:val="000000"/>
                <w:sz w:val="18"/>
                <w:szCs w:val="18"/>
              </w:rPr>
              <w:t>6</w:t>
            </w:r>
          </w:p>
        </w:tc>
        <w:tc>
          <w:tcPr>
            <w:tcW w:w="953" w:type="dxa"/>
            <w:shd w:val="clear" w:color="auto" w:fill="auto"/>
            <w:noWrap/>
            <w:vAlign w:val="bottom"/>
            <w:hideMark/>
          </w:tcPr>
          <w:p w14:paraId="196B0CFA"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968" w:type="dxa"/>
            <w:shd w:val="clear" w:color="auto" w:fill="auto"/>
            <w:noWrap/>
            <w:vAlign w:val="bottom"/>
            <w:hideMark/>
          </w:tcPr>
          <w:p w14:paraId="3ADD7FEE" w14:textId="77777777" w:rsidR="0069742C" w:rsidRPr="003D64AE" w:rsidRDefault="0069742C" w:rsidP="0069742C">
            <w:pPr>
              <w:contextualSpacing/>
              <w:jc w:val="center"/>
              <w:rPr>
                <w:color w:val="000000"/>
                <w:sz w:val="18"/>
                <w:szCs w:val="18"/>
              </w:rPr>
            </w:pPr>
            <w:r w:rsidRPr="003D64AE">
              <w:rPr>
                <w:color w:val="000000"/>
                <w:sz w:val="18"/>
                <w:szCs w:val="18"/>
              </w:rPr>
              <w:t>24</w:t>
            </w:r>
          </w:p>
        </w:tc>
        <w:tc>
          <w:tcPr>
            <w:tcW w:w="1828" w:type="dxa"/>
            <w:shd w:val="clear" w:color="auto" w:fill="auto"/>
            <w:noWrap/>
            <w:vAlign w:val="bottom"/>
            <w:hideMark/>
          </w:tcPr>
          <w:p w14:paraId="5E818E46" w14:textId="77777777" w:rsidR="0069742C" w:rsidRPr="003D64AE" w:rsidRDefault="0069742C" w:rsidP="0069742C">
            <w:pPr>
              <w:contextualSpacing/>
              <w:jc w:val="center"/>
              <w:rPr>
                <w:color w:val="000000"/>
                <w:sz w:val="18"/>
                <w:szCs w:val="18"/>
              </w:rPr>
            </w:pPr>
            <w:r w:rsidRPr="003D64AE">
              <w:rPr>
                <w:color w:val="000000"/>
                <w:sz w:val="18"/>
                <w:szCs w:val="18"/>
              </w:rPr>
              <w:t>Good (20-25)</w:t>
            </w:r>
          </w:p>
        </w:tc>
      </w:tr>
      <w:tr w:rsidR="0069742C" w:rsidRPr="003D64AE" w14:paraId="49E5B44C" w14:textId="77777777" w:rsidTr="00B46744">
        <w:trPr>
          <w:cantSplit/>
          <w:trHeight w:val="288"/>
        </w:trPr>
        <w:tc>
          <w:tcPr>
            <w:tcW w:w="2728" w:type="dxa"/>
            <w:shd w:val="clear" w:color="auto" w:fill="auto"/>
            <w:noWrap/>
            <w:vAlign w:val="bottom"/>
            <w:hideMark/>
          </w:tcPr>
          <w:p w14:paraId="35B999DA" w14:textId="398E7707" w:rsidR="0069742C" w:rsidRPr="003D64AE" w:rsidRDefault="00D2134A" w:rsidP="00173F0A">
            <w:pPr>
              <w:contextualSpacing/>
              <w:rPr>
                <w:color w:val="000000"/>
                <w:sz w:val="18"/>
                <w:szCs w:val="18"/>
              </w:rPr>
            </w:pPr>
            <w:r>
              <w:rPr>
                <w:color w:val="000000"/>
                <w:sz w:val="18"/>
                <w:szCs w:val="18"/>
              </w:rPr>
              <w:lastRenderedPageBreak/>
              <w:fldChar w:fldCharType="begin"/>
            </w:r>
            <w:r>
              <w:rPr>
                <w:color w:val="000000"/>
                <w:sz w:val="18"/>
                <w:szCs w:val="18"/>
              </w:rPr>
              <w:instrText xml:space="preserve"> ADDIN EN.CITE &lt;EndNote&gt;&lt;Cite&gt;&lt;Author&gt;Okuyemi&lt;/Author&gt;&lt;Year&gt;2007&lt;/Year&gt;&lt;RecNum&gt;74&lt;/RecNum&gt;&lt;DisplayText&gt;(74)&lt;/DisplayText&gt;&lt;record&gt;&lt;rec-number&gt;74&lt;/rec-number&gt;&lt;foreign-keys&gt;&lt;key app="EN" db-id="a2vz2dfp8xrad6exes75zwpiw5rxwa0vwapv" timestamp="0"&gt;74&lt;/key&gt;&lt;/foreign-keys&gt;&lt;ref-type name="Journal Article"&gt;17&lt;/ref-type&gt;&lt;contributors&gt;&lt;authors&gt;&lt;author&gt;Okuyemi, K. S.&lt;/author&gt;&lt;author&gt;Faseru, B.&lt;/author&gt;&lt;author&gt;Sanderson Cox, L.&lt;/author&gt;&lt;author&gt;Bronars, C. A.&lt;/author&gt;&lt;author&gt;Ahluwalia, J. S.&lt;/author&gt;&lt;/authors&gt;&lt;/contributors&gt;&lt;auth-address&gt;Program in Health Disparities Research, University of Minnesota Medical School, Minneapolis, MN 55455, USA. kokuyemi@umn.edu&lt;/auth-address&gt;&lt;titles&gt;&lt;title&gt;Relationship between menthol cigarettes and smoking cessation among African American light smokers&lt;/title&gt;&lt;secondary-title&gt;Addiction&lt;/secondary-title&gt;&lt;/titles&gt;&lt;periodical&gt;&lt;full-title&gt;Addiction&lt;/full-title&gt;&lt;/periodical&gt;&lt;pages&gt;1979-86&lt;/pages&gt;&lt;volume&gt;102&lt;/volume&gt;&lt;number&gt;12&lt;/number&gt;&lt;keywords&gt;&lt;keyword&gt;Adult&lt;/keyword&gt;&lt;keyword&gt;African Americans/*ethnology/psychology&lt;/keyword&gt;&lt;keyword&gt;Age Factors&lt;/keyword&gt;&lt;keyword&gt;Female&lt;/keyword&gt;&lt;keyword&gt;Health Education&lt;/keyword&gt;&lt;keyword&gt;Humans&lt;/keyword&gt;&lt;keyword&gt;Male&lt;/keyword&gt;&lt;keyword&gt;*Menthol&lt;/keyword&gt;&lt;keyword&gt;Middle Aged&lt;/keyword&gt;&lt;keyword&gt;Regression Analysis&lt;/keyword&gt;&lt;keyword&gt;Smoking/*adverse effects&lt;/keyword&gt;&lt;keyword&gt;Smoking Cessation/*ethnology/psychology/statistics &amp;amp; numerical data&lt;/keyword&gt;&lt;keyword&gt;Tobacco/*adverse effects&lt;/keyword&gt;&lt;/keywords&gt;&lt;dates&gt;&lt;year&gt;2007&lt;/year&gt;&lt;pub-dates&gt;&lt;date&gt;Dec&lt;/date&gt;&lt;/pub-dates&gt;&lt;/dates&gt;&lt;isbn&gt;0965-2140 (Print)&amp;#xD;0965-2140 (Linking)&lt;/isbn&gt;&lt;accession-num&gt;17916223&lt;/accession-num&gt;&lt;urls&gt;&lt;related-urls&gt;&lt;url&gt;http://www.ncbi.nlm.nih.gov/pubmed/17916223&lt;/url&gt;&lt;/related-urls&gt;&lt;/urls&gt;&lt;electronic-resource-num&gt;10.1111/j.1360-0443.2007.02010.x&lt;/electronic-resource-num&gt;&lt;research-notes&gt;#367&lt;/research-notes&gt;&lt;/record&gt;&lt;/Cite&gt;&lt;/EndNote&gt;</w:instrText>
            </w:r>
            <w:r>
              <w:rPr>
                <w:color w:val="000000"/>
                <w:sz w:val="18"/>
                <w:szCs w:val="18"/>
              </w:rPr>
              <w:fldChar w:fldCharType="separate"/>
            </w:r>
            <w:r>
              <w:rPr>
                <w:noProof/>
                <w:color w:val="000000"/>
                <w:sz w:val="18"/>
                <w:szCs w:val="18"/>
              </w:rPr>
              <w:t>(</w:t>
            </w:r>
            <w:hyperlink w:anchor="_ENREF_74" w:tooltip="Okuyemi, 2007 #74" w:history="1">
              <w:r w:rsidR="00A234A9">
                <w:rPr>
                  <w:noProof/>
                  <w:color w:val="000000"/>
                  <w:sz w:val="18"/>
                  <w:szCs w:val="18"/>
                </w:rPr>
                <w:t>74</w:t>
              </w:r>
            </w:hyperlink>
            <w:r>
              <w:rPr>
                <w:noProof/>
                <w:color w:val="000000"/>
                <w:sz w:val="18"/>
                <w:szCs w:val="18"/>
              </w:rPr>
              <w:t>)</w:t>
            </w:r>
            <w:r>
              <w:rPr>
                <w:color w:val="000000"/>
                <w:sz w:val="18"/>
                <w:szCs w:val="18"/>
              </w:rPr>
              <w:fldChar w:fldCharType="end"/>
            </w:r>
          </w:p>
        </w:tc>
        <w:tc>
          <w:tcPr>
            <w:tcW w:w="1195" w:type="dxa"/>
            <w:shd w:val="clear" w:color="auto" w:fill="auto"/>
            <w:noWrap/>
            <w:vAlign w:val="bottom"/>
            <w:hideMark/>
          </w:tcPr>
          <w:p w14:paraId="2C500462" w14:textId="77777777" w:rsidR="0069742C" w:rsidRPr="003D64AE" w:rsidRDefault="0069742C" w:rsidP="0069742C">
            <w:pPr>
              <w:contextualSpacing/>
              <w:jc w:val="center"/>
              <w:rPr>
                <w:color w:val="000000"/>
                <w:sz w:val="18"/>
                <w:szCs w:val="18"/>
              </w:rPr>
            </w:pPr>
            <w:r w:rsidRPr="003D64AE">
              <w:rPr>
                <w:color w:val="000000"/>
                <w:sz w:val="18"/>
                <w:szCs w:val="18"/>
              </w:rPr>
              <w:t>9</w:t>
            </w:r>
          </w:p>
        </w:tc>
        <w:tc>
          <w:tcPr>
            <w:tcW w:w="1192" w:type="dxa"/>
            <w:shd w:val="clear" w:color="auto" w:fill="auto"/>
            <w:noWrap/>
            <w:vAlign w:val="bottom"/>
            <w:hideMark/>
          </w:tcPr>
          <w:p w14:paraId="14C4E252" w14:textId="77777777" w:rsidR="0069742C" w:rsidRPr="003D64AE" w:rsidRDefault="0069742C" w:rsidP="0069742C">
            <w:pPr>
              <w:contextualSpacing/>
              <w:jc w:val="center"/>
              <w:rPr>
                <w:color w:val="000000"/>
                <w:sz w:val="18"/>
                <w:szCs w:val="18"/>
              </w:rPr>
            </w:pPr>
            <w:r w:rsidRPr="003D64AE">
              <w:rPr>
                <w:color w:val="000000"/>
                <w:sz w:val="18"/>
                <w:szCs w:val="18"/>
              </w:rPr>
              <w:t>2</w:t>
            </w:r>
          </w:p>
        </w:tc>
        <w:tc>
          <w:tcPr>
            <w:tcW w:w="1330" w:type="dxa"/>
            <w:shd w:val="clear" w:color="auto" w:fill="auto"/>
            <w:noWrap/>
            <w:vAlign w:val="bottom"/>
            <w:hideMark/>
          </w:tcPr>
          <w:p w14:paraId="602B1889" w14:textId="77777777" w:rsidR="0069742C" w:rsidRPr="003D64AE" w:rsidRDefault="0069742C" w:rsidP="0069742C">
            <w:pPr>
              <w:contextualSpacing/>
              <w:jc w:val="center"/>
              <w:rPr>
                <w:color w:val="000000"/>
                <w:sz w:val="18"/>
                <w:szCs w:val="18"/>
              </w:rPr>
            </w:pPr>
            <w:r w:rsidRPr="003D64AE">
              <w:rPr>
                <w:color w:val="000000"/>
                <w:sz w:val="18"/>
                <w:szCs w:val="18"/>
              </w:rPr>
              <w:t>7</w:t>
            </w:r>
          </w:p>
        </w:tc>
        <w:tc>
          <w:tcPr>
            <w:tcW w:w="1452" w:type="dxa"/>
            <w:shd w:val="clear" w:color="auto" w:fill="auto"/>
            <w:noWrap/>
            <w:vAlign w:val="bottom"/>
            <w:hideMark/>
          </w:tcPr>
          <w:p w14:paraId="70593B2C" w14:textId="77777777" w:rsidR="0069742C" w:rsidRPr="003D64AE" w:rsidRDefault="0069742C" w:rsidP="0069742C">
            <w:pPr>
              <w:contextualSpacing/>
              <w:jc w:val="center"/>
              <w:rPr>
                <w:color w:val="000000"/>
                <w:sz w:val="18"/>
                <w:szCs w:val="18"/>
              </w:rPr>
            </w:pPr>
            <w:r w:rsidRPr="003D64AE">
              <w:rPr>
                <w:color w:val="000000"/>
                <w:sz w:val="18"/>
                <w:szCs w:val="18"/>
              </w:rPr>
              <w:t>6</w:t>
            </w:r>
          </w:p>
        </w:tc>
        <w:tc>
          <w:tcPr>
            <w:tcW w:w="953" w:type="dxa"/>
            <w:shd w:val="clear" w:color="auto" w:fill="auto"/>
            <w:noWrap/>
            <w:vAlign w:val="bottom"/>
            <w:hideMark/>
          </w:tcPr>
          <w:p w14:paraId="2A400D68"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968" w:type="dxa"/>
            <w:shd w:val="clear" w:color="auto" w:fill="auto"/>
            <w:noWrap/>
            <w:vAlign w:val="bottom"/>
            <w:hideMark/>
          </w:tcPr>
          <w:p w14:paraId="764F2386" w14:textId="77777777" w:rsidR="0069742C" w:rsidRPr="003D64AE" w:rsidRDefault="0069742C" w:rsidP="0069742C">
            <w:pPr>
              <w:contextualSpacing/>
              <w:jc w:val="center"/>
              <w:rPr>
                <w:color w:val="000000"/>
                <w:sz w:val="18"/>
                <w:szCs w:val="18"/>
              </w:rPr>
            </w:pPr>
            <w:r w:rsidRPr="003D64AE">
              <w:rPr>
                <w:color w:val="000000"/>
                <w:sz w:val="18"/>
                <w:szCs w:val="18"/>
              </w:rPr>
              <w:t>25</w:t>
            </w:r>
          </w:p>
        </w:tc>
        <w:tc>
          <w:tcPr>
            <w:tcW w:w="1828" w:type="dxa"/>
            <w:shd w:val="clear" w:color="auto" w:fill="auto"/>
            <w:noWrap/>
            <w:vAlign w:val="bottom"/>
            <w:hideMark/>
          </w:tcPr>
          <w:p w14:paraId="5512B63A" w14:textId="77777777" w:rsidR="0069742C" w:rsidRPr="003D64AE" w:rsidRDefault="0069742C" w:rsidP="0069742C">
            <w:pPr>
              <w:contextualSpacing/>
              <w:jc w:val="center"/>
              <w:rPr>
                <w:color w:val="000000"/>
                <w:sz w:val="18"/>
                <w:szCs w:val="18"/>
              </w:rPr>
            </w:pPr>
            <w:r w:rsidRPr="003D64AE">
              <w:rPr>
                <w:color w:val="000000"/>
                <w:sz w:val="18"/>
                <w:szCs w:val="18"/>
              </w:rPr>
              <w:t>Good (20-25)</w:t>
            </w:r>
          </w:p>
        </w:tc>
      </w:tr>
      <w:tr w:rsidR="0069742C" w:rsidRPr="003D64AE" w14:paraId="3BD08EB5" w14:textId="77777777" w:rsidTr="00B46744">
        <w:trPr>
          <w:cantSplit/>
          <w:trHeight w:val="288"/>
        </w:trPr>
        <w:tc>
          <w:tcPr>
            <w:tcW w:w="2728" w:type="dxa"/>
            <w:shd w:val="clear" w:color="auto" w:fill="auto"/>
            <w:noWrap/>
            <w:vAlign w:val="bottom"/>
            <w:hideMark/>
          </w:tcPr>
          <w:p w14:paraId="0C42B0AA" w14:textId="4497FC9D" w:rsidR="0069742C" w:rsidRPr="003D64AE" w:rsidRDefault="00D2134A" w:rsidP="00173F0A">
            <w:pPr>
              <w:contextualSpacing/>
              <w:rPr>
                <w:color w:val="000000"/>
                <w:sz w:val="18"/>
                <w:szCs w:val="18"/>
              </w:rPr>
            </w:pPr>
            <w:r>
              <w:rPr>
                <w:color w:val="000000"/>
                <w:sz w:val="18"/>
                <w:szCs w:val="18"/>
              </w:rPr>
              <w:fldChar w:fldCharType="begin">
                <w:fldData xml:space="preserve">PEVuZE5vdGU+PENpdGU+PEF1dGhvcj5PbmNrZW48L0F1dGhvcj48WWVhcj4yMDE1PC9ZZWFyPjxS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</w:fldData>
              </w:fldChar>
            </w:r>
            <w:r>
              <w:rPr>
                <w:color w:val="000000"/>
                <w:sz w:val="18"/>
                <w:szCs w:val="18"/>
              </w:rPr>
              <w:instrText xml:space="preserve"> ADDIN EN.CITE </w:instrText>
            </w:r>
            <w:r>
              <w:rPr>
                <w:color w:val="000000"/>
                <w:sz w:val="18"/>
                <w:szCs w:val="18"/>
              </w:rPr>
              <w:fldChar w:fldCharType="begin">
                <w:fldData xml:space="preserve">PEVuZE5vdGU+PENpdGU+PEF1dGhvcj5PbmNrZW48L0F1dGhvcj48WWVhcj4yMDE1PC9ZZWFyPjxS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</w:fldData>
              </w:fldChar>
            </w:r>
            <w:r>
              <w:rPr>
                <w:color w:val="000000"/>
                <w:sz w:val="18"/>
                <w:szCs w:val="18"/>
              </w:rPr>
              <w:instrText xml:space="preserve"> ADDIN EN.CITE.DATA </w:instrText>
            </w:r>
            <w:r>
              <w:rPr>
                <w:color w:val="000000"/>
                <w:sz w:val="18"/>
                <w:szCs w:val="18"/>
              </w:rPr>
            </w:r>
            <w:r>
              <w:rPr>
                <w:color w:val="000000"/>
                <w:sz w:val="18"/>
                <w:szCs w:val="18"/>
              </w:rPr>
              <w:fldChar w:fldCharType="end"/>
            </w:r>
            <w:r>
              <w:rPr>
                <w:color w:val="000000"/>
                <w:sz w:val="18"/>
                <w:szCs w:val="18"/>
              </w:rPr>
              <w:fldChar w:fldCharType="separate"/>
            </w:r>
            <w:r>
              <w:rPr>
                <w:noProof/>
                <w:color w:val="000000"/>
                <w:sz w:val="18"/>
                <w:szCs w:val="18"/>
              </w:rPr>
              <w:t>(</w:t>
            </w:r>
            <w:hyperlink w:anchor="_ENREF_76" w:tooltip="Oncken, 2015 #6" w:history="1">
              <w:r w:rsidR="00A234A9">
                <w:rPr>
                  <w:noProof/>
                  <w:color w:val="000000"/>
                  <w:sz w:val="18"/>
                  <w:szCs w:val="18"/>
                </w:rPr>
                <w:t>76</w:t>
              </w:r>
            </w:hyperlink>
            <w:r>
              <w:rPr>
                <w:noProof/>
                <w:color w:val="000000"/>
                <w:sz w:val="18"/>
                <w:szCs w:val="18"/>
              </w:rPr>
              <w:t>)</w:t>
            </w:r>
            <w:r>
              <w:rPr>
                <w:color w:val="000000"/>
                <w:sz w:val="18"/>
                <w:szCs w:val="18"/>
              </w:rPr>
              <w:fldChar w:fldCharType="end"/>
            </w:r>
          </w:p>
        </w:tc>
        <w:tc>
          <w:tcPr>
            <w:tcW w:w="1195" w:type="dxa"/>
            <w:shd w:val="clear" w:color="auto" w:fill="auto"/>
            <w:noWrap/>
            <w:vAlign w:val="bottom"/>
            <w:hideMark/>
          </w:tcPr>
          <w:p w14:paraId="75801031" w14:textId="77777777" w:rsidR="0069742C" w:rsidRPr="003D64AE" w:rsidRDefault="0069742C" w:rsidP="0069742C">
            <w:pPr>
              <w:contextualSpacing/>
              <w:jc w:val="center"/>
              <w:rPr>
                <w:color w:val="000000"/>
                <w:sz w:val="18"/>
                <w:szCs w:val="18"/>
              </w:rPr>
            </w:pPr>
            <w:r w:rsidRPr="003D64AE">
              <w:rPr>
                <w:color w:val="000000"/>
                <w:sz w:val="18"/>
                <w:szCs w:val="18"/>
              </w:rPr>
              <w:t>9</w:t>
            </w:r>
          </w:p>
        </w:tc>
        <w:tc>
          <w:tcPr>
            <w:tcW w:w="1192" w:type="dxa"/>
            <w:shd w:val="clear" w:color="auto" w:fill="auto"/>
            <w:noWrap/>
            <w:vAlign w:val="bottom"/>
            <w:hideMark/>
          </w:tcPr>
          <w:p w14:paraId="4CFA2EF9"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1330" w:type="dxa"/>
            <w:shd w:val="clear" w:color="auto" w:fill="auto"/>
            <w:noWrap/>
            <w:vAlign w:val="bottom"/>
            <w:hideMark/>
          </w:tcPr>
          <w:p w14:paraId="34E8D402" w14:textId="77777777" w:rsidR="0069742C" w:rsidRPr="003D64AE" w:rsidRDefault="0069742C" w:rsidP="0069742C">
            <w:pPr>
              <w:contextualSpacing/>
              <w:jc w:val="center"/>
              <w:rPr>
                <w:color w:val="000000"/>
                <w:sz w:val="18"/>
                <w:szCs w:val="18"/>
              </w:rPr>
            </w:pPr>
            <w:r w:rsidRPr="003D64AE">
              <w:rPr>
                <w:color w:val="000000"/>
                <w:sz w:val="18"/>
                <w:szCs w:val="18"/>
              </w:rPr>
              <w:t>4</w:t>
            </w:r>
          </w:p>
        </w:tc>
        <w:tc>
          <w:tcPr>
            <w:tcW w:w="1452" w:type="dxa"/>
            <w:shd w:val="clear" w:color="auto" w:fill="auto"/>
            <w:noWrap/>
            <w:vAlign w:val="bottom"/>
            <w:hideMark/>
          </w:tcPr>
          <w:p w14:paraId="631A2A7D" w14:textId="77777777" w:rsidR="0069742C" w:rsidRPr="003D64AE" w:rsidRDefault="0069742C" w:rsidP="0069742C">
            <w:pPr>
              <w:contextualSpacing/>
              <w:jc w:val="center"/>
              <w:rPr>
                <w:color w:val="000000"/>
                <w:sz w:val="18"/>
                <w:szCs w:val="18"/>
              </w:rPr>
            </w:pPr>
            <w:r w:rsidRPr="003D64AE">
              <w:rPr>
                <w:color w:val="000000"/>
                <w:sz w:val="18"/>
                <w:szCs w:val="18"/>
              </w:rPr>
              <w:t>3</w:t>
            </w:r>
          </w:p>
        </w:tc>
        <w:tc>
          <w:tcPr>
            <w:tcW w:w="953" w:type="dxa"/>
            <w:shd w:val="clear" w:color="auto" w:fill="auto"/>
            <w:noWrap/>
            <w:vAlign w:val="bottom"/>
            <w:hideMark/>
          </w:tcPr>
          <w:p w14:paraId="7DDCEE79" w14:textId="77777777" w:rsidR="0069742C" w:rsidRPr="003D64AE" w:rsidRDefault="0069742C" w:rsidP="0069742C">
            <w:pPr>
              <w:contextualSpacing/>
              <w:jc w:val="center"/>
              <w:rPr>
                <w:color w:val="000000"/>
                <w:sz w:val="18"/>
                <w:szCs w:val="18"/>
              </w:rPr>
            </w:pPr>
            <w:r w:rsidRPr="003D64AE">
              <w:rPr>
                <w:color w:val="000000"/>
                <w:sz w:val="18"/>
                <w:szCs w:val="18"/>
              </w:rPr>
              <w:t>u</w:t>
            </w:r>
          </w:p>
        </w:tc>
        <w:tc>
          <w:tcPr>
            <w:tcW w:w="968" w:type="dxa"/>
            <w:shd w:val="clear" w:color="auto" w:fill="auto"/>
            <w:noWrap/>
            <w:vAlign w:val="bottom"/>
            <w:hideMark/>
          </w:tcPr>
          <w:p w14:paraId="1FB59BD5" w14:textId="77777777" w:rsidR="0069742C" w:rsidRPr="003D64AE" w:rsidRDefault="0069742C" w:rsidP="0069742C">
            <w:pPr>
              <w:contextualSpacing/>
              <w:jc w:val="center"/>
              <w:rPr>
                <w:color w:val="000000"/>
                <w:sz w:val="18"/>
                <w:szCs w:val="18"/>
              </w:rPr>
            </w:pPr>
            <w:r w:rsidRPr="003D64AE">
              <w:rPr>
                <w:color w:val="000000"/>
                <w:sz w:val="18"/>
                <w:szCs w:val="18"/>
              </w:rPr>
              <w:t>17</w:t>
            </w:r>
          </w:p>
        </w:tc>
        <w:tc>
          <w:tcPr>
            <w:tcW w:w="1828" w:type="dxa"/>
            <w:shd w:val="clear" w:color="auto" w:fill="auto"/>
            <w:noWrap/>
            <w:vAlign w:val="bottom"/>
            <w:hideMark/>
          </w:tcPr>
          <w:p w14:paraId="1528083B" w14:textId="77777777" w:rsidR="0069742C" w:rsidRPr="003D64AE" w:rsidRDefault="0069742C" w:rsidP="0069742C">
            <w:pPr>
              <w:contextualSpacing/>
              <w:jc w:val="center"/>
              <w:rPr>
                <w:color w:val="000000"/>
                <w:sz w:val="18"/>
                <w:szCs w:val="18"/>
              </w:rPr>
            </w:pPr>
            <w:r>
              <w:rPr>
                <w:color w:val="000000"/>
                <w:sz w:val="18"/>
                <w:szCs w:val="18"/>
              </w:rPr>
              <w:t>Fair (15-19)</w:t>
            </w:r>
          </w:p>
        </w:tc>
      </w:tr>
      <w:tr w:rsidR="0069742C" w:rsidRPr="003D64AE" w14:paraId="202658F9" w14:textId="77777777" w:rsidTr="00B46744">
        <w:trPr>
          <w:cantSplit/>
          <w:trHeight w:val="288"/>
        </w:trPr>
        <w:tc>
          <w:tcPr>
            <w:tcW w:w="2728" w:type="dxa"/>
            <w:shd w:val="clear" w:color="auto" w:fill="auto"/>
            <w:noWrap/>
            <w:vAlign w:val="bottom"/>
            <w:hideMark/>
          </w:tcPr>
          <w:p w14:paraId="4AFF9656" w14:textId="2313EF1D" w:rsidR="0069742C" w:rsidRPr="003D64AE" w:rsidRDefault="00D2134A" w:rsidP="00173F0A">
            <w:pPr>
              <w:contextualSpacing/>
              <w:rPr>
                <w:color w:val="000000"/>
                <w:sz w:val="18"/>
                <w:szCs w:val="18"/>
              </w:rPr>
            </w:pPr>
            <w:r>
              <w:rPr>
                <w:color w:val="000000"/>
                <w:sz w:val="18"/>
                <w:szCs w:val="18"/>
              </w:rPr>
              <w:fldChar w:fldCharType="begin">
                <w:fldData xml:space="preserve">PEVuZE5vdGU+PENpdGU+PEF1dGhvcj5QYXJrPC9BdXRob3I+PFllYXI+MjAxNTwvWWVhcj48UmVj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</w:fldData>
              </w:fldChar>
            </w:r>
            <w:r>
              <w:rPr>
                <w:color w:val="000000"/>
                <w:sz w:val="18"/>
                <w:szCs w:val="18"/>
              </w:rPr>
              <w:instrText xml:space="preserve"> ADDIN EN.CITE </w:instrText>
            </w:r>
            <w:r>
              <w:rPr>
                <w:color w:val="000000"/>
                <w:sz w:val="18"/>
                <w:szCs w:val="18"/>
              </w:rPr>
              <w:fldChar w:fldCharType="begin">
                <w:fldData xml:space="preserve">PEVuZE5vdGU+PENpdGU+PEF1dGhvcj5QYXJrPC9BdXRob3I+PFllYXI+MjAxNTwvWWVhcj48UmVj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</w:fldData>
              </w:fldChar>
            </w:r>
            <w:r>
              <w:rPr>
                <w:color w:val="000000"/>
                <w:sz w:val="18"/>
                <w:szCs w:val="18"/>
              </w:rPr>
              <w:instrText xml:space="preserve"> ADDIN EN.CITE.DATA </w:instrText>
            </w:r>
            <w:r>
              <w:rPr>
                <w:color w:val="000000"/>
                <w:sz w:val="18"/>
                <w:szCs w:val="18"/>
              </w:rPr>
            </w:r>
            <w:r>
              <w:rPr>
                <w:color w:val="000000"/>
                <w:sz w:val="18"/>
                <w:szCs w:val="18"/>
              </w:rPr>
              <w:fldChar w:fldCharType="end"/>
            </w:r>
            <w:r>
              <w:rPr>
                <w:color w:val="000000"/>
                <w:sz w:val="18"/>
                <w:szCs w:val="18"/>
              </w:rPr>
              <w:fldChar w:fldCharType="separate"/>
            </w:r>
            <w:r>
              <w:rPr>
                <w:noProof/>
                <w:color w:val="000000"/>
                <w:sz w:val="18"/>
                <w:szCs w:val="18"/>
              </w:rPr>
              <w:t>(</w:t>
            </w:r>
            <w:hyperlink w:anchor="_ENREF_77" w:tooltip="Park, 2015 #9" w:history="1">
              <w:r w:rsidR="00A234A9">
                <w:rPr>
                  <w:noProof/>
                  <w:color w:val="000000"/>
                  <w:sz w:val="18"/>
                  <w:szCs w:val="18"/>
                </w:rPr>
                <w:t>77</w:t>
              </w:r>
            </w:hyperlink>
            <w:r>
              <w:rPr>
                <w:noProof/>
                <w:color w:val="000000"/>
                <w:sz w:val="18"/>
                <w:szCs w:val="18"/>
              </w:rPr>
              <w:t>)</w:t>
            </w:r>
            <w:r>
              <w:rPr>
                <w:color w:val="000000"/>
                <w:sz w:val="18"/>
                <w:szCs w:val="18"/>
              </w:rPr>
              <w:fldChar w:fldCharType="end"/>
            </w:r>
          </w:p>
        </w:tc>
        <w:tc>
          <w:tcPr>
            <w:tcW w:w="1195" w:type="dxa"/>
            <w:shd w:val="clear" w:color="auto" w:fill="auto"/>
            <w:noWrap/>
            <w:vAlign w:val="bottom"/>
            <w:hideMark/>
          </w:tcPr>
          <w:p w14:paraId="4A374040" w14:textId="77777777" w:rsidR="0069742C" w:rsidRPr="003D64AE" w:rsidRDefault="0069742C" w:rsidP="0069742C">
            <w:pPr>
              <w:contextualSpacing/>
              <w:jc w:val="center"/>
              <w:rPr>
                <w:color w:val="000000"/>
                <w:sz w:val="18"/>
                <w:szCs w:val="18"/>
              </w:rPr>
            </w:pPr>
            <w:r w:rsidRPr="003D64AE">
              <w:rPr>
                <w:color w:val="000000"/>
                <w:sz w:val="18"/>
                <w:szCs w:val="18"/>
              </w:rPr>
              <w:t>9</w:t>
            </w:r>
          </w:p>
        </w:tc>
        <w:tc>
          <w:tcPr>
            <w:tcW w:w="1192" w:type="dxa"/>
            <w:shd w:val="clear" w:color="auto" w:fill="auto"/>
            <w:noWrap/>
            <w:vAlign w:val="bottom"/>
            <w:hideMark/>
          </w:tcPr>
          <w:p w14:paraId="44A8BD61" w14:textId="77777777" w:rsidR="0069742C" w:rsidRPr="003D64AE" w:rsidRDefault="0069742C" w:rsidP="0069742C">
            <w:pPr>
              <w:contextualSpacing/>
              <w:jc w:val="center"/>
              <w:rPr>
                <w:color w:val="000000"/>
                <w:sz w:val="18"/>
                <w:szCs w:val="18"/>
              </w:rPr>
            </w:pPr>
            <w:r w:rsidRPr="003D64AE">
              <w:rPr>
                <w:color w:val="000000"/>
                <w:sz w:val="18"/>
                <w:szCs w:val="18"/>
              </w:rPr>
              <w:t>0</w:t>
            </w:r>
          </w:p>
        </w:tc>
        <w:tc>
          <w:tcPr>
            <w:tcW w:w="1330" w:type="dxa"/>
            <w:shd w:val="clear" w:color="auto" w:fill="auto"/>
            <w:noWrap/>
            <w:vAlign w:val="bottom"/>
            <w:hideMark/>
          </w:tcPr>
          <w:p w14:paraId="1875FBD2" w14:textId="77777777" w:rsidR="0069742C" w:rsidRPr="003D64AE" w:rsidRDefault="0069742C" w:rsidP="0069742C">
            <w:pPr>
              <w:contextualSpacing/>
              <w:jc w:val="center"/>
              <w:rPr>
                <w:color w:val="000000"/>
                <w:sz w:val="18"/>
                <w:szCs w:val="18"/>
              </w:rPr>
            </w:pPr>
            <w:r w:rsidRPr="003D64AE">
              <w:rPr>
                <w:color w:val="000000"/>
                <w:sz w:val="18"/>
                <w:szCs w:val="18"/>
              </w:rPr>
              <w:t>5</w:t>
            </w:r>
          </w:p>
        </w:tc>
        <w:tc>
          <w:tcPr>
            <w:tcW w:w="1452" w:type="dxa"/>
            <w:shd w:val="clear" w:color="auto" w:fill="auto"/>
            <w:noWrap/>
            <w:vAlign w:val="bottom"/>
            <w:hideMark/>
          </w:tcPr>
          <w:p w14:paraId="014A6901" w14:textId="77777777" w:rsidR="0069742C" w:rsidRPr="003D64AE" w:rsidRDefault="0069742C" w:rsidP="0069742C">
            <w:pPr>
              <w:contextualSpacing/>
              <w:jc w:val="center"/>
              <w:rPr>
                <w:color w:val="000000"/>
                <w:sz w:val="18"/>
                <w:szCs w:val="18"/>
              </w:rPr>
            </w:pPr>
            <w:r w:rsidRPr="003D64AE">
              <w:rPr>
                <w:color w:val="000000"/>
                <w:sz w:val="18"/>
                <w:szCs w:val="18"/>
              </w:rPr>
              <w:t>3</w:t>
            </w:r>
          </w:p>
        </w:tc>
        <w:tc>
          <w:tcPr>
            <w:tcW w:w="953" w:type="dxa"/>
            <w:shd w:val="clear" w:color="auto" w:fill="auto"/>
            <w:noWrap/>
            <w:vAlign w:val="bottom"/>
            <w:hideMark/>
          </w:tcPr>
          <w:p w14:paraId="1EAB0A4E"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968" w:type="dxa"/>
            <w:shd w:val="clear" w:color="auto" w:fill="auto"/>
            <w:noWrap/>
            <w:vAlign w:val="bottom"/>
            <w:hideMark/>
          </w:tcPr>
          <w:p w14:paraId="22B71BFE" w14:textId="77777777" w:rsidR="0069742C" w:rsidRPr="003D64AE" w:rsidRDefault="0069742C" w:rsidP="0069742C">
            <w:pPr>
              <w:contextualSpacing/>
              <w:jc w:val="center"/>
              <w:rPr>
                <w:color w:val="000000"/>
                <w:sz w:val="18"/>
                <w:szCs w:val="18"/>
              </w:rPr>
            </w:pPr>
            <w:r w:rsidRPr="003D64AE">
              <w:rPr>
                <w:color w:val="000000"/>
                <w:sz w:val="18"/>
                <w:szCs w:val="18"/>
              </w:rPr>
              <w:t>18</w:t>
            </w:r>
          </w:p>
        </w:tc>
        <w:tc>
          <w:tcPr>
            <w:tcW w:w="1828" w:type="dxa"/>
            <w:shd w:val="clear" w:color="auto" w:fill="auto"/>
            <w:noWrap/>
            <w:vAlign w:val="bottom"/>
            <w:hideMark/>
          </w:tcPr>
          <w:p w14:paraId="65B9B374" w14:textId="77777777" w:rsidR="0069742C" w:rsidRPr="003D64AE" w:rsidRDefault="0069742C" w:rsidP="0069742C">
            <w:pPr>
              <w:contextualSpacing/>
              <w:jc w:val="center"/>
              <w:rPr>
                <w:color w:val="000000"/>
                <w:sz w:val="18"/>
                <w:szCs w:val="18"/>
              </w:rPr>
            </w:pPr>
            <w:r>
              <w:rPr>
                <w:color w:val="000000"/>
                <w:sz w:val="18"/>
                <w:szCs w:val="18"/>
              </w:rPr>
              <w:t>Fair (15-19)</w:t>
            </w:r>
          </w:p>
        </w:tc>
      </w:tr>
      <w:tr w:rsidR="0069742C" w:rsidRPr="003D64AE" w14:paraId="58ECE579" w14:textId="77777777" w:rsidTr="00B46744">
        <w:trPr>
          <w:cantSplit/>
          <w:trHeight w:val="288"/>
        </w:trPr>
        <w:tc>
          <w:tcPr>
            <w:tcW w:w="2728" w:type="dxa"/>
            <w:shd w:val="clear" w:color="auto" w:fill="auto"/>
            <w:noWrap/>
            <w:vAlign w:val="bottom"/>
            <w:hideMark/>
          </w:tcPr>
          <w:p w14:paraId="7A3012EF" w14:textId="62A412DA" w:rsidR="0069742C" w:rsidRPr="003D64AE" w:rsidRDefault="00D2134A" w:rsidP="00173F0A">
            <w:pPr>
              <w:contextualSpacing/>
              <w:rPr>
                <w:color w:val="000000"/>
                <w:sz w:val="18"/>
                <w:szCs w:val="18"/>
              </w:rPr>
            </w:pPr>
            <w:r>
              <w:rPr>
                <w:color w:val="000000"/>
                <w:sz w:val="18"/>
                <w:szCs w:val="18"/>
              </w:rPr>
              <w:fldChar w:fldCharType="begin"/>
            </w:r>
            <w:r>
              <w:rPr>
                <w:color w:val="000000"/>
                <w:sz w:val="18"/>
                <w:szCs w:val="18"/>
              </w:rPr>
              <w:instrText xml:space="preserve"> ADDIN EN.CITE &lt;EndNote&gt;&lt;Cite&gt;&lt;Author&gt;Pletcher&lt;/Author&gt;&lt;Year&gt;2006&lt;/Year&gt;&lt;RecNum&gt;78&lt;/RecNum&gt;&lt;DisplayText&gt;(78)&lt;/DisplayText&gt;&lt;record&gt;&lt;rec-number&gt;78&lt;/rec-number&gt;&lt;foreign-keys&gt;&lt;key app="EN" db-id="a2vz2dfp8xrad6exes75zwpiw5rxwa0vwapv" timestamp="0"&gt;78&lt;/key&gt;&lt;/foreign-keys&gt;&lt;ref-type name="Journal Article"&gt;17&lt;/ref-type&gt;&lt;contributors&gt;&lt;authors&gt;&lt;author&gt;Pletcher, M. J. &lt;/author&gt;&lt;author&gt;Hulley, B. J.&lt;/author&gt;&lt;author&gt;Houston, T.&lt;/author&gt;&lt;author&gt;Kiefe, C. I.&lt;/author&gt;&lt;author&gt;Benowitz, N. &lt;/author&gt;&lt;author&gt;Sidney, S.&lt;/author&gt;&lt;/authors&gt;&lt;/contributors&gt;&lt;titles&gt;&lt;title&gt;Menthol cigarettes, smoking cessation, atherosclerosis, and pulmonary function&lt;/title&gt;&lt;secondary-title&gt;Arch Intern Med&lt;/secondary-title&gt;&lt;/titles&gt;&lt;pages&gt;1915-1922&lt;/pages&gt;&lt;volume&gt;166&lt;/volume&gt;&lt;section&gt;1915&lt;/section&gt;&lt;dates&gt;&lt;year&gt;2006&lt;/year&gt;&lt;/dates&gt;&lt;urls&gt;&lt;/urls&gt;&lt;research-notes&gt;#385&lt;/research-notes&gt;&lt;/record&gt;&lt;/Cite&gt;&lt;/EndNote&gt;</w:instrText>
            </w:r>
            <w:r>
              <w:rPr>
                <w:color w:val="000000"/>
                <w:sz w:val="18"/>
                <w:szCs w:val="18"/>
              </w:rPr>
              <w:fldChar w:fldCharType="separate"/>
            </w:r>
            <w:r>
              <w:rPr>
                <w:noProof/>
                <w:color w:val="000000"/>
                <w:sz w:val="18"/>
                <w:szCs w:val="18"/>
              </w:rPr>
              <w:t>(</w:t>
            </w:r>
            <w:hyperlink w:anchor="_ENREF_78" w:tooltip="Pletcher, 2006 #78" w:history="1">
              <w:r w:rsidR="00A234A9">
                <w:rPr>
                  <w:noProof/>
                  <w:color w:val="000000"/>
                  <w:sz w:val="18"/>
                  <w:szCs w:val="18"/>
                </w:rPr>
                <w:t>78</w:t>
              </w:r>
            </w:hyperlink>
            <w:r>
              <w:rPr>
                <w:noProof/>
                <w:color w:val="000000"/>
                <w:sz w:val="18"/>
                <w:szCs w:val="18"/>
              </w:rPr>
              <w:t>)</w:t>
            </w:r>
            <w:r>
              <w:rPr>
                <w:color w:val="000000"/>
                <w:sz w:val="18"/>
                <w:szCs w:val="18"/>
              </w:rPr>
              <w:fldChar w:fldCharType="end"/>
            </w:r>
          </w:p>
        </w:tc>
        <w:tc>
          <w:tcPr>
            <w:tcW w:w="1195" w:type="dxa"/>
            <w:shd w:val="clear" w:color="auto" w:fill="auto"/>
            <w:noWrap/>
            <w:vAlign w:val="bottom"/>
            <w:hideMark/>
          </w:tcPr>
          <w:p w14:paraId="215349CC" w14:textId="77777777" w:rsidR="0069742C" w:rsidRPr="003D64AE" w:rsidRDefault="0069742C" w:rsidP="0069742C">
            <w:pPr>
              <w:contextualSpacing/>
              <w:jc w:val="center"/>
              <w:rPr>
                <w:color w:val="000000"/>
                <w:sz w:val="18"/>
                <w:szCs w:val="18"/>
              </w:rPr>
            </w:pPr>
            <w:r w:rsidRPr="003D64AE">
              <w:rPr>
                <w:color w:val="000000"/>
                <w:sz w:val="18"/>
                <w:szCs w:val="18"/>
              </w:rPr>
              <w:t>10</w:t>
            </w:r>
          </w:p>
        </w:tc>
        <w:tc>
          <w:tcPr>
            <w:tcW w:w="1192" w:type="dxa"/>
            <w:shd w:val="clear" w:color="auto" w:fill="auto"/>
            <w:noWrap/>
            <w:vAlign w:val="bottom"/>
            <w:hideMark/>
          </w:tcPr>
          <w:p w14:paraId="1342CB0A" w14:textId="77777777" w:rsidR="0069742C" w:rsidRPr="003D64AE" w:rsidRDefault="0069742C" w:rsidP="0069742C">
            <w:pPr>
              <w:contextualSpacing/>
              <w:jc w:val="center"/>
              <w:rPr>
                <w:color w:val="000000"/>
                <w:sz w:val="18"/>
                <w:szCs w:val="18"/>
              </w:rPr>
            </w:pPr>
            <w:r w:rsidRPr="003D64AE">
              <w:rPr>
                <w:color w:val="000000"/>
                <w:sz w:val="18"/>
                <w:szCs w:val="18"/>
              </w:rPr>
              <w:t>2</w:t>
            </w:r>
          </w:p>
        </w:tc>
        <w:tc>
          <w:tcPr>
            <w:tcW w:w="1330" w:type="dxa"/>
            <w:shd w:val="clear" w:color="auto" w:fill="auto"/>
            <w:noWrap/>
            <w:vAlign w:val="bottom"/>
            <w:hideMark/>
          </w:tcPr>
          <w:p w14:paraId="0473ED64" w14:textId="77777777" w:rsidR="0069742C" w:rsidRPr="003D64AE" w:rsidRDefault="0069742C" w:rsidP="0069742C">
            <w:pPr>
              <w:contextualSpacing/>
              <w:jc w:val="center"/>
              <w:rPr>
                <w:color w:val="000000"/>
                <w:sz w:val="18"/>
                <w:szCs w:val="18"/>
              </w:rPr>
            </w:pPr>
            <w:r w:rsidRPr="003D64AE">
              <w:rPr>
                <w:color w:val="000000"/>
                <w:sz w:val="18"/>
                <w:szCs w:val="18"/>
              </w:rPr>
              <w:t>4</w:t>
            </w:r>
          </w:p>
        </w:tc>
        <w:tc>
          <w:tcPr>
            <w:tcW w:w="1452" w:type="dxa"/>
            <w:shd w:val="clear" w:color="auto" w:fill="auto"/>
            <w:noWrap/>
            <w:vAlign w:val="bottom"/>
            <w:hideMark/>
          </w:tcPr>
          <w:p w14:paraId="6E66D5FD" w14:textId="77777777" w:rsidR="0069742C" w:rsidRPr="003D64AE" w:rsidRDefault="0069742C" w:rsidP="0069742C">
            <w:pPr>
              <w:contextualSpacing/>
              <w:jc w:val="center"/>
              <w:rPr>
                <w:color w:val="000000"/>
                <w:sz w:val="18"/>
                <w:szCs w:val="18"/>
              </w:rPr>
            </w:pPr>
            <w:r w:rsidRPr="003D64AE">
              <w:rPr>
                <w:color w:val="000000"/>
                <w:sz w:val="18"/>
                <w:szCs w:val="18"/>
              </w:rPr>
              <w:t>4</w:t>
            </w:r>
          </w:p>
        </w:tc>
        <w:tc>
          <w:tcPr>
            <w:tcW w:w="953" w:type="dxa"/>
            <w:shd w:val="clear" w:color="auto" w:fill="auto"/>
            <w:noWrap/>
            <w:vAlign w:val="bottom"/>
            <w:hideMark/>
          </w:tcPr>
          <w:p w14:paraId="7A2C41BE"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968" w:type="dxa"/>
            <w:shd w:val="clear" w:color="auto" w:fill="auto"/>
            <w:noWrap/>
            <w:vAlign w:val="bottom"/>
            <w:hideMark/>
          </w:tcPr>
          <w:p w14:paraId="0EE31987" w14:textId="77777777" w:rsidR="0069742C" w:rsidRPr="003D64AE" w:rsidRDefault="0069742C" w:rsidP="0069742C">
            <w:pPr>
              <w:contextualSpacing/>
              <w:jc w:val="center"/>
              <w:rPr>
                <w:color w:val="000000"/>
                <w:sz w:val="18"/>
                <w:szCs w:val="18"/>
              </w:rPr>
            </w:pPr>
            <w:r w:rsidRPr="003D64AE">
              <w:rPr>
                <w:color w:val="000000"/>
                <w:sz w:val="18"/>
                <w:szCs w:val="18"/>
              </w:rPr>
              <w:t>21</w:t>
            </w:r>
          </w:p>
        </w:tc>
        <w:tc>
          <w:tcPr>
            <w:tcW w:w="1828" w:type="dxa"/>
            <w:shd w:val="clear" w:color="auto" w:fill="auto"/>
            <w:noWrap/>
            <w:vAlign w:val="bottom"/>
            <w:hideMark/>
          </w:tcPr>
          <w:p w14:paraId="3956FB21" w14:textId="77777777" w:rsidR="0069742C" w:rsidRPr="003D64AE" w:rsidRDefault="0069742C" w:rsidP="0069742C">
            <w:pPr>
              <w:contextualSpacing/>
              <w:jc w:val="center"/>
              <w:rPr>
                <w:color w:val="000000"/>
                <w:sz w:val="18"/>
                <w:szCs w:val="18"/>
              </w:rPr>
            </w:pPr>
            <w:r w:rsidRPr="003D64AE">
              <w:rPr>
                <w:color w:val="000000"/>
                <w:sz w:val="18"/>
                <w:szCs w:val="18"/>
              </w:rPr>
              <w:t>Good (20-25)</w:t>
            </w:r>
          </w:p>
        </w:tc>
      </w:tr>
      <w:tr w:rsidR="0069742C" w:rsidRPr="003D64AE" w14:paraId="7D2C0AB2" w14:textId="77777777" w:rsidTr="00B46744">
        <w:trPr>
          <w:cantSplit/>
          <w:trHeight w:val="288"/>
        </w:trPr>
        <w:tc>
          <w:tcPr>
            <w:tcW w:w="2728" w:type="dxa"/>
            <w:shd w:val="clear" w:color="auto" w:fill="auto"/>
            <w:noWrap/>
            <w:vAlign w:val="bottom"/>
            <w:hideMark/>
          </w:tcPr>
          <w:p w14:paraId="132C2D8C" w14:textId="6A3E3928" w:rsidR="0069742C" w:rsidRPr="003D64AE" w:rsidRDefault="00D2134A" w:rsidP="00173F0A">
            <w:pPr>
              <w:contextualSpacing/>
              <w:rPr>
                <w:color w:val="000000"/>
                <w:sz w:val="18"/>
                <w:szCs w:val="18"/>
              </w:rPr>
            </w:pPr>
            <w:r>
              <w:rPr>
                <w:color w:val="000000"/>
                <w:sz w:val="18"/>
                <w:szCs w:val="18"/>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Pr>
                <w:color w:val="000000"/>
                <w:sz w:val="18"/>
                <w:szCs w:val="18"/>
              </w:rPr>
              <w:instrText xml:space="preserve"> ADDIN EN.CITE </w:instrText>
            </w:r>
            <w:r>
              <w:rPr>
                <w:color w:val="000000"/>
                <w:sz w:val="18"/>
                <w:szCs w:val="18"/>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Pr>
                <w:color w:val="000000"/>
                <w:sz w:val="18"/>
                <w:szCs w:val="18"/>
              </w:rPr>
              <w:instrText xml:space="preserve"> ADDIN EN.CITE.DATA </w:instrText>
            </w:r>
            <w:r>
              <w:rPr>
                <w:color w:val="000000"/>
                <w:sz w:val="18"/>
                <w:szCs w:val="18"/>
              </w:rPr>
            </w:r>
            <w:r>
              <w:rPr>
                <w:color w:val="000000"/>
                <w:sz w:val="18"/>
                <w:szCs w:val="18"/>
              </w:rPr>
              <w:fldChar w:fldCharType="end"/>
            </w:r>
            <w:r>
              <w:rPr>
                <w:color w:val="000000"/>
                <w:sz w:val="18"/>
                <w:szCs w:val="18"/>
              </w:rPr>
              <w:fldChar w:fldCharType="separate"/>
            </w:r>
            <w:r>
              <w:rPr>
                <w:noProof/>
                <w:color w:val="000000"/>
                <w:sz w:val="18"/>
                <w:szCs w:val="18"/>
              </w:rPr>
              <w:t>(</w:t>
            </w:r>
            <w:hyperlink w:anchor="_ENREF_79" w:tooltip="Rath, 2015 #3" w:history="1">
              <w:r w:rsidR="00A234A9">
                <w:rPr>
                  <w:noProof/>
                  <w:color w:val="000000"/>
                  <w:sz w:val="18"/>
                  <w:szCs w:val="18"/>
                </w:rPr>
                <w:t>79</w:t>
              </w:r>
            </w:hyperlink>
            <w:r>
              <w:rPr>
                <w:noProof/>
                <w:color w:val="000000"/>
                <w:sz w:val="18"/>
                <w:szCs w:val="18"/>
              </w:rPr>
              <w:t>)</w:t>
            </w:r>
            <w:r>
              <w:rPr>
                <w:color w:val="000000"/>
                <w:sz w:val="18"/>
                <w:szCs w:val="18"/>
              </w:rPr>
              <w:fldChar w:fldCharType="end"/>
            </w:r>
          </w:p>
        </w:tc>
        <w:tc>
          <w:tcPr>
            <w:tcW w:w="1195" w:type="dxa"/>
            <w:shd w:val="clear" w:color="auto" w:fill="auto"/>
            <w:noWrap/>
            <w:vAlign w:val="bottom"/>
            <w:hideMark/>
          </w:tcPr>
          <w:p w14:paraId="20DC1E7D" w14:textId="77777777" w:rsidR="0069742C" w:rsidRPr="003D64AE" w:rsidRDefault="0069742C" w:rsidP="0069742C">
            <w:pPr>
              <w:contextualSpacing/>
              <w:jc w:val="center"/>
              <w:rPr>
                <w:color w:val="000000"/>
                <w:sz w:val="18"/>
                <w:szCs w:val="18"/>
              </w:rPr>
            </w:pPr>
            <w:r w:rsidRPr="003D64AE">
              <w:rPr>
                <w:color w:val="000000"/>
                <w:sz w:val="18"/>
                <w:szCs w:val="18"/>
              </w:rPr>
              <w:t>10</w:t>
            </w:r>
          </w:p>
        </w:tc>
        <w:tc>
          <w:tcPr>
            <w:tcW w:w="1192" w:type="dxa"/>
            <w:shd w:val="clear" w:color="auto" w:fill="auto"/>
            <w:noWrap/>
            <w:vAlign w:val="bottom"/>
            <w:hideMark/>
          </w:tcPr>
          <w:p w14:paraId="378A77F4"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1330" w:type="dxa"/>
            <w:shd w:val="clear" w:color="auto" w:fill="auto"/>
            <w:noWrap/>
            <w:vAlign w:val="bottom"/>
            <w:hideMark/>
          </w:tcPr>
          <w:p w14:paraId="56289D9C" w14:textId="77777777" w:rsidR="0069742C" w:rsidRPr="003D64AE" w:rsidRDefault="0069742C" w:rsidP="0069742C">
            <w:pPr>
              <w:contextualSpacing/>
              <w:jc w:val="center"/>
              <w:rPr>
                <w:color w:val="000000"/>
                <w:sz w:val="18"/>
                <w:szCs w:val="18"/>
              </w:rPr>
            </w:pPr>
            <w:r w:rsidRPr="003D64AE">
              <w:rPr>
                <w:color w:val="000000"/>
                <w:sz w:val="18"/>
                <w:szCs w:val="18"/>
              </w:rPr>
              <w:t>4</w:t>
            </w:r>
          </w:p>
        </w:tc>
        <w:tc>
          <w:tcPr>
            <w:tcW w:w="1452" w:type="dxa"/>
            <w:shd w:val="clear" w:color="auto" w:fill="auto"/>
            <w:noWrap/>
            <w:vAlign w:val="bottom"/>
            <w:hideMark/>
          </w:tcPr>
          <w:p w14:paraId="6F335EEF" w14:textId="77777777" w:rsidR="0069742C" w:rsidRPr="003D64AE" w:rsidRDefault="0069742C" w:rsidP="0069742C">
            <w:pPr>
              <w:contextualSpacing/>
              <w:jc w:val="center"/>
              <w:rPr>
                <w:color w:val="000000"/>
                <w:sz w:val="18"/>
                <w:szCs w:val="18"/>
              </w:rPr>
            </w:pPr>
            <w:r w:rsidRPr="003D64AE">
              <w:rPr>
                <w:color w:val="000000"/>
                <w:sz w:val="18"/>
                <w:szCs w:val="18"/>
              </w:rPr>
              <w:t>3</w:t>
            </w:r>
          </w:p>
        </w:tc>
        <w:tc>
          <w:tcPr>
            <w:tcW w:w="953" w:type="dxa"/>
            <w:shd w:val="clear" w:color="auto" w:fill="auto"/>
            <w:noWrap/>
            <w:vAlign w:val="bottom"/>
            <w:hideMark/>
          </w:tcPr>
          <w:p w14:paraId="20CDDAEE" w14:textId="77777777" w:rsidR="0069742C" w:rsidRPr="003D64AE" w:rsidRDefault="0069742C" w:rsidP="0069742C">
            <w:pPr>
              <w:contextualSpacing/>
              <w:jc w:val="center"/>
              <w:rPr>
                <w:color w:val="000000"/>
                <w:sz w:val="18"/>
                <w:szCs w:val="18"/>
              </w:rPr>
            </w:pPr>
            <w:r w:rsidRPr="003D64AE">
              <w:rPr>
                <w:color w:val="000000"/>
                <w:sz w:val="18"/>
                <w:szCs w:val="18"/>
              </w:rPr>
              <w:t>u</w:t>
            </w:r>
          </w:p>
        </w:tc>
        <w:tc>
          <w:tcPr>
            <w:tcW w:w="968" w:type="dxa"/>
            <w:shd w:val="clear" w:color="auto" w:fill="auto"/>
            <w:noWrap/>
            <w:vAlign w:val="bottom"/>
            <w:hideMark/>
          </w:tcPr>
          <w:p w14:paraId="1454A9B7" w14:textId="77777777" w:rsidR="0069742C" w:rsidRPr="003D64AE" w:rsidRDefault="0069742C" w:rsidP="0069742C">
            <w:pPr>
              <w:contextualSpacing/>
              <w:jc w:val="center"/>
              <w:rPr>
                <w:color w:val="000000"/>
                <w:sz w:val="18"/>
                <w:szCs w:val="18"/>
              </w:rPr>
            </w:pPr>
            <w:r w:rsidRPr="003D64AE">
              <w:rPr>
                <w:color w:val="000000"/>
                <w:sz w:val="18"/>
                <w:szCs w:val="18"/>
              </w:rPr>
              <w:t>18</w:t>
            </w:r>
          </w:p>
        </w:tc>
        <w:tc>
          <w:tcPr>
            <w:tcW w:w="1828" w:type="dxa"/>
            <w:shd w:val="clear" w:color="auto" w:fill="auto"/>
            <w:noWrap/>
            <w:vAlign w:val="bottom"/>
            <w:hideMark/>
          </w:tcPr>
          <w:p w14:paraId="0EFF8F60" w14:textId="77777777" w:rsidR="0069742C" w:rsidRPr="003D64AE" w:rsidRDefault="0069742C" w:rsidP="0069742C">
            <w:pPr>
              <w:contextualSpacing/>
              <w:jc w:val="center"/>
              <w:rPr>
                <w:color w:val="000000"/>
                <w:sz w:val="18"/>
                <w:szCs w:val="18"/>
              </w:rPr>
            </w:pPr>
            <w:r>
              <w:rPr>
                <w:color w:val="000000"/>
                <w:sz w:val="18"/>
                <w:szCs w:val="18"/>
              </w:rPr>
              <w:t>Fair (15-19)</w:t>
            </w:r>
          </w:p>
        </w:tc>
      </w:tr>
      <w:tr w:rsidR="0069742C" w:rsidRPr="003D64AE" w14:paraId="6BFEB62D" w14:textId="77777777" w:rsidTr="00B46744">
        <w:trPr>
          <w:cantSplit/>
          <w:trHeight w:val="288"/>
        </w:trPr>
        <w:tc>
          <w:tcPr>
            <w:tcW w:w="2728" w:type="dxa"/>
            <w:shd w:val="clear" w:color="auto" w:fill="auto"/>
            <w:noWrap/>
            <w:vAlign w:val="bottom"/>
          </w:tcPr>
          <w:p w14:paraId="1DA3510B" w14:textId="21BBD6EF" w:rsidR="0069742C" w:rsidRDefault="00D2134A" w:rsidP="00173F0A">
            <w:pPr>
              <w:contextualSpacing/>
              <w:rPr>
                <w:color w:val="000000"/>
                <w:sz w:val="18"/>
                <w:szCs w:val="18"/>
              </w:rPr>
            </w:pPr>
            <w:r>
              <w:rPr>
                <w:color w:val="000000"/>
                <w:sz w:val="18"/>
                <w:szCs w:val="18"/>
              </w:rPr>
              <w:fldChar w:fldCharType="begin"/>
            </w:r>
            <w:r>
              <w:rPr>
                <w:color w:val="000000"/>
                <w:sz w:val="18"/>
                <w:szCs w:val="18"/>
              </w:rPr>
              <w:instrText xml:space="preserve"> ADDIN EN.CITE &lt;EndNote&gt;&lt;Cite&gt;&lt;Author&gt;Resnicow&lt;/Author&gt;&lt;Year&gt;2014&lt;/Year&gt;&lt;RecNum&gt;19&lt;/RecNum&gt;&lt;DisplayText&gt;(80)&lt;/DisplayText&gt;&lt;record&gt;&lt;rec-number&gt;19&lt;/rec-number&gt;&lt;foreign-keys&gt;&lt;key app="EN" db-id="a2vz2dfp8xrad6exes75zwpiw5rxwa0vwapv" timestamp="0"&gt;19&lt;/key&gt;&lt;/foreign-keys&gt;&lt;ref-type name="Journal Article"&gt;17&lt;/ref-type&gt;&lt;contributors&gt;&lt;authors&gt;&lt;author&gt;Resnicow, K.&lt;/author&gt;&lt;author&gt;Zhou, Y.&lt;/author&gt;&lt;author&gt;Scheuermann, T. S.&lt;/author&gt;&lt;author&gt;Nollen, N. L.&lt;/author&gt;&lt;author&gt;Ahluwalia, J. S.&lt;/author&gt;&lt;/authors&gt;&lt;/contributors&gt;&lt;auth-address&gt;Department of Health Behavior and Health Education, University of Michigan, School of Public Health, Ann Arbor, MI;&lt;/auth-address&gt;&lt;titles&gt;&lt;title&gt;Unplanned quitting in a triethnic sample of U.S. smokers&lt;/title&gt;&lt;secondary-title&gt;Nicotine Tob Res&lt;/secondary-title&gt;&lt;/titles&gt;&lt;periodical&gt;&lt;full-title&gt;Nicotine Tob Res&lt;/full-title&gt;&lt;/periodical&gt;&lt;pages&gt;759-65&lt;/pages&gt;&lt;volume&gt;16&lt;/volume&gt;&lt;number&gt;6&lt;/number&gt;&lt;keywords&gt;&lt;keyword&gt;Adult&lt;/keyword&gt;&lt;keyword&gt;African Americans/statistics &amp;amp; numerical data&lt;/keyword&gt;&lt;keyword&gt;Cross-Sectional Studies&lt;/keyword&gt;&lt;keyword&gt;European Continental Ancestry Group/statistics &amp;amp; numerical data&lt;/keyword&gt;&lt;keyword&gt;Female&lt;/keyword&gt;&lt;keyword&gt;Hispanic Americans/statistics &amp;amp; numerical data&lt;/keyword&gt;&lt;keyword&gt;Humans&lt;/keyword&gt;&lt;keyword&gt;Intention&lt;/keyword&gt;&lt;keyword&gt;Male&lt;/keyword&gt;&lt;keyword&gt;Middle Aged&lt;/keyword&gt;&lt;keyword&gt;Smoking/*ethnology&lt;/keyword&gt;&lt;keyword&gt;Smoking Cessation/*ethnology/*statistics &amp;amp; numerical data&lt;/keyword&gt;&lt;keyword&gt;United States&lt;/keyword&gt;&lt;/keywords&gt;&lt;dates&gt;&lt;year&gt;2014&lt;/year&gt;&lt;pub-dates&gt;&lt;date&gt;Jun&lt;/date&gt;&lt;/pub-dates&gt;&lt;/dates&gt;&lt;isbn&gt;1469-994X (Electronic)&amp;#xD;1462-2203 (Linking)&lt;/isbn&gt;&lt;accession-num&gt;24420329&lt;/accession-num&gt;&lt;urls&gt;&lt;related-urls&gt;&lt;url&gt;http://www.ncbi.nlm.nih.gov/pubmed/24420329&lt;/url&gt;&lt;/related-urls&gt;&lt;/urls&gt;&lt;custom2&gt;PMC4064007&lt;/custom2&gt;&lt;electronic-resource-num&gt;10.1093/ntr/ntt272&lt;/electronic-resource-num&gt;&lt;research-notes&gt;#096&lt;/research-notes&gt;&lt;/record&gt;&lt;/Cite&gt;&lt;/EndNote&gt;</w:instrText>
            </w:r>
            <w:r>
              <w:rPr>
                <w:color w:val="000000"/>
                <w:sz w:val="18"/>
                <w:szCs w:val="18"/>
              </w:rPr>
              <w:fldChar w:fldCharType="separate"/>
            </w:r>
            <w:r>
              <w:rPr>
                <w:noProof/>
                <w:color w:val="000000"/>
                <w:sz w:val="18"/>
                <w:szCs w:val="18"/>
              </w:rPr>
              <w:t>(</w:t>
            </w:r>
            <w:hyperlink w:anchor="_ENREF_80" w:tooltip="Resnicow, 2014 #19" w:history="1">
              <w:r w:rsidR="00A234A9">
                <w:rPr>
                  <w:noProof/>
                  <w:color w:val="000000"/>
                  <w:sz w:val="18"/>
                  <w:szCs w:val="18"/>
                </w:rPr>
                <w:t>80</w:t>
              </w:r>
            </w:hyperlink>
            <w:r>
              <w:rPr>
                <w:noProof/>
                <w:color w:val="000000"/>
                <w:sz w:val="18"/>
                <w:szCs w:val="18"/>
              </w:rPr>
              <w:t>)</w:t>
            </w:r>
            <w:r>
              <w:rPr>
                <w:color w:val="000000"/>
                <w:sz w:val="18"/>
                <w:szCs w:val="18"/>
              </w:rPr>
              <w:fldChar w:fldCharType="end"/>
            </w:r>
          </w:p>
        </w:tc>
        <w:tc>
          <w:tcPr>
            <w:tcW w:w="1195" w:type="dxa"/>
            <w:shd w:val="clear" w:color="auto" w:fill="auto"/>
            <w:noWrap/>
            <w:vAlign w:val="bottom"/>
          </w:tcPr>
          <w:p w14:paraId="1D68C892" w14:textId="77777777" w:rsidR="0069742C" w:rsidRPr="003D64AE" w:rsidRDefault="0069742C" w:rsidP="0069742C">
            <w:pPr>
              <w:contextualSpacing/>
              <w:jc w:val="center"/>
              <w:rPr>
                <w:color w:val="000000"/>
                <w:sz w:val="18"/>
                <w:szCs w:val="18"/>
              </w:rPr>
            </w:pPr>
            <w:r w:rsidRPr="00806697">
              <w:rPr>
                <w:color w:val="000000"/>
                <w:sz w:val="18"/>
                <w:szCs w:val="18"/>
              </w:rPr>
              <w:t>9</w:t>
            </w:r>
          </w:p>
        </w:tc>
        <w:tc>
          <w:tcPr>
            <w:tcW w:w="1192" w:type="dxa"/>
            <w:shd w:val="clear" w:color="auto" w:fill="auto"/>
            <w:noWrap/>
            <w:vAlign w:val="bottom"/>
          </w:tcPr>
          <w:p w14:paraId="57E35E02" w14:textId="77777777" w:rsidR="0069742C" w:rsidRPr="003D64AE" w:rsidRDefault="0069742C" w:rsidP="0069742C">
            <w:pPr>
              <w:contextualSpacing/>
              <w:jc w:val="center"/>
              <w:rPr>
                <w:color w:val="000000"/>
                <w:sz w:val="18"/>
                <w:szCs w:val="18"/>
              </w:rPr>
            </w:pPr>
            <w:r w:rsidRPr="00806697">
              <w:rPr>
                <w:color w:val="000000"/>
                <w:sz w:val="18"/>
                <w:szCs w:val="18"/>
              </w:rPr>
              <w:t>0</w:t>
            </w:r>
          </w:p>
        </w:tc>
        <w:tc>
          <w:tcPr>
            <w:tcW w:w="1330" w:type="dxa"/>
            <w:shd w:val="clear" w:color="auto" w:fill="auto"/>
            <w:noWrap/>
            <w:vAlign w:val="bottom"/>
          </w:tcPr>
          <w:p w14:paraId="489A4BD1" w14:textId="77777777" w:rsidR="0069742C" w:rsidRPr="003D64AE" w:rsidRDefault="0069742C" w:rsidP="0069742C">
            <w:pPr>
              <w:contextualSpacing/>
              <w:jc w:val="center"/>
              <w:rPr>
                <w:color w:val="000000"/>
                <w:sz w:val="18"/>
                <w:szCs w:val="18"/>
              </w:rPr>
            </w:pPr>
            <w:r w:rsidRPr="00806697">
              <w:rPr>
                <w:color w:val="000000"/>
                <w:sz w:val="18"/>
                <w:szCs w:val="18"/>
              </w:rPr>
              <w:t>3</w:t>
            </w:r>
          </w:p>
        </w:tc>
        <w:tc>
          <w:tcPr>
            <w:tcW w:w="1452" w:type="dxa"/>
            <w:shd w:val="clear" w:color="auto" w:fill="auto"/>
            <w:noWrap/>
            <w:vAlign w:val="bottom"/>
          </w:tcPr>
          <w:p w14:paraId="625B69A4" w14:textId="77777777" w:rsidR="0069742C" w:rsidRPr="003D64AE" w:rsidRDefault="0069742C" w:rsidP="0069742C">
            <w:pPr>
              <w:contextualSpacing/>
              <w:jc w:val="center"/>
              <w:rPr>
                <w:color w:val="000000"/>
                <w:sz w:val="18"/>
                <w:szCs w:val="18"/>
              </w:rPr>
            </w:pPr>
            <w:r w:rsidRPr="00806697">
              <w:rPr>
                <w:color w:val="000000"/>
                <w:sz w:val="18"/>
                <w:szCs w:val="18"/>
              </w:rPr>
              <w:t>3</w:t>
            </w:r>
          </w:p>
        </w:tc>
        <w:tc>
          <w:tcPr>
            <w:tcW w:w="953" w:type="dxa"/>
            <w:shd w:val="clear" w:color="auto" w:fill="auto"/>
            <w:noWrap/>
            <w:vAlign w:val="bottom"/>
          </w:tcPr>
          <w:p w14:paraId="67F094D0" w14:textId="77777777" w:rsidR="0069742C" w:rsidRPr="003D64AE" w:rsidRDefault="0069742C" w:rsidP="0069742C">
            <w:pPr>
              <w:contextualSpacing/>
              <w:jc w:val="center"/>
              <w:rPr>
                <w:color w:val="000000"/>
                <w:sz w:val="18"/>
                <w:szCs w:val="18"/>
              </w:rPr>
            </w:pPr>
            <w:r w:rsidRPr="00806697">
              <w:rPr>
                <w:color w:val="000000"/>
                <w:sz w:val="18"/>
                <w:szCs w:val="18"/>
              </w:rPr>
              <w:t>1</w:t>
            </w:r>
          </w:p>
        </w:tc>
        <w:tc>
          <w:tcPr>
            <w:tcW w:w="968" w:type="dxa"/>
            <w:shd w:val="clear" w:color="auto" w:fill="auto"/>
            <w:noWrap/>
            <w:vAlign w:val="bottom"/>
          </w:tcPr>
          <w:p w14:paraId="1389E068" w14:textId="77777777" w:rsidR="0069742C" w:rsidRPr="003D64AE" w:rsidRDefault="0069742C" w:rsidP="0069742C">
            <w:pPr>
              <w:contextualSpacing/>
              <w:jc w:val="center"/>
              <w:rPr>
                <w:color w:val="000000"/>
                <w:sz w:val="18"/>
                <w:szCs w:val="18"/>
              </w:rPr>
            </w:pPr>
            <w:r w:rsidRPr="00806697">
              <w:rPr>
                <w:color w:val="000000"/>
                <w:sz w:val="18"/>
                <w:szCs w:val="18"/>
              </w:rPr>
              <w:t>16</w:t>
            </w:r>
          </w:p>
        </w:tc>
        <w:tc>
          <w:tcPr>
            <w:tcW w:w="1828" w:type="dxa"/>
            <w:shd w:val="clear" w:color="auto" w:fill="auto"/>
            <w:noWrap/>
            <w:vAlign w:val="bottom"/>
          </w:tcPr>
          <w:p w14:paraId="2B72BE63" w14:textId="77777777" w:rsidR="0069742C" w:rsidRDefault="0069742C" w:rsidP="0069742C">
            <w:pPr>
              <w:contextualSpacing/>
              <w:jc w:val="center"/>
              <w:rPr>
                <w:color w:val="000000"/>
                <w:sz w:val="18"/>
                <w:szCs w:val="18"/>
              </w:rPr>
            </w:pPr>
            <w:r w:rsidRPr="00806697">
              <w:rPr>
                <w:color w:val="000000"/>
                <w:sz w:val="18"/>
                <w:szCs w:val="18"/>
              </w:rPr>
              <w:t>Fair (1</w:t>
            </w:r>
            <w:r w:rsidR="00110937">
              <w:rPr>
                <w:color w:val="000000"/>
                <w:sz w:val="18"/>
                <w:szCs w:val="18"/>
              </w:rPr>
              <w:t>5</w:t>
            </w:r>
            <w:r w:rsidRPr="00806697">
              <w:rPr>
                <w:color w:val="000000"/>
                <w:sz w:val="18"/>
                <w:szCs w:val="18"/>
              </w:rPr>
              <w:t>-19)</w:t>
            </w:r>
          </w:p>
        </w:tc>
      </w:tr>
      <w:tr w:rsidR="0069742C" w:rsidRPr="003D64AE" w14:paraId="358C8A66" w14:textId="77777777" w:rsidTr="00B46744">
        <w:trPr>
          <w:cantSplit/>
          <w:trHeight w:val="288"/>
        </w:trPr>
        <w:tc>
          <w:tcPr>
            <w:tcW w:w="2728" w:type="dxa"/>
            <w:shd w:val="clear" w:color="auto" w:fill="auto"/>
            <w:noWrap/>
            <w:vAlign w:val="bottom"/>
            <w:hideMark/>
          </w:tcPr>
          <w:p w14:paraId="259FD0DD" w14:textId="0EEDB36C" w:rsidR="0069742C" w:rsidRPr="003D64AE" w:rsidRDefault="00D2134A" w:rsidP="00173F0A">
            <w:pPr>
              <w:contextualSpacing/>
              <w:rPr>
                <w:color w:val="000000"/>
                <w:sz w:val="18"/>
                <w:szCs w:val="18"/>
              </w:rPr>
            </w:pPr>
            <w:r>
              <w:rPr>
                <w:color w:val="000000"/>
                <w:sz w:val="18"/>
                <w:szCs w:val="18"/>
              </w:rPr>
              <w:fldChar w:fldCharType="begin"/>
            </w:r>
            <w:r>
              <w:rPr>
                <w:color w:val="000000"/>
                <w:sz w:val="18"/>
                <w:szCs w:val="18"/>
              </w:rPr>
              <w:instrText xml:space="preserve"> ADDIN EN.CITE &lt;EndNote&gt;&lt;Cite&gt;&lt;Author&gt;Rosenbloom&lt;/Author&gt;&lt;Year&gt;2012&lt;/Year&gt;&lt;RecNum&gt;32&lt;/RecNum&gt;&lt;DisplayText&gt;(81)&lt;/DisplayText&gt;&lt;record&gt;&lt;rec-number&gt;32&lt;/rec-number&gt;&lt;foreign-keys&gt;&lt;key app="EN" db-id="a2vz2dfp8xrad6exes75zwpiw5rxwa0vwapv" timestamp="0"&gt;32&lt;/key&gt;&lt;/foreign-keys&gt;&lt;ref-type name="Journal Article"&gt;17&lt;/ref-type&gt;&lt;contributors&gt;&lt;authors&gt;&lt;author&gt;Rosenbloom, J.&lt;/author&gt;&lt;author&gt; Rees, V. W.&lt;/author&gt;&lt;author&gt;Reid, K.&lt;/author&gt;&lt;author&gt;Wong, J.&lt;/author&gt;&lt;author&gt;Kinnunen, T.&lt;/author&gt;&lt;/authors&gt;&lt;/contributors&gt;&lt;titles&gt;&lt;title&gt;A cross-sectional study on tobacco use and dependence among women: Does menthol matter?&lt;/title&gt;&lt;secondary-title&gt;Tob Induc Dis&lt;/secondary-title&gt;&lt;/titles&gt;&lt;periodical&gt;&lt;full-title&gt;Tob Induc Dis&lt;/full-title&gt;&lt;/periodical&gt;&lt;pages&gt;1-6&lt;/pages&gt;&lt;volume&gt;10&lt;/volume&gt;&lt;number&gt;19&lt;/number&gt;&lt;section&gt;1&lt;/section&gt;&lt;keywords&gt;&lt;keyword&gt;Cigarette smoking, Menthol cigarettes, Tobacco use, Tobacco dependence, Race/Ethnicity, Female Sex/&lt;/keyword&gt;&lt;keyword&gt;Gender&lt;/keyword&gt;&lt;/keywords&gt;&lt;dates&gt;&lt;year&gt;2012&lt;/year&gt;&lt;/dates&gt;&lt;urls&gt;&lt;/urls&gt;&lt;electronic-resource-num&gt;10.1186/1617-9625-10-19&lt;/electronic-resource-num&gt;&lt;research-notes&gt;#173&lt;/research-notes&gt;&lt;/record&gt;&lt;/Cite&gt;&lt;/EndNote&gt;</w:instrText>
            </w:r>
            <w:r>
              <w:rPr>
                <w:color w:val="000000"/>
                <w:sz w:val="18"/>
                <w:szCs w:val="18"/>
              </w:rPr>
              <w:fldChar w:fldCharType="separate"/>
            </w:r>
            <w:r>
              <w:rPr>
                <w:noProof/>
                <w:color w:val="000000"/>
                <w:sz w:val="18"/>
                <w:szCs w:val="18"/>
              </w:rPr>
              <w:t>(</w:t>
            </w:r>
            <w:hyperlink w:anchor="_ENREF_81" w:tooltip="Rosenbloom, 2012 #32" w:history="1">
              <w:r w:rsidR="00A234A9">
                <w:rPr>
                  <w:noProof/>
                  <w:color w:val="000000"/>
                  <w:sz w:val="18"/>
                  <w:szCs w:val="18"/>
                </w:rPr>
                <w:t>81</w:t>
              </w:r>
            </w:hyperlink>
            <w:r>
              <w:rPr>
                <w:noProof/>
                <w:color w:val="000000"/>
                <w:sz w:val="18"/>
                <w:szCs w:val="18"/>
              </w:rPr>
              <w:t>)</w:t>
            </w:r>
            <w:r>
              <w:rPr>
                <w:color w:val="000000"/>
                <w:sz w:val="18"/>
                <w:szCs w:val="18"/>
              </w:rPr>
              <w:fldChar w:fldCharType="end"/>
            </w:r>
          </w:p>
        </w:tc>
        <w:tc>
          <w:tcPr>
            <w:tcW w:w="1195" w:type="dxa"/>
            <w:shd w:val="clear" w:color="auto" w:fill="auto"/>
            <w:noWrap/>
            <w:vAlign w:val="bottom"/>
            <w:hideMark/>
          </w:tcPr>
          <w:p w14:paraId="7F1C7324" w14:textId="77777777" w:rsidR="0069742C" w:rsidRPr="003D64AE" w:rsidRDefault="0069742C" w:rsidP="0069742C">
            <w:pPr>
              <w:contextualSpacing/>
              <w:jc w:val="center"/>
              <w:rPr>
                <w:color w:val="000000"/>
                <w:sz w:val="18"/>
                <w:szCs w:val="18"/>
              </w:rPr>
            </w:pPr>
            <w:r w:rsidRPr="003D64AE">
              <w:rPr>
                <w:color w:val="000000"/>
                <w:sz w:val="18"/>
                <w:szCs w:val="18"/>
              </w:rPr>
              <w:t>9</w:t>
            </w:r>
          </w:p>
        </w:tc>
        <w:tc>
          <w:tcPr>
            <w:tcW w:w="1192" w:type="dxa"/>
            <w:shd w:val="clear" w:color="auto" w:fill="auto"/>
            <w:noWrap/>
            <w:vAlign w:val="bottom"/>
            <w:hideMark/>
          </w:tcPr>
          <w:p w14:paraId="017A2983" w14:textId="77777777" w:rsidR="0069742C" w:rsidRPr="003D64AE" w:rsidRDefault="0069742C" w:rsidP="0069742C">
            <w:pPr>
              <w:contextualSpacing/>
              <w:jc w:val="center"/>
              <w:rPr>
                <w:color w:val="000000"/>
                <w:sz w:val="18"/>
                <w:szCs w:val="18"/>
              </w:rPr>
            </w:pPr>
            <w:r w:rsidRPr="003D64AE">
              <w:rPr>
                <w:color w:val="000000"/>
                <w:sz w:val="18"/>
                <w:szCs w:val="18"/>
              </w:rPr>
              <w:t>2</w:t>
            </w:r>
          </w:p>
        </w:tc>
        <w:tc>
          <w:tcPr>
            <w:tcW w:w="1330" w:type="dxa"/>
            <w:shd w:val="clear" w:color="auto" w:fill="auto"/>
            <w:noWrap/>
            <w:vAlign w:val="bottom"/>
            <w:hideMark/>
          </w:tcPr>
          <w:p w14:paraId="46973CC3" w14:textId="77777777" w:rsidR="0069742C" w:rsidRPr="003D64AE" w:rsidRDefault="0069742C" w:rsidP="0069742C">
            <w:pPr>
              <w:contextualSpacing/>
              <w:jc w:val="center"/>
              <w:rPr>
                <w:color w:val="000000"/>
                <w:sz w:val="18"/>
                <w:szCs w:val="18"/>
              </w:rPr>
            </w:pPr>
            <w:r w:rsidRPr="003D64AE">
              <w:rPr>
                <w:color w:val="000000"/>
                <w:sz w:val="18"/>
                <w:szCs w:val="18"/>
              </w:rPr>
              <w:t>2</w:t>
            </w:r>
          </w:p>
        </w:tc>
        <w:tc>
          <w:tcPr>
            <w:tcW w:w="1452" w:type="dxa"/>
            <w:shd w:val="clear" w:color="auto" w:fill="auto"/>
            <w:noWrap/>
            <w:vAlign w:val="bottom"/>
            <w:hideMark/>
          </w:tcPr>
          <w:p w14:paraId="3302EB32" w14:textId="77777777" w:rsidR="0069742C" w:rsidRPr="003D64AE" w:rsidRDefault="0069742C" w:rsidP="0069742C">
            <w:pPr>
              <w:contextualSpacing/>
              <w:jc w:val="center"/>
              <w:rPr>
                <w:color w:val="000000"/>
                <w:sz w:val="18"/>
                <w:szCs w:val="18"/>
              </w:rPr>
            </w:pPr>
            <w:r w:rsidRPr="003D64AE">
              <w:rPr>
                <w:color w:val="000000"/>
                <w:sz w:val="18"/>
                <w:szCs w:val="18"/>
              </w:rPr>
              <w:t>3</w:t>
            </w:r>
          </w:p>
        </w:tc>
        <w:tc>
          <w:tcPr>
            <w:tcW w:w="953" w:type="dxa"/>
            <w:shd w:val="clear" w:color="auto" w:fill="auto"/>
            <w:noWrap/>
            <w:vAlign w:val="bottom"/>
            <w:hideMark/>
          </w:tcPr>
          <w:p w14:paraId="1205A0C1"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968" w:type="dxa"/>
            <w:shd w:val="clear" w:color="auto" w:fill="auto"/>
            <w:noWrap/>
            <w:vAlign w:val="bottom"/>
            <w:hideMark/>
          </w:tcPr>
          <w:p w14:paraId="7CF4B971" w14:textId="77777777" w:rsidR="0069742C" w:rsidRPr="003D64AE" w:rsidRDefault="0069742C" w:rsidP="0069742C">
            <w:pPr>
              <w:contextualSpacing/>
              <w:jc w:val="center"/>
              <w:rPr>
                <w:color w:val="000000"/>
                <w:sz w:val="18"/>
                <w:szCs w:val="18"/>
              </w:rPr>
            </w:pPr>
            <w:r w:rsidRPr="003D64AE">
              <w:rPr>
                <w:color w:val="000000"/>
                <w:sz w:val="18"/>
                <w:szCs w:val="18"/>
              </w:rPr>
              <w:t>17</w:t>
            </w:r>
          </w:p>
        </w:tc>
        <w:tc>
          <w:tcPr>
            <w:tcW w:w="1828" w:type="dxa"/>
            <w:shd w:val="clear" w:color="auto" w:fill="auto"/>
            <w:noWrap/>
            <w:vAlign w:val="bottom"/>
            <w:hideMark/>
          </w:tcPr>
          <w:p w14:paraId="537B2022" w14:textId="77777777" w:rsidR="0069742C" w:rsidRPr="003D64AE" w:rsidRDefault="0069742C" w:rsidP="0069742C">
            <w:pPr>
              <w:contextualSpacing/>
              <w:jc w:val="center"/>
              <w:rPr>
                <w:color w:val="000000"/>
                <w:sz w:val="18"/>
                <w:szCs w:val="18"/>
              </w:rPr>
            </w:pPr>
            <w:r>
              <w:rPr>
                <w:color w:val="000000"/>
                <w:sz w:val="18"/>
                <w:szCs w:val="18"/>
              </w:rPr>
              <w:t>Fair (15-19)</w:t>
            </w:r>
          </w:p>
        </w:tc>
      </w:tr>
      <w:tr w:rsidR="0069742C" w:rsidRPr="003D64AE" w14:paraId="66C05118" w14:textId="77777777" w:rsidTr="00B46744">
        <w:trPr>
          <w:cantSplit/>
          <w:trHeight w:val="288"/>
        </w:trPr>
        <w:tc>
          <w:tcPr>
            <w:tcW w:w="2728" w:type="dxa"/>
            <w:shd w:val="clear" w:color="auto" w:fill="auto"/>
            <w:noWrap/>
            <w:vAlign w:val="bottom"/>
            <w:hideMark/>
          </w:tcPr>
          <w:p w14:paraId="6BA640EC" w14:textId="23367450" w:rsidR="0069742C" w:rsidRPr="003D64AE" w:rsidRDefault="00D2134A" w:rsidP="00173F0A">
            <w:pPr>
              <w:contextualSpacing/>
              <w:rPr>
                <w:color w:val="000000"/>
                <w:sz w:val="18"/>
                <w:szCs w:val="18"/>
              </w:rPr>
            </w:pPr>
            <w:r>
              <w:rPr>
                <w:color w:val="000000"/>
                <w:sz w:val="18"/>
                <w:szCs w:val="18"/>
              </w:rPr>
              <w:fldChar w:fldCharType="begin"/>
            </w:r>
            <w:r>
              <w:rPr>
                <w:color w:val="000000"/>
                <w:sz w:val="18"/>
                <w:szCs w:val="18"/>
              </w:rPr>
              <w:instrText xml:space="preserve"> ADDIN EN.CITE &lt;EndNote&gt;&lt;Cite&gt;&lt;Author&gt;Sidney&lt;/Author&gt;&lt;Year&gt;1989&lt;/Year&gt;&lt;RecNum&gt;92&lt;/RecNum&gt;&lt;DisplayText&gt;(82)&lt;/DisplayText&gt;&lt;record&gt;&lt;rec-number&gt;92&lt;/rec-number&gt;&lt;foreign-keys&gt;&lt;key app="EN" db-id="a2vz2dfp8xrad6exes75zwpiw5rxwa0vwapv" timestamp="0"&gt;92&lt;/key&gt;&lt;/foreign-keys&gt;&lt;ref-type name="Journal Article"&gt;17&lt;/ref-type&gt;&lt;contributors&gt;&lt;authors&gt;&lt;author&gt;Sidney, S.&lt;/author&gt;&lt;author&gt;Tekawa, I. S.&lt;/author&gt;&lt;author&gt;Friedman, G. D.&lt;/author&gt;&lt;/authors&gt;&lt;/contributors&gt;&lt;titles&gt;&lt;title&gt;Mentholated cigarette use among multiphasic examinees, 1979-86&lt;/title&gt;&lt;secondary-title&gt;Am J Public Health&lt;/secondary-title&gt;&lt;/titles&gt;&lt;periodical&gt;&lt;full-title&gt;Am J Public Health&lt;/full-title&gt;&lt;/periodical&gt;&lt;pages&gt;1415-1416&lt;/pages&gt;&lt;volume&gt;79&lt;/volume&gt;&lt;section&gt;1415&lt;/section&gt;&lt;dates&gt;&lt;year&gt;1989&lt;/year&gt;&lt;/dates&gt;&lt;urls&gt;&lt;/urls&gt;&lt;research-notes&gt;#505&lt;/research-notes&gt;&lt;/record&gt;&lt;/Cite&gt;&lt;/EndNote&gt;</w:instrText>
            </w:r>
            <w:r>
              <w:rPr>
                <w:color w:val="000000"/>
                <w:sz w:val="18"/>
                <w:szCs w:val="18"/>
              </w:rPr>
              <w:fldChar w:fldCharType="separate"/>
            </w:r>
            <w:r>
              <w:rPr>
                <w:noProof/>
                <w:color w:val="000000"/>
                <w:sz w:val="18"/>
                <w:szCs w:val="18"/>
              </w:rPr>
              <w:t>(</w:t>
            </w:r>
            <w:hyperlink w:anchor="_ENREF_82" w:tooltip="Sidney, 1989 #92" w:history="1">
              <w:r w:rsidR="00A234A9">
                <w:rPr>
                  <w:noProof/>
                  <w:color w:val="000000"/>
                  <w:sz w:val="18"/>
                  <w:szCs w:val="18"/>
                </w:rPr>
                <w:t>82</w:t>
              </w:r>
            </w:hyperlink>
            <w:r>
              <w:rPr>
                <w:noProof/>
                <w:color w:val="000000"/>
                <w:sz w:val="18"/>
                <w:szCs w:val="18"/>
              </w:rPr>
              <w:t>)</w:t>
            </w:r>
            <w:r>
              <w:rPr>
                <w:color w:val="000000"/>
                <w:sz w:val="18"/>
                <w:szCs w:val="18"/>
              </w:rPr>
              <w:fldChar w:fldCharType="end"/>
            </w:r>
          </w:p>
        </w:tc>
        <w:tc>
          <w:tcPr>
            <w:tcW w:w="1195" w:type="dxa"/>
            <w:shd w:val="clear" w:color="auto" w:fill="auto"/>
            <w:noWrap/>
            <w:vAlign w:val="bottom"/>
            <w:hideMark/>
          </w:tcPr>
          <w:p w14:paraId="64157DB7" w14:textId="77777777" w:rsidR="0069742C" w:rsidRPr="003D64AE" w:rsidRDefault="0069742C" w:rsidP="0069742C">
            <w:pPr>
              <w:contextualSpacing/>
              <w:jc w:val="center"/>
              <w:rPr>
                <w:color w:val="000000"/>
                <w:sz w:val="18"/>
                <w:szCs w:val="18"/>
              </w:rPr>
            </w:pPr>
            <w:r w:rsidRPr="003D64AE">
              <w:rPr>
                <w:color w:val="000000"/>
                <w:sz w:val="18"/>
                <w:szCs w:val="18"/>
              </w:rPr>
              <w:t>8</w:t>
            </w:r>
          </w:p>
        </w:tc>
        <w:tc>
          <w:tcPr>
            <w:tcW w:w="1192" w:type="dxa"/>
            <w:shd w:val="clear" w:color="auto" w:fill="auto"/>
            <w:noWrap/>
            <w:vAlign w:val="bottom"/>
            <w:hideMark/>
          </w:tcPr>
          <w:p w14:paraId="2784C98C" w14:textId="77777777" w:rsidR="0069742C" w:rsidRPr="003D64AE" w:rsidRDefault="0069742C" w:rsidP="0069742C">
            <w:pPr>
              <w:contextualSpacing/>
              <w:jc w:val="center"/>
              <w:rPr>
                <w:color w:val="000000"/>
                <w:sz w:val="18"/>
                <w:szCs w:val="18"/>
              </w:rPr>
            </w:pPr>
            <w:r w:rsidRPr="003D64AE">
              <w:rPr>
                <w:color w:val="000000"/>
                <w:sz w:val="18"/>
                <w:szCs w:val="18"/>
              </w:rPr>
              <w:t>3</w:t>
            </w:r>
          </w:p>
        </w:tc>
        <w:tc>
          <w:tcPr>
            <w:tcW w:w="1330" w:type="dxa"/>
            <w:shd w:val="clear" w:color="auto" w:fill="auto"/>
            <w:noWrap/>
            <w:vAlign w:val="bottom"/>
            <w:hideMark/>
          </w:tcPr>
          <w:p w14:paraId="2C34C133" w14:textId="77777777" w:rsidR="0069742C" w:rsidRPr="003D64AE" w:rsidRDefault="0069742C" w:rsidP="0069742C">
            <w:pPr>
              <w:contextualSpacing/>
              <w:jc w:val="center"/>
              <w:rPr>
                <w:color w:val="000000"/>
                <w:sz w:val="18"/>
                <w:szCs w:val="18"/>
              </w:rPr>
            </w:pPr>
            <w:r w:rsidRPr="003D64AE">
              <w:rPr>
                <w:color w:val="000000"/>
                <w:sz w:val="18"/>
                <w:szCs w:val="18"/>
              </w:rPr>
              <w:t>5</w:t>
            </w:r>
          </w:p>
        </w:tc>
        <w:tc>
          <w:tcPr>
            <w:tcW w:w="1452" w:type="dxa"/>
            <w:shd w:val="clear" w:color="auto" w:fill="auto"/>
            <w:noWrap/>
            <w:vAlign w:val="bottom"/>
            <w:hideMark/>
          </w:tcPr>
          <w:p w14:paraId="7EE483FC" w14:textId="77777777" w:rsidR="0069742C" w:rsidRPr="003D64AE" w:rsidRDefault="0069742C" w:rsidP="0069742C">
            <w:pPr>
              <w:contextualSpacing/>
              <w:jc w:val="center"/>
              <w:rPr>
                <w:color w:val="000000"/>
                <w:sz w:val="18"/>
                <w:szCs w:val="18"/>
              </w:rPr>
            </w:pPr>
            <w:r w:rsidRPr="003D64AE">
              <w:rPr>
                <w:color w:val="000000"/>
                <w:sz w:val="18"/>
                <w:szCs w:val="18"/>
              </w:rPr>
              <w:t>3</w:t>
            </w:r>
          </w:p>
        </w:tc>
        <w:tc>
          <w:tcPr>
            <w:tcW w:w="953" w:type="dxa"/>
            <w:shd w:val="clear" w:color="auto" w:fill="auto"/>
            <w:noWrap/>
            <w:vAlign w:val="bottom"/>
            <w:hideMark/>
          </w:tcPr>
          <w:p w14:paraId="1FA85F2C" w14:textId="77777777" w:rsidR="0069742C" w:rsidRPr="003D64AE" w:rsidRDefault="0069742C" w:rsidP="0069742C">
            <w:pPr>
              <w:contextualSpacing/>
              <w:jc w:val="center"/>
              <w:rPr>
                <w:color w:val="000000"/>
                <w:sz w:val="18"/>
                <w:szCs w:val="18"/>
              </w:rPr>
            </w:pPr>
            <w:r w:rsidRPr="003D64AE">
              <w:rPr>
                <w:color w:val="000000"/>
                <w:sz w:val="18"/>
                <w:szCs w:val="18"/>
              </w:rPr>
              <w:t>0</w:t>
            </w:r>
          </w:p>
        </w:tc>
        <w:tc>
          <w:tcPr>
            <w:tcW w:w="968" w:type="dxa"/>
            <w:shd w:val="clear" w:color="auto" w:fill="auto"/>
            <w:noWrap/>
            <w:vAlign w:val="bottom"/>
            <w:hideMark/>
          </w:tcPr>
          <w:p w14:paraId="1957E1F2" w14:textId="77777777" w:rsidR="0069742C" w:rsidRPr="003D64AE" w:rsidRDefault="0069742C" w:rsidP="0069742C">
            <w:pPr>
              <w:contextualSpacing/>
              <w:jc w:val="center"/>
              <w:rPr>
                <w:color w:val="000000"/>
                <w:sz w:val="18"/>
                <w:szCs w:val="18"/>
              </w:rPr>
            </w:pPr>
            <w:r w:rsidRPr="003D64AE">
              <w:rPr>
                <w:color w:val="000000"/>
                <w:sz w:val="18"/>
                <w:szCs w:val="18"/>
              </w:rPr>
              <w:t>19</w:t>
            </w:r>
          </w:p>
        </w:tc>
        <w:tc>
          <w:tcPr>
            <w:tcW w:w="1828" w:type="dxa"/>
            <w:shd w:val="clear" w:color="auto" w:fill="auto"/>
            <w:noWrap/>
            <w:vAlign w:val="bottom"/>
            <w:hideMark/>
          </w:tcPr>
          <w:p w14:paraId="5B83B4EA" w14:textId="77777777" w:rsidR="0069742C" w:rsidRPr="003D64AE" w:rsidRDefault="0069742C" w:rsidP="0069742C">
            <w:pPr>
              <w:contextualSpacing/>
              <w:jc w:val="center"/>
              <w:rPr>
                <w:color w:val="000000"/>
                <w:sz w:val="18"/>
                <w:szCs w:val="18"/>
              </w:rPr>
            </w:pPr>
            <w:r>
              <w:rPr>
                <w:color w:val="000000"/>
                <w:sz w:val="18"/>
                <w:szCs w:val="18"/>
              </w:rPr>
              <w:t>Fair (15-19)</w:t>
            </w:r>
          </w:p>
        </w:tc>
      </w:tr>
      <w:tr w:rsidR="0069742C" w:rsidRPr="003D64AE" w14:paraId="5725A5F4" w14:textId="77777777" w:rsidTr="00B46744">
        <w:trPr>
          <w:cantSplit/>
          <w:trHeight w:val="288"/>
        </w:trPr>
        <w:tc>
          <w:tcPr>
            <w:tcW w:w="2728" w:type="dxa"/>
            <w:shd w:val="clear" w:color="auto" w:fill="auto"/>
            <w:noWrap/>
            <w:vAlign w:val="bottom"/>
            <w:hideMark/>
          </w:tcPr>
          <w:p w14:paraId="7AF3E89F" w14:textId="41DF5D0F" w:rsidR="0069742C" w:rsidRPr="003D64AE" w:rsidRDefault="00D2134A" w:rsidP="00173F0A">
            <w:pPr>
              <w:contextualSpacing/>
              <w:rPr>
                <w:color w:val="000000"/>
                <w:sz w:val="18"/>
                <w:szCs w:val="18"/>
              </w:rPr>
            </w:pPr>
            <w:r>
              <w:rPr>
                <w:color w:val="000000"/>
                <w:sz w:val="18"/>
                <w:szCs w:val="18"/>
              </w:rPr>
              <w:fldChar w:fldCharType="begin"/>
            </w:r>
            <w:r>
              <w:rPr>
                <w:color w:val="000000"/>
                <w:sz w:val="18"/>
                <w:szCs w:val="18"/>
              </w:rPr>
              <w:instrText xml:space="preserve"> ADDIN EN.CITE &lt;EndNote&gt;&lt;Cite&gt;&lt;Author&gt;Smith&lt;/Author&gt;&lt;Year&gt;2014&lt;/Year&gt;&lt;RecNum&gt;11&lt;/RecNum&gt;&lt;DisplayText&gt;(83)&lt;/DisplayText&gt;&lt;record&gt;&lt;rec-number&gt;11&lt;/rec-number&gt;&lt;foreign-keys&gt;&lt;key app="EN" db-id="a2vz2dfp8xrad6exes75zwpiw5rxwa0vwapv" timestamp="0"&gt;11&lt;/key&gt;&lt;/foreign-keys&gt;&lt;ref-type name="Journal Article"&gt;17&lt;/ref-type&gt;&lt;contributors&gt;&lt;authors&gt;&lt;author&gt;Smith, S. S.&lt;/author&gt;&lt;author&gt;Fiore, M. C.&lt;/author&gt;&lt;author&gt;Baker, T. B.&lt;/author&gt;&lt;/authors&gt;&lt;/contributors&gt;&lt;auth-address&gt;Department of Medicine, University of Wisconsin School of Medicine and Public Health (UWSMPH), Madison, WI, USA; Center for Tobacco Research and Intervention, UWSMPH, Madison, WI, USA.&lt;/auth-address&gt;&lt;titles&gt;&lt;title&gt;Smoking cessation in smokers who smoke menthol and non-menthol cigarettes&lt;/title&gt;&lt;secondary-title&gt;Addiction&lt;/secondary-title&gt;&lt;/titles&gt;&lt;periodical&gt;&lt;full-title&gt;Addiction&lt;/full-title&gt;&lt;/periodical&gt;&lt;pages&gt;2107-17&lt;/pages&gt;&lt;volume&gt;109&lt;/volume&gt;&lt;number&gt;12&lt;/number&gt;&lt;keywords&gt;&lt;keyword&gt;Clinical trial&lt;/keyword&gt;&lt;keyword&gt;gender&lt;/keyword&gt;&lt;keyword&gt;generalized estimating equations&lt;/keyword&gt;&lt;keyword&gt;longitudinal&lt;/keyword&gt;&lt;keyword&gt;menthol&lt;/keyword&gt;&lt;keyword&gt;race/ethnicity&lt;/keyword&gt;&lt;keyword&gt;smoking cessation&lt;/keyword&gt;&lt;keyword&gt;tobacco&lt;/keyword&gt;&lt;/keywords&gt;&lt;dates&gt;&lt;year&gt;2014&lt;/year&gt;&lt;pub-dates&gt;&lt;date&gt;Dec&lt;/date&gt;&lt;/pub-dates&gt;&lt;/dates&gt;&lt;isbn&gt;1360-0443 (Electronic)&amp;#xD;0965-2140 (Linking)&lt;/isbn&gt;&lt;accession-num&gt;24938369&lt;/accession-num&gt;&lt;urls&gt;&lt;related-urls&gt;&lt;url&gt;http://www.ncbi.nlm.nih.gov/pubmed/24938369&lt;/url&gt;&lt;/related-urls&gt;&lt;/urls&gt;&lt;custom2&gt;PMC4443703&lt;/custom2&gt;&lt;electronic-resource-num&gt;10.1111/add.12661&lt;/electronic-resource-num&gt;&lt;research-notes&gt;#060&lt;/research-notes&gt;&lt;/record&gt;&lt;/Cite&gt;&lt;/EndNote&gt;</w:instrText>
            </w:r>
            <w:r>
              <w:rPr>
                <w:color w:val="000000"/>
                <w:sz w:val="18"/>
                <w:szCs w:val="18"/>
              </w:rPr>
              <w:fldChar w:fldCharType="separate"/>
            </w:r>
            <w:r>
              <w:rPr>
                <w:noProof/>
                <w:color w:val="000000"/>
                <w:sz w:val="18"/>
                <w:szCs w:val="18"/>
              </w:rPr>
              <w:t>(</w:t>
            </w:r>
            <w:hyperlink w:anchor="_ENREF_83" w:tooltip="Smith, 2014 #11" w:history="1">
              <w:r w:rsidR="00A234A9">
                <w:rPr>
                  <w:noProof/>
                  <w:color w:val="000000"/>
                  <w:sz w:val="18"/>
                  <w:szCs w:val="18"/>
                </w:rPr>
                <w:t>83</w:t>
              </w:r>
            </w:hyperlink>
            <w:r>
              <w:rPr>
                <w:noProof/>
                <w:color w:val="000000"/>
                <w:sz w:val="18"/>
                <w:szCs w:val="18"/>
              </w:rPr>
              <w:t>)</w:t>
            </w:r>
            <w:r>
              <w:rPr>
                <w:color w:val="000000"/>
                <w:sz w:val="18"/>
                <w:szCs w:val="18"/>
              </w:rPr>
              <w:fldChar w:fldCharType="end"/>
            </w:r>
          </w:p>
        </w:tc>
        <w:tc>
          <w:tcPr>
            <w:tcW w:w="1195" w:type="dxa"/>
            <w:shd w:val="clear" w:color="auto" w:fill="auto"/>
            <w:noWrap/>
            <w:vAlign w:val="bottom"/>
            <w:hideMark/>
          </w:tcPr>
          <w:p w14:paraId="7A3012F8" w14:textId="77777777" w:rsidR="0069742C" w:rsidRPr="003D64AE" w:rsidRDefault="0069742C" w:rsidP="0069742C">
            <w:pPr>
              <w:contextualSpacing/>
              <w:jc w:val="center"/>
              <w:rPr>
                <w:color w:val="000000"/>
                <w:sz w:val="18"/>
                <w:szCs w:val="18"/>
              </w:rPr>
            </w:pPr>
            <w:r w:rsidRPr="003D64AE">
              <w:rPr>
                <w:color w:val="000000"/>
                <w:sz w:val="18"/>
                <w:szCs w:val="18"/>
              </w:rPr>
              <w:t>8</w:t>
            </w:r>
          </w:p>
        </w:tc>
        <w:tc>
          <w:tcPr>
            <w:tcW w:w="1192" w:type="dxa"/>
            <w:shd w:val="clear" w:color="auto" w:fill="auto"/>
            <w:noWrap/>
            <w:vAlign w:val="bottom"/>
            <w:hideMark/>
          </w:tcPr>
          <w:p w14:paraId="2154B400" w14:textId="77777777" w:rsidR="0069742C" w:rsidRPr="003D64AE" w:rsidRDefault="0069742C" w:rsidP="0069742C">
            <w:pPr>
              <w:contextualSpacing/>
              <w:jc w:val="center"/>
              <w:rPr>
                <w:color w:val="000000"/>
                <w:sz w:val="18"/>
                <w:szCs w:val="18"/>
              </w:rPr>
            </w:pPr>
            <w:r w:rsidRPr="003D64AE">
              <w:rPr>
                <w:color w:val="000000"/>
                <w:sz w:val="18"/>
                <w:szCs w:val="18"/>
              </w:rPr>
              <w:t>3</w:t>
            </w:r>
          </w:p>
        </w:tc>
        <w:tc>
          <w:tcPr>
            <w:tcW w:w="1330" w:type="dxa"/>
            <w:shd w:val="clear" w:color="auto" w:fill="auto"/>
            <w:noWrap/>
            <w:vAlign w:val="bottom"/>
            <w:hideMark/>
          </w:tcPr>
          <w:p w14:paraId="498A19E0" w14:textId="77777777" w:rsidR="0069742C" w:rsidRPr="003D64AE" w:rsidRDefault="0069742C" w:rsidP="0069742C">
            <w:pPr>
              <w:contextualSpacing/>
              <w:jc w:val="center"/>
              <w:rPr>
                <w:color w:val="000000"/>
                <w:sz w:val="18"/>
                <w:szCs w:val="18"/>
              </w:rPr>
            </w:pPr>
            <w:r w:rsidRPr="003D64AE">
              <w:rPr>
                <w:color w:val="000000"/>
                <w:sz w:val="18"/>
                <w:szCs w:val="18"/>
              </w:rPr>
              <w:t>6</w:t>
            </w:r>
          </w:p>
        </w:tc>
        <w:tc>
          <w:tcPr>
            <w:tcW w:w="1452" w:type="dxa"/>
            <w:shd w:val="clear" w:color="auto" w:fill="auto"/>
            <w:noWrap/>
            <w:vAlign w:val="bottom"/>
            <w:hideMark/>
          </w:tcPr>
          <w:p w14:paraId="520F70DA" w14:textId="77777777" w:rsidR="0069742C" w:rsidRPr="003D64AE" w:rsidRDefault="0069742C" w:rsidP="0069742C">
            <w:pPr>
              <w:contextualSpacing/>
              <w:jc w:val="center"/>
              <w:rPr>
                <w:color w:val="000000"/>
                <w:sz w:val="18"/>
                <w:szCs w:val="18"/>
              </w:rPr>
            </w:pPr>
            <w:r w:rsidRPr="003D64AE">
              <w:rPr>
                <w:color w:val="000000"/>
                <w:sz w:val="18"/>
                <w:szCs w:val="18"/>
              </w:rPr>
              <w:t>5</w:t>
            </w:r>
          </w:p>
        </w:tc>
        <w:tc>
          <w:tcPr>
            <w:tcW w:w="953" w:type="dxa"/>
            <w:shd w:val="clear" w:color="auto" w:fill="auto"/>
            <w:noWrap/>
            <w:vAlign w:val="bottom"/>
            <w:hideMark/>
          </w:tcPr>
          <w:p w14:paraId="35694A2A"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968" w:type="dxa"/>
            <w:shd w:val="clear" w:color="auto" w:fill="auto"/>
            <w:noWrap/>
            <w:vAlign w:val="bottom"/>
            <w:hideMark/>
          </w:tcPr>
          <w:p w14:paraId="234F0779" w14:textId="77777777" w:rsidR="0069742C" w:rsidRPr="003D64AE" w:rsidRDefault="0069742C" w:rsidP="0069742C">
            <w:pPr>
              <w:contextualSpacing/>
              <w:jc w:val="center"/>
              <w:rPr>
                <w:color w:val="000000"/>
                <w:sz w:val="18"/>
                <w:szCs w:val="18"/>
              </w:rPr>
            </w:pPr>
            <w:r w:rsidRPr="003D64AE">
              <w:rPr>
                <w:color w:val="000000"/>
                <w:sz w:val="18"/>
                <w:szCs w:val="18"/>
              </w:rPr>
              <w:t>23</w:t>
            </w:r>
          </w:p>
        </w:tc>
        <w:tc>
          <w:tcPr>
            <w:tcW w:w="1828" w:type="dxa"/>
            <w:shd w:val="clear" w:color="auto" w:fill="auto"/>
            <w:noWrap/>
            <w:vAlign w:val="bottom"/>
            <w:hideMark/>
          </w:tcPr>
          <w:p w14:paraId="29DE7B1C" w14:textId="77777777" w:rsidR="0069742C" w:rsidRPr="003D64AE" w:rsidRDefault="0069742C" w:rsidP="0069742C">
            <w:pPr>
              <w:contextualSpacing/>
              <w:jc w:val="center"/>
              <w:rPr>
                <w:color w:val="000000"/>
                <w:sz w:val="18"/>
                <w:szCs w:val="18"/>
              </w:rPr>
            </w:pPr>
            <w:r w:rsidRPr="003D64AE">
              <w:rPr>
                <w:color w:val="000000"/>
                <w:sz w:val="18"/>
                <w:szCs w:val="18"/>
              </w:rPr>
              <w:t>Good (20-25)</w:t>
            </w:r>
          </w:p>
        </w:tc>
      </w:tr>
      <w:tr w:rsidR="0069742C" w:rsidRPr="003D64AE" w14:paraId="3CB1FB8D" w14:textId="77777777" w:rsidTr="00B46744">
        <w:trPr>
          <w:cantSplit/>
          <w:trHeight w:val="288"/>
        </w:trPr>
        <w:tc>
          <w:tcPr>
            <w:tcW w:w="2728" w:type="dxa"/>
            <w:shd w:val="clear" w:color="auto" w:fill="auto"/>
            <w:noWrap/>
            <w:vAlign w:val="bottom"/>
            <w:hideMark/>
          </w:tcPr>
          <w:p w14:paraId="5A5C781A" w14:textId="720EE24C" w:rsidR="0069742C" w:rsidRPr="003D64AE" w:rsidRDefault="00D2134A" w:rsidP="00173F0A">
            <w:pPr>
              <w:contextualSpacing/>
              <w:rPr>
                <w:color w:val="000000"/>
                <w:sz w:val="18"/>
                <w:szCs w:val="18"/>
              </w:rPr>
            </w:pPr>
            <w:r>
              <w:rPr>
                <w:color w:val="000000"/>
                <w:sz w:val="18"/>
                <w:szCs w:val="18"/>
              </w:rPr>
              <w:fldChar w:fldCharType="begin"/>
            </w:r>
            <w:r>
              <w:rPr>
                <w:color w:val="000000"/>
                <w:sz w:val="18"/>
                <w:szCs w:val="18"/>
              </w:rPr>
              <w:instrText xml:space="preserve"> ADDIN EN.CITE &lt;EndNote&gt;&lt;Cite&gt;&lt;Author&gt;Stahre&lt;/Author&gt;&lt;Year&gt;2010&lt;/Year&gt;&lt;RecNum&gt;57&lt;/RecNum&gt;&lt;DisplayText&gt;(84)&lt;/DisplayText&gt;&lt;record&gt;&lt;rec-number&gt;57&lt;/rec-number&gt;&lt;foreign-keys&gt;&lt;key app="EN" db-id="a2vz2dfp8xrad6exes75zwpiw5rxwa0vwapv" timestamp="0"&gt;57&lt;/key&gt;&lt;/foreign-keys&gt;&lt;ref-type name="Journal Article"&gt;17&lt;/ref-type&gt;&lt;contributors&gt;&lt;authors&gt;&lt;author&gt;Stahre, M.&lt;/author&gt;&lt;author&gt;Okuyemi, K. S.&lt;/author&gt;&lt;author&gt;Joseph, A. M.&lt;/author&gt;&lt;author&gt;Fu, S. S.&lt;/author&gt;&lt;/authors&gt;&lt;/contributors&gt;&lt;auth-address&gt;Department of Epidemiology, University of Minnesota, Memphis, USA.&lt;/auth-address&gt;&lt;titles&gt;&lt;title&gt;Racial/ethnic differences in menthol cigarette smoking, population quit ratios and utilization of evidence-based tobacco cessation treatments&lt;/title&gt;&lt;secondary-title&gt;Addiction&lt;/secondary-title&gt;&lt;/titles&gt;&lt;periodical&gt;&lt;full-title&gt;Addiction&lt;/full-title&gt;&lt;/periodical&gt;&lt;pages&gt;75-83&lt;/pages&gt;&lt;volume&gt;105 Suppl 1&lt;/volume&gt;&lt;keywords&gt;&lt;keyword&gt;Adolescent&lt;/keyword&gt;&lt;keyword&gt;Adult&lt;/keyword&gt;&lt;keyword&gt;Aged&lt;/keyword&gt;&lt;keyword&gt;Epidemiologic Methods&lt;/keyword&gt;&lt;keyword&gt;Ethnic Groups/*statistics &amp;amp; numerical data&lt;/keyword&gt;&lt;keyword&gt;European Continental Ancestry Group/statistics &amp;amp; numerical data&lt;/keyword&gt;&lt;keyword&gt;Female&lt;/keyword&gt;&lt;keyword&gt;Humans&lt;/keyword&gt;&lt;keyword&gt;Male&lt;/keyword&gt;&lt;keyword&gt;*Menthol&lt;/keyword&gt;&lt;keyword&gt;Middle Aged&lt;/keyword&gt;&lt;keyword&gt;Patient Acceptance of Health Care/*ethnology&lt;/keyword&gt;&lt;keyword&gt;Smoking/*ethnology/therapy&lt;/keyword&gt;&lt;keyword&gt;Smoking Cessation/ethnology/*statistics &amp;amp; numerical data&lt;/keyword&gt;&lt;keyword&gt;Socioeconomic Factors&lt;/keyword&gt;&lt;keyword&gt;United States/epidemiology&lt;/keyword&gt;&lt;keyword&gt;Young Adult&lt;/keyword&gt;&lt;/keywords&gt;&lt;dates&gt;&lt;year&gt;2010&lt;/year&gt;&lt;pub-dates&gt;&lt;date&gt;Dec&lt;/date&gt;&lt;/pub-dates&gt;&lt;/dates&gt;&lt;isbn&gt;1360-0443 (Electronic)&amp;#xD;0965-2140 (Linking)&lt;/isbn&gt;&lt;accession-num&gt;21059138&lt;/accession-num&gt;&lt;urls&gt;&lt;related-urls&gt;&lt;url&gt;http://www.ncbi.nlm.nih.gov/pubmed/21059138&lt;/url&gt;&lt;/related-urls&gt;&lt;/urls&gt;&lt;electronic-resource-num&gt;10.1111/j.1360-0443.2010.03200.x&lt;/electronic-resource-num&gt;&lt;research-notes&gt;#285&lt;/research-notes&gt;&lt;/record&gt;&lt;/Cite&gt;&lt;/EndNote&gt;</w:instrText>
            </w:r>
            <w:r>
              <w:rPr>
                <w:color w:val="000000"/>
                <w:sz w:val="18"/>
                <w:szCs w:val="18"/>
              </w:rPr>
              <w:fldChar w:fldCharType="separate"/>
            </w:r>
            <w:r>
              <w:rPr>
                <w:noProof/>
                <w:color w:val="000000"/>
                <w:sz w:val="18"/>
                <w:szCs w:val="18"/>
              </w:rPr>
              <w:t>(</w:t>
            </w:r>
            <w:hyperlink w:anchor="_ENREF_84" w:tooltip="Stahre, 2010 #57" w:history="1">
              <w:r w:rsidR="00A234A9">
                <w:rPr>
                  <w:noProof/>
                  <w:color w:val="000000"/>
                  <w:sz w:val="18"/>
                  <w:szCs w:val="18"/>
                </w:rPr>
                <w:t>84</w:t>
              </w:r>
            </w:hyperlink>
            <w:r>
              <w:rPr>
                <w:noProof/>
                <w:color w:val="000000"/>
                <w:sz w:val="18"/>
                <w:szCs w:val="18"/>
              </w:rPr>
              <w:t>)</w:t>
            </w:r>
            <w:r>
              <w:rPr>
                <w:color w:val="000000"/>
                <w:sz w:val="18"/>
                <w:szCs w:val="18"/>
              </w:rPr>
              <w:fldChar w:fldCharType="end"/>
            </w:r>
          </w:p>
        </w:tc>
        <w:tc>
          <w:tcPr>
            <w:tcW w:w="1195" w:type="dxa"/>
            <w:shd w:val="clear" w:color="auto" w:fill="auto"/>
            <w:noWrap/>
            <w:vAlign w:val="bottom"/>
            <w:hideMark/>
          </w:tcPr>
          <w:p w14:paraId="28785DF4" w14:textId="77777777" w:rsidR="0069742C" w:rsidRPr="003D64AE" w:rsidRDefault="0069742C" w:rsidP="0069742C">
            <w:pPr>
              <w:contextualSpacing/>
              <w:jc w:val="center"/>
              <w:rPr>
                <w:color w:val="000000"/>
                <w:sz w:val="18"/>
                <w:szCs w:val="18"/>
              </w:rPr>
            </w:pPr>
            <w:r w:rsidRPr="003D64AE">
              <w:rPr>
                <w:color w:val="000000"/>
                <w:sz w:val="18"/>
                <w:szCs w:val="18"/>
              </w:rPr>
              <w:t>9</w:t>
            </w:r>
          </w:p>
        </w:tc>
        <w:tc>
          <w:tcPr>
            <w:tcW w:w="1192" w:type="dxa"/>
            <w:shd w:val="clear" w:color="auto" w:fill="auto"/>
            <w:noWrap/>
            <w:vAlign w:val="bottom"/>
            <w:hideMark/>
          </w:tcPr>
          <w:p w14:paraId="2CB931AF" w14:textId="77777777" w:rsidR="0069742C" w:rsidRPr="003D64AE" w:rsidRDefault="0069742C" w:rsidP="0069742C">
            <w:pPr>
              <w:contextualSpacing/>
              <w:jc w:val="center"/>
              <w:rPr>
                <w:color w:val="000000"/>
                <w:sz w:val="18"/>
                <w:szCs w:val="18"/>
              </w:rPr>
            </w:pPr>
            <w:r w:rsidRPr="003D64AE">
              <w:rPr>
                <w:color w:val="000000"/>
                <w:sz w:val="18"/>
                <w:szCs w:val="18"/>
              </w:rPr>
              <w:t>3</w:t>
            </w:r>
          </w:p>
        </w:tc>
        <w:tc>
          <w:tcPr>
            <w:tcW w:w="1330" w:type="dxa"/>
            <w:shd w:val="clear" w:color="auto" w:fill="auto"/>
            <w:noWrap/>
            <w:vAlign w:val="bottom"/>
            <w:hideMark/>
          </w:tcPr>
          <w:p w14:paraId="57B3CA75" w14:textId="77777777" w:rsidR="0069742C" w:rsidRPr="003D64AE" w:rsidRDefault="0069742C" w:rsidP="0069742C">
            <w:pPr>
              <w:contextualSpacing/>
              <w:jc w:val="center"/>
              <w:rPr>
                <w:color w:val="000000"/>
                <w:sz w:val="18"/>
                <w:szCs w:val="18"/>
              </w:rPr>
            </w:pPr>
            <w:r w:rsidRPr="003D64AE">
              <w:rPr>
                <w:color w:val="000000"/>
                <w:sz w:val="18"/>
                <w:szCs w:val="18"/>
              </w:rPr>
              <w:t>2</w:t>
            </w:r>
          </w:p>
        </w:tc>
        <w:tc>
          <w:tcPr>
            <w:tcW w:w="1452" w:type="dxa"/>
            <w:shd w:val="clear" w:color="auto" w:fill="auto"/>
            <w:noWrap/>
            <w:vAlign w:val="bottom"/>
            <w:hideMark/>
          </w:tcPr>
          <w:p w14:paraId="276ADA13" w14:textId="77777777" w:rsidR="0069742C" w:rsidRPr="003D64AE" w:rsidRDefault="0069742C" w:rsidP="0069742C">
            <w:pPr>
              <w:contextualSpacing/>
              <w:jc w:val="center"/>
              <w:rPr>
                <w:color w:val="000000"/>
                <w:sz w:val="18"/>
                <w:szCs w:val="18"/>
              </w:rPr>
            </w:pPr>
            <w:r w:rsidRPr="003D64AE">
              <w:rPr>
                <w:color w:val="000000"/>
                <w:sz w:val="18"/>
                <w:szCs w:val="18"/>
              </w:rPr>
              <w:t>3</w:t>
            </w:r>
          </w:p>
        </w:tc>
        <w:tc>
          <w:tcPr>
            <w:tcW w:w="953" w:type="dxa"/>
            <w:shd w:val="clear" w:color="auto" w:fill="auto"/>
            <w:noWrap/>
            <w:vAlign w:val="bottom"/>
            <w:hideMark/>
          </w:tcPr>
          <w:p w14:paraId="493CD023"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968" w:type="dxa"/>
            <w:shd w:val="clear" w:color="auto" w:fill="auto"/>
            <w:noWrap/>
            <w:vAlign w:val="bottom"/>
            <w:hideMark/>
          </w:tcPr>
          <w:p w14:paraId="3D09A243" w14:textId="77777777" w:rsidR="0069742C" w:rsidRPr="003D64AE" w:rsidRDefault="0069742C" w:rsidP="0069742C">
            <w:pPr>
              <w:contextualSpacing/>
              <w:jc w:val="center"/>
              <w:rPr>
                <w:color w:val="000000"/>
                <w:sz w:val="18"/>
                <w:szCs w:val="18"/>
              </w:rPr>
            </w:pPr>
            <w:r w:rsidRPr="003D64AE">
              <w:rPr>
                <w:color w:val="000000"/>
                <w:sz w:val="18"/>
                <w:szCs w:val="18"/>
              </w:rPr>
              <w:t>18</w:t>
            </w:r>
          </w:p>
        </w:tc>
        <w:tc>
          <w:tcPr>
            <w:tcW w:w="1828" w:type="dxa"/>
            <w:shd w:val="clear" w:color="auto" w:fill="auto"/>
            <w:noWrap/>
            <w:vAlign w:val="bottom"/>
            <w:hideMark/>
          </w:tcPr>
          <w:p w14:paraId="35A2AC1F" w14:textId="77777777" w:rsidR="0069742C" w:rsidRPr="003D64AE" w:rsidRDefault="0069742C" w:rsidP="0069742C">
            <w:pPr>
              <w:contextualSpacing/>
              <w:jc w:val="center"/>
              <w:rPr>
                <w:color w:val="000000"/>
                <w:sz w:val="18"/>
                <w:szCs w:val="18"/>
              </w:rPr>
            </w:pPr>
            <w:r>
              <w:rPr>
                <w:color w:val="000000"/>
                <w:sz w:val="18"/>
                <w:szCs w:val="18"/>
              </w:rPr>
              <w:t>Fair (15-19)</w:t>
            </w:r>
          </w:p>
        </w:tc>
      </w:tr>
      <w:tr w:rsidR="0069742C" w:rsidRPr="003D64AE" w14:paraId="3CE22B39" w14:textId="77777777" w:rsidTr="00B46744">
        <w:trPr>
          <w:cantSplit/>
          <w:trHeight w:val="288"/>
        </w:trPr>
        <w:tc>
          <w:tcPr>
            <w:tcW w:w="2728" w:type="dxa"/>
            <w:shd w:val="clear" w:color="auto" w:fill="auto"/>
            <w:noWrap/>
            <w:vAlign w:val="bottom"/>
            <w:hideMark/>
          </w:tcPr>
          <w:p w14:paraId="130C2558" w14:textId="65A6B58A" w:rsidR="0069742C" w:rsidRPr="003D64AE" w:rsidRDefault="00D2134A" w:rsidP="00173F0A">
            <w:pPr>
              <w:contextualSpacing/>
              <w:rPr>
                <w:color w:val="000000"/>
                <w:sz w:val="18"/>
                <w:szCs w:val="18"/>
              </w:rPr>
            </w:pPr>
            <w:r>
              <w:rPr>
                <w:color w:val="000000"/>
                <w:sz w:val="18"/>
                <w:szCs w:val="18"/>
              </w:rPr>
              <w:fldChar w:fldCharType="begin">
                <w:fldData xml:space="preserve">PEVuZE5vdGU+PENpdGU+PEF1dGhvcj5TdWxza3k8L0F1dGhvcj48WWVhcj4yMDE0PC9ZZWFyPjxS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</w:fldData>
              </w:fldChar>
            </w:r>
            <w:r>
              <w:rPr>
                <w:color w:val="000000"/>
                <w:sz w:val="18"/>
                <w:szCs w:val="18"/>
              </w:rPr>
              <w:instrText xml:space="preserve"> ADDIN EN.CITE </w:instrText>
            </w:r>
            <w:r>
              <w:rPr>
                <w:color w:val="000000"/>
                <w:sz w:val="18"/>
                <w:szCs w:val="18"/>
              </w:rPr>
              <w:fldChar w:fldCharType="begin">
                <w:fldData xml:space="preserve">PEVuZE5vdGU+PENpdGU+PEF1dGhvcj5TdWxza3k8L0F1dGhvcj48WWVhcj4yMDE0PC9ZZWFyPjxS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</w:fldData>
              </w:fldChar>
            </w:r>
            <w:r>
              <w:rPr>
                <w:color w:val="000000"/>
                <w:sz w:val="18"/>
                <w:szCs w:val="18"/>
              </w:rPr>
              <w:instrText xml:space="preserve"> ADDIN EN.CITE.DATA </w:instrText>
            </w:r>
            <w:r>
              <w:rPr>
                <w:color w:val="000000"/>
                <w:sz w:val="18"/>
                <w:szCs w:val="18"/>
              </w:rPr>
            </w:r>
            <w:r>
              <w:rPr>
                <w:color w:val="000000"/>
                <w:sz w:val="18"/>
                <w:szCs w:val="18"/>
              </w:rPr>
              <w:fldChar w:fldCharType="end"/>
            </w:r>
            <w:r>
              <w:rPr>
                <w:color w:val="000000"/>
                <w:sz w:val="18"/>
                <w:szCs w:val="18"/>
              </w:rPr>
              <w:fldChar w:fldCharType="separate"/>
            </w:r>
            <w:r>
              <w:rPr>
                <w:noProof/>
                <w:color w:val="000000"/>
                <w:sz w:val="18"/>
                <w:szCs w:val="18"/>
              </w:rPr>
              <w:t>(</w:t>
            </w:r>
            <w:hyperlink w:anchor="_ENREF_85" w:tooltip="Sulsky, 2014 #15" w:history="1">
              <w:r w:rsidR="00A234A9">
                <w:rPr>
                  <w:noProof/>
                  <w:color w:val="000000"/>
                  <w:sz w:val="18"/>
                  <w:szCs w:val="18"/>
                </w:rPr>
                <w:t>85</w:t>
              </w:r>
            </w:hyperlink>
            <w:r>
              <w:rPr>
                <w:noProof/>
                <w:color w:val="000000"/>
                <w:sz w:val="18"/>
                <w:szCs w:val="18"/>
              </w:rPr>
              <w:t>)</w:t>
            </w:r>
            <w:r>
              <w:rPr>
                <w:color w:val="000000"/>
                <w:sz w:val="18"/>
                <w:szCs w:val="18"/>
              </w:rPr>
              <w:fldChar w:fldCharType="end"/>
            </w:r>
          </w:p>
        </w:tc>
        <w:tc>
          <w:tcPr>
            <w:tcW w:w="1195" w:type="dxa"/>
            <w:shd w:val="clear" w:color="auto" w:fill="auto"/>
            <w:noWrap/>
            <w:vAlign w:val="bottom"/>
            <w:hideMark/>
          </w:tcPr>
          <w:p w14:paraId="540161A2" w14:textId="77777777" w:rsidR="0069742C" w:rsidRPr="003D64AE" w:rsidRDefault="0069742C" w:rsidP="0069742C">
            <w:pPr>
              <w:contextualSpacing/>
              <w:jc w:val="center"/>
              <w:rPr>
                <w:color w:val="000000"/>
                <w:sz w:val="18"/>
                <w:szCs w:val="18"/>
              </w:rPr>
            </w:pPr>
            <w:r w:rsidRPr="003D64AE">
              <w:rPr>
                <w:color w:val="000000"/>
                <w:sz w:val="18"/>
                <w:szCs w:val="18"/>
              </w:rPr>
              <w:t>9</w:t>
            </w:r>
          </w:p>
        </w:tc>
        <w:tc>
          <w:tcPr>
            <w:tcW w:w="1192" w:type="dxa"/>
            <w:shd w:val="clear" w:color="auto" w:fill="auto"/>
            <w:noWrap/>
            <w:vAlign w:val="bottom"/>
            <w:hideMark/>
          </w:tcPr>
          <w:p w14:paraId="540B5453"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1330" w:type="dxa"/>
            <w:shd w:val="clear" w:color="auto" w:fill="auto"/>
            <w:noWrap/>
            <w:vAlign w:val="bottom"/>
            <w:hideMark/>
          </w:tcPr>
          <w:p w14:paraId="51AED123" w14:textId="77777777" w:rsidR="0069742C" w:rsidRPr="003D64AE" w:rsidRDefault="0069742C" w:rsidP="0069742C">
            <w:pPr>
              <w:contextualSpacing/>
              <w:jc w:val="center"/>
              <w:rPr>
                <w:color w:val="000000"/>
                <w:sz w:val="18"/>
                <w:szCs w:val="18"/>
              </w:rPr>
            </w:pPr>
            <w:r w:rsidRPr="003D64AE">
              <w:rPr>
                <w:color w:val="000000"/>
                <w:sz w:val="18"/>
                <w:szCs w:val="18"/>
              </w:rPr>
              <w:t>6</w:t>
            </w:r>
          </w:p>
        </w:tc>
        <w:tc>
          <w:tcPr>
            <w:tcW w:w="1452" w:type="dxa"/>
            <w:shd w:val="clear" w:color="auto" w:fill="auto"/>
            <w:noWrap/>
            <w:vAlign w:val="bottom"/>
            <w:hideMark/>
          </w:tcPr>
          <w:p w14:paraId="3A9A1584" w14:textId="77777777" w:rsidR="0069742C" w:rsidRPr="003D64AE" w:rsidRDefault="0069742C" w:rsidP="0069742C">
            <w:pPr>
              <w:contextualSpacing/>
              <w:jc w:val="center"/>
              <w:rPr>
                <w:color w:val="000000"/>
                <w:sz w:val="18"/>
                <w:szCs w:val="18"/>
              </w:rPr>
            </w:pPr>
            <w:r w:rsidRPr="003D64AE">
              <w:rPr>
                <w:color w:val="000000"/>
                <w:sz w:val="18"/>
                <w:szCs w:val="18"/>
              </w:rPr>
              <w:t>3</w:t>
            </w:r>
          </w:p>
        </w:tc>
        <w:tc>
          <w:tcPr>
            <w:tcW w:w="953" w:type="dxa"/>
            <w:shd w:val="clear" w:color="auto" w:fill="auto"/>
            <w:noWrap/>
            <w:vAlign w:val="bottom"/>
            <w:hideMark/>
          </w:tcPr>
          <w:p w14:paraId="44382EB6"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968" w:type="dxa"/>
            <w:shd w:val="clear" w:color="auto" w:fill="auto"/>
            <w:noWrap/>
            <w:vAlign w:val="bottom"/>
            <w:hideMark/>
          </w:tcPr>
          <w:p w14:paraId="3A64DA14" w14:textId="77777777" w:rsidR="0069742C" w:rsidRPr="003D64AE" w:rsidRDefault="0069742C" w:rsidP="0069742C">
            <w:pPr>
              <w:contextualSpacing/>
              <w:jc w:val="center"/>
              <w:rPr>
                <w:color w:val="000000"/>
                <w:sz w:val="18"/>
                <w:szCs w:val="18"/>
              </w:rPr>
            </w:pPr>
            <w:r w:rsidRPr="003D64AE">
              <w:rPr>
                <w:color w:val="000000"/>
                <w:sz w:val="18"/>
                <w:szCs w:val="18"/>
              </w:rPr>
              <w:t>20</w:t>
            </w:r>
          </w:p>
        </w:tc>
        <w:tc>
          <w:tcPr>
            <w:tcW w:w="1828" w:type="dxa"/>
            <w:shd w:val="clear" w:color="auto" w:fill="auto"/>
            <w:noWrap/>
            <w:vAlign w:val="bottom"/>
            <w:hideMark/>
          </w:tcPr>
          <w:p w14:paraId="4A0F0290" w14:textId="77777777" w:rsidR="0069742C" w:rsidRPr="003D64AE" w:rsidRDefault="0069742C" w:rsidP="0069742C">
            <w:pPr>
              <w:contextualSpacing/>
              <w:jc w:val="center"/>
              <w:rPr>
                <w:color w:val="000000"/>
                <w:sz w:val="18"/>
                <w:szCs w:val="18"/>
              </w:rPr>
            </w:pPr>
            <w:r w:rsidRPr="003D64AE">
              <w:rPr>
                <w:color w:val="000000"/>
                <w:sz w:val="18"/>
                <w:szCs w:val="18"/>
              </w:rPr>
              <w:t>Good (20-25)</w:t>
            </w:r>
          </w:p>
        </w:tc>
      </w:tr>
      <w:tr w:rsidR="0069742C" w:rsidRPr="003D64AE" w14:paraId="3CEFD9EF" w14:textId="77777777" w:rsidTr="00B46744">
        <w:trPr>
          <w:cantSplit/>
          <w:trHeight w:val="288"/>
        </w:trPr>
        <w:tc>
          <w:tcPr>
            <w:tcW w:w="2728" w:type="dxa"/>
            <w:shd w:val="clear" w:color="auto" w:fill="auto"/>
            <w:noWrap/>
            <w:vAlign w:val="bottom"/>
            <w:hideMark/>
          </w:tcPr>
          <w:p w14:paraId="4BA10C89" w14:textId="19823E87" w:rsidR="0069742C" w:rsidRPr="003D64AE" w:rsidRDefault="00D2134A" w:rsidP="00173F0A">
            <w:pPr>
              <w:contextualSpacing/>
              <w:rPr>
                <w:color w:val="000000"/>
                <w:sz w:val="18"/>
                <w:szCs w:val="18"/>
              </w:rPr>
            </w:pPr>
            <w:r>
              <w:rPr>
                <w:color w:val="000000"/>
                <w:sz w:val="18"/>
                <w:szCs w:val="18"/>
              </w:rPr>
              <w:fldChar w:fldCharType="begin"/>
            </w:r>
            <w:r>
              <w:rPr>
                <w:color w:val="000000"/>
                <w:sz w:val="18"/>
                <w:szCs w:val="18"/>
              </w:rPr>
              <w:instrText xml:space="preserve"> ADDIN EN.CITE &lt;EndNote&gt;&lt;Cite&gt;&lt;Author&gt;Villanti&lt;/Author&gt;&lt;Year&gt;2012&lt;/Year&gt;&lt;RecNum&gt;37&lt;/RecNum&gt;&lt;DisplayText&gt;(86)&lt;/DisplayText&gt;&lt;record&gt;&lt;rec-number&gt;37&lt;/rec-number&gt;&lt;foreign-keys&gt;&lt;key app="EN" db-id="a2vz2dfp8xrad6exes75zwpiw5rxwa0vwapv" timestamp="0"&gt;37&lt;/key&gt;&lt;/foreign-keys&gt;&lt;ref-type name="Journal Article"&gt;17&lt;/ref-type&gt;&lt;contributors&gt;&lt;authors&gt;&lt;author&gt;Villanti, A. C. &lt;/author&gt;&lt;author&gt;Giovino, G. A.&lt;/author&gt;&lt;author&gt;Barker, D. C.&lt;/author&gt;&lt;author&gt;Mowery, P.&lt;/author&gt;&lt;author&gt;Sevilimedu, V.&lt;/author&gt;&lt;author&gt;Abrams, D. B.&lt;/author&gt;&lt;/authors&gt;&lt;/contributors&gt;&lt;titles&gt;&lt;title&gt;Menthol brand switching among adolescents and young adults in the national youth smoking cessation survey&lt;/title&gt;&lt;secondary-title&gt;Am J Public Health&lt;/secondary-title&gt;&lt;/titles&gt;&lt;periodical&gt;&lt;full-title&gt;Am J Public Health&lt;/full-title&gt;&lt;/periodical&gt;&lt;pages&gt;1310-12&lt;/pages&gt;&lt;volume&gt;102&lt;/volume&gt;&lt;number&gt;7&lt;/number&gt;&lt;dates&gt;&lt;year&gt;2012&lt;/year&gt;&lt;pub-dates&gt;&lt;date&gt;Oct&lt;/date&gt;&lt;/pub-dates&gt;&lt;/dates&gt;&lt;urls&gt;&lt;/urls&gt;&lt;research-notes&gt;#191&lt;/research-notes&gt;&lt;/record&gt;&lt;/Cite&gt;&lt;/EndNote&gt;</w:instrText>
            </w:r>
            <w:r>
              <w:rPr>
                <w:color w:val="000000"/>
                <w:sz w:val="18"/>
                <w:szCs w:val="18"/>
              </w:rPr>
              <w:fldChar w:fldCharType="separate"/>
            </w:r>
            <w:r>
              <w:rPr>
                <w:noProof/>
                <w:color w:val="000000"/>
                <w:sz w:val="18"/>
                <w:szCs w:val="18"/>
              </w:rPr>
              <w:t>(</w:t>
            </w:r>
            <w:hyperlink w:anchor="_ENREF_86" w:tooltip="Villanti, 2012 #37" w:history="1">
              <w:r w:rsidR="00A234A9">
                <w:rPr>
                  <w:noProof/>
                  <w:color w:val="000000"/>
                  <w:sz w:val="18"/>
                  <w:szCs w:val="18"/>
                </w:rPr>
                <w:t>86</w:t>
              </w:r>
            </w:hyperlink>
            <w:r>
              <w:rPr>
                <w:noProof/>
                <w:color w:val="000000"/>
                <w:sz w:val="18"/>
                <w:szCs w:val="18"/>
              </w:rPr>
              <w:t>)</w:t>
            </w:r>
            <w:r>
              <w:rPr>
                <w:color w:val="000000"/>
                <w:sz w:val="18"/>
                <w:szCs w:val="18"/>
              </w:rPr>
              <w:fldChar w:fldCharType="end"/>
            </w:r>
          </w:p>
        </w:tc>
        <w:tc>
          <w:tcPr>
            <w:tcW w:w="1195" w:type="dxa"/>
            <w:shd w:val="clear" w:color="auto" w:fill="auto"/>
            <w:noWrap/>
            <w:vAlign w:val="bottom"/>
            <w:hideMark/>
          </w:tcPr>
          <w:p w14:paraId="7C6AD402" w14:textId="77777777" w:rsidR="0069742C" w:rsidRPr="003D64AE" w:rsidRDefault="0069742C" w:rsidP="0069742C">
            <w:pPr>
              <w:contextualSpacing/>
              <w:jc w:val="center"/>
              <w:rPr>
                <w:color w:val="000000"/>
                <w:sz w:val="18"/>
                <w:szCs w:val="18"/>
              </w:rPr>
            </w:pPr>
            <w:r w:rsidRPr="003D64AE">
              <w:rPr>
                <w:color w:val="000000"/>
                <w:sz w:val="18"/>
                <w:szCs w:val="18"/>
              </w:rPr>
              <w:t>8</w:t>
            </w:r>
          </w:p>
        </w:tc>
        <w:tc>
          <w:tcPr>
            <w:tcW w:w="1192" w:type="dxa"/>
            <w:shd w:val="clear" w:color="auto" w:fill="auto"/>
            <w:noWrap/>
            <w:vAlign w:val="bottom"/>
            <w:hideMark/>
          </w:tcPr>
          <w:p w14:paraId="295454AD"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1330" w:type="dxa"/>
            <w:shd w:val="clear" w:color="auto" w:fill="auto"/>
            <w:noWrap/>
            <w:vAlign w:val="bottom"/>
            <w:hideMark/>
          </w:tcPr>
          <w:p w14:paraId="234145BE" w14:textId="77777777" w:rsidR="0069742C" w:rsidRPr="003D64AE" w:rsidRDefault="0069742C" w:rsidP="0069742C">
            <w:pPr>
              <w:contextualSpacing/>
              <w:jc w:val="center"/>
              <w:rPr>
                <w:color w:val="000000"/>
                <w:sz w:val="18"/>
                <w:szCs w:val="18"/>
              </w:rPr>
            </w:pPr>
            <w:r w:rsidRPr="003D64AE">
              <w:rPr>
                <w:color w:val="000000"/>
                <w:sz w:val="18"/>
                <w:szCs w:val="18"/>
              </w:rPr>
              <w:t>7</w:t>
            </w:r>
          </w:p>
        </w:tc>
        <w:tc>
          <w:tcPr>
            <w:tcW w:w="1452" w:type="dxa"/>
            <w:shd w:val="clear" w:color="auto" w:fill="auto"/>
            <w:noWrap/>
            <w:vAlign w:val="bottom"/>
            <w:hideMark/>
          </w:tcPr>
          <w:p w14:paraId="1A1D5C26" w14:textId="77777777" w:rsidR="0069742C" w:rsidRPr="003D64AE" w:rsidRDefault="0069742C" w:rsidP="0069742C">
            <w:pPr>
              <w:contextualSpacing/>
              <w:jc w:val="center"/>
              <w:rPr>
                <w:color w:val="000000"/>
                <w:sz w:val="18"/>
                <w:szCs w:val="18"/>
              </w:rPr>
            </w:pPr>
            <w:r w:rsidRPr="003D64AE">
              <w:rPr>
                <w:color w:val="000000"/>
                <w:sz w:val="18"/>
                <w:szCs w:val="18"/>
              </w:rPr>
              <w:t>3</w:t>
            </w:r>
          </w:p>
        </w:tc>
        <w:tc>
          <w:tcPr>
            <w:tcW w:w="953" w:type="dxa"/>
            <w:shd w:val="clear" w:color="auto" w:fill="auto"/>
            <w:noWrap/>
            <w:vAlign w:val="bottom"/>
            <w:hideMark/>
          </w:tcPr>
          <w:p w14:paraId="7364D446" w14:textId="77777777" w:rsidR="0069742C" w:rsidRPr="003D64AE" w:rsidRDefault="0069742C" w:rsidP="0069742C">
            <w:pPr>
              <w:contextualSpacing/>
              <w:jc w:val="center"/>
              <w:rPr>
                <w:color w:val="000000"/>
                <w:sz w:val="18"/>
                <w:szCs w:val="18"/>
              </w:rPr>
            </w:pPr>
            <w:r w:rsidRPr="003D64AE">
              <w:rPr>
                <w:color w:val="000000"/>
                <w:sz w:val="18"/>
                <w:szCs w:val="18"/>
              </w:rPr>
              <w:t>1</w:t>
            </w:r>
          </w:p>
        </w:tc>
        <w:tc>
          <w:tcPr>
            <w:tcW w:w="968" w:type="dxa"/>
            <w:shd w:val="clear" w:color="auto" w:fill="auto"/>
            <w:noWrap/>
            <w:vAlign w:val="bottom"/>
            <w:hideMark/>
          </w:tcPr>
          <w:p w14:paraId="7E3083A7" w14:textId="77777777" w:rsidR="0069742C" w:rsidRPr="003D64AE" w:rsidRDefault="0069742C" w:rsidP="0069742C">
            <w:pPr>
              <w:contextualSpacing/>
              <w:jc w:val="center"/>
              <w:rPr>
                <w:color w:val="000000"/>
                <w:sz w:val="18"/>
                <w:szCs w:val="18"/>
              </w:rPr>
            </w:pPr>
            <w:r w:rsidRPr="003D64AE">
              <w:rPr>
                <w:color w:val="000000"/>
                <w:sz w:val="18"/>
                <w:szCs w:val="18"/>
              </w:rPr>
              <w:t>20</w:t>
            </w:r>
          </w:p>
        </w:tc>
        <w:tc>
          <w:tcPr>
            <w:tcW w:w="1828" w:type="dxa"/>
            <w:shd w:val="clear" w:color="auto" w:fill="auto"/>
            <w:noWrap/>
            <w:vAlign w:val="bottom"/>
            <w:hideMark/>
          </w:tcPr>
          <w:p w14:paraId="2637922F" w14:textId="77777777" w:rsidR="0069742C" w:rsidRPr="003D64AE" w:rsidRDefault="0069742C" w:rsidP="0069742C">
            <w:pPr>
              <w:contextualSpacing/>
              <w:jc w:val="center"/>
              <w:rPr>
                <w:color w:val="000000"/>
                <w:sz w:val="18"/>
                <w:szCs w:val="18"/>
              </w:rPr>
            </w:pPr>
            <w:r w:rsidRPr="003D64AE">
              <w:rPr>
                <w:color w:val="000000"/>
                <w:sz w:val="18"/>
                <w:szCs w:val="18"/>
              </w:rPr>
              <w:t>Good (20-25)</w:t>
            </w:r>
          </w:p>
        </w:tc>
      </w:tr>
    </w:tbl>
    <w:p w14:paraId="58887CE4" w14:textId="77777777" w:rsidR="00D04C52" w:rsidRDefault="00D04C52" w:rsidP="00B46744">
      <w:pPr>
        <w:contextualSpacing/>
        <w:rPr>
          <w:sz w:val="18"/>
          <w:szCs w:val="18"/>
        </w:rPr>
      </w:pPr>
      <w:r>
        <w:rPr>
          <w:sz w:val="18"/>
          <w:szCs w:val="18"/>
        </w:rPr>
        <w:t>u = unable to determine</w:t>
      </w:r>
    </w:p>
    <w:p w14:paraId="072C1338" w14:textId="77777777" w:rsidR="00D04C52" w:rsidRPr="003D64AE" w:rsidRDefault="00D04C52" w:rsidP="00B46744">
      <w:pPr>
        <w:contextualSpacing/>
        <w:rPr>
          <w:sz w:val="18"/>
          <w:szCs w:val="18"/>
        </w:rPr>
      </w:pPr>
    </w:p>
    <w:tbl>
      <w:tblPr>
        <w:tblW w:w="5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1080"/>
        <w:gridCol w:w="1080"/>
      </w:tblGrid>
      <w:tr w:rsidR="00D04C52" w:rsidRPr="003D64AE" w14:paraId="0A3F5201" w14:textId="77777777" w:rsidTr="00B46744">
        <w:trPr>
          <w:trHeight w:val="288"/>
        </w:trPr>
        <w:tc>
          <w:tcPr>
            <w:tcW w:w="2875" w:type="dxa"/>
            <w:shd w:val="clear" w:color="auto" w:fill="44546A" w:themeFill="text2"/>
            <w:noWrap/>
            <w:vAlign w:val="bottom"/>
            <w:hideMark/>
          </w:tcPr>
          <w:p w14:paraId="40E9FD65" w14:textId="77777777" w:rsidR="00D04C52" w:rsidRPr="003D64AE" w:rsidRDefault="00D04C52" w:rsidP="00B46744">
            <w:pPr>
              <w:contextualSpacing/>
              <w:rPr>
                <w:b/>
                <w:bCs/>
                <w:color w:val="FFFFFF" w:themeColor="background1"/>
                <w:sz w:val="18"/>
                <w:szCs w:val="18"/>
              </w:rPr>
            </w:pPr>
            <w:r w:rsidRPr="003D64AE">
              <w:rPr>
                <w:b/>
                <w:bCs/>
                <w:color w:val="FFFFFF" w:themeColor="background1"/>
                <w:sz w:val="18"/>
                <w:szCs w:val="18"/>
              </w:rPr>
              <w:t>Study Quality</w:t>
            </w:r>
          </w:p>
        </w:tc>
        <w:tc>
          <w:tcPr>
            <w:tcW w:w="1080" w:type="dxa"/>
            <w:shd w:val="clear" w:color="auto" w:fill="44546A" w:themeFill="text2"/>
            <w:noWrap/>
            <w:vAlign w:val="bottom"/>
            <w:hideMark/>
          </w:tcPr>
          <w:p w14:paraId="6BAAF26A" w14:textId="77777777" w:rsidR="00D04C52" w:rsidRPr="003D64AE" w:rsidRDefault="00D04C52" w:rsidP="00B46744">
            <w:pPr>
              <w:contextualSpacing/>
              <w:jc w:val="center"/>
              <w:rPr>
                <w:b/>
                <w:bCs/>
                <w:color w:val="FFFFFF" w:themeColor="background1"/>
                <w:sz w:val="18"/>
                <w:szCs w:val="18"/>
              </w:rPr>
            </w:pPr>
            <w:r w:rsidRPr="003D64AE">
              <w:rPr>
                <w:b/>
                <w:bCs/>
                <w:color w:val="FFFFFF" w:themeColor="background1"/>
                <w:sz w:val="18"/>
                <w:szCs w:val="18"/>
              </w:rPr>
              <w:t>N</w:t>
            </w:r>
          </w:p>
        </w:tc>
        <w:tc>
          <w:tcPr>
            <w:tcW w:w="1080" w:type="dxa"/>
            <w:shd w:val="clear" w:color="auto" w:fill="44546A" w:themeFill="text2"/>
            <w:noWrap/>
            <w:vAlign w:val="bottom"/>
            <w:hideMark/>
          </w:tcPr>
          <w:p w14:paraId="1822CDD6" w14:textId="77777777" w:rsidR="00D04C52" w:rsidRPr="003D64AE" w:rsidRDefault="00D04C52" w:rsidP="00B46744">
            <w:pPr>
              <w:contextualSpacing/>
              <w:jc w:val="center"/>
              <w:rPr>
                <w:b/>
                <w:bCs/>
                <w:color w:val="FFFFFF" w:themeColor="background1"/>
                <w:sz w:val="18"/>
                <w:szCs w:val="18"/>
              </w:rPr>
            </w:pPr>
            <w:r w:rsidRPr="003D64AE">
              <w:rPr>
                <w:b/>
                <w:bCs/>
                <w:color w:val="FFFFFF" w:themeColor="background1"/>
                <w:sz w:val="18"/>
                <w:szCs w:val="18"/>
              </w:rPr>
              <w:t>%</w:t>
            </w:r>
          </w:p>
        </w:tc>
      </w:tr>
      <w:tr w:rsidR="00D04C52" w:rsidRPr="003D64AE" w14:paraId="68DCBBD4" w14:textId="77777777" w:rsidTr="00B46744">
        <w:trPr>
          <w:trHeight w:val="288"/>
        </w:trPr>
        <w:tc>
          <w:tcPr>
            <w:tcW w:w="2875" w:type="dxa"/>
            <w:shd w:val="clear" w:color="D9E1F2" w:fill="D9E1F2"/>
            <w:noWrap/>
            <w:vAlign w:val="bottom"/>
            <w:hideMark/>
          </w:tcPr>
          <w:p w14:paraId="3A3999E0" w14:textId="77777777" w:rsidR="00D04C52" w:rsidRPr="003D64AE" w:rsidRDefault="00D04C52" w:rsidP="00B46744">
            <w:pPr>
              <w:contextualSpacing/>
              <w:rPr>
                <w:color w:val="000000" w:themeColor="text1"/>
                <w:sz w:val="18"/>
                <w:szCs w:val="18"/>
              </w:rPr>
            </w:pPr>
            <w:r w:rsidRPr="003D64AE">
              <w:rPr>
                <w:color w:val="000000" w:themeColor="text1"/>
                <w:sz w:val="18"/>
                <w:szCs w:val="18"/>
              </w:rPr>
              <w:t>Excellent</w:t>
            </w:r>
          </w:p>
        </w:tc>
        <w:tc>
          <w:tcPr>
            <w:tcW w:w="1080" w:type="dxa"/>
            <w:shd w:val="clear" w:color="D9E1F2" w:fill="D9E1F2"/>
            <w:noWrap/>
            <w:vAlign w:val="bottom"/>
            <w:hideMark/>
          </w:tcPr>
          <w:p w14:paraId="4ED0F1FA" w14:textId="77777777" w:rsidR="00D04C52" w:rsidRPr="003D64AE" w:rsidRDefault="00D04C52" w:rsidP="00B46744">
            <w:pPr>
              <w:contextualSpacing/>
              <w:jc w:val="center"/>
              <w:rPr>
                <w:color w:val="000000" w:themeColor="text1"/>
                <w:sz w:val="18"/>
                <w:szCs w:val="18"/>
              </w:rPr>
            </w:pPr>
            <w:r w:rsidRPr="003D64AE">
              <w:rPr>
                <w:color w:val="000000" w:themeColor="text1"/>
                <w:sz w:val="18"/>
                <w:szCs w:val="18"/>
              </w:rPr>
              <w:t>0</w:t>
            </w:r>
          </w:p>
        </w:tc>
        <w:tc>
          <w:tcPr>
            <w:tcW w:w="1080" w:type="dxa"/>
            <w:shd w:val="clear" w:color="D9E1F2" w:fill="D9E1F2"/>
            <w:noWrap/>
            <w:vAlign w:val="bottom"/>
            <w:hideMark/>
          </w:tcPr>
          <w:p w14:paraId="40DFE839" w14:textId="77777777" w:rsidR="00D04C52" w:rsidRPr="003D64AE" w:rsidRDefault="00D04C52" w:rsidP="00B46744">
            <w:pPr>
              <w:contextualSpacing/>
              <w:jc w:val="center"/>
              <w:rPr>
                <w:color w:val="000000" w:themeColor="text1"/>
                <w:sz w:val="18"/>
                <w:szCs w:val="18"/>
              </w:rPr>
            </w:pPr>
            <w:r w:rsidRPr="003D64AE">
              <w:rPr>
                <w:color w:val="000000" w:themeColor="text1"/>
                <w:sz w:val="18"/>
                <w:szCs w:val="18"/>
              </w:rPr>
              <w:t>0%</w:t>
            </w:r>
          </w:p>
        </w:tc>
      </w:tr>
      <w:tr w:rsidR="00D04C52" w:rsidRPr="003D64AE" w14:paraId="45980037" w14:textId="77777777" w:rsidTr="00B46744">
        <w:trPr>
          <w:trHeight w:val="288"/>
        </w:trPr>
        <w:tc>
          <w:tcPr>
            <w:tcW w:w="2875" w:type="dxa"/>
            <w:shd w:val="clear" w:color="auto" w:fill="auto"/>
            <w:noWrap/>
            <w:vAlign w:val="bottom"/>
            <w:hideMark/>
          </w:tcPr>
          <w:p w14:paraId="771EAE25" w14:textId="77777777" w:rsidR="00D04C52" w:rsidRPr="003D64AE" w:rsidRDefault="00D04C52" w:rsidP="00B46744">
            <w:pPr>
              <w:contextualSpacing/>
              <w:rPr>
                <w:color w:val="000000" w:themeColor="text1"/>
                <w:sz w:val="18"/>
                <w:szCs w:val="18"/>
              </w:rPr>
            </w:pPr>
            <w:r w:rsidRPr="003D64AE">
              <w:rPr>
                <w:color w:val="000000" w:themeColor="text1"/>
                <w:sz w:val="18"/>
                <w:szCs w:val="18"/>
              </w:rPr>
              <w:t>Good</w:t>
            </w:r>
          </w:p>
        </w:tc>
        <w:tc>
          <w:tcPr>
            <w:tcW w:w="1080" w:type="dxa"/>
            <w:shd w:val="clear" w:color="auto" w:fill="auto"/>
            <w:noWrap/>
            <w:vAlign w:val="bottom"/>
            <w:hideMark/>
          </w:tcPr>
          <w:p w14:paraId="6F0BC47D" w14:textId="77777777" w:rsidR="00D04C52" w:rsidRPr="003D64AE" w:rsidRDefault="0069742C" w:rsidP="00B46744">
            <w:pPr>
              <w:contextualSpacing/>
              <w:jc w:val="center"/>
              <w:rPr>
                <w:color w:val="000000" w:themeColor="text1"/>
                <w:sz w:val="18"/>
                <w:szCs w:val="18"/>
              </w:rPr>
            </w:pPr>
            <w:r w:rsidRPr="003D64AE">
              <w:rPr>
                <w:color w:val="000000" w:themeColor="text1"/>
                <w:sz w:val="18"/>
                <w:szCs w:val="18"/>
              </w:rPr>
              <w:t>1</w:t>
            </w:r>
            <w:r>
              <w:rPr>
                <w:color w:val="000000" w:themeColor="text1"/>
                <w:sz w:val="18"/>
                <w:szCs w:val="18"/>
              </w:rPr>
              <w:t>9</w:t>
            </w:r>
          </w:p>
        </w:tc>
        <w:tc>
          <w:tcPr>
            <w:tcW w:w="1080" w:type="dxa"/>
            <w:shd w:val="clear" w:color="auto" w:fill="auto"/>
            <w:noWrap/>
            <w:vAlign w:val="bottom"/>
            <w:hideMark/>
          </w:tcPr>
          <w:p w14:paraId="317DE3C6" w14:textId="77777777" w:rsidR="00D04C52" w:rsidRPr="003D64AE" w:rsidRDefault="00D04C52" w:rsidP="00B46744">
            <w:pPr>
              <w:contextualSpacing/>
              <w:jc w:val="center"/>
              <w:rPr>
                <w:color w:val="000000" w:themeColor="text1"/>
                <w:sz w:val="18"/>
                <w:szCs w:val="18"/>
              </w:rPr>
            </w:pPr>
            <w:r w:rsidRPr="003D64AE">
              <w:rPr>
                <w:color w:val="000000" w:themeColor="text1"/>
                <w:sz w:val="18"/>
                <w:szCs w:val="18"/>
              </w:rPr>
              <w:t>50%</w:t>
            </w:r>
          </w:p>
        </w:tc>
      </w:tr>
      <w:tr w:rsidR="00D04C52" w:rsidRPr="003D64AE" w14:paraId="3C268173" w14:textId="77777777" w:rsidTr="00B46744">
        <w:trPr>
          <w:trHeight w:val="288"/>
        </w:trPr>
        <w:tc>
          <w:tcPr>
            <w:tcW w:w="2875" w:type="dxa"/>
            <w:shd w:val="clear" w:color="D9E1F2" w:fill="D9E1F2"/>
            <w:noWrap/>
            <w:vAlign w:val="bottom"/>
            <w:hideMark/>
          </w:tcPr>
          <w:p w14:paraId="734D1D49" w14:textId="77777777" w:rsidR="00D04C52" w:rsidRPr="003D64AE" w:rsidRDefault="00D04C52" w:rsidP="00B46744">
            <w:pPr>
              <w:contextualSpacing/>
              <w:rPr>
                <w:color w:val="000000" w:themeColor="text1"/>
                <w:sz w:val="18"/>
                <w:szCs w:val="18"/>
              </w:rPr>
            </w:pPr>
            <w:r w:rsidRPr="003D64AE">
              <w:rPr>
                <w:color w:val="000000" w:themeColor="text1"/>
                <w:sz w:val="18"/>
                <w:szCs w:val="18"/>
              </w:rPr>
              <w:t>Fair</w:t>
            </w:r>
          </w:p>
        </w:tc>
        <w:tc>
          <w:tcPr>
            <w:tcW w:w="1080" w:type="dxa"/>
            <w:shd w:val="clear" w:color="D9E1F2" w:fill="D9E1F2"/>
            <w:noWrap/>
            <w:vAlign w:val="bottom"/>
            <w:hideMark/>
          </w:tcPr>
          <w:p w14:paraId="70697B84" w14:textId="77777777" w:rsidR="00D04C52" w:rsidRPr="003D64AE" w:rsidRDefault="00D04C52" w:rsidP="00B46744">
            <w:pPr>
              <w:contextualSpacing/>
              <w:jc w:val="center"/>
              <w:rPr>
                <w:color w:val="000000" w:themeColor="text1"/>
                <w:sz w:val="18"/>
                <w:szCs w:val="18"/>
              </w:rPr>
            </w:pPr>
            <w:r w:rsidRPr="003D64AE">
              <w:rPr>
                <w:color w:val="000000" w:themeColor="text1"/>
                <w:sz w:val="18"/>
                <w:szCs w:val="18"/>
              </w:rPr>
              <w:t>1</w:t>
            </w:r>
            <w:r w:rsidR="0069742C">
              <w:rPr>
                <w:color w:val="000000" w:themeColor="text1"/>
                <w:sz w:val="18"/>
                <w:szCs w:val="18"/>
              </w:rPr>
              <w:t>9</w:t>
            </w:r>
          </w:p>
        </w:tc>
        <w:tc>
          <w:tcPr>
            <w:tcW w:w="1080" w:type="dxa"/>
            <w:shd w:val="clear" w:color="D9E1F2" w:fill="D9E1F2"/>
            <w:noWrap/>
            <w:vAlign w:val="bottom"/>
            <w:hideMark/>
          </w:tcPr>
          <w:p w14:paraId="19B47CDA" w14:textId="77777777" w:rsidR="00D04C52" w:rsidRPr="003D64AE" w:rsidRDefault="00D04C52" w:rsidP="00B46744">
            <w:pPr>
              <w:contextualSpacing/>
              <w:jc w:val="center"/>
              <w:rPr>
                <w:color w:val="000000" w:themeColor="text1"/>
                <w:sz w:val="18"/>
                <w:szCs w:val="18"/>
              </w:rPr>
            </w:pPr>
            <w:r w:rsidRPr="003D64AE">
              <w:rPr>
                <w:color w:val="000000" w:themeColor="text1"/>
                <w:sz w:val="18"/>
                <w:szCs w:val="18"/>
              </w:rPr>
              <w:t>50%</w:t>
            </w:r>
          </w:p>
        </w:tc>
      </w:tr>
      <w:tr w:rsidR="00D04C52" w:rsidRPr="003D64AE" w14:paraId="5B1C594B" w14:textId="77777777" w:rsidTr="00B46744">
        <w:trPr>
          <w:trHeight w:val="288"/>
        </w:trPr>
        <w:tc>
          <w:tcPr>
            <w:tcW w:w="2875" w:type="dxa"/>
            <w:shd w:val="clear" w:color="auto" w:fill="auto"/>
            <w:noWrap/>
            <w:vAlign w:val="bottom"/>
            <w:hideMark/>
          </w:tcPr>
          <w:p w14:paraId="2C40F2D8" w14:textId="77777777" w:rsidR="00D04C52" w:rsidRPr="003D64AE" w:rsidRDefault="00D04C52" w:rsidP="00B46744">
            <w:pPr>
              <w:contextualSpacing/>
              <w:rPr>
                <w:color w:val="000000" w:themeColor="text1"/>
                <w:sz w:val="18"/>
                <w:szCs w:val="18"/>
              </w:rPr>
            </w:pPr>
            <w:r w:rsidRPr="003D64AE">
              <w:rPr>
                <w:color w:val="000000" w:themeColor="text1"/>
                <w:sz w:val="18"/>
                <w:szCs w:val="18"/>
              </w:rPr>
              <w:t>Poor</w:t>
            </w:r>
          </w:p>
        </w:tc>
        <w:tc>
          <w:tcPr>
            <w:tcW w:w="1080" w:type="dxa"/>
            <w:shd w:val="clear" w:color="auto" w:fill="auto"/>
            <w:noWrap/>
            <w:vAlign w:val="bottom"/>
            <w:hideMark/>
          </w:tcPr>
          <w:p w14:paraId="52B108AE" w14:textId="77777777" w:rsidR="00D04C52" w:rsidRPr="003D64AE" w:rsidRDefault="00D04C52" w:rsidP="00B46744">
            <w:pPr>
              <w:contextualSpacing/>
              <w:jc w:val="center"/>
              <w:rPr>
                <w:color w:val="000000" w:themeColor="text1"/>
                <w:sz w:val="18"/>
                <w:szCs w:val="18"/>
              </w:rPr>
            </w:pPr>
            <w:r w:rsidRPr="003D64AE">
              <w:rPr>
                <w:color w:val="000000" w:themeColor="text1"/>
                <w:sz w:val="18"/>
                <w:szCs w:val="18"/>
              </w:rPr>
              <w:t>0</w:t>
            </w:r>
          </w:p>
        </w:tc>
        <w:tc>
          <w:tcPr>
            <w:tcW w:w="1080" w:type="dxa"/>
            <w:shd w:val="clear" w:color="auto" w:fill="auto"/>
            <w:noWrap/>
            <w:vAlign w:val="bottom"/>
            <w:hideMark/>
          </w:tcPr>
          <w:p w14:paraId="6CA6EE99" w14:textId="77777777" w:rsidR="00D04C52" w:rsidRPr="003D64AE" w:rsidRDefault="00D04C52" w:rsidP="00B46744">
            <w:pPr>
              <w:contextualSpacing/>
              <w:jc w:val="center"/>
              <w:rPr>
                <w:color w:val="000000" w:themeColor="text1"/>
                <w:sz w:val="18"/>
                <w:szCs w:val="18"/>
              </w:rPr>
            </w:pPr>
            <w:r w:rsidRPr="003D64AE">
              <w:rPr>
                <w:color w:val="000000" w:themeColor="text1"/>
                <w:sz w:val="18"/>
                <w:szCs w:val="18"/>
              </w:rPr>
              <w:t>0%</w:t>
            </w:r>
          </w:p>
        </w:tc>
      </w:tr>
      <w:tr w:rsidR="00D04C52" w:rsidRPr="003D64AE" w14:paraId="079E2D58" w14:textId="77777777" w:rsidTr="00B46744">
        <w:trPr>
          <w:trHeight w:val="288"/>
        </w:trPr>
        <w:tc>
          <w:tcPr>
            <w:tcW w:w="2875" w:type="dxa"/>
            <w:shd w:val="clear" w:color="D9E1F2" w:fill="D9E1F2"/>
            <w:noWrap/>
            <w:vAlign w:val="bottom"/>
            <w:hideMark/>
          </w:tcPr>
          <w:p w14:paraId="699A79DF" w14:textId="77777777" w:rsidR="00D04C52" w:rsidRPr="003D64AE" w:rsidRDefault="00D04C52" w:rsidP="00B46744">
            <w:pPr>
              <w:contextualSpacing/>
              <w:rPr>
                <w:b/>
                <w:color w:val="000000" w:themeColor="text1"/>
                <w:sz w:val="18"/>
                <w:szCs w:val="18"/>
              </w:rPr>
            </w:pPr>
            <w:r w:rsidRPr="003D64AE">
              <w:rPr>
                <w:b/>
                <w:color w:val="000000" w:themeColor="text1"/>
                <w:sz w:val="18"/>
                <w:szCs w:val="18"/>
              </w:rPr>
              <w:t>Total</w:t>
            </w:r>
          </w:p>
        </w:tc>
        <w:tc>
          <w:tcPr>
            <w:tcW w:w="1080" w:type="dxa"/>
            <w:shd w:val="clear" w:color="D9E1F2" w:fill="D9E1F2"/>
            <w:noWrap/>
            <w:vAlign w:val="bottom"/>
            <w:hideMark/>
          </w:tcPr>
          <w:p w14:paraId="664241DE" w14:textId="77777777" w:rsidR="00D04C52" w:rsidRPr="003D64AE" w:rsidRDefault="00D04C52" w:rsidP="00B46744">
            <w:pPr>
              <w:contextualSpacing/>
              <w:jc w:val="center"/>
              <w:rPr>
                <w:b/>
                <w:color w:val="000000" w:themeColor="text1"/>
                <w:sz w:val="18"/>
                <w:szCs w:val="18"/>
              </w:rPr>
            </w:pPr>
            <w:r w:rsidRPr="003D64AE">
              <w:rPr>
                <w:b/>
                <w:color w:val="000000" w:themeColor="text1"/>
                <w:sz w:val="18"/>
                <w:szCs w:val="18"/>
              </w:rPr>
              <w:t>3</w:t>
            </w:r>
            <w:r w:rsidR="0069742C">
              <w:rPr>
                <w:b/>
                <w:color w:val="000000" w:themeColor="text1"/>
                <w:sz w:val="18"/>
                <w:szCs w:val="18"/>
              </w:rPr>
              <w:t>8</w:t>
            </w:r>
          </w:p>
        </w:tc>
        <w:tc>
          <w:tcPr>
            <w:tcW w:w="1080" w:type="dxa"/>
            <w:shd w:val="clear" w:color="D9E1F2" w:fill="D9E1F2"/>
            <w:noWrap/>
            <w:vAlign w:val="bottom"/>
            <w:hideMark/>
          </w:tcPr>
          <w:p w14:paraId="16E5C408" w14:textId="77777777" w:rsidR="00D04C52" w:rsidRPr="003D64AE" w:rsidRDefault="00D04C52" w:rsidP="00B46744">
            <w:pPr>
              <w:contextualSpacing/>
              <w:jc w:val="center"/>
              <w:rPr>
                <w:b/>
                <w:color w:val="000000" w:themeColor="text1"/>
                <w:sz w:val="18"/>
                <w:szCs w:val="18"/>
              </w:rPr>
            </w:pPr>
            <w:r w:rsidRPr="003D64AE">
              <w:rPr>
                <w:b/>
                <w:color w:val="000000" w:themeColor="text1"/>
                <w:sz w:val="18"/>
                <w:szCs w:val="18"/>
              </w:rPr>
              <w:t>100%</w:t>
            </w:r>
          </w:p>
        </w:tc>
      </w:tr>
    </w:tbl>
    <w:p w14:paraId="5A3E328D" w14:textId="611F4A0A" w:rsidR="00B73380" w:rsidRDefault="00B73380" w:rsidP="00B46744"/>
    <w:p w14:paraId="086840DF" w14:textId="77777777" w:rsidR="00B73380" w:rsidRDefault="00B73380">
      <w:r>
        <w:br w:type="page"/>
      </w:r>
    </w:p>
    <w:p w14:paraId="697A059C" w14:textId="77777777" w:rsidR="00A50130" w:rsidRDefault="00A50130" w:rsidP="00B73380">
      <w:pPr>
        <w:spacing w:after="240" w:line="240" w:lineRule="auto"/>
        <w:jc w:val="center"/>
        <w:rPr>
          <w:b/>
        </w:rPr>
        <w:sectPr w:rsidR="00A50130" w:rsidSect="00D04C52">
          <w:pgSz w:w="15840" w:h="12240" w:orient="landscape"/>
          <w:pgMar w:top="1440" w:right="1440" w:bottom="1440" w:left="1440" w:header="720" w:footer="720" w:gutter="0"/>
          <w:cols w:space="720"/>
          <w:docGrid w:linePitch="360"/>
        </w:sectPr>
      </w:pPr>
    </w:p>
    <w:p w14:paraId="1A1192D1" w14:textId="77777777" w:rsidR="00D04C52" w:rsidRPr="00EA69AA" w:rsidRDefault="00D04C52" w:rsidP="00B44564">
      <w:pPr>
        <w:pStyle w:val="ChapterHeading"/>
        <w:spacing w:after="120"/>
        <w:rPr>
          <w:rFonts w:asciiTheme="minorHAnsi" w:hAnsiTheme="minorHAnsi"/>
          <w:sz w:val="22"/>
          <w:szCs w:val="22"/>
        </w:rPr>
      </w:pPr>
      <w:r w:rsidRPr="00EA69AA">
        <w:rPr>
          <w:rFonts w:asciiTheme="minorHAnsi" w:hAnsiTheme="minorHAnsi"/>
          <w:sz w:val="22"/>
          <w:szCs w:val="22"/>
        </w:rPr>
        <w:lastRenderedPageBreak/>
        <w:t xml:space="preserve">SUPPLEMENTAL SECTION </w:t>
      </w:r>
      <w:r w:rsidR="00B44564">
        <w:rPr>
          <w:rFonts w:asciiTheme="minorHAnsi" w:hAnsiTheme="minorHAnsi"/>
          <w:sz w:val="22"/>
          <w:szCs w:val="22"/>
        </w:rPr>
        <w:t>1</w:t>
      </w:r>
      <w:r w:rsidR="00C82C02">
        <w:rPr>
          <w:rFonts w:asciiTheme="minorHAnsi" w:hAnsiTheme="minorHAnsi"/>
          <w:sz w:val="22"/>
          <w:szCs w:val="22"/>
        </w:rPr>
        <w:t>2</w:t>
      </w:r>
      <w:r w:rsidRPr="00EA69AA">
        <w:rPr>
          <w:rFonts w:asciiTheme="minorHAnsi" w:hAnsiTheme="minorHAnsi"/>
          <w:sz w:val="22"/>
          <w:szCs w:val="22"/>
        </w:rPr>
        <w:t>: Additional Study Quality Methods</w:t>
      </w:r>
    </w:p>
    <w:p w14:paraId="2F3A1F10" w14:textId="77777777" w:rsidR="00D04C52" w:rsidRPr="00A06DD0" w:rsidRDefault="00D04C52" w:rsidP="00B46744">
      <w:pPr>
        <w:spacing w:after="120" w:line="240" w:lineRule="auto"/>
        <w:jc w:val="both"/>
        <w:rPr>
          <w:i/>
          <w:color w:val="000000" w:themeColor="text1"/>
          <w:u w:val="single"/>
        </w:rPr>
      </w:pPr>
      <w:r>
        <w:rPr>
          <w:i/>
          <w:color w:val="000000" w:themeColor="text1"/>
          <w:u w:val="single"/>
        </w:rPr>
        <w:t>Study Quality Rating</w:t>
      </w:r>
    </w:p>
    <w:p w14:paraId="63C6790F" w14:textId="77777777" w:rsidR="00D04C52" w:rsidRPr="006E6B9F" w:rsidRDefault="00D04C52" w:rsidP="007D0FF0">
      <w:pPr>
        <w:spacing w:after="240" w:line="240" w:lineRule="auto"/>
        <w:jc w:val="both"/>
        <w:rPr>
          <w:color w:val="000000" w:themeColor="text1"/>
        </w:rPr>
      </w:pPr>
      <w:r w:rsidRPr="00142931">
        <w:rPr>
          <w:color w:val="000000" w:themeColor="text1"/>
        </w:rPr>
        <w:t>A random</w:t>
      </w:r>
      <w:r>
        <w:rPr>
          <w:color w:val="000000" w:themeColor="text1"/>
        </w:rPr>
        <w:t xml:space="preserve"> and sufficient</w:t>
      </w:r>
      <w:r w:rsidRPr="00142931">
        <w:rPr>
          <w:color w:val="000000" w:themeColor="text1"/>
        </w:rPr>
        <w:t xml:space="preserve"> s</w:t>
      </w:r>
      <w:r>
        <w:rPr>
          <w:color w:val="000000" w:themeColor="text1"/>
        </w:rPr>
        <w:t>ample of included studies</w:t>
      </w:r>
      <w:r w:rsidRPr="00142931">
        <w:rPr>
          <w:color w:val="000000" w:themeColor="text1"/>
        </w:rPr>
        <w:t xml:space="preserve"> was assessed independently by two members of the </w:t>
      </w:r>
      <w:r w:rsidRPr="00AD248C">
        <w:t xml:space="preserve">review team. The level of agreement between those researchers was evaluated based on the mean difference in scores between the two reviewers. The mean difference was 0.25 points (95% </w:t>
      </w:r>
      <w:r>
        <w:t>c</w:t>
      </w:r>
      <w:r w:rsidRPr="00AD248C">
        <w:t xml:space="preserve">onfidence interval [CI], -0.53 to 1.03), indicating that, on average, reviewers had a high level of agreement with 95 percent confidence that the </w:t>
      </w:r>
      <w:r w:rsidRPr="00142931">
        <w:rPr>
          <w:color w:val="000000" w:themeColor="text1"/>
        </w:rPr>
        <w:t xml:space="preserve">true mean difference was no greater than one point on the scale. In addition, the difference in score across the </w:t>
      </w:r>
      <w:r>
        <w:rPr>
          <w:color w:val="000000" w:themeColor="text1"/>
        </w:rPr>
        <w:t xml:space="preserve">sample of </w:t>
      </w:r>
      <w:r w:rsidRPr="00142931">
        <w:rPr>
          <w:color w:val="000000" w:themeColor="text1"/>
        </w:rPr>
        <w:t xml:space="preserve">studies was distributed normally, indicating that there was no systematic bias </w:t>
      </w:r>
      <w:r>
        <w:rPr>
          <w:color w:val="000000" w:themeColor="text1"/>
        </w:rPr>
        <w:t xml:space="preserve">and that </w:t>
      </w:r>
      <w:r w:rsidRPr="00142931">
        <w:rPr>
          <w:color w:val="000000" w:themeColor="text1"/>
        </w:rPr>
        <w:t xml:space="preserve">one reviewer was </w:t>
      </w:r>
      <w:r w:rsidRPr="00042AC2">
        <w:rPr>
          <w:color w:val="000000" w:themeColor="text1"/>
        </w:rPr>
        <w:t>not</w:t>
      </w:r>
      <w:r>
        <w:rPr>
          <w:color w:val="000000" w:themeColor="text1"/>
        </w:rPr>
        <w:t xml:space="preserve"> </w:t>
      </w:r>
      <w:r w:rsidRPr="00042AC2">
        <w:rPr>
          <w:color w:val="000000" w:themeColor="text1"/>
        </w:rPr>
        <w:t>consistently</w:t>
      </w:r>
      <w:r w:rsidRPr="00142931">
        <w:rPr>
          <w:color w:val="000000" w:themeColor="text1"/>
        </w:rPr>
        <w:t xml:space="preserve"> higher or lower than the other. Based on the high level of agreement, the ratings were </w:t>
      </w:r>
      <w:r>
        <w:rPr>
          <w:color w:val="000000" w:themeColor="text1"/>
        </w:rPr>
        <w:t xml:space="preserve">not </w:t>
      </w:r>
      <w:r w:rsidRPr="00142931">
        <w:rPr>
          <w:color w:val="000000" w:themeColor="text1"/>
        </w:rPr>
        <w:t>found to be subject to individual reviewer bias, and a single reviewer reviewed the remaining included studies.</w:t>
      </w:r>
    </w:p>
    <w:p w14:paraId="501F22E5" w14:textId="77777777" w:rsidR="00D04C52" w:rsidRPr="00E1134F" w:rsidRDefault="00D04C52" w:rsidP="00B46744">
      <w:pPr>
        <w:spacing w:after="120" w:line="240" w:lineRule="auto"/>
        <w:jc w:val="both"/>
        <w:rPr>
          <w:i/>
          <w:color w:val="000000" w:themeColor="text1"/>
          <w:u w:val="single"/>
        </w:rPr>
      </w:pPr>
      <w:r>
        <w:rPr>
          <w:i/>
          <w:color w:val="000000" w:themeColor="text1"/>
          <w:u w:val="single"/>
        </w:rPr>
        <w:t>Downs and Black Checklist</w:t>
      </w:r>
    </w:p>
    <w:p w14:paraId="558A7AFD" w14:textId="258F67C2" w:rsidR="00D04C52" w:rsidRPr="00142931" w:rsidRDefault="00D04C52" w:rsidP="00B46744">
      <w:pPr>
        <w:spacing w:after="120" w:line="240" w:lineRule="auto"/>
        <w:jc w:val="both"/>
        <w:rPr>
          <w:color w:val="000000" w:themeColor="text1"/>
        </w:rPr>
      </w:pPr>
      <w:r>
        <w:rPr>
          <w:color w:val="000000" w:themeColor="text1"/>
        </w:rPr>
        <w:t>T</w:t>
      </w:r>
      <w:r w:rsidRPr="00C01609">
        <w:rPr>
          <w:color w:val="000000" w:themeColor="text1"/>
        </w:rPr>
        <w:t>he</w:t>
      </w:r>
      <w:r>
        <w:rPr>
          <w:color w:val="000000" w:themeColor="text1"/>
        </w:rPr>
        <w:t xml:space="preserve"> Downs and Black checklist</w:t>
      </w:r>
      <w:r w:rsidRPr="00142931">
        <w:rPr>
          <w:color w:val="000000" w:themeColor="text1"/>
        </w:rPr>
        <w:t xml:space="preserve"> </w:t>
      </w:r>
      <w:r>
        <w:rPr>
          <w:color w:val="000000" w:themeColor="text1"/>
        </w:rPr>
        <w:t xml:space="preserve">(presented in </w:t>
      </w:r>
      <w:r>
        <w:rPr>
          <w:b/>
          <w:color w:val="000000" w:themeColor="text1"/>
        </w:rPr>
        <w:t xml:space="preserve">TABLE </w:t>
      </w:r>
      <w:r w:rsidR="00B44564">
        <w:rPr>
          <w:b/>
          <w:color w:val="000000" w:themeColor="text1"/>
        </w:rPr>
        <w:t>1</w:t>
      </w:r>
      <w:r w:rsidR="00C82C02">
        <w:rPr>
          <w:b/>
          <w:color w:val="000000" w:themeColor="text1"/>
        </w:rPr>
        <w:t>2</w:t>
      </w:r>
      <w:r w:rsidR="00B44564">
        <w:rPr>
          <w:b/>
          <w:color w:val="000000" w:themeColor="text1"/>
        </w:rPr>
        <w:t>-</w:t>
      </w:r>
      <w:r>
        <w:rPr>
          <w:b/>
        </w:rPr>
        <w:t xml:space="preserve">1 </w:t>
      </w:r>
      <w:r>
        <w:t xml:space="preserve">below) </w:t>
      </w:r>
      <w:r w:rsidRPr="00FF7DEA">
        <w:t>is</w:t>
      </w:r>
      <w:r w:rsidRPr="00142931">
        <w:rPr>
          <w:color w:val="000000" w:themeColor="text1"/>
        </w:rPr>
        <w:t xml:space="preserve"> </w:t>
      </w:r>
      <w:r>
        <w:rPr>
          <w:color w:val="000000" w:themeColor="text1"/>
        </w:rPr>
        <w:t>a</w:t>
      </w:r>
      <w:r w:rsidRPr="00142931">
        <w:rPr>
          <w:color w:val="000000" w:themeColor="text1"/>
        </w:rPr>
        <w:t xml:space="preserve"> comprehensive </w:t>
      </w:r>
      <w:r>
        <w:rPr>
          <w:color w:val="000000" w:themeColor="text1"/>
        </w:rPr>
        <w:t>instrument that</w:t>
      </w:r>
      <w:r w:rsidRPr="00142931">
        <w:rPr>
          <w:color w:val="000000" w:themeColor="text1"/>
        </w:rPr>
        <w:t xml:space="preserve"> includes 27 items divided into </w:t>
      </w:r>
      <w:r>
        <w:rPr>
          <w:color w:val="000000" w:themeColor="text1"/>
        </w:rPr>
        <w:t xml:space="preserve">the following </w:t>
      </w:r>
      <w:r w:rsidRPr="00142931">
        <w:rPr>
          <w:color w:val="000000" w:themeColor="text1"/>
        </w:rPr>
        <w:t xml:space="preserve">five domains: (1) study reporting [10 </w:t>
      </w:r>
      <w:r>
        <w:rPr>
          <w:color w:val="000000" w:themeColor="text1"/>
        </w:rPr>
        <w:t>items</w:t>
      </w:r>
      <w:r w:rsidRPr="00142931">
        <w:rPr>
          <w:color w:val="000000" w:themeColor="text1"/>
        </w:rPr>
        <w:t xml:space="preserve">]; (2) external validity [3 </w:t>
      </w:r>
      <w:r>
        <w:rPr>
          <w:color w:val="000000" w:themeColor="text1"/>
        </w:rPr>
        <w:t>items</w:t>
      </w:r>
      <w:r w:rsidRPr="00142931">
        <w:rPr>
          <w:color w:val="000000" w:themeColor="text1"/>
        </w:rPr>
        <w:t xml:space="preserve">]; (3) internal validity – related to measurement bias (outcome and exposure) [7 </w:t>
      </w:r>
      <w:r>
        <w:rPr>
          <w:color w:val="000000" w:themeColor="text1"/>
        </w:rPr>
        <w:t>items</w:t>
      </w:r>
      <w:r w:rsidRPr="00142931">
        <w:rPr>
          <w:color w:val="000000" w:themeColor="text1"/>
        </w:rPr>
        <w:t xml:space="preserve">]; (4) internal validity – related to confounding bias [6 </w:t>
      </w:r>
      <w:r>
        <w:rPr>
          <w:color w:val="000000" w:themeColor="text1"/>
        </w:rPr>
        <w:t>items</w:t>
      </w:r>
      <w:r w:rsidRPr="00142931">
        <w:rPr>
          <w:color w:val="000000" w:themeColor="text1"/>
        </w:rPr>
        <w:t xml:space="preserve">]; and (5) power [1 </w:t>
      </w:r>
      <w:r>
        <w:rPr>
          <w:color w:val="000000" w:themeColor="text1"/>
        </w:rPr>
        <w:t>item</w:t>
      </w:r>
      <w:r w:rsidRPr="00142931">
        <w:rPr>
          <w:color w:val="000000" w:themeColor="text1"/>
        </w:rPr>
        <w:t>]</w:t>
      </w:r>
      <w:r w:rsidR="00B46744">
        <w:rPr>
          <w:color w:val="000000" w:themeColor="text1"/>
        </w:rPr>
        <w:t xml:space="preserve"> </w:t>
      </w:r>
      <w:r w:rsidR="00D2134A">
        <w:rPr>
          <w:color w:val="000000" w:themeColor="text1"/>
        </w:rPr>
        <w:fldChar w:fldCharType="begin"/>
      </w:r>
      <w:r w:rsidR="00D2134A">
        <w:rPr>
          <w:color w:val="000000" w:themeColor="text1"/>
        </w:rPr>
        <w:instrText xml:space="preserve"> ADDIN EN.CITE &lt;EndNote&gt;&lt;Cite&gt;&lt;Author&gt;Downs&lt;/Author&gt;&lt;Year&gt;1998&lt;/Year&gt;&lt;RecNum&gt;197&lt;/RecNum&gt;&lt;DisplayText&gt;(87)&lt;/DisplayText&gt;&lt;record&gt;&lt;rec-number&gt;197&lt;/rec-number&gt;&lt;foreign-keys&gt;&lt;key app="EN" db-id="a2vz2dfp8xrad6exes75zwpiw5rxwa0vwapv" timestamp="1477411787"&gt;197&lt;/key&gt;&lt;/foreign-keys&gt;&lt;ref-type name="Journal Article"&gt;17&lt;/ref-type&gt;&lt;contributors&gt;&lt;authors&gt;&lt;author&gt;Downs, S. H.&lt;/author&gt;&lt;author&gt;Black, N.&lt;/author&gt;&lt;/authors&gt;&lt;/contributors&gt;&lt;auth-address&gt;Department of Public Health and Policy, London School of Hygiene and Tropical Medicine.&lt;/auth-address&gt;&lt;titles&gt;&lt;title&gt;The feasibility of creating a checklist for the assessment of the methodological quality both of randomised and non-randomised studies of health care interventions&lt;/title&gt;&lt;secondary-title&gt;J Epidemiol Community Health&lt;/secondary-title&gt;&lt;/titles&gt;&lt;periodical&gt;&lt;full-title&gt;J Epidemiol Community Health&lt;/full-title&gt;&lt;/periodical&gt;&lt;pages&gt;377-84&lt;/pages&gt;&lt;volume&gt;52&lt;/volume&gt;&lt;number&gt;6&lt;/number&gt;&lt;keywords&gt;&lt;keyword&gt;Bias (Epidemiology)&lt;/keyword&gt;&lt;keyword&gt;Clinical Trials as Topic/*standards&lt;/keyword&gt;&lt;keyword&gt;Confounding Factors (Epidemiology)&lt;/keyword&gt;&lt;keyword&gt;Delivery of Health Care/*standards&lt;/keyword&gt;&lt;keyword&gt;Epidemiologic Studies&lt;/keyword&gt;&lt;keyword&gt;Feasibility Studies&lt;/keyword&gt;&lt;keyword&gt;Humans&lt;/keyword&gt;&lt;keyword&gt;Pilot Projects&lt;/keyword&gt;&lt;keyword&gt;*Quality Assurance, Health Care/organization &amp;amp; administration&lt;/keyword&gt;&lt;keyword&gt;Quality Control&lt;/keyword&gt;&lt;keyword&gt;Randomized Controlled Trials as Topic&lt;/keyword&gt;&lt;keyword&gt;Reproducibility of Results&lt;/keyword&gt;&lt;keyword&gt;Statistics, Nonparametric&lt;/keyword&gt;&lt;/keywords&gt;&lt;dates&gt;&lt;year&gt;1998&lt;/year&gt;&lt;pub-dates&gt;&lt;date&gt;Jun&lt;/date&gt;&lt;/pub-dates&gt;&lt;/dates&gt;&lt;isbn&gt;0143-005X (Print)&amp;#xD;0143-005X (Linking)&lt;/isbn&gt;&lt;accession-num&gt;9764259&lt;/accession-num&gt;&lt;urls&gt;&lt;related-urls&gt;&lt;url&gt;https://www.ncbi.nlm.nih.gov/pubmed/9764259&lt;/url&gt;&lt;/related-urls&gt;&lt;/urls&gt;&lt;custom2&gt;PMC1756728&lt;/custom2&gt;&lt;/record&gt;&lt;/Cite&gt;&lt;/EndNote&gt;</w:instrText>
      </w:r>
      <w:r w:rsidR="00D2134A">
        <w:rPr>
          <w:color w:val="000000" w:themeColor="text1"/>
        </w:rPr>
        <w:fldChar w:fldCharType="separate"/>
      </w:r>
      <w:r w:rsidR="00D2134A">
        <w:rPr>
          <w:noProof/>
          <w:color w:val="000000" w:themeColor="text1"/>
        </w:rPr>
        <w:t>(</w:t>
      </w:r>
      <w:hyperlink w:anchor="_ENREF_87" w:tooltip="Downs, 1998 #197" w:history="1">
        <w:r w:rsidR="00A234A9">
          <w:rPr>
            <w:noProof/>
            <w:color w:val="000000" w:themeColor="text1"/>
          </w:rPr>
          <w:t>87</w:t>
        </w:r>
      </w:hyperlink>
      <w:r w:rsidR="00D2134A">
        <w:rPr>
          <w:noProof/>
          <w:color w:val="000000" w:themeColor="text1"/>
        </w:rPr>
        <w:t>)</w:t>
      </w:r>
      <w:r w:rsidR="00D2134A">
        <w:rPr>
          <w:color w:val="000000" w:themeColor="text1"/>
        </w:rPr>
        <w:fldChar w:fldCharType="end"/>
      </w:r>
      <w:r w:rsidRPr="00142931">
        <w:rPr>
          <w:color w:val="000000" w:themeColor="text1"/>
        </w:rPr>
        <w:t xml:space="preserve">. The instrument was used as reported in the original </w:t>
      </w:r>
      <w:r>
        <w:rPr>
          <w:color w:val="000000" w:themeColor="text1"/>
        </w:rPr>
        <w:t>publication</w:t>
      </w:r>
      <w:r w:rsidRPr="00142931">
        <w:rPr>
          <w:color w:val="000000" w:themeColor="text1"/>
        </w:rPr>
        <w:t xml:space="preserve">, with </w:t>
      </w:r>
      <w:r>
        <w:rPr>
          <w:color w:val="000000" w:themeColor="text1"/>
        </w:rPr>
        <w:t xml:space="preserve">only </w:t>
      </w:r>
      <w:r w:rsidRPr="00191E55">
        <w:rPr>
          <w:color w:val="000000" w:themeColor="text1"/>
        </w:rPr>
        <w:t xml:space="preserve">one adaptation of the power question </w:t>
      </w:r>
      <w:r>
        <w:rPr>
          <w:color w:val="000000" w:themeColor="text1"/>
        </w:rPr>
        <w:t xml:space="preserve">(Q27) </w:t>
      </w:r>
      <w:r w:rsidRPr="00191E55">
        <w:rPr>
          <w:color w:val="000000" w:themeColor="text1"/>
        </w:rPr>
        <w:t>as to whether the study was adequately powered</w:t>
      </w:r>
      <w:r w:rsidRPr="00142931">
        <w:rPr>
          <w:color w:val="000000" w:themeColor="text1"/>
        </w:rPr>
        <w:t xml:space="preserve"> </w:t>
      </w:r>
      <w:r>
        <w:rPr>
          <w:color w:val="000000" w:themeColor="text1"/>
        </w:rPr>
        <w:t>from a 5-point scale to a dichotomous (</w:t>
      </w:r>
      <w:r w:rsidRPr="00142931">
        <w:rPr>
          <w:color w:val="000000" w:themeColor="text1"/>
        </w:rPr>
        <w:t>yes/no)</w:t>
      </w:r>
      <w:r>
        <w:rPr>
          <w:color w:val="000000" w:themeColor="text1"/>
        </w:rPr>
        <w:t xml:space="preserve"> response</w:t>
      </w:r>
      <w:r w:rsidRPr="00142931">
        <w:rPr>
          <w:color w:val="000000" w:themeColor="text1"/>
        </w:rPr>
        <w:t>.</w:t>
      </w:r>
      <w:r w:rsidR="00A40A4C">
        <w:rPr>
          <w:color w:val="000000" w:themeColor="text1"/>
        </w:rPr>
        <w:t xml:space="preserve"> </w:t>
      </w:r>
      <w:r w:rsidRPr="00142931">
        <w:rPr>
          <w:color w:val="000000" w:themeColor="text1"/>
        </w:rPr>
        <w:t xml:space="preserve">The maximum achievable score for a study was </w:t>
      </w:r>
      <w:r w:rsidR="00110937" w:rsidRPr="00142931">
        <w:rPr>
          <w:color w:val="000000" w:themeColor="text1"/>
        </w:rPr>
        <w:t>2</w:t>
      </w:r>
      <w:r w:rsidR="00110937">
        <w:rPr>
          <w:color w:val="000000" w:themeColor="text1"/>
        </w:rPr>
        <w:t>8</w:t>
      </w:r>
      <w:r w:rsidRPr="00142931">
        <w:rPr>
          <w:color w:val="000000" w:themeColor="text1"/>
        </w:rPr>
        <w:t>, and score ranges were grouped into the following four quality levels: excellent (26-2</w:t>
      </w:r>
      <w:r w:rsidR="00AE6C26">
        <w:rPr>
          <w:color w:val="000000" w:themeColor="text1"/>
        </w:rPr>
        <w:t>8</w:t>
      </w:r>
      <w:r w:rsidRPr="00142931">
        <w:rPr>
          <w:color w:val="000000" w:themeColor="text1"/>
        </w:rPr>
        <w:t>); good (20-25); fair (1</w:t>
      </w:r>
      <w:r w:rsidR="00C23CC7">
        <w:rPr>
          <w:color w:val="000000" w:themeColor="text1"/>
        </w:rPr>
        <w:t>5</w:t>
      </w:r>
      <w:r w:rsidRPr="00142931">
        <w:rPr>
          <w:color w:val="000000" w:themeColor="text1"/>
        </w:rPr>
        <w:t>-19); and poor (≤1</w:t>
      </w:r>
      <w:r w:rsidR="00C23CC7">
        <w:rPr>
          <w:color w:val="000000" w:themeColor="text1"/>
        </w:rPr>
        <w:t>4</w:t>
      </w:r>
      <w:r w:rsidRPr="00142931">
        <w:rPr>
          <w:color w:val="000000" w:themeColor="text1"/>
        </w:rPr>
        <w:t xml:space="preserve">). </w:t>
      </w:r>
      <w:r>
        <w:rPr>
          <w:color w:val="000000" w:themeColor="text1"/>
        </w:rPr>
        <w:t>W</w:t>
      </w:r>
      <w:r w:rsidRPr="00142931">
        <w:rPr>
          <w:color w:val="000000" w:themeColor="text1"/>
        </w:rPr>
        <w:t xml:space="preserve">hen data from a single study were </w:t>
      </w:r>
      <w:r>
        <w:rPr>
          <w:color w:val="000000" w:themeColor="text1"/>
        </w:rPr>
        <w:t>reported in</w:t>
      </w:r>
      <w:r w:rsidRPr="00142931">
        <w:rPr>
          <w:color w:val="000000" w:themeColor="text1"/>
        </w:rPr>
        <w:t xml:space="preserve"> multiple </w:t>
      </w:r>
      <w:r>
        <w:rPr>
          <w:color w:val="000000" w:themeColor="text1"/>
        </w:rPr>
        <w:t>references</w:t>
      </w:r>
      <w:r w:rsidRPr="00142931">
        <w:rPr>
          <w:color w:val="000000" w:themeColor="text1"/>
        </w:rPr>
        <w:t xml:space="preserve">, all </w:t>
      </w:r>
      <w:r>
        <w:rPr>
          <w:color w:val="000000" w:themeColor="text1"/>
        </w:rPr>
        <w:t>references</w:t>
      </w:r>
      <w:r w:rsidRPr="00142931">
        <w:rPr>
          <w:color w:val="000000" w:themeColor="text1"/>
        </w:rPr>
        <w:t xml:space="preserve"> were considered </w:t>
      </w:r>
      <w:r>
        <w:rPr>
          <w:color w:val="000000" w:themeColor="text1"/>
        </w:rPr>
        <w:t>to determine</w:t>
      </w:r>
      <w:r w:rsidRPr="00142931">
        <w:rPr>
          <w:color w:val="000000" w:themeColor="text1"/>
        </w:rPr>
        <w:t xml:space="preserve"> an overall rating for the study.</w:t>
      </w:r>
    </w:p>
    <w:p w14:paraId="3C9D26E9" w14:textId="77777777" w:rsidR="00D04C52" w:rsidRPr="00504A59" w:rsidRDefault="00D04C52" w:rsidP="00B46744">
      <w:pPr>
        <w:pStyle w:val="Level3Heading"/>
        <w:spacing w:after="120"/>
        <w:rPr>
          <w:rFonts w:asciiTheme="minorHAnsi" w:hAnsiTheme="minorHAnsi"/>
          <w:b w:val="0"/>
          <w:i/>
          <w:color w:val="000000" w:themeColor="text1"/>
          <w:sz w:val="22"/>
          <w:szCs w:val="22"/>
          <w:u w:val="single"/>
        </w:rPr>
      </w:pPr>
      <w:r w:rsidRPr="00504A59">
        <w:rPr>
          <w:rFonts w:asciiTheme="minorHAnsi" w:hAnsiTheme="minorHAnsi"/>
          <w:b w:val="0"/>
          <w:i/>
          <w:color w:val="000000" w:themeColor="text1"/>
          <w:sz w:val="22"/>
          <w:szCs w:val="22"/>
          <w:u w:val="single"/>
        </w:rPr>
        <w:t>Assessment of Confounding</w:t>
      </w:r>
    </w:p>
    <w:p w14:paraId="73EA7ACE" w14:textId="6F607433" w:rsidR="00D04C52" w:rsidRPr="00142931" w:rsidRDefault="00D04C52" w:rsidP="00B46744">
      <w:pPr>
        <w:spacing w:after="120" w:line="240" w:lineRule="auto"/>
        <w:jc w:val="both"/>
        <w:rPr>
          <w:color w:val="000000" w:themeColor="text1"/>
        </w:rPr>
      </w:pPr>
      <w:r w:rsidRPr="00142931">
        <w:rPr>
          <w:color w:val="000000" w:themeColor="text1"/>
        </w:rPr>
        <w:t>To evaluate confounding in this body of literature, the following steps were taken in accordance with Cochrane guidelines for systematic reviews</w:t>
      </w:r>
      <w:r>
        <w:rPr>
          <w:color w:val="000000" w:themeColor="text1"/>
        </w:rPr>
        <w:t xml:space="preserve"> </w:t>
      </w:r>
      <w:r w:rsidR="00D2134A">
        <w:rPr>
          <w:color w:val="000000" w:themeColor="text1"/>
        </w:rPr>
        <w:fldChar w:fldCharType="begin"/>
      </w:r>
      <w:r w:rsidR="00D2134A">
        <w:rPr>
          <w:color w:val="000000" w:themeColor="text1"/>
        </w:rPr>
        <w:instrText xml:space="preserve"> ADDIN EN.CITE &lt;EndNote&gt;&lt;Cite&gt;&lt;Author&gt;Higgins&lt;/Author&gt;&lt;Year&gt;2011&lt;/Year&gt;&lt;RecNum&gt;226&lt;/RecNum&gt;&lt;DisplayText&gt;(88)&lt;/DisplayText&gt;&lt;record&gt;&lt;rec-number&gt;226&lt;/rec-number&gt;&lt;foreign-keys&gt;&lt;key app="EN" db-id="a2vz2dfp8xrad6exes75zwpiw5rxwa0vwapv" timestamp="1477585365"&gt;226&lt;/key&gt;&lt;/foreign-keys&gt;&lt;ref-type name="Book Section"&gt;5&lt;/ref-type&gt;&lt;contributors&gt;&lt;authors&gt;&lt;author&gt;Higgins, J.P.T.&lt;/author&gt;&lt;author&gt;Altman, D.G.&lt;/author&gt;&lt;author&gt;Sterne, J.A.C&lt;/author&gt;&lt;/authors&gt;&lt;secondary-authors&gt;&lt;author&gt;Higgins, J.P.T.&lt;/author&gt;&lt;author&gt;Green, S.&lt;/author&gt;&lt;/secondary-authors&gt;&lt;/contributors&gt;&lt;titles&gt;&lt;title&gt;Section 13.5. Assessing risk of bias in non-randomized studies&lt;/title&gt;&lt;secondary-title&gt;Cochrane Handbook for Systematic Reviews of Interventions&lt;/secondary-title&gt;&lt;/titles&gt;&lt;volume&gt;Version 5.1.0&lt;/volume&gt;&lt;dates&gt;&lt;year&gt;2011&lt;/year&gt;&lt;/dates&gt;&lt;publisher&gt;The Cochrane Collaboration&lt;/publisher&gt;&lt;urls&gt;&lt;/urls&gt;&lt;/record&gt;&lt;/Cite&gt;&lt;/EndNote&gt;</w:instrText>
      </w:r>
      <w:r w:rsidR="00D2134A">
        <w:rPr>
          <w:color w:val="000000" w:themeColor="text1"/>
        </w:rPr>
        <w:fldChar w:fldCharType="separate"/>
      </w:r>
      <w:r w:rsidR="00D2134A">
        <w:rPr>
          <w:noProof/>
          <w:color w:val="000000" w:themeColor="text1"/>
        </w:rPr>
        <w:t>(</w:t>
      </w:r>
      <w:hyperlink w:anchor="_ENREF_88" w:tooltip="Higgins, 2011 #226" w:history="1">
        <w:r w:rsidR="00A234A9">
          <w:rPr>
            <w:noProof/>
            <w:color w:val="000000" w:themeColor="text1"/>
          </w:rPr>
          <w:t>88</w:t>
        </w:r>
      </w:hyperlink>
      <w:r w:rsidR="00D2134A">
        <w:rPr>
          <w:noProof/>
          <w:color w:val="000000" w:themeColor="text1"/>
        </w:rPr>
        <w:t>)</w:t>
      </w:r>
      <w:r w:rsidR="00D2134A">
        <w:rPr>
          <w:color w:val="000000" w:themeColor="text1"/>
        </w:rPr>
        <w:fldChar w:fldCharType="end"/>
      </w:r>
      <w:r>
        <w:rPr>
          <w:color w:val="000000" w:themeColor="text1"/>
        </w:rPr>
        <w:t>:</w:t>
      </w:r>
    </w:p>
    <w:p w14:paraId="05761997" w14:textId="77777777" w:rsidR="00D04C52" w:rsidRPr="007A60C3" w:rsidRDefault="00D04C52" w:rsidP="00B46744">
      <w:pPr>
        <w:pStyle w:val="ListParagraph"/>
        <w:numPr>
          <w:ilvl w:val="0"/>
          <w:numId w:val="5"/>
        </w:numPr>
        <w:spacing w:after="120" w:line="240" w:lineRule="auto"/>
        <w:contextualSpacing w:val="0"/>
        <w:jc w:val="both"/>
        <w:rPr>
          <w:color w:val="000000" w:themeColor="text1"/>
        </w:rPr>
      </w:pPr>
      <w:r w:rsidRPr="007A60C3">
        <w:rPr>
          <w:color w:val="000000" w:themeColor="text1"/>
        </w:rPr>
        <w:t xml:space="preserve">During protocol writing, a list of potential confounding factors was identified </w:t>
      </w:r>
      <w:r w:rsidRPr="007A60C3">
        <w:rPr>
          <w:i/>
          <w:color w:val="000000" w:themeColor="text1"/>
        </w:rPr>
        <w:t xml:space="preserve">a priori </w:t>
      </w:r>
      <w:r w:rsidRPr="007A60C3">
        <w:rPr>
          <w:color w:val="000000" w:themeColor="text1"/>
        </w:rPr>
        <w:t>based on evidence and expert opinion from members of the rese</w:t>
      </w:r>
      <w:r>
        <w:rPr>
          <w:color w:val="000000" w:themeColor="text1"/>
        </w:rPr>
        <w:t>arch team and external advisors.</w:t>
      </w:r>
    </w:p>
    <w:p w14:paraId="1EC066F0" w14:textId="77777777" w:rsidR="00D04C52" w:rsidRPr="007A60C3" w:rsidRDefault="00D04C52" w:rsidP="00B46744">
      <w:pPr>
        <w:pStyle w:val="ListParagraph"/>
        <w:numPr>
          <w:ilvl w:val="0"/>
          <w:numId w:val="5"/>
        </w:numPr>
        <w:spacing w:after="120" w:line="240" w:lineRule="auto"/>
        <w:contextualSpacing w:val="0"/>
        <w:jc w:val="both"/>
        <w:rPr>
          <w:color w:val="000000" w:themeColor="text1"/>
        </w:rPr>
      </w:pPr>
      <w:r w:rsidRPr="007A60C3">
        <w:rPr>
          <w:color w:val="000000" w:themeColor="text1"/>
        </w:rPr>
        <w:t xml:space="preserve">During the systematic review process, the variables that individual study authors considered were recorded for additional </w:t>
      </w:r>
      <w:r w:rsidRPr="007A60C3">
        <w:rPr>
          <w:i/>
          <w:color w:val="000000" w:themeColor="text1"/>
        </w:rPr>
        <w:t xml:space="preserve">post hoc </w:t>
      </w:r>
      <w:r w:rsidRPr="007A60C3">
        <w:rPr>
          <w:color w:val="000000" w:themeColor="text1"/>
        </w:rPr>
        <w:t>consideration.</w:t>
      </w:r>
    </w:p>
    <w:p w14:paraId="5639B7B0" w14:textId="77777777" w:rsidR="00D04C52" w:rsidRDefault="00D04C52" w:rsidP="00B46744">
      <w:pPr>
        <w:spacing w:after="120" w:line="240" w:lineRule="auto"/>
        <w:jc w:val="both"/>
        <w:rPr>
          <w:color w:val="000000" w:themeColor="text1"/>
        </w:rPr>
      </w:pPr>
      <w:r>
        <w:rPr>
          <w:color w:val="000000" w:themeColor="text1"/>
        </w:rPr>
        <w:t>This review assessed empirical evidence that adequately controlled for confounding bias according to the pre-determined, three confounders (</w:t>
      </w:r>
      <w:r w:rsidRPr="007A60C3">
        <w:t xml:space="preserve">age, race/ethnicity, and </w:t>
      </w:r>
      <w:r>
        <w:t>gender</w:t>
      </w:r>
      <w:r>
        <w:rPr>
          <w:color w:val="000000" w:themeColor="text1"/>
        </w:rPr>
        <w:t xml:space="preserve">). </w:t>
      </w:r>
      <w:r w:rsidRPr="00142931">
        <w:rPr>
          <w:color w:val="000000" w:themeColor="text1"/>
        </w:rPr>
        <w:t xml:space="preserve">Studies that also adjusted for </w:t>
      </w:r>
      <w:r>
        <w:rPr>
          <w:color w:val="000000" w:themeColor="text1"/>
        </w:rPr>
        <w:t xml:space="preserve">additional potential </w:t>
      </w:r>
      <w:r w:rsidRPr="0024384E">
        <w:rPr>
          <w:i/>
          <w:color w:val="000000" w:themeColor="text1"/>
        </w:rPr>
        <w:t>meso</w:t>
      </w:r>
      <w:r w:rsidRPr="00142931">
        <w:rPr>
          <w:color w:val="000000" w:themeColor="text1"/>
        </w:rPr>
        <w:t xml:space="preserve">- (e.g., living with a smoker) or </w:t>
      </w:r>
      <w:r w:rsidRPr="0024384E">
        <w:rPr>
          <w:i/>
          <w:color w:val="000000" w:themeColor="text1"/>
        </w:rPr>
        <w:t>macro</w:t>
      </w:r>
      <w:r w:rsidRPr="00142931">
        <w:rPr>
          <w:color w:val="000000" w:themeColor="text1"/>
        </w:rPr>
        <w:t>-level factors (e.g., cigarette taxes) were flagged for inclusion in sensitivity analyses. Studies with potential overadjustment or adjustment for factors in the causal pathway were also flagged for further examination in sensitivity analyses</w:t>
      </w:r>
      <w:r>
        <w:rPr>
          <w:color w:val="000000" w:themeColor="text1"/>
        </w:rPr>
        <w:t>.</w:t>
      </w:r>
    </w:p>
    <w:p w14:paraId="7F48C51B" w14:textId="77777777" w:rsidR="00D04C52" w:rsidRPr="009E20A1" w:rsidRDefault="00D04C52" w:rsidP="00B46744">
      <w:pPr>
        <w:spacing w:before="240" w:after="120"/>
        <w:jc w:val="both"/>
        <w:rPr>
          <w:i/>
          <w:color w:val="000000" w:themeColor="text1"/>
          <w:u w:val="single"/>
        </w:rPr>
      </w:pPr>
      <w:r w:rsidRPr="009E20A1">
        <w:rPr>
          <w:i/>
          <w:color w:val="000000" w:themeColor="text1"/>
          <w:u w:val="single"/>
        </w:rPr>
        <w:t>Statistical Significance</w:t>
      </w:r>
    </w:p>
    <w:p w14:paraId="25BEABC6" w14:textId="77777777" w:rsidR="00D04C52" w:rsidRPr="00142931" w:rsidRDefault="00D04C52" w:rsidP="00B46744">
      <w:pPr>
        <w:spacing w:after="240" w:line="240" w:lineRule="auto"/>
        <w:jc w:val="both"/>
        <w:rPr>
          <w:color w:val="000000" w:themeColor="text1"/>
        </w:rPr>
      </w:pPr>
      <w:r w:rsidRPr="00142931">
        <w:rPr>
          <w:color w:val="000000" w:themeColor="text1"/>
        </w:rPr>
        <w:t xml:space="preserve">In this </w:t>
      </w:r>
      <w:r>
        <w:rPr>
          <w:color w:val="000000" w:themeColor="text1"/>
        </w:rPr>
        <w:t>review</w:t>
      </w:r>
      <w:r w:rsidRPr="00142931">
        <w:rPr>
          <w:color w:val="000000" w:themeColor="text1"/>
        </w:rPr>
        <w:t xml:space="preserve">, estimates of the difference between menthol and non-menthol smokers are presented with the best measure of precision (i.e., 95% </w:t>
      </w:r>
      <w:r>
        <w:rPr>
          <w:color w:val="000000" w:themeColor="text1"/>
        </w:rPr>
        <w:t>CI</w:t>
      </w:r>
      <w:r w:rsidRPr="00142931">
        <w:rPr>
          <w:color w:val="000000" w:themeColor="text1"/>
        </w:rPr>
        <w:t>) or statistical significance (i.e., p-value) reported in the included studies. The words “</w:t>
      </w:r>
      <w:r w:rsidRPr="001179BC">
        <w:rPr>
          <w:i/>
          <w:color w:val="000000" w:themeColor="text1"/>
        </w:rPr>
        <w:t>significant</w:t>
      </w:r>
      <w:r w:rsidRPr="00142931">
        <w:rPr>
          <w:color w:val="000000" w:themeColor="text1"/>
        </w:rPr>
        <w:t>” and “</w:t>
      </w:r>
      <w:r w:rsidRPr="001179BC">
        <w:rPr>
          <w:i/>
          <w:color w:val="000000" w:themeColor="text1"/>
        </w:rPr>
        <w:t>significantly</w:t>
      </w:r>
      <w:r w:rsidRPr="00142931">
        <w:rPr>
          <w:color w:val="000000" w:themeColor="text1"/>
        </w:rPr>
        <w:t xml:space="preserve">” are used herein to indicate </w:t>
      </w:r>
      <w:r w:rsidRPr="00142931">
        <w:rPr>
          <w:i/>
          <w:color w:val="000000" w:themeColor="text1"/>
        </w:rPr>
        <w:t>statistical</w:t>
      </w:r>
      <w:r w:rsidRPr="00142931">
        <w:rPr>
          <w:color w:val="000000" w:themeColor="text1"/>
        </w:rPr>
        <w:t xml:space="preserve"> significance (i.e., p&lt;0.05 and/or confidence interval excludes 1.0). An "increase" or "decrease" that is </w:t>
      </w:r>
      <w:r w:rsidRPr="00142931">
        <w:rPr>
          <w:i/>
          <w:color w:val="000000" w:themeColor="text1"/>
        </w:rPr>
        <w:t>not</w:t>
      </w:r>
      <w:r w:rsidRPr="00142931">
        <w:rPr>
          <w:color w:val="000000" w:themeColor="text1"/>
        </w:rPr>
        <w:t xml:space="preserve"> also described as "</w:t>
      </w:r>
      <w:r w:rsidRPr="009A4882">
        <w:rPr>
          <w:i/>
          <w:color w:val="000000" w:themeColor="text1"/>
        </w:rPr>
        <w:t>significant</w:t>
      </w:r>
      <w:r w:rsidRPr="00142931">
        <w:rPr>
          <w:color w:val="000000" w:themeColor="text1"/>
        </w:rPr>
        <w:t xml:space="preserve">" is either a non-statistically significant increase or decrease or statistical significance was not </w:t>
      </w:r>
      <w:r>
        <w:rPr>
          <w:color w:val="000000" w:themeColor="text1"/>
        </w:rPr>
        <w:t>reported</w:t>
      </w:r>
      <w:r w:rsidRPr="00142931">
        <w:rPr>
          <w:color w:val="000000" w:themeColor="text1"/>
        </w:rPr>
        <w:t xml:space="preserve"> in the data source.</w:t>
      </w:r>
    </w:p>
    <w:p w14:paraId="1ED09449" w14:textId="77777777" w:rsidR="00D04C52" w:rsidRDefault="00D04C52" w:rsidP="00B46744">
      <w:pPr>
        <w:pStyle w:val="ChapterHeading"/>
        <w:rPr>
          <w:color w:val="000000" w:themeColor="text1"/>
        </w:rPr>
        <w:sectPr w:rsidR="00D04C52" w:rsidSect="00B46744">
          <w:pgSz w:w="12240" w:h="15840"/>
          <w:pgMar w:top="1440" w:right="1440" w:bottom="1440" w:left="1440" w:header="720" w:footer="720" w:gutter="0"/>
          <w:cols w:space="720"/>
          <w:docGrid w:linePitch="360"/>
        </w:sectPr>
      </w:pPr>
    </w:p>
    <w:p w14:paraId="42D587B1" w14:textId="77777777" w:rsidR="00D04C52" w:rsidRDefault="00D04C52" w:rsidP="00EA69AA">
      <w:pPr>
        <w:pStyle w:val="ChapterHeading"/>
        <w:outlineLvl w:val="1"/>
        <w:rPr>
          <w:rFonts w:asciiTheme="minorHAnsi" w:hAnsiTheme="minorHAnsi"/>
          <w:color w:val="000000" w:themeColor="text1"/>
          <w:sz w:val="22"/>
          <w:szCs w:val="22"/>
        </w:rPr>
      </w:pPr>
      <w:r>
        <w:rPr>
          <w:rFonts w:asciiTheme="minorHAnsi" w:hAnsiTheme="minorHAnsi"/>
          <w:color w:val="000000" w:themeColor="text1"/>
          <w:sz w:val="22"/>
          <w:szCs w:val="22"/>
        </w:rPr>
        <w:lastRenderedPageBreak/>
        <w:t xml:space="preserve">TABLE </w:t>
      </w:r>
      <w:r w:rsidR="00B44564">
        <w:rPr>
          <w:rFonts w:asciiTheme="minorHAnsi" w:hAnsiTheme="minorHAnsi"/>
          <w:color w:val="000000" w:themeColor="text1"/>
          <w:sz w:val="22"/>
          <w:szCs w:val="22"/>
        </w:rPr>
        <w:t>1</w:t>
      </w:r>
      <w:r w:rsidR="00C82C02">
        <w:rPr>
          <w:rFonts w:asciiTheme="minorHAnsi" w:hAnsiTheme="minorHAnsi"/>
          <w:color w:val="000000" w:themeColor="text1"/>
          <w:sz w:val="22"/>
          <w:szCs w:val="22"/>
        </w:rPr>
        <w:t>2</w:t>
      </w:r>
      <w:r>
        <w:rPr>
          <w:rFonts w:asciiTheme="minorHAnsi" w:hAnsiTheme="minorHAnsi"/>
          <w:color w:val="000000" w:themeColor="text1"/>
          <w:sz w:val="22"/>
          <w:szCs w:val="22"/>
        </w:rPr>
        <w:t>-1: Downs and Black Checklist</w:t>
      </w:r>
    </w:p>
    <w:tbl>
      <w:tblPr>
        <w:tblStyle w:val="TableGrid"/>
        <w:tblW w:w="0" w:type="auto"/>
        <w:tblLayout w:type="fixed"/>
        <w:tblLook w:val="04A0" w:firstRow="1" w:lastRow="0" w:firstColumn="1" w:lastColumn="0" w:noHBand="0" w:noVBand="1"/>
      </w:tblPr>
      <w:tblGrid>
        <w:gridCol w:w="1075"/>
        <w:gridCol w:w="2250"/>
        <w:gridCol w:w="630"/>
        <w:gridCol w:w="900"/>
        <w:gridCol w:w="540"/>
        <w:gridCol w:w="90"/>
        <w:gridCol w:w="990"/>
        <w:gridCol w:w="3960"/>
        <w:gridCol w:w="2515"/>
      </w:tblGrid>
      <w:tr w:rsidR="00D04C52" w:rsidRPr="00FF7DEA" w14:paraId="11B71007" w14:textId="77777777" w:rsidTr="00752960">
        <w:trPr>
          <w:cantSplit/>
          <w:trHeight w:val="1140"/>
          <w:tblHeader/>
        </w:trPr>
        <w:tc>
          <w:tcPr>
            <w:tcW w:w="1075" w:type="dxa"/>
            <w:shd w:val="clear" w:color="auto" w:fill="8496B0" w:themeFill="text2" w:themeFillTint="99"/>
            <w:vAlign w:val="center"/>
            <w:hideMark/>
          </w:tcPr>
          <w:p w14:paraId="14C35C9B" w14:textId="77777777" w:rsidR="00D04C52" w:rsidRPr="00FF7DEA" w:rsidRDefault="00D04C52" w:rsidP="00B46744">
            <w:pPr>
              <w:jc w:val="center"/>
              <w:rPr>
                <w:b/>
                <w:bCs/>
                <w:sz w:val="18"/>
                <w:szCs w:val="18"/>
              </w:rPr>
            </w:pPr>
            <w:r w:rsidRPr="00FF7DEA">
              <w:rPr>
                <w:b/>
                <w:bCs/>
                <w:sz w:val="18"/>
                <w:szCs w:val="18"/>
              </w:rPr>
              <w:t>Question Number</w:t>
            </w:r>
          </w:p>
        </w:tc>
        <w:tc>
          <w:tcPr>
            <w:tcW w:w="2250" w:type="dxa"/>
            <w:shd w:val="clear" w:color="auto" w:fill="8496B0" w:themeFill="text2" w:themeFillTint="99"/>
            <w:noWrap/>
            <w:vAlign w:val="center"/>
            <w:hideMark/>
          </w:tcPr>
          <w:p w14:paraId="25C46ED7" w14:textId="77777777" w:rsidR="00D04C52" w:rsidRPr="00FF7DEA" w:rsidRDefault="00D04C52" w:rsidP="00B46744">
            <w:pPr>
              <w:jc w:val="center"/>
              <w:rPr>
                <w:b/>
                <w:bCs/>
                <w:sz w:val="18"/>
                <w:szCs w:val="18"/>
              </w:rPr>
            </w:pPr>
            <w:r w:rsidRPr="00FF7DEA">
              <w:rPr>
                <w:b/>
                <w:bCs/>
                <w:sz w:val="18"/>
                <w:szCs w:val="18"/>
              </w:rPr>
              <w:t>Questions</w:t>
            </w:r>
          </w:p>
        </w:tc>
        <w:tc>
          <w:tcPr>
            <w:tcW w:w="630" w:type="dxa"/>
            <w:shd w:val="clear" w:color="auto" w:fill="8496B0" w:themeFill="text2" w:themeFillTint="99"/>
            <w:noWrap/>
            <w:vAlign w:val="center"/>
            <w:hideMark/>
          </w:tcPr>
          <w:p w14:paraId="7BDD0159" w14:textId="77777777" w:rsidR="00D04C52" w:rsidRPr="00FF7DEA" w:rsidRDefault="00D04C52" w:rsidP="00B46744">
            <w:pPr>
              <w:jc w:val="center"/>
              <w:rPr>
                <w:b/>
                <w:bCs/>
                <w:sz w:val="18"/>
                <w:szCs w:val="18"/>
              </w:rPr>
            </w:pPr>
            <w:r w:rsidRPr="00FF7DEA">
              <w:rPr>
                <w:b/>
                <w:bCs/>
                <w:sz w:val="18"/>
                <w:szCs w:val="18"/>
              </w:rPr>
              <w:t>Yes</w:t>
            </w:r>
          </w:p>
        </w:tc>
        <w:tc>
          <w:tcPr>
            <w:tcW w:w="900" w:type="dxa"/>
            <w:shd w:val="clear" w:color="auto" w:fill="8496B0" w:themeFill="text2" w:themeFillTint="99"/>
            <w:noWrap/>
            <w:vAlign w:val="center"/>
            <w:hideMark/>
          </w:tcPr>
          <w:p w14:paraId="6889ABF7" w14:textId="77777777" w:rsidR="00D04C52" w:rsidRPr="00FF7DEA" w:rsidRDefault="00D04C52" w:rsidP="00B46744">
            <w:pPr>
              <w:jc w:val="center"/>
              <w:rPr>
                <w:b/>
                <w:bCs/>
                <w:sz w:val="18"/>
                <w:szCs w:val="18"/>
              </w:rPr>
            </w:pPr>
            <w:r w:rsidRPr="00FF7DEA">
              <w:rPr>
                <w:b/>
                <w:bCs/>
                <w:sz w:val="18"/>
                <w:szCs w:val="18"/>
              </w:rPr>
              <w:t>Partially</w:t>
            </w:r>
          </w:p>
        </w:tc>
        <w:tc>
          <w:tcPr>
            <w:tcW w:w="540" w:type="dxa"/>
            <w:shd w:val="clear" w:color="auto" w:fill="8496B0" w:themeFill="text2" w:themeFillTint="99"/>
            <w:noWrap/>
            <w:vAlign w:val="center"/>
            <w:hideMark/>
          </w:tcPr>
          <w:p w14:paraId="04970DA8" w14:textId="77777777" w:rsidR="00D04C52" w:rsidRPr="00FF7DEA" w:rsidRDefault="00D04C52" w:rsidP="00B46744">
            <w:pPr>
              <w:jc w:val="center"/>
              <w:rPr>
                <w:b/>
                <w:bCs/>
                <w:sz w:val="18"/>
                <w:szCs w:val="18"/>
              </w:rPr>
            </w:pPr>
            <w:r w:rsidRPr="00FF7DEA">
              <w:rPr>
                <w:b/>
                <w:bCs/>
                <w:sz w:val="18"/>
                <w:szCs w:val="18"/>
              </w:rPr>
              <w:t>No</w:t>
            </w:r>
          </w:p>
        </w:tc>
        <w:tc>
          <w:tcPr>
            <w:tcW w:w="1080" w:type="dxa"/>
            <w:gridSpan w:val="2"/>
            <w:shd w:val="clear" w:color="auto" w:fill="8496B0" w:themeFill="text2" w:themeFillTint="99"/>
            <w:vAlign w:val="center"/>
            <w:hideMark/>
          </w:tcPr>
          <w:p w14:paraId="31F3A13A" w14:textId="77777777" w:rsidR="00D04C52" w:rsidRPr="00FF7DEA" w:rsidRDefault="00D04C52" w:rsidP="00B46744">
            <w:pPr>
              <w:jc w:val="center"/>
              <w:rPr>
                <w:b/>
                <w:bCs/>
                <w:sz w:val="18"/>
                <w:szCs w:val="18"/>
              </w:rPr>
            </w:pPr>
            <w:r w:rsidRPr="00FF7DEA">
              <w:rPr>
                <w:b/>
                <w:bCs/>
                <w:sz w:val="18"/>
                <w:szCs w:val="18"/>
              </w:rPr>
              <w:t>Unable to determine</w:t>
            </w:r>
          </w:p>
        </w:tc>
        <w:tc>
          <w:tcPr>
            <w:tcW w:w="3960" w:type="dxa"/>
            <w:shd w:val="clear" w:color="auto" w:fill="8496B0" w:themeFill="text2" w:themeFillTint="99"/>
            <w:noWrap/>
            <w:vAlign w:val="center"/>
            <w:hideMark/>
          </w:tcPr>
          <w:p w14:paraId="6A7CF493" w14:textId="77777777" w:rsidR="00D04C52" w:rsidRPr="00FF7DEA" w:rsidRDefault="00D04C52" w:rsidP="00B46744">
            <w:pPr>
              <w:jc w:val="center"/>
              <w:rPr>
                <w:b/>
                <w:bCs/>
                <w:sz w:val="18"/>
                <w:szCs w:val="18"/>
              </w:rPr>
            </w:pPr>
            <w:r w:rsidRPr="00FF7DEA">
              <w:rPr>
                <w:b/>
                <w:bCs/>
                <w:sz w:val="18"/>
                <w:szCs w:val="18"/>
              </w:rPr>
              <w:t>Clarifying Questions / Comments</w:t>
            </w:r>
          </w:p>
        </w:tc>
        <w:tc>
          <w:tcPr>
            <w:tcW w:w="2515" w:type="dxa"/>
            <w:shd w:val="clear" w:color="auto" w:fill="8496B0" w:themeFill="text2" w:themeFillTint="99"/>
            <w:noWrap/>
            <w:vAlign w:val="center"/>
            <w:hideMark/>
          </w:tcPr>
          <w:p w14:paraId="56BFA8AE" w14:textId="77777777" w:rsidR="00D04C52" w:rsidRPr="00FF7DEA" w:rsidRDefault="00D04C52" w:rsidP="00B46744">
            <w:pPr>
              <w:jc w:val="center"/>
              <w:rPr>
                <w:b/>
                <w:bCs/>
                <w:sz w:val="18"/>
                <w:szCs w:val="18"/>
              </w:rPr>
            </w:pPr>
            <w:r w:rsidRPr="00FF7DEA">
              <w:rPr>
                <w:b/>
                <w:bCs/>
                <w:sz w:val="18"/>
                <w:szCs w:val="18"/>
              </w:rPr>
              <w:t>Study-Specific Notes</w:t>
            </w:r>
          </w:p>
        </w:tc>
      </w:tr>
      <w:tr w:rsidR="00D04C52" w:rsidRPr="00FF7DEA" w14:paraId="195A3F40" w14:textId="77777777" w:rsidTr="00B46744">
        <w:trPr>
          <w:trHeight w:val="672"/>
        </w:trPr>
        <w:tc>
          <w:tcPr>
            <w:tcW w:w="1075" w:type="dxa"/>
            <w:noWrap/>
            <w:hideMark/>
          </w:tcPr>
          <w:p w14:paraId="36EE96D7" w14:textId="77777777" w:rsidR="00D04C52" w:rsidRPr="00FF7DEA" w:rsidRDefault="00D04C52" w:rsidP="00B46744">
            <w:pPr>
              <w:rPr>
                <w:b/>
                <w:bCs/>
                <w:sz w:val="18"/>
                <w:szCs w:val="18"/>
              </w:rPr>
            </w:pPr>
            <w:r w:rsidRPr="00FF7DEA">
              <w:rPr>
                <w:b/>
                <w:bCs/>
                <w:sz w:val="18"/>
                <w:szCs w:val="18"/>
              </w:rPr>
              <w:t>Q1</w:t>
            </w:r>
          </w:p>
        </w:tc>
        <w:tc>
          <w:tcPr>
            <w:tcW w:w="2250" w:type="dxa"/>
            <w:hideMark/>
          </w:tcPr>
          <w:p w14:paraId="7A1D75B7" w14:textId="77777777" w:rsidR="00D04C52" w:rsidRPr="00FF7DEA" w:rsidRDefault="00D04C52" w:rsidP="00B46744">
            <w:pPr>
              <w:rPr>
                <w:b/>
                <w:bCs/>
                <w:sz w:val="18"/>
                <w:szCs w:val="18"/>
              </w:rPr>
            </w:pPr>
            <w:r w:rsidRPr="00FF7DEA">
              <w:rPr>
                <w:b/>
                <w:bCs/>
                <w:sz w:val="18"/>
                <w:szCs w:val="18"/>
              </w:rPr>
              <w:t>Is the hypothesis/aim/</w:t>
            </w:r>
            <w:r w:rsidRPr="00FF7DEA">
              <w:rPr>
                <w:b/>
                <w:bCs/>
                <w:sz w:val="18"/>
                <w:szCs w:val="18"/>
              </w:rPr>
              <w:br/>
              <w:t>objective of the study clearly described?</w:t>
            </w:r>
          </w:p>
        </w:tc>
        <w:tc>
          <w:tcPr>
            <w:tcW w:w="630" w:type="dxa"/>
            <w:noWrap/>
            <w:hideMark/>
          </w:tcPr>
          <w:p w14:paraId="5739F5D9" w14:textId="77777777" w:rsidR="00D04C52" w:rsidRPr="00FF7DEA" w:rsidRDefault="00D04C52" w:rsidP="00B46744">
            <w:pPr>
              <w:rPr>
                <w:sz w:val="18"/>
                <w:szCs w:val="18"/>
              </w:rPr>
            </w:pPr>
            <w:r w:rsidRPr="00FF7DEA">
              <w:rPr>
                <w:sz w:val="18"/>
                <w:szCs w:val="18"/>
              </w:rPr>
              <w:t>1</w:t>
            </w:r>
          </w:p>
        </w:tc>
        <w:tc>
          <w:tcPr>
            <w:tcW w:w="900" w:type="dxa"/>
            <w:noWrap/>
            <w:hideMark/>
          </w:tcPr>
          <w:p w14:paraId="65997626" w14:textId="77777777" w:rsidR="00D04C52" w:rsidRPr="00FF7DEA" w:rsidRDefault="00D04C52" w:rsidP="00B46744">
            <w:pPr>
              <w:rPr>
                <w:sz w:val="18"/>
                <w:szCs w:val="18"/>
              </w:rPr>
            </w:pPr>
          </w:p>
        </w:tc>
        <w:tc>
          <w:tcPr>
            <w:tcW w:w="630" w:type="dxa"/>
            <w:gridSpan w:val="2"/>
            <w:noWrap/>
            <w:hideMark/>
          </w:tcPr>
          <w:p w14:paraId="4B56745C" w14:textId="77777777" w:rsidR="00D04C52" w:rsidRPr="00FF7DEA" w:rsidRDefault="00D04C52" w:rsidP="00B46744">
            <w:pPr>
              <w:rPr>
                <w:sz w:val="18"/>
                <w:szCs w:val="18"/>
              </w:rPr>
            </w:pPr>
            <w:r w:rsidRPr="00FF7DEA">
              <w:rPr>
                <w:sz w:val="18"/>
                <w:szCs w:val="18"/>
              </w:rPr>
              <w:t>0</w:t>
            </w:r>
          </w:p>
        </w:tc>
        <w:tc>
          <w:tcPr>
            <w:tcW w:w="990" w:type="dxa"/>
            <w:noWrap/>
            <w:hideMark/>
          </w:tcPr>
          <w:p w14:paraId="4EBABE1E" w14:textId="77777777" w:rsidR="00D04C52" w:rsidRPr="00FF7DEA" w:rsidRDefault="00D04C52" w:rsidP="00B46744">
            <w:pPr>
              <w:rPr>
                <w:sz w:val="18"/>
                <w:szCs w:val="18"/>
              </w:rPr>
            </w:pPr>
          </w:p>
        </w:tc>
        <w:tc>
          <w:tcPr>
            <w:tcW w:w="3960" w:type="dxa"/>
            <w:noWrap/>
            <w:hideMark/>
          </w:tcPr>
          <w:p w14:paraId="6D1C76C9" w14:textId="77777777" w:rsidR="00D04C52" w:rsidRPr="00FF7DEA" w:rsidRDefault="00D04C52" w:rsidP="00B46744">
            <w:pPr>
              <w:rPr>
                <w:sz w:val="18"/>
                <w:szCs w:val="18"/>
              </w:rPr>
            </w:pPr>
            <w:r w:rsidRPr="00FF7DEA">
              <w:rPr>
                <w:sz w:val="18"/>
                <w:szCs w:val="18"/>
              </w:rPr>
              <w:t>Usually listed in last paragraph of Introduction, or abstract.</w:t>
            </w:r>
          </w:p>
        </w:tc>
        <w:tc>
          <w:tcPr>
            <w:tcW w:w="2515" w:type="dxa"/>
            <w:noWrap/>
            <w:hideMark/>
          </w:tcPr>
          <w:p w14:paraId="780600D1" w14:textId="77777777" w:rsidR="00D04C52" w:rsidRPr="00FF7DEA" w:rsidRDefault="00D04C52" w:rsidP="00B46744">
            <w:pPr>
              <w:rPr>
                <w:sz w:val="18"/>
                <w:szCs w:val="18"/>
              </w:rPr>
            </w:pPr>
          </w:p>
        </w:tc>
      </w:tr>
      <w:tr w:rsidR="00D04C52" w:rsidRPr="00FF7DEA" w14:paraId="7526A4C8" w14:textId="77777777" w:rsidTr="00B46744">
        <w:trPr>
          <w:trHeight w:val="1058"/>
        </w:trPr>
        <w:tc>
          <w:tcPr>
            <w:tcW w:w="1075" w:type="dxa"/>
            <w:noWrap/>
            <w:hideMark/>
          </w:tcPr>
          <w:p w14:paraId="36392E53" w14:textId="77777777" w:rsidR="00D04C52" w:rsidRPr="00FF7DEA" w:rsidRDefault="00D04C52" w:rsidP="00B46744">
            <w:pPr>
              <w:rPr>
                <w:b/>
                <w:bCs/>
                <w:sz w:val="18"/>
                <w:szCs w:val="18"/>
              </w:rPr>
            </w:pPr>
            <w:r w:rsidRPr="00FF7DEA">
              <w:rPr>
                <w:b/>
                <w:bCs/>
                <w:sz w:val="18"/>
                <w:szCs w:val="18"/>
              </w:rPr>
              <w:t>Q2</w:t>
            </w:r>
          </w:p>
        </w:tc>
        <w:tc>
          <w:tcPr>
            <w:tcW w:w="2250" w:type="dxa"/>
            <w:hideMark/>
          </w:tcPr>
          <w:p w14:paraId="4AB30935" w14:textId="77777777" w:rsidR="00D04C52" w:rsidRPr="00FF7DEA" w:rsidRDefault="00D04C52" w:rsidP="00B46744">
            <w:pPr>
              <w:rPr>
                <w:b/>
                <w:bCs/>
                <w:sz w:val="18"/>
                <w:szCs w:val="18"/>
              </w:rPr>
            </w:pPr>
            <w:r w:rsidRPr="00FF7DEA">
              <w:rPr>
                <w:b/>
                <w:bCs/>
                <w:sz w:val="18"/>
                <w:szCs w:val="18"/>
              </w:rPr>
              <w:t>Are the main outcomes to be measured clearly described in the Introduction or Methods section?</w:t>
            </w:r>
          </w:p>
        </w:tc>
        <w:tc>
          <w:tcPr>
            <w:tcW w:w="630" w:type="dxa"/>
            <w:noWrap/>
            <w:hideMark/>
          </w:tcPr>
          <w:p w14:paraId="5175150A" w14:textId="77777777" w:rsidR="00D04C52" w:rsidRPr="00FF7DEA" w:rsidRDefault="00D04C52" w:rsidP="00B46744">
            <w:pPr>
              <w:rPr>
                <w:sz w:val="18"/>
                <w:szCs w:val="18"/>
              </w:rPr>
            </w:pPr>
            <w:r w:rsidRPr="00FF7DEA">
              <w:rPr>
                <w:sz w:val="18"/>
                <w:szCs w:val="18"/>
              </w:rPr>
              <w:t>1</w:t>
            </w:r>
          </w:p>
        </w:tc>
        <w:tc>
          <w:tcPr>
            <w:tcW w:w="900" w:type="dxa"/>
            <w:noWrap/>
            <w:hideMark/>
          </w:tcPr>
          <w:p w14:paraId="13B4F1DC" w14:textId="77777777" w:rsidR="00D04C52" w:rsidRPr="00FF7DEA" w:rsidRDefault="00D04C52" w:rsidP="00B46744">
            <w:pPr>
              <w:rPr>
                <w:sz w:val="18"/>
                <w:szCs w:val="18"/>
              </w:rPr>
            </w:pPr>
          </w:p>
        </w:tc>
        <w:tc>
          <w:tcPr>
            <w:tcW w:w="630" w:type="dxa"/>
            <w:gridSpan w:val="2"/>
            <w:noWrap/>
            <w:hideMark/>
          </w:tcPr>
          <w:p w14:paraId="1FAF3481" w14:textId="77777777" w:rsidR="00D04C52" w:rsidRPr="00FF7DEA" w:rsidRDefault="00D04C52" w:rsidP="00B46744">
            <w:pPr>
              <w:rPr>
                <w:sz w:val="18"/>
                <w:szCs w:val="18"/>
              </w:rPr>
            </w:pPr>
            <w:r w:rsidRPr="00FF7DEA">
              <w:rPr>
                <w:sz w:val="18"/>
                <w:szCs w:val="18"/>
              </w:rPr>
              <w:t>0</w:t>
            </w:r>
          </w:p>
        </w:tc>
        <w:tc>
          <w:tcPr>
            <w:tcW w:w="990" w:type="dxa"/>
            <w:noWrap/>
            <w:hideMark/>
          </w:tcPr>
          <w:p w14:paraId="1F7DF974" w14:textId="77777777" w:rsidR="00D04C52" w:rsidRPr="00FF7DEA" w:rsidRDefault="00D04C52" w:rsidP="00B46744">
            <w:pPr>
              <w:rPr>
                <w:sz w:val="18"/>
                <w:szCs w:val="18"/>
              </w:rPr>
            </w:pPr>
          </w:p>
        </w:tc>
        <w:tc>
          <w:tcPr>
            <w:tcW w:w="3960" w:type="dxa"/>
            <w:hideMark/>
          </w:tcPr>
          <w:p w14:paraId="3ED7A0A5" w14:textId="77777777" w:rsidR="00D04C52" w:rsidRPr="00FF7DEA" w:rsidRDefault="00D04C52" w:rsidP="00B46744">
            <w:pPr>
              <w:rPr>
                <w:sz w:val="18"/>
                <w:szCs w:val="18"/>
              </w:rPr>
            </w:pPr>
            <w:r w:rsidRPr="00FF7DEA">
              <w:rPr>
                <w:sz w:val="18"/>
                <w:szCs w:val="18"/>
              </w:rPr>
              <w:t>If the main outcomes are first mentioned in the Results section, the question should be answered no.</w:t>
            </w:r>
          </w:p>
        </w:tc>
        <w:tc>
          <w:tcPr>
            <w:tcW w:w="2515" w:type="dxa"/>
            <w:noWrap/>
            <w:hideMark/>
          </w:tcPr>
          <w:p w14:paraId="713ABB0C" w14:textId="77777777" w:rsidR="00D04C52" w:rsidRPr="00FF7DEA" w:rsidRDefault="00D04C52" w:rsidP="00B46744">
            <w:pPr>
              <w:rPr>
                <w:sz w:val="18"/>
                <w:szCs w:val="18"/>
              </w:rPr>
            </w:pPr>
          </w:p>
        </w:tc>
      </w:tr>
      <w:tr w:rsidR="00D04C52" w:rsidRPr="00FF7DEA" w14:paraId="7B04EBEC" w14:textId="77777777" w:rsidTr="00B46744">
        <w:trPr>
          <w:trHeight w:val="1260"/>
        </w:trPr>
        <w:tc>
          <w:tcPr>
            <w:tcW w:w="1075" w:type="dxa"/>
            <w:noWrap/>
            <w:hideMark/>
          </w:tcPr>
          <w:p w14:paraId="668C7C5F" w14:textId="77777777" w:rsidR="00D04C52" w:rsidRPr="00FF7DEA" w:rsidRDefault="00D04C52" w:rsidP="00B46744">
            <w:pPr>
              <w:rPr>
                <w:b/>
                <w:bCs/>
                <w:sz w:val="18"/>
                <w:szCs w:val="18"/>
              </w:rPr>
            </w:pPr>
            <w:r w:rsidRPr="00FF7DEA">
              <w:rPr>
                <w:b/>
                <w:bCs/>
                <w:sz w:val="18"/>
                <w:szCs w:val="18"/>
              </w:rPr>
              <w:t>Q3</w:t>
            </w:r>
          </w:p>
        </w:tc>
        <w:tc>
          <w:tcPr>
            <w:tcW w:w="2250" w:type="dxa"/>
            <w:hideMark/>
          </w:tcPr>
          <w:p w14:paraId="368C421F" w14:textId="77777777" w:rsidR="00D04C52" w:rsidRPr="00FF7DEA" w:rsidRDefault="00D04C52" w:rsidP="00B46744">
            <w:pPr>
              <w:rPr>
                <w:b/>
                <w:bCs/>
                <w:sz w:val="18"/>
                <w:szCs w:val="18"/>
              </w:rPr>
            </w:pPr>
            <w:r w:rsidRPr="00FF7DEA">
              <w:rPr>
                <w:b/>
                <w:bCs/>
                <w:sz w:val="18"/>
                <w:szCs w:val="18"/>
              </w:rPr>
              <w:t>Are the characteristics of the patients included in the study clearly described?</w:t>
            </w:r>
          </w:p>
        </w:tc>
        <w:tc>
          <w:tcPr>
            <w:tcW w:w="630" w:type="dxa"/>
            <w:noWrap/>
            <w:hideMark/>
          </w:tcPr>
          <w:p w14:paraId="3DD17189" w14:textId="77777777" w:rsidR="00D04C52" w:rsidRPr="00FF7DEA" w:rsidRDefault="00D04C52" w:rsidP="00B46744">
            <w:pPr>
              <w:rPr>
                <w:sz w:val="18"/>
                <w:szCs w:val="18"/>
              </w:rPr>
            </w:pPr>
            <w:r w:rsidRPr="00FF7DEA">
              <w:rPr>
                <w:sz w:val="18"/>
                <w:szCs w:val="18"/>
              </w:rPr>
              <w:t>1</w:t>
            </w:r>
          </w:p>
        </w:tc>
        <w:tc>
          <w:tcPr>
            <w:tcW w:w="900" w:type="dxa"/>
            <w:noWrap/>
            <w:hideMark/>
          </w:tcPr>
          <w:p w14:paraId="26FD592E" w14:textId="77777777" w:rsidR="00D04C52" w:rsidRPr="00FF7DEA" w:rsidRDefault="00D04C52" w:rsidP="00B46744">
            <w:pPr>
              <w:rPr>
                <w:sz w:val="18"/>
                <w:szCs w:val="18"/>
              </w:rPr>
            </w:pPr>
          </w:p>
        </w:tc>
        <w:tc>
          <w:tcPr>
            <w:tcW w:w="630" w:type="dxa"/>
            <w:gridSpan w:val="2"/>
            <w:noWrap/>
            <w:hideMark/>
          </w:tcPr>
          <w:p w14:paraId="60530D54" w14:textId="77777777" w:rsidR="00D04C52" w:rsidRPr="00FF7DEA" w:rsidRDefault="00D04C52" w:rsidP="00B46744">
            <w:pPr>
              <w:rPr>
                <w:sz w:val="18"/>
                <w:szCs w:val="18"/>
              </w:rPr>
            </w:pPr>
            <w:r w:rsidRPr="00FF7DEA">
              <w:rPr>
                <w:sz w:val="18"/>
                <w:szCs w:val="18"/>
              </w:rPr>
              <w:t>0</w:t>
            </w:r>
          </w:p>
        </w:tc>
        <w:tc>
          <w:tcPr>
            <w:tcW w:w="990" w:type="dxa"/>
            <w:noWrap/>
            <w:hideMark/>
          </w:tcPr>
          <w:p w14:paraId="6D3344A0" w14:textId="77777777" w:rsidR="00D04C52" w:rsidRPr="00FF7DEA" w:rsidRDefault="00D04C52" w:rsidP="00B46744">
            <w:pPr>
              <w:rPr>
                <w:sz w:val="18"/>
                <w:szCs w:val="18"/>
              </w:rPr>
            </w:pPr>
          </w:p>
        </w:tc>
        <w:tc>
          <w:tcPr>
            <w:tcW w:w="3960" w:type="dxa"/>
            <w:hideMark/>
          </w:tcPr>
          <w:p w14:paraId="62DCAAA7" w14:textId="77777777" w:rsidR="00D04C52" w:rsidRPr="00FF7DEA" w:rsidRDefault="00D04C52" w:rsidP="00B46744">
            <w:pPr>
              <w:rPr>
                <w:sz w:val="18"/>
                <w:szCs w:val="18"/>
              </w:rPr>
            </w:pPr>
            <w:r w:rsidRPr="00FF7DEA">
              <w:rPr>
                <w:sz w:val="18"/>
                <w:szCs w:val="18"/>
              </w:rPr>
              <w:t>In cohort studies and trials, inclusion and/or exclusion criteria should be given. In case-control studies, a case-definition and the source for controls should be given. Description of where cases are from and a breakdown of participant characteristics is given.</w:t>
            </w:r>
          </w:p>
        </w:tc>
        <w:tc>
          <w:tcPr>
            <w:tcW w:w="2515" w:type="dxa"/>
            <w:noWrap/>
            <w:hideMark/>
          </w:tcPr>
          <w:p w14:paraId="468BC4AD" w14:textId="77777777" w:rsidR="00D04C52" w:rsidRPr="00FF7DEA" w:rsidRDefault="00D04C52" w:rsidP="00B46744">
            <w:pPr>
              <w:rPr>
                <w:sz w:val="18"/>
                <w:szCs w:val="18"/>
              </w:rPr>
            </w:pPr>
          </w:p>
        </w:tc>
      </w:tr>
      <w:tr w:rsidR="00D04C52" w:rsidRPr="00FF7DEA" w14:paraId="6781673F" w14:textId="77777777" w:rsidTr="00B46744">
        <w:trPr>
          <w:trHeight w:val="1200"/>
        </w:trPr>
        <w:tc>
          <w:tcPr>
            <w:tcW w:w="1075" w:type="dxa"/>
            <w:noWrap/>
            <w:hideMark/>
          </w:tcPr>
          <w:p w14:paraId="06DBBD17" w14:textId="77777777" w:rsidR="00D04C52" w:rsidRPr="00FF7DEA" w:rsidRDefault="00D04C52" w:rsidP="00B46744">
            <w:pPr>
              <w:rPr>
                <w:b/>
                <w:bCs/>
                <w:sz w:val="18"/>
                <w:szCs w:val="18"/>
              </w:rPr>
            </w:pPr>
            <w:r w:rsidRPr="00FF7DEA">
              <w:rPr>
                <w:b/>
                <w:bCs/>
                <w:sz w:val="18"/>
                <w:szCs w:val="18"/>
              </w:rPr>
              <w:t>Q4</w:t>
            </w:r>
          </w:p>
        </w:tc>
        <w:tc>
          <w:tcPr>
            <w:tcW w:w="2250" w:type="dxa"/>
            <w:hideMark/>
          </w:tcPr>
          <w:p w14:paraId="36F1D4AD" w14:textId="77777777" w:rsidR="00D04C52" w:rsidRPr="00FF7DEA" w:rsidRDefault="00D04C52" w:rsidP="00B46744">
            <w:pPr>
              <w:rPr>
                <w:b/>
                <w:bCs/>
                <w:sz w:val="18"/>
                <w:szCs w:val="18"/>
              </w:rPr>
            </w:pPr>
            <w:r w:rsidRPr="00FF7DEA">
              <w:rPr>
                <w:b/>
                <w:bCs/>
                <w:sz w:val="18"/>
                <w:szCs w:val="18"/>
              </w:rPr>
              <w:t>Are the interventions of interest clearly described?</w:t>
            </w:r>
          </w:p>
        </w:tc>
        <w:tc>
          <w:tcPr>
            <w:tcW w:w="630" w:type="dxa"/>
            <w:noWrap/>
            <w:hideMark/>
          </w:tcPr>
          <w:p w14:paraId="7678C8F6" w14:textId="77777777" w:rsidR="00D04C52" w:rsidRPr="00FF7DEA" w:rsidRDefault="00D04C52" w:rsidP="00B46744">
            <w:pPr>
              <w:rPr>
                <w:b/>
                <w:bCs/>
                <w:sz w:val="18"/>
                <w:szCs w:val="18"/>
              </w:rPr>
            </w:pPr>
          </w:p>
        </w:tc>
        <w:tc>
          <w:tcPr>
            <w:tcW w:w="900" w:type="dxa"/>
            <w:noWrap/>
            <w:hideMark/>
          </w:tcPr>
          <w:p w14:paraId="12C27696" w14:textId="77777777" w:rsidR="00D04C52" w:rsidRPr="00FF7DEA" w:rsidRDefault="00D04C52" w:rsidP="00B46744">
            <w:pPr>
              <w:rPr>
                <w:sz w:val="18"/>
                <w:szCs w:val="18"/>
              </w:rPr>
            </w:pPr>
          </w:p>
        </w:tc>
        <w:tc>
          <w:tcPr>
            <w:tcW w:w="630" w:type="dxa"/>
            <w:gridSpan w:val="2"/>
            <w:noWrap/>
            <w:hideMark/>
          </w:tcPr>
          <w:p w14:paraId="494C1DA7" w14:textId="77777777" w:rsidR="00D04C52" w:rsidRPr="00FF7DEA" w:rsidRDefault="00D04C52" w:rsidP="00B46744">
            <w:pPr>
              <w:rPr>
                <w:sz w:val="18"/>
                <w:szCs w:val="18"/>
              </w:rPr>
            </w:pPr>
          </w:p>
        </w:tc>
        <w:tc>
          <w:tcPr>
            <w:tcW w:w="990" w:type="dxa"/>
            <w:noWrap/>
            <w:hideMark/>
          </w:tcPr>
          <w:p w14:paraId="081A5C40" w14:textId="77777777" w:rsidR="00D04C52" w:rsidRPr="00FF7DEA" w:rsidRDefault="00D04C52" w:rsidP="00B46744">
            <w:pPr>
              <w:rPr>
                <w:sz w:val="18"/>
                <w:szCs w:val="18"/>
              </w:rPr>
            </w:pPr>
          </w:p>
        </w:tc>
        <w:tc>
          <w:tcPr>
            <w:tcW w:w="3960" w:type="dxa"/>
            <w:hideMark/>
          </w:tcPr>
          <w:p w14:paraId="7651A8C9" w14:textId="77777777" w:rsidR="00D04C52" w:rsidRPr="00FF7DEA" w:rsidRDefault="00D04C52" w:rsidP="00B46744">
            <w:pPr>
              <w:rPr>
                <w:sz w:val="18"/>
                <w:szCs w:val="18"/>
              </w:rPr>
            </w:pPr>
            <w:r w:rsidRPr="00FF7DEA">
              <w:rPr>
                <w:sz w:val="18"/>
                <w:szCs w:val="18"/>
              </w:rPr>
              <w:t xml:space="preserve">Treatments and placebo (where relevant) </w:t>
            </w:r>
            <w:r w:rsidR="00621FF9">
              <w:rPr>
                <w:sz w:val="18"/>
                <w:szCs w:val="18"/>
              </w:rPr>
              <w:t>t</w:t>
            </w:r>
            <w:r w:rsidRPr="00FF7DEA">
              <w:rPr>
                <w:sz w:val="18"/>
                <w:szCs w:val="18"/>
              </w:rPr>
              <w:t>hat are to be compared should be clearly described. For observational studies, exposure should be clearly described.</w:t>
            </w:r>
          </w:p>
        </w:tc>
        <w:tc>
          <w:tcPr>
            <w:tcW w:w="2515" w:type="dxa"/>
            <w:hideMark/>
          </w:tcPr>
          <w:p w14:paraId="35C5274C" w14:textId="77777777" w:rsidR="00D04C52" w:rsidRPr="00FF7DEA" w:rsidRDefault="00D04C52" w:rsidP="00B46744">
            <w:pPr>
              <w:rPr>
                <w:sz w:val="18"/>
                <w:szCs w:val="18"/>
              </w:rPr>
            </w:pPr>
            <w:r w:rsidRPr="00FF7DEA">
              <w:rPr>
                <w:sz w:val="18"/>
                <w:szCs w:val="18"/>
              </w:rPr>
              <w:t>Exposure definition should be clearly described.</w:t>
            </w:r>
            <w:r w:rsidR="00A40A4C">
              <w:rPr>
                <w:sz w:val="18"/>
                <w:szCs w:val="18"/>
              </w:rPr>
              <w:t xml:space="preserve"> </w:t>
            </w:r>
            <w:r w:rsidRPr="00FF7DEA">
              <w:rPr>
                <w:sz w:val="18"/>
                <w:szCs w:val="18"/>
              </w:rPr>
              <w:t>Specific questions from surveys should be provided, e.g.</w:t>
            </w:r>
            <w:r>
              <w:rPr>
                <w:sz w:val="18"/>
                <w:szCs w:val="18"/>
              </w:rPr>
              <w:t>,</w:t>
            </w:r>
            <w:r w:rsidRPr="00FF7DEA">
              <w:rPr>
                <w:sz w:val="18"/>
                <w:szCs w:val="18"/>
              </w:rPr>
              <w:t xml:space="preserve"> "What is your usual brand?"</w:t>
            </w:r>
          </w:p>
        </w:tc>
      </w:tr>
      <w:tr w:rsidR="00D04C52" w:rsidRPr="00FF7DEA" w14:paraId="3EC6D539" w14:textId="77777777" w:rsidTr="00B46744">
        <w:trPr>
          <w:trHeight w:val="1298"/>
        </w:trPr>
        <w:tc>
          <w:tcPr>
            <w:tcW w:w="1075" w:type="dxa"/>
            <w:noWrap/>
            <w:hideMark/>
          </w:tcPr>
          <w:p w14:paraId="6A62D784" w14:textId="77777777" w:rsidR="00D04C52" w:rsidRPr="00FF7DEA" w:rsidRDefault="00D04C52" w:rsidP="00B46744">
            <w:pPr>
              <w:rPr>
                <w:b/>
                <w:bCs/>
                <w:sz w:val="18"/>
                <w:szCs w:val="18"/>
              </w:rPr>
            </w:pPr>
            <w:r w:rsidRPr="00FF7DEA">
              <w:rPr>
                <w:b/>
                <w:bCs/>
                <w:sz w:val="18"/>
                <w:szCs w:val="18"/>
              </w:rPr>
              <w:t>Q5</w:t>
            </w:r>
          </w:p>
        </w:tc>
        <w:tc>
          <w:tcPr>
            <w:tcW w:w="2250" w:type="dxa"/>
            <w:hideMark/>
          </w:tcPr>
          <w:p w14:paraId="6CF2D7EA" w14:textId="77777777" w:rsidR="00D04C52" w:rsidRPr="00FF7DEA" w:rsidRDefault="00D04C52" w:rsidP="00B46744">
            <w:pPr>
              <w:rPr>
                <w:b/>
                <w:bCs/>
                <w:sz w:val="18"/>
                <w:szCs w:val="18"/>
              </w:rPr>
            </w:pPr>
            <w:r w:rsidRPr="00FF7DEA">
              <w:rPr>
                <w:b/>
                <w:bCs/>
                <w:sz w:val="18"/>
                <w:szCs w:val="18"/>
              </w:rPr>
              <w:t>Are the distributions of principal confounders in each group of subjects to be compared clearly described?</w:t>
            </w:r>
          </w:p>
        </w:tc>
        <w:tc>
          <w:tcPr>
            <w:tcW w:w="630" w:type="dxa"/>
            <w:noWrap/>
            <w:hideMark/>
          </w:tcPr>
          <w:p w14:paraId="3B521A9A" w14:textId="77777777" w:rsidR="00D04C52" w:rsidRPr="00FF7DEA" w:rsidRDefault="00D04C52" w:rsidP="00B46744">
            <w:pPr>
              <w:rPr>
                <w:sz w:val="18"/>
                <w:szCs w:val="18"/>
              </w:rPr>
            </w:pPr>
            <w:r w:rsidRPr="00FF7DEA">
              <w:rPr>
                <w:sz w:val="18"/>
                <w:szCs w:val="18"/>
              </w:rPr>
              <w:t>2</w:t>
            </w:r>
          </w:p>
        </w:tc>
        <w:tc>
          <w:tcPr>
            <w:tcW w:w="900" w:type="dxa"/>
            <w:noWrap/>
            <w:hideMark/>
          </w:tcPr>
          <w:p w14:paraId="57D363AE" w14:textId="77777777" w:rsidR="00D04C52" w:rsidRPr="00FF7DEA" w:rsidRDefault="00D04C52" w:rsidP="00B46744">
            <w:pPr>
              <w:rPr>
                <w:sz w:val="18"/>
                <w:szCs w:val="18"/>
              </w:rPr>
            </w:pPr>
            <w:r w:rsidRPr="00FF7DEA">
              <w:rPr>
                <w:sz w:val="18"/>
                <w:szCs w:val="18"/>
              </w:rPr>
              <w:t>1</w:t>
            </w:r>
          </w:p>
        </w:tc>
        <w:tc>
          <w:tcPr>
            <w:tcW w:w="630" w:type="dxa"/>
            <w:gridSpan w:val="2"/>
            <w:noWrap/>
            <w:hideMark/>
          </w:tcPr>
          <w:p w14:paraId="63A3ECF7" w14:textId="77777777" w:rsidR="00D04C52" w:rsidRPr="00FF7DEA" w:rsidRDefault="00D04C52" w:rsidP="00B46744">
            <w:pPr>
              <w:rPr>
                <w:sz w:val="18"/>
                <w:szCs w:val="18"/>
              </w:rPr>
            </w:pPr>
            <w:r w:rsidRPr="00FF7DEA">
              <w:rPr>
                <w:sz w:val="18"/>
                <w:szCs w:val="18"/>
              </w:rPr>
              <w:t>0</w:t>
            </w:r>
          </w:p>
        </w:tc>
        <w:tc>
          <w:tcPr>
            <w:tcW w:w="990" w:type="dxa"/>
            <w:noWrap/>
            <w:hideMark/>
          </w:tcPr>
          <w:p w14:paraId="22C6A902" w14:textId="77777777" w:rsidR="00D04C52" w:rsidRPr="00FF7DEA" w:rsidRDefault="00D04C52" w:rsidP="00B46744">
            <w:pPr>
              <w:rPr>
                <w:sz w:val="18"/>
                <w:szCs w:val="18"/>
              </w:rPr>
            </w:pPr>
          </w:p>
        </w:tc>
        <w:tc>
          <w:tcPr>
            <w:tcW w:w="3960" w:type="dxa"/>
            <w:hideMark/>
          </w:tcPr>
          <w:p w14:paraId="3A4E6D12" w14:textId="77777777" w:rsidR="00D04C52" w:rsidRPr="00FF7DEA" w:rsidRDefault="00D04C52" w:rsidP="00B46744">
            <w:pPr>
              <w:rPr>
                <w:sz w:val="18"/>
                <w:szCs w:val="18"/>
              </w:rPr>
            </w:pPr>
            <w:r w:rsidRPr="00FF7DEA">
              <w:rPr>
                <w:sz w:val="18"/>
                <w:szCs w:val="18"/>
              </w:rPr>
              <w:t>A list of principal confounders is provided. Mark 2 if list is comprehensive, mark 1 if only one or two are identified, or if they mention they are controlling for "demographic" or other types of confounders, but do not specifically enumerate what they are.</w:t>
            </w:r>
          </w:p>
        </w:tc>
        <w:tc>
          <w:tcPr>
            <w:tcW w:w="2515" w:type="dxa"/>
            <w:hideMark/>
          </w:tcPr>
          <w:p w14:paraId="6DBB1FFB" w14:textId="77777777" w:rsidR="00D04C52" w:rsidRPr="00FF7DEA" w:rsidRDefault="00D04C52" w:rsidP="00B46744">
            <w:pPr>
              <w:rPr>
                <w:sz w:val="18"/>
                <w:szCs w:val="18"/>
              </w:rPr>
            </w:pPr>
            <w:r w:rsidRPr="00FF7DEA">
              <w:rPr>
                <w:sz w:val="18"/>
                <w:szCs w:val="18"/>
              </w:rPr>
              <w:t>By exposure (menthol/non-menthol) or by outcome.</w:t>
            </w:r>
          </w:p>
        </w:tc>
      </w:tr>
      <w:tr w:rsidR="00D04C52" w:rsidRPr="00FF7DEA" w14:paraId="15B9789B" w14:textId="77777777" w:rsidTr="00B46744">
        <w:trPr>
          <w:trHeight w:val="530"/>
        </w:trPr>
        <w:tc>
          <w:tcPr>
            <w:tcW w:w="1075" w:type="dxa"/>
            <w:noWrap/>
            <w:hideMark/>
          </w:tcPr>
          <w:p w14:paraId="6CEEBB0E" w14:textId="77777777" w:rsidR="00D04C52" w:rsidRPr="00FF7DEA" w:rsidRDefault="00D04C52" w:rsidP="00B46744">
            <w:pPr>
              <w:rPr>
                <w:b/>
                <w:bCs/>
                <w:sz w:val="18"/>
                <w:szCs w:val="18"/>
              </w:rPr>
            </w:pPr>
            <w:r w:rsidRPr="00FF7DEA">
              <w:rPr>
                <w:b/>
                <w:bCs/>
                <w:sz w:val="18"/>
                <w:szCs w:val="18"/>
              </w:rPr>
              <w:t>Q6</w:t>
            </w:r>
          </w:p>
        </w:tc>
        <w:tc>
          <w:tcPr>
            <w:tcW w:w="2250" w:type="dxa"/>
            <w:hideMark/>
          </w:tcPr>
          <w:p w14:paraId="1D8AEFA4" w14:textId="77777777" w:rsidR="00D04C52" w:rsidRPr="00FF7DEA" w:rsidRDefault="00D04C52" w:rsidP="00B46744">
            <w:pPr>
              <w:rPr>
                <w:b/>
                <w:bCs/>
                <w:sz w:val="18"/>
                <w:szCs w:val="18"/>
              </w:rPr>
            </w:pPr>
            <w:r w:rsidRPr="00FF7DEA">
              <w:rPr>
                <w:b/>
                <w:bCs/>
                <w:sz w:val="18"/>
                <w:szCs w:val="18"/>
              </w:rPr>
              <w:t>Are the main findings of the study clearly described?</w:t>
            </w:r>
          </w:p>
        </w:tc>
        <w:tc>
          <w:tcPr>
            <w:tcW w:w="630" w:type="dxa"/>
            <w:noWrap/>
            <w:hideMark/>
          </w:tcPr>
          <w:p w14:paraId="76181B40" w14:textId="77777777" w:rsidR="00D04C52" w:rsidRPr="00FF7DEA" w:rsidRDefault="00D04C52" w:rsidP="00B46744">
            <w:pPr>
              <w:rPr>
                <w:sz w:val="18"/>
                <w:szCs w:val="18"/>
              </w:rPr>
            </w:pPr>
            <w:r w:rsidRPr="00FF7DEA">
              <w:rPr>
                <w:sz w:val="18"/>
                <w:szCs w:val="18"/>
              </w:rPr>
              <w:t>1</w:t>
            </w:r>
          </w:p>
        </w:tc>
        <w:tc>
          <w:tcPr>
            <w:tcW w:w="900" w:type="dxa"/>
            <w:noWrap/>
            <w:hideMark/>
          </w:tcPr>
          <w:p w14:paraId="15DA5AB1" w14:textId="77777777" w:rsidR="00D04C52" w:rsidRPr="00FF7DEA" w:rsidRDefault="00D04C52" w:rsidP="00B46744">
            <w:pPr>
              <w:rPr>
                <w:sz w:val="18"/>
                <w:szCs w:val="18"/>
              </w:rPr>
            </w:pPr>
          </w:p>
        </w:tc>
        <w:tc>
          <w:tcPr>
            <w:tcW w:w="630" w:type="dxa"/>
            <w:gridSpan w:val="2"/>
            <w:noWrap/>
            <w:hideMark/>
          </w:tcPr>
          <w:p w14:paraId="74D5F643" w14:textId="77777777" w:rsidR="00D04C52" w:rsidRPr="00FF7DEA" w:rsidRDefault="00D04C52" w:rsidP="00B46744">
            <w:pPr>
              <w:rPr>
                <w:sz w:val="18"/>
                <w:szCs w:val="18"/>
              </w:rPr>
            </w:pPr>
            <w:r w:rsidRPr="00FF7DEA">
              <w:rPr>
                <w:sz w:val="18"/>
                <w:szCs w:val="18"/>
              </w:rPr>
              <w:t>0</w:t>
            </w:r>
          </w:p>
        </w:tc>
        <w:tc>
          <w:tcPr>
            <w:tcW w:w="990" w:type="dxa"/>
            <w:noWrap/>
            <w:hideMark/>
          </w:tcPr>
          <w:p w14:paraId="4F5570DC" w14:textId="77777777" w:rsidR="00D04C52" w:rsidRPr="00FF7DEA" w:rsidRDefault="00D04C52" w:rsidP="00B46744">
            <w:pPr>
              <w:rPr>
                <w:sz w:val="18"/>
                <w:szCs w:val="18"/>
              </w:rPr>
            </w:pPr>
          </w:p>
        </w:tc>
        <w:tc>
          <w:tcPr>
            <w:tcW w:w="3960" w:type="dxa"/>
            <w:hideMark/>
          </w:tcPr>
          <w:p w14:paraId="1BD77FF7" w14:textId="77777777" w:rsidR="00D04C52" w:rsidRPr="00FF7DEA" w:rsidRDefault="00D04C52" w:rsidP="00B46744">
            <w:pPr>
              <w:rPr>
                <w:sz w:val="18"/>
                <w:szCs w:val="18"/>
              </w:rPr>
            </w:pPr>
            <w:r w:rsidRPr="00FF7DEA">
              <w:rPr>
                <w:sz w:val="18"/>
                <w:szCs w:val="18"/>
              </w:rPr>
              <w:t>Simple outcome data (including denominators and numerators) should be reported for all major findings so that the reader can check the major analyses and conclusions. (This question does not cover statistical tests which are considered below).</w:t>
            </w:r>
          </w:p>
        </w:tc>
        <w:tc>
          <w:tcPr>
            <w:tcW w:w="2515" w:type="dxa"/>
            <w:noWrap/>
            <w:hideMark/>
          </w:tcPr>
          <w:p w14:paraId="3554EA9E" w14:textId="77777777" w:rsidR="00D04C52" w:rsidRPr="00FF7DEA" w:rsidRDefault="00D04C52" w:rsidP="00B46744">
            <w:pPr>
              <w:rPr>
                <w:sz w:val="18"/>
                <w:szCs w:val="18"/>
              </w:rPr>
            </w:pPr>
          </w:p>
        </w:tc>
      </w:tr>
      <w:tr w:rsidR="00D04C52" w:rsidRPr="00FF7DEA" w14:paraId="42F63DEC" w14:textId="77777777" w:rsidTr="00B46744">
        <w:trPr>
          <w:trHeight w:val="1500"/>
        </w:trPr>
        <w:tc>
          <w:tcPr>
            <w:tcW w:w="1075" w:type="dxa"/>
            <w:noWrap/>
            <w:hideMark/>
          </w:tcPr>
          <w:p w14:paraId="0754978C" w14:textId="77777777" w:rsidR="00D04C52" w:rsidRPr="00FF7DEA" w:rsidRDefault="00D04C52" w:rsidP="00B46744">
            <w:pPr>
              <w:rPr>
                <w:b/>
                <w:bCs/>
                <w:sz w:val="18"/>
                <w:szCs w:val="18"/>
              </w:rPr>
            </w:pPr>
            <w:r w:rsidRPr="00FF7DEA">
              <w:rPr>
                <w:b/>
                <w:bCs/>
                <w:sz w:val="18"/>
                <w:szCs w:val="18"/>
              </w:rPr>
              <w:lastRenderedPageBreak/>
              <w:t>Q7</w:t>
            </w:r>
          </w:p>
        </w:tc>
        <w:tc>
          <w:tcPr>
            <w:tcW w:w="2250" w:type="dxa"/>
            <w:hideMark/>
          </w:tcPr>
          <w:p w14:paraId="5346830A" w14:textId="77777777" w:rsidR="00D04C52" w:rsidRPr="00FF7DEA" w:rsidRDefault="00D04C52" w:rsidP="00B46744">
            <w:pPr>
              <w:rPr>
                <w:b/>
                <w:bCs/>
                <w:sz w:val="18"/>
                <w:szCs w:val="18"/>
              </w:rPr>
            </w:pPr>
            <w:r w:rsidRPr="00FF7DEA">
              <w:rPr>
                <w:b/>
                <w:bCs/>
                <w:sz w:val="18"/>
                <w:szCs w:val="18"/>
              </w:rPr>
              <w:t>Does the study provide estimates of the random variability in the data for the main outcomes?</w:t>
            </w:r>
          </w:p>
        </w:tc>
        <w:tc>
          <w:tcPr>
            <w:tcW w:w="630" w:type="dxa"/>
            <w:noWrap/>
            <w:hideMark/>
          </w:tcPr>
          <w:p w14:paraId="531E04C7" w14:textId="77777777" w:rsidR="00D04C52" w:rsidRPr="00FF7DEA" w:rsidRDefault="00D04C52" w:rsidP="00B46744">
            <w:pPr>
              <w:rPr>
                <w:sz w:val="18"/>
                <w:szCs w:val="18"/>
              </w:rPr>
            </w:pPr>
            <w:r w:rsidRPr="00FF7DEA">
              <w:rPr>
                <w:sz w:val="18"/>
                <w:szCs w:val="18"/>
              </w:rPr>
              <w:t>1</w:t>
            </w:r>
          </w:p>
        </w:tc>
        <w:tc>
          <w:tcPr>
            <w:tcW w:w="900" w:type="dxa"/>
            <w:noWrap/>
            <w:hideMark/>
          </w:tcPr>
          <w:p w14:paraId="41AA2095" w14:textId="77777777" w:rsidR="00D04C52" w:rsidRPr="00FF7DEA" w:rsidRDefault="00D04C52" w:rsidP="00B46744">
            <w:pPr>
              <w:rPr>
                <w:sz w:val="18"/>
                <w:szCs w:val="18"/>
              </w:rPr>
            </w:pPr>
          </w:p>
        </w:tc>
        <w:tc>
          <w:tcPr>
            <w:tcW w:w="630" w:type="dxa"/>
            <w:gridSpan w:val="2"/>
            <w:noWrap/>
            <w:hideMark/>
          </w:tcPr>
          <w:p w14:paraId="36B0C940" w14:textId="77777777" w:rsidR="00D04C52" w:rsidRPr="00FF7DEA" w:rsidRDefault="00D04C52" w:rsidP="00B46744">
            <w:pPr>
              <w:rPr>
                <w:sz w:val="18"/>
                <w:szCs w:val="18"/>
              </w:rPr>
            </w:pPr>
            <w:r w:rsidRPr="00FF7DEA">
              <w:rPr>
                <w:sz w:val="18"/>
                <w:szCs w:val="18"/>
              </w:rPr>
              <w:t>0</w:t>
            </w:r>
          </w:p>
        </w:tc>
        <w:tc>
          <w:tcPr>
            <w:tcW w:w="990" w:type="dxa"/>
            <w:noWrap/>
            <w:hideMark/>
          </w:tcPr>
          <w:p w14:paraId="37255CEA" w14:textId="77777777" w:rsidR="00D04C52" w:rsidRPr="00FF7DEA" w:rsidRDefault="00D04C52" w:rsidP="00B46744">
            <w:pPr>
              <w:rPr>
                <w:sz w:val="18"/>
                <w:szCs w:val="18"/>
              </w:rPr>
            </w:pPr>
          </w:p>
        </w:tc>
        <w:tc>
          <w:tcPr>
            <w:tcW w:w="3960" w:type="dxa"/>
            <w:hideMark/>
          </w:tcPr>
          <w:p w14:paraId="2F6A4D7B" w14:textId="77777777" w:rsidR="00D04C52" w:rsidRPr="00FF7DEA" w:rsidRDefault="00D04C52" w:rsidP="00B46744">
            <w:pPr>
              <w:rPr>
                <w:sz w:val="18"/>
                <w:szCs w:val="18"/>
              </w:rPr>
            </w:pPr>
            <w:r w:rsidRPr="00FF7DEA">
              <w:rPr>
                <w:sz w:val="18"/>
                <w:szCs w:val="18"/>
              </w:rPr>
              <w:t>In non</w:t>
            </w:r>
            <w:r>
              <w:rPr>
                <w:sz w:val="18"/>
                <w:szCs w:val="18"/>
              </w:rPr>
              <w:t>-</w:t>
            </w:r>
            <w:r w:rsidRPr="00FF7DEA">
              <w:rPr>
                <w:sz w:val="18"/>
                <w:szCs w:val="18"/>
              </w:rPr>
              <w:t xml:space="preserve">normally distributed </w:t>
            </w:r>
            <w:proofErr w:type="gramStart"/>
            <w:r w:rsidRPr="00FF7DEA">
              <w:rPr>
                <w:sz w:val="18"/>
                <w:szCs w:val="18"/>
              </w:rPr>
              <w:t>data</w:t>
            </w:r>
            <w:proofErr w:type="gramEnd"/>
            <w:r w:rsidRPr="00FF7DEA">
              <w:rPr>
                <w:sz w:val="18"/>
                <w:szCs w:val="18"/>
              </w:rPr>
              <w:t xml:space="preserve"> the inter-quartile range of results should be reported. In normally distributed data the standard error, standard deviation or confidence intervals should be reported. If the distribution of the data is not described, it must be assumed that the estimates used were appropriate and the question should be answered yes.</w:t>
            </w:r>
          </w:p>
        </w:tc>
        <w:tc>
          <w:tcPr>
            <w:tcW w:w="2515" w:type="dxa"/>
            <w:noWrap/>
            <w:hideMark/>
          </w:tcPr>
          <w:p w14:paraId="1C2B44AC" w14:textId="77777777" w:rsidR="00D04C52" w:rsidRPr="00FF7DEA" w:rsidRDefault="00D04C52" w:rsidP="00B46744">
            <w:pPr>
              <w:rPr>
                <w:sz w:val="18"/>
                <w:szCs w:val="18"/>
              </w:rPr>
            </w:pPr>
          </w:p>
        </w:tc>
      </w:tr>
      <w:tr w:rsidR="00D04C52" w:rsidRPr="00FF7DEA" w14:paraId="70E227AF" w14:textId="77777777" w:rsidTr="00B46744">
        <w:trPr>
          <w:trHeight w:val="1425"/>
        </w:trPr>
        <w:tc>
          <w:tcPr>
            <w:tcW w:w="1075" w:type="dxa"/>
            <w:noWrap/>
            <w:hideMark/>
          </w:tcPr>
          <w:p w14:paraId="7BB24C7D" w14:textId="77777777" w:rsidR="00D04C52" w:rsidRPr="00FF7DEA" w:rsidRDefault="00D04C52" w:rsidP="00B46744">
            <w:pPr>
              <w:rPr>
                <w:b/>
                <w:bCs/>
                <w:sz w:val="18"/>
                <w:szCs w:val="18"/>
              </w:rPr>
            </w:pPr>
            <w:r w:rsidRPr="00FF7DEA">
              <w:rPr>
                <w:b/>
                <w:bCs/>
                <w:sz w:val="18"/>
                <w:szCs w:val="18"/>
              </w:rPr>
              <w:t>Q8</w:t>
            </w:r>
          </w:p>
        </w:tc>
        <w:tc>
          <w:tcPr>
            <w:tcW w:w="2250" w:type="dxa"/>
            <w:hideMark/>
          </w:tcPr>
          <w:p w14:paraId="022D5BBD" w14:textId="77777777" w:rsidR="00D04C52" w:rsidRPr="00FF7DEA" w:rsidRDefault="00D04C52" w:rsidP="00B46744">
            <w:pPr>
              <w:rPr>
                <w:b/>
                <w:bCs/>
                <w:sz w:val="18"/>
                <w:szCs w:val="18"/>
              </w:rPr>
            </w:pPr>
            <w:r w:rsidRPr="00FF7DEA">
              <w:rPr>
                <w:b/>
                <w:bCs/>
                <w:sz w:val="18"/>
                <w:szCs w:val="18"/>
              </w:rPr>
              <w:t>Have all important adverse events that may be a consequence of the intervention (i.e. exposure) been reported?</w:t>
            </w:r>
          </w:p>
        </w:tc>
        <w:tc>
          <w:tcPr>
            <w:tcW w:w="630" w:type="dxa"/>
            <w:noWrap/>
            <w:hideMark/>
          </w:tcPr>
          <w:p w14:paraId="21250CBF" w14:textId="77777777" w:rsidR="00D04C52" w:rsidRPr="00FF7DEA" w:rsidRDefault="00D04C52" w:rsidP="00B46744">
            <w:pPr>
              <w:rPr>
                <w:sz w:val="18"/>
                <w:szCs w:val="18"/>
              </w:rPr>
            </w:pPr>
            <w:r w:rsidRPr="00FF7DEA">
              <w:rPr>
                <w:sz w:val="18"/>
                <w:szCs w:val="18"/>
              </w:rPr>
              <w:t>1</w:t>
            </w:r>
          </w:p>
        </w:tc>
        <w:tc>
          <w:tcPr>
            <w:tcW w:w="900" w:type="dxa"/>
            <w:noWrap/>
            <w:hideMark/>
          </w:tcPr>
          <w:p w14:paraId="2566BFE0" w14:textId="77777777" w:rsidR="00D04C52" w:rsidRPr="00FF7DEA" w:rsidRDefault="00D04C52" w:rsidP="00B46744">
            <w:pPr>
              <w:rPr>
                <w:sz w:val="18"/>
                <w:szCs w:val="18"/>
              </w:rPr>
            </w:pPr>
          </w:p>
        </w:tc>
        <w:tc>
          <w:tcPr>
            <w:tcW w:w="630" w:type="dxa"/>
            <w:gridSpan w:val="2"/>
            <w:noWrap/>
            <w:hideMark/>
          </w:tcPr>
          <w:p w14:paraId="71DBBF9A" w14:textId="77777777" w:rsidR="00D04C52" w:rsidRPr="00FF7DEA" w:rsidRDefault="00D04C52" w:rsidP="00B46744">
            <w:pPr>
              <w:rPr>
                <w:sz w:val="18"/>
                <w:szCs w:val="18"/>
              </w:rPr>
            </w:pPr>
            <w:r w:rsidRPr="00FF7DEA">
              <w:rPr>
                <w:sz w:val="18"/>
                <w:szCs w:val="18"/>
              </w:rPr>
              <w:t>0</w:t>
            </w:r>
          </w:p>
        </w:tc>
        <w:tc>
          <w:tcPr>
            <w:tcW w:w="990" w:type="dxa"/>
            <w:noWrap/>
            <w:hideMark/>
          </w:tcPr>
          <w:p w14:paraId="16525EE0" w14:textId="77777777" w:rsidR="00D04C52" w:rsidRPr="00FF7DEA" w:rsidRDefault="00D04C52" w:rsidP="00B46744">
            <w:pPr>
              <w:rPr>
                <w:sz w:val="18"/>
                <w:szCs w:val="18"/>
              </w:rPr>
            </w:pPr>
          </w:p>
        </w:tc>
        <w:tc>
          <w:tcPr>
            <w:tcW w:w="3960" w:type="dxa"/>
            <w:hideMark/>
          </w:tcPr>
          <w:p w14:paraId="710E6873" w14:textId="77777777" w:rsidR="00D04C52" w:rsidRPr="00FF7DEA" w:rsidRDefault="00D04C52" w:rsidP="00B46744">
            <w:pPr>
              <w:rPr>
                <w:sz w:val="18"/>
                <w:szCs w:val="18"/>
              </w:rPr>
            </w:pPr>
            <w:r w:rsidRPr="00FF7DEA">
              <w:rPr>
                <w:sz w:val="18"/>
                <w:szCs w:val="18"/>
              </w:rPr>
              <w:t xml:space="preserve">This should be answered yes if the study demonstrates that there was a comprehensive attempt to measure adverse events. (A list of possible adverse events is provided). </w:t>
            </w:r>
          </w:p>
        </w:tc>
        <w:tc>
          <w:tcPr>
            <w:tcW w:w="2515" w:type="dxa"/>
            <w:hideMark/>
          </w:tcPr>
          <w:p w14:paraId="50CA0301" w14:textId="77777777" w:rsidR="00D04C52" w:rsidRPr="00FF7DEA" w:rsidRDefault="00D04C52" w:rsidP="00B46744">
            <w:pPr>
              <w:rPr>
                <w:sz w:val="18"/>
                <w:szCs w:val="18"/>
              </w:rPr>
            </w:pPr>
            <w:r w:rsidRPr="00FF7DEA">
              <w:rPr>
                <w:sz w:val="18"/>
                <w:szCs w:val="18"/>
              </w:rPr>
              <w:t xml:space="preserve">Doesn't apply to behavioral research in observational </w:t>
            </w:r>
            <w:r w:rsidR="002070E0" w:rsidRPr="00FF7DEA">
              <w:rPr>
                <w:sz w:val="18"/>
                <w:szCs w:val="18"/>
              </w:rPr>
              <w:t>setting -</w:t>
            </w:r>
            <w:r w:rsidRPr="00FF7DEA">
              <w:rPr>
                <w:sz w:val="18"/>
                <w:szCs w:val="18"/>
              </w:rPr>
              <w:t xml:space="preserve"> select no.</w:t>
            </w:r>
          </w:p>
        </w:tc>
      </w:tr>
      <w:tr w:rsidR="00D04C52" w:rsidRPr="00FF7DEA" w14:paraId="7C562150" w14:textId="77777777" w:rsidTr="00B46744">
        <w:trPr>
          <w:trHeight w:val="1200"/>
        </w:trPr>
        <w:tc>
          <w:tcPr>
            <w:tcW w:w="1075" w:type="dxa"/>
            <w:noWrap/>
            <w:hideMark/>
          </w:tcPr>
          <w:p w14:paraId="2F195B1D" w14:textId="77777777" w:rsidR="00D04C52" w:rsidRPr="00FF7DEA" w:rsidRDefault="00D04C52" w:rsidP="00B46744">
            <w:pPr>
              <w:rPr>
                <w:b/>
                <w:bCs/>
                <w:sz w:val="18"/>
                <w:szCs w:val="18"/>
              </w:rPr>
            </w:pPr>
            <w:r w:rsidRPr="00FF7DEA">
              <w:rPr>
                <w:b/>
                <w:bCs/>
                <w:sz w:val="18"/>
                <w:szCs w:val="18"/>
              </w:rPr>
              <w:t>Q9</w:t>
            </w:r>
          </w:p>
        </w:tc>
        <w:tc>
          <w:tcPr>
            <w:tcW w:w="2250" w:type="dxa"/>
            <w:hideMark/>
          </w:tcPr>
          <w:p w14:paraId="7AC928CB" w14:textId="77777777" w:rsidR="00D04C52" w:rsidRPr="00FF7DEA" w:rsidRDefault="00D04C52" w:rsidP="00B46744">
            <w:pPr>
              <w:rPr>
                <w:b/>
                <w:bCs/>
                <w:sz w:val="18"/>
                <w:szCs w:val="18"/>
              </w:rPr>
            </w:pPr>
            <w:r w:rsidRPr="00FF7DEA">
              <w:rPr>
                <w:b/>
                <w:bCs/>
                <w:sz w:val="18"/>
                <w:szCs w:val="18"/>
              </w:rPr>
              <w:t>Have the characteristics of patients lost to follow-up been described?</w:t>
            </w:r>
          </w:p>
        </w:tc>
        <w:tc>
          <w:tcPr>
            <w:tcW w:w="630" w:type="dxa"/>
            <w:noWrap/>
            <w:hideMark/>
          </w:tcPr>
          <w:p w14:paraId="122EFBF8" w14:textId="77777777" w:rsidR="00D04C52" w:rsidRPr="00FF7DEA" w:rsidRDefault="00D04C52" w:rsidP="00B46744">
            <w:pPr>
              <w:rPr>
                <w:sz w:val="18"/>
                <w:szCs w:val="18"/>
              </w:rPr>
            </w:pPr>
            <w:r w:rsidRPr="00FF7DEA">
              <w:rPr>
                <w:sz w:val="18"/>
                <w:szCs w:val="18"/>
              </w:rPr>
              <w:t>1</w:t>
            </w:r>
          </w:p>
        </w:tc>
        <w:tc>
          <w:tcPr>
            <w:tcW w:w="900" w:type="dxa"/>
            <w:noWrap/>
            <w:hideMark/>
          </w:tcPr>
          <w:p w14:paraId="2F851543" w14:textId="77777777" w:rsidR="00D04C52" w:rsidRPr="00FF7DEA" w:rsidRDefault="00D04C52" w:rsidP="00B46744">
            <w:pPr>
              <w:rPr>
                <w:sz w:val="18"/>
                <w:szCs w:val="18"/>
              </w:rPr>
            </w:pPr>
          </w:p>
        </w:tc>
        <w:tc>
          <w:tcPr>
            <w:tcW w:w="630" w:type="dxa"/>
            <w:gridSpan w:val="2"/>
            <w:noWrap/>
            <w:hideMark/>
          </w:tcPr>
          <w:p w14:paraId="1F8D7FB6" w14:textId="77777777" w:rsidR="00D04C52" w:rsidRPr="00FF7DEA" w:rsidRDefault="00D04C52" w:rsidP="00B46744">
            <w:pPr>
              <w:rPr>
                <w:sz w:val="18"/>
                <w:szCs w:val="18"/>
              </w:rPr>
            </w:pPr>
            <w:r w:rsidRPr="00FF7DEA">
              <w:rPr>
                <w:sz w:val="18"/>
                <w:szCs w:val="18"/>
              </w:rPr>
              <w:t>0</w:t>
            </w:r>
          </w:p>
        </w:tc>
        <w:tc>
          <w:tcPr>
            <w:tcW w:w="990" w:type="dxa"/>
            <w:noWrap/>
            <w:hideMark/>
          </w:tcPr>
          <w:p w14:paraId="126930D4" w14:textId="77777777" w:rsidR="00D04C52" w:rsidRPr="00FF7DEA" w:rsidRDefault="00D04C52" w:rsidP="00B46744">
            <w:pPr>
              <w:rPr>
                <w:sz w:val="18"/>
                <w:szCs w:val="18"/>
              </w:rPr>
            </w:pPr>
          </w:p>
        </w:tc>
        <w:tc>
          <w:tcPr>
            <w:tcW w:w="3960" w:type="dxa"/>
            <w:hideMark/>
          </w:tcPr>
          <w:p w14:paraId="6882E1F8" w14:textId="77777777" w:rsidR="00D04C52" w:rsidRPr="00FF7DEA" w:rsidRDefault="00D04C52" w:rsidP="00B46744">
            <w:pPr>
              <w:rPr>
                <w:sz w:val="18"/>
                <w:szCs w:val="18"/>
              </w:rPr>
            </w:pPr>
            <w:r w:rsidRPr="00FF7DEA">
              <w:rPr>
                <w:sz w:val="18"/>
                <w:szCs w:val="18"/>
              </w:rPr>
              <w:t>This should be answered yes where there were no losses to follow-up or where losses to follow-up were so small that findings would be unaffected by their inclus</w:t>
            </w:r>
            <w:r>
              <w:rPr>
                <w:sz w:val="18"/>
                <w:szCs w:val="18"/>
              </w:rPr>
              <w:t>ion. This should be answered now</w:t>
            </w:r>
            <w:r w:rsidRPr="00FF7DEA">
              <w:rPr>
                <w:sz w:val="18"/>
                <w:szCs w:val="18"/>
              </w:rPr>
              <w:t>here a study does not report the number of patients lost to follow-up.</w:t>
            </w:r>
          </w:p>
        </w:tc>
        <w:tc>
          <w:tcPr>
            <w:tcW w:w="2515" w:type="dxa"/>
            <w:noWrap/>
            <w:hideMark/>
          </w:tcPr>
          <w:p w14:paraId="0023E6B3" w14:textId="77777777" w:rsidR="00D04C52" w:rsidRPr="00FF7DEA" w:rsidRDefault="00D04C52" w:rsidP="00B46744">
            <w:pPr>
              <w:rPr>
                <w:sz w:val="18"/>
                <w:szCs w:val="18"/>
              </w:rPr>
            </w:pPr>
          </w:p>
        </w:tc>
      </w:tr>
      <w:tr w:rsidR="00D04C52" w:rsidRPr="00FF7DEA" w14:paraId="0640E31F" w14:textId="77777777" w:rsidTr="00B46744">
        <w:trPr>
          <w:trHeight w:val="1452"/>
        </w:trPr>
        <w:tc>
          <w:tcPr>
            <w:tcW w:w="1075" w:type="dxa"/>
            <w:noWrap/>
            <w:hideMark/>
          </w:tcPr>
          <w:p w14:paraId="0F48F46D" w14:textId="77777777" w:rsidR="00D04C52" w:rsidRPr="00FF7DEA" w:rsidRDefault="00D04C52" w:rsidP="00B46744">
            <w:pPr>
              <w:rPr>
                <w:b/>
                <w:bCs/>
                <w:sz w:val="18"/>
                <w:szCs w:val="18"/>
              </w:rPr>
            </w:pPr>
            <w:r w:rsidRPr="00FF7DEA">
              <w:rPr>
                <w:b/>
                <w:bCs/>
                <w:sz w:val="18"/>
                <w:szCs w:val="18"/>
              </w:rPr>
              <w:t>Q10</w:t>
            </w:r>
          </w:p>
        </w:tc>
        <w:tc>
          <w:tcPr>
            <w:tcW w:w="2250" w:type="dxa"/>
            <w:hideMark/>
          </w:tcPr>
          <w:p w14:paraId="7CD5ACEC" w14:textId="77777777" w:rsidR="00D04C52" w:rsidRPr="00FF7DEA" w:rsidRDefault="00D04C52" w:rsidP="00B46744">
            <w:pPr>
              <w:rPr>
                <w:b/>
                <w:bCs/>
                <w:sz w:val="18"/>
                <w:szCs w:val="18"/>
              </w:rPr>
            </w:pPr>
            <w:r w:rsidRPr="00FF7DEA">
              <w:rPr>
                <w:b/>
                <w:bCs/>
                <w:sz w:val="18"/>
                <w:szCs w:val="18"/>
              </w:rPr>
              <w:t>Have actual probability values been reported (e.g.</w:t>
            </w:r>
            <w:r>
              <w:rPr>
                <w:b/>
                <w:bCs/>
                <w:sz w:val="18"/>
                <w:szCs w:val="18"/>
              </w:rPr>
              <w:t>,</w:t>
            </w:r>
            <w:r w:rsidRPr="00FF7DEA">
              <w:rPr>
                <w:b/>
                <w:bCs/>
                <w:sz w:val="18"/>
                <w:szCs w:val="18"/>
              </w:rPr>
              <w:t xml:space="preserve"> 0.035 rather than &lt;0.05) for the main outcomes except where the probability value is less than 0.001?</w:t>
            </w:r>
          </w:p>
        </w:tc>
        <w:tc>
          <w:tcPr>
            <w:tcW w:w="630" w:type="dxa"/>
            <w:noWrap/>
            <w:hideMark/>
          </w:tcPr>
          <w:p w14:paraId="2C57C3D6" w14:textId="77777777" w:rsidR="00D04C52" w:rsidRPr="00FF7DEA" w:rsidRDefault="00D04C52" w:rsidP="00B46744">
            <w:pPr>
              <w:rPr>
                <w:sz w:val="18"/>
                <w:szCs w:val="18"/>
              </w:rPr>
            </w:pPr>
            <w:r w:rsidRPr="00FF7DEA">
              <w:rPr>
                <w:sz w:val="18"/>
                <w:szCs w:val="18"/>
              </w:rPr>
              <w:t>1</w:t>
            </w:r>
          </w:p>
        </w:tc>
        <w:tc>
          <w:tcPr>
            <w:tcW w:w="900" w:type="dxa"/>
            <w:noWrap/>
            <w:hideMark/>
          </w:tcPr>
          <w:p w14:paraId="3E00A403" w14:textId="77777777" w:rsidR="00D04C52" w:rsidRPr="00FF7DEA" w:rsidRDefault="00D04C52" w:rsidP="00B46744">
            <w:pPr>
              <w:rPr>
                <w:sz w:val="18"/>
                <w:szCs w:val="18"/>
              </w:rPr>
            </w:pPr>
          </w:p>
        </w:tc>
        <w:tc>
          <w:tcPr>
            <w:tcW w:w="630" w:type="dxa"/>
            <w:gridSpan w:val="2"/>
            <w:noWrap/>
            <w:hideMark/>
          </w:tcPr>
          <w:p w14:paraId="39A0D491" w14:textId="77777777" w:rsidR="00D04C52" w:rsidRPr="00FF7DEA" w:rsidRDefault="00D04C52" w:rsidP="00B46744">
            <w:pPr>
              <w:rPr>
                <w:sz w:val="18"/>
                <w:szCs w:val="18"/>
              </w:rPr>
            </w:pPr>
            <w:r w:rsidRPr="00FF7DEA">
              <w:rPr>
                <w:sz w:val="18"/>
                <w:szCs w:val="18"/>
              </w:rPr>
              <w:t>0</w:t>
            </w:r>
          </w:p>
        </w:tc>
        <w:tc>
          <w:tcPr>
            <w:tcW w:w="990" w:type="dxa"/>
            <w:noWrap/>
            <w:hideMark/>
          </w:tcPr>
          <w:p w14:paraId="6A079178" w14:textId="77777777" w:rsidR="00D04C52" w:rsidRPr="00FF7DEA" w:rsidRDefault="00D04C52" w:rsidP="00B46744">
            <w:pPr>
              <w:rPr>
                <w:sz w:val="18"/>
                <w:szCs w:val="18"/>
              </w:rPr>
            </w:pPr>
          </w:p>
        </w:tc>
        <w:tc>
          <w:tcPr>
            <w:tcW w:w="3960" w:type="dxa"/>
            <w:noWrap/>
            <w:hideMark/>
          </w:tcPr>
          <w:p w14:paraId="3F649DC8" w14:textId="77777777" w:rsidR="00D04C52" w:rsidRPr="00FF7DEA" w:rsidRDefault="00D04C52" w:rsidP="00B46744">
            <w:pPr>
              <w:rPr>
                <w:sz w:val="18"/>
                <w:szCs w:val="18"/>
              </w:rPr>
            </w:pPr>
            <w:r w:rsidRPr="00FF7DEA">
              <w:rPr>
                <w:sz w:val="18"/>
                <w:szCs w:val="18"/>
              </w:rPr>
              <w:t>Confidence limits are similarly acceptable in lieu of actual p values.</w:t>
            </w:r>
          </w:p>
        </w:tc>
        <w:tc>
          <w:tcPr>
            <w:tcW w:w="2515" w:type="dxa"/>
            <w:noWrap/>
            <w:hideMark/>
          </w:tcPr>
          <w:p w14:paraId="1205DECC" w14:textId="77777777" w:rsidR="00D04C52" w:rsidRPr="00FF7DEA" w:rsidRDefault="00D04C52" w:rsidP="00B46744">
            <w:pPr>
              <w:rPr>
                <w:sz w:val="18"/>
                <w:szCs w:val="18"/>
              </w:rPr>
            </w:pPr>
            <w:r w:rsidRPr="00FF7DEA">
              <w:rPr>
                <w:sz w:val="18"/>
                <w:szCs w:val="18"/>
              </w:rPr>
              <w:t>Confidence limits are acceptable</w:t>
            </w:r>
          </w:p>
        </w:tc>
      </w:tr>
      <w:tr w:rsidR="00D04C52" w:rsidRPr="00FF7DEA" w14:paraId="02E23EFF" w14:textId="77777777" w:rsidTr="00B46744">
        <w:trPr>
          <w:trHeight w:val="2772"/>
        </w:trPr>
        <w:tc>
          <w:tcPr>
            <w:tcW w:w="1075" w:type="dxa"/>
            <w:noWrap/>
            <w:hideMark/>
          </w:tcPr>
          <w:p w14:paraId="0255D9C8" w14:textId="77777777" w:rsidR="00D04C52" w:rsidRPr="00FF7DEA" w:rsidRDefault="00D04C52" w:rsidP="00B46744">
            <w:pPr>
              <w:rPr>
                <w:b/>
                <w:bCs/>
                <w:sz w:val="18"/>
                <w:szCs w:val="18"/>
              </w:rPr>
            </w:pPr>
            <w:r w:rsidRPr="00FF7DEA">
              <w:rPr>
                <w:b/>
                <w:bCs/>
                <w:sz w:val="18"/>
                <w:szCs w:val="18"/>
              </w:rPr>
              <w:lastRenderedPageBreak/>
              <w:t>Q11</w:t>
            </w:r>
          </w:p>
        </w:tc>
        <w:tc>
          <w:tcPr>
            <w:tcW w:w="2250" w:type="dxa"/>
            <w:hideMark/>
          </w:tcPr>
          <w:p w14:paraId="32908601" w14:textId="77777777" w:rsidR="00D04C52" w:rsidRPr="00FF7DEA" w:rsidRDefault="00D04C52" w:rsidP="00B46744">
            <w:pPr>
              <w:rPr>
                <w:b/>
                <w:bCs/>
                <w:sz w:val="18"/>
                <w:szCs w:val="18"/>
              </w:rPr>
            </w:pPr>
            <w:r w:rsidRPr="00FF7DEA">
              <w:rPr>
                <w:b/>
                <w:bCs/>
                <w:sz w:val="18"/>
                <w:szCs w:val="18"/>
              </w:rPr>
              <w:t>Were the subjects asked to participate in the study representative of the entire population from which they were recruited?</w:t>
            </w:r>
          </w:p>
        </w:tc>
        <w:tc>
          <w:tcPr>
            <w:tcW w:w="630" w:type="dxa"/>
            <w:noWrap/>
            <w:hideMark/>
          </w:tcPr>
          <w:p w14:paraId="6D719E9E" w14:textId="77777777" w:rsidR="00D04C52" w:rsidRPr="00FF7DEA" w:rsidRDefault="00D04C52" w:rsidP="00B46744">
            <w:pPr>
              <w:rPr>
                <w:sz w:val="18"/>
                <w:szCs w:val="18"/>
              </w:rPr>
            </w:pPr>
            <w:r w:rsidRPr="00FF7DEA">
              <w:rPr>
                <w:sz w:val="18"/>
                <w:szCs w:val="18"/>
              </w:rPr>
              <w:t>1</w:t>
            </w:r>
          </w:p>
        </w:tc>
        <w:tc>
          <w:tcPr>
            <w:tcW w:w="900" w:type="dxa"/>
            <w:noWrap/>
            <w:hideMark/>
          </w:tcPr>
          <w:p w14:paraId="3ADF0477" w14:textId="77777777" w:rsidR="00D04C52" w:rsidRPr="00FF7DEA" w:rsidRDefault="00D04C52" w:rsidP="00B46744">
            <w:pPr>
              <w:rPr>
                <w:sz w:val="18"/>
                <w:szCs w:val="18"/>
              </w:rPr>
            </w:pPr>
          </w:p>
        </w:tc>
        <w:tc>
          <w:tcPr>
            <w:tcW w:w="630" w:type="dxa"/>
            <w:gridSpan w:val="2"/>
            <w:noWrap/>
            <w:hideMark/>
          </w:tcPr>
          <w:p w14:paraId="18BB26D2" w14:textId="77777777" w:rsidR="00D04C52" w:rsidRPr="00FF7DEA" w:rsidRDefault="00D04C52" w:rsidP="00B46744">
            <w:pPr>
              <w:rPr>
                <w:sz w:val="18"/>
                <w:szCs w:val="18"/>
              </w:rPr>
            </w:pPr>
            <w:r w:rsidRPr="00FF7DEA">
              <w:rPr>
                <w:sz w:val="18"/>
                <w:szCs w:val="18"/>
              </w:rPr>
              <w:t>0</w:t>
            </w:r>
          </w:p>
        </w:tc>
        <w:tc>
          <w:tcPr>
            <w:tcW w:w="990" w:type="dxa"/>
            <w:noWrap/>
            <w:hideMark/>
          </w:tcPr>
          <w:p w14:paraId="5ECCF4BE" w14:textId="77777777" w:rsidR="00D04C52" w:rsidRPr="00FF7DEA" w:rsidRDefault="00D04C52" w:rsidP="00B46744">
            <w:pPr>
              <w:rPr>
                <w:sz w:val="18"/>
                <w:szCs w:val="18"/>
              </w:rPr>
            </w:pPr>
            <w:r w:rsidRPr="00FF7DEA">
              <w:rPr>
                <w:sz w:val="18"/>
                <w:szCs w:val="18"/>
              </w:rPr>
              <w:t>U</w:t>
            </w:r>
          </w:p>
        </w:tc>
        <w:tc>
          <w:tcPr>
            <w:tcW w:w="3960" w:type="dxa"/>
            <w:hideMark/>
          </w:tcPr>
          <w:p w14:paraId="77D60E89" w14:textId="77777777" w:rsidR="00D04C52" w:rsidRPr="00FF7DEA" w:rsidRDefault="00D04C52" w:rsidP="00B46744">
            <w:pPr>
              <w:rPr>
                <w:sz w:val="18"/>
                <w:szCs w:val="18"/>
              </w:rPr>
            </w:pPr>
            <w:r w:rsidRPr="00FF7DEA">
              <w:rPr>
                <w:sz w:val="18"/>
                <w:szCs w:val="18"/>
              </w:rPr>
              <w:t>The study must identify the source population for patients and describe how the patients were selected. Patients would be representative if they comprised the entire source population, an unselected sample of consecutive patients, or a random sample. Random sampling is only feasible where a list of all members of the relevant population exists. Where a study does not report the proportion of the source population from which the patients are derived, the question should be answered as unable to determine. Oversampling of certain populations makes the patients not representative.</w:t>
            </w:r>
          </w:p>
        </w:tc>
        <w:tc>
          <w:tcPr>
            <w:tcW w:w="2515" w:type="dxa"/>
            <w:noWrap/>
            <w:hideMark/>
          </w:tcPr>
          <w:p w14:paraId="69F8A516" w14:textId="77777777" w:rsidR="00D04C52" w:rsidRPr="00FF7DEA" w:rsidRDefault="00D04C52" w:rsidP="00B46744">
            <w:pPr>
              <w:rPr>
                <w:sz w:val="18"/>
                <w:szCs w:val="18"/>
              </w:rPr>
            </w:pPr>
          </w:p>
        </w:tc>
      </w:tr>
      <w:tr w:rsidR="00D04C52" w:rsidRPr="00FF7DEA" w14:paraId="0A0F8112" w14:textId="77777777" w:rsidTr="00B46744">
        <w:trPr>
          <w:trHeight w:val="2160"/>
        </w:trPr>
        <w:tc>
          <w:tcPr>
            <w:tcW w:w="1075" w:type="dxa"/>
            <w:noWrap/>
            <w:hideMark/>
          </w:tcPr>
          <w:p w14:paraId="3C9775BC" w14:textId="77777777" w:rsidR="00D04C52" w:rsidRPr="00FF7DEA" w:rsidRDefault="00D04C52" w:rsidP="00B46744">
            <w:pPr>
              <w:rPr>
                <w:b/>
                <w:bCs/>
                <w:sz w:val="18"/>
                <w:szCs w:val="18"/>
              </w:rPr>
            </w:pPr>
            <w:r w:rsidRPr="00FF7DEA">
              <w:rPr>
                <w:b/>
                <w:bCs/>
                <w:sz w:val="18"/>
                <w:szCs w:val="18"/>
              </w:rPr>
              <w:t>Q12</w:t>
            </w:r>
          </w:p>
        </w:tc>
        <w:tc>
          <w:tcPr>
            <w:tcW w:w="2250" w:type="dxa"/>
            <w:hideMark/>
          </w:tcPr>
          <w:p w14:paraId="198C7083" w14:textId="77777777" w:rsidR="00D04C52" w:rsidRPr="00FF7DEA" w:rsidRDefault="00D04C52" w:rsidP="00B46744">
            <w:pPr>
              <w:rPr>
                <w:b/>
                <w:bCs/>
                <w:sz w:val="18"/>
                <w:szCs w:val="18"/>
              </w:rPr>
            </w:pPr>
            <w:r w:rsidRPr="00FF7DEA">
              <w:rPr>
                <w:b/>
                <w:bCs/>
                <w:sz w:val="18"/>
                <w:szCs w:val="18"/>
              </w:rPr>
              <w:t>Were those subjects who were prepared to participate representative of the entire population from which they were recruited?</w:t>
            </w:r>
          </w:p>
        </w:tc>
        <w:tc>
          <w:tcPr>
            <w:tcW w:w="630" w:type="dxa"/>
            <w:noWrap/>
            <w:hideMark/>
          </w:tcPr>
          <w:p w14:paraId="3BC51972" w14:textId="77777777" w:rsidR="00D04C52" w:rsidRPr="00FF7DEA" w:rsidRDefault="00D04C52" w:rsidP="00B46744">
            <w:pPr>
              <w:rPr>
                <w:sz w:val="18"/>
                <w:szCs w:val="18"/>
              </w:rPr>
            </w:pPr>
            <w:r w:rsidRPr="00FF7DEA">
              <w:rPr>
                <w:sz w:val="18"/>
                <w:szCs w:val="18"/>
              </w:rPr>
              <w:t>1</w:t>
            </w:r>
          </w:p>
        </w:tc>
        <w:tc>
          <w:tcPr>
            <w:tcW w:w="900" w:type="dxa"/>
            <w:noWrap/>
            <w:hideMark/>
          </w:tcPr>
          <w:p w14:paraId="136E0BAD" w14:textId="77777777" w:rsidR="00D04C52" w:rsidRPr="00FF7DEA" w:rsidRDefault="00D04C52" w:rsidP="00B46744">
            <w:pPr>
              <w:rPr>
                <w:sz w:val="18"/>
                <w:szCs w:val="18"/>
              </w:rPr>
            </w:pPr>
          </w:p>
        </w:tc>
        <w:tc>
          <w:tcPr>
            <w:tcW w:w="630" w:type="dxa"/>
            <w:gridSpan w:val="2"/>
            <w:noWrap/>
            <w:hideMark/>
          </w:tcPr>
          <w:p w14:paraId="7FC2967A" w14:textId="77777777" w:rsidR="00D04C52" w:rsidRPr="00FF7DEA" w:rsidRDefault="00D04C52" w:rsidP="00B46744">
            <w:pPr>
              <w:rPr>
                <w:sz w:val="18"/>
                <w:szCs w:val="18"/>
              </w:rPr>
            </w:pPr>
            <w:r w:rsidRPr="00FF7DEA">
              <w:rPr>
                <w:sz w:val="18"/>
                <w:szCs w:val="18"/>
              </w:rPr>
              <w:t>0</w:t>
            </w:r>
          </w:p>
        </w:tc>
        <w:tc>
          <w:tcPr>
            <w:tcW w:w="990" w:type="dxa"/>
            <w:noWrap/>
            <w:hideMark/>
          </w:tcPr>
          <w:p w14:paraId="6713D415" w14:textId="77777777" w:rsidR="00D04C52" w:rsidRPr="00FF7DEA" w:rsidRDefault="00D04C52" w:rsidP="00B46744">
            <w:pPr>
              <w:rPr>
                <w:sz w:val="18"/>
                <w:szCs w:val="18"/>
              </w:rPr>
            </w:pPr>
            <w:r w:rsidRPr="00FF7DEA">
              <w:rPr>
                <w:sz w:val="18"/>
                <w:szCs w:val="18"/>
              </w:rPr>
              <w:t>U</w:t>
            </w:r>
          </w:p>
        </w:tc>
        <w:tc>
          <w:tcPr>
            <w:tcW w:w="3960" w:type="dxa"/>
            <w:hideMark/>
          </w:tcPr>
          <w:p w14:paraId="7EBC1CF1" w14:textId="77777777" w:rsidR="00D04C52" w:rsidRPr="00FF7DEA" w:rsidRDefault="00D04C52" w:rsidP="00B46744">
            <w:pPr>
              <w:rPr>
                <w:sz w:val="18"/>
                <w:szCs w:val="18"/>
              </w:rPr>
            </w:pPr>
            <w:r w:rsidRPr="00FF7DEA">
              <w:rPr>
                <w:sz w:val="18"/>
                <w:szCs w:val="18"/>
              </w:rPr>
              <w:t>The proportion of those asked who agreed should be stated. Validation that the sample was representative would include demonstrating that the distribution of the main confounding factors was the same in the study sample and the source population. Unless the authors stated the sample was representative of the entire population from which they were recruited or provided high percentages of enrollment and Q12 was a yes, mark unclear or no, as appropriate.</w:t>
            </w:r>
          </w:p>
        </w:tc>
        <w:tc>
          <w:tcPr>
            <w:tcW w:w="2515" w:type="dxa"/>
            <w:noWrap/>
            <w:hideMark/>
          </w:tcPr>
          <w:p w14:paraId="11AF384C" w14:textId="77777777" w:rsidR="00D04C52" w:rsidRPr="00FF7DEA" w:rsidRDefault="00D04C52" w:rsidP="00B46744">
            <w:pPr>
              <w:rPr>
                <w:sz w:val="18"/>
                <w:szCs w:val="18"/>
              </w:rPr>
            </w:pPr>
          </w:p>
        </w:tc>
      </w:tr>
      <w:tr w:rsidR="00D04C52" w:rsidRPr="00FF7DEA" w14:paraId="4A64BE68" w14:textId="77777777" w:rsidTr="00B46744">
        <w:trPr>
          <w:trHeight w:val="1692"/>
        </w:trPr>
        <w:tc>
          <w:tcPr>
            <w:tcW w:w="1075" w:type="dxa"/>
            <w:noWrap/>
            <w:hideMark/>
          </w:tcPr>
          <w:p w14:paraId="0FD751A1" w14:textId="77777777" w:rsidR="00D04C52" w:rsidRPr="00FF7DEA" w:rsidRDefault="00D04C52" w:rsidP="00B46744">
            <w:pPr>
              <w:rPr>
                <w:b/>
                <w:bCs/>
                <w:sz w:val="18"/>
                <w:szCs w:val="18"/>
              </w:rPr>
            </w:pPr>
            <w:r w:rsidRPr="00FF7DEA">
              <w:rPr>
                <w:b/>
                <w:bCs/>
                <w:sz w:val="18"/>
                <w:szCs w:val="18"/>
              </w:rPr>
              <w:t>Q13</w:t>
            </w:r>
          </w:p>
        </w:tc>
        <w:tc>
          <w:tcPr>
            <w:tcW w:w="2250" w:type="dxa"/>
            <w:hideMark/>
          </w:tcPr>
          <w:p w14:paraId="526348E8" w14:textId="77777777" w:rsidR="00D04C52" w:rsidRPr="00FF7DEA" w:rsidRDefault="00D04C52" w:rsidP="00B46744">
            <w:pPr>
              <w:rPr>
                <w:b/>
                <w:bCs/>
                <w:sz w:val="18"/>
                <w:szCs w:val="18"/>
              </w:rPr>
            </w:pPr>
            <w:r w:rsidRPr="00FF7DEA">
              <w:rPr>
                <w:b/>
                <w:bCs/>
                <w:sz w:val="18"/>
                <w:szCs w:val="18"/>
              </w:rPr>
              <w:t>Were the staff, places, and facilities where the patients were treated, representative of the treatment the majority of patients receive?</w:t>
            </w:r>
          </w:p>
        </w:tc>
        <w:tc>
          <w:tcPr>
            <w:tcW w:w="630" w:type="dxa"/>
            <w:noWrap/>
            <w:hideMark/>
          </w:tcPr>
          <w:p w14:paraId="45F0C7B2" w14:textId="77777777" w:rsidR="00D04C52" w:rsidRPr="00FF7DEA" w:rsidRDefault="00D04C52" w:rsidP="00B46744">
            <w:pPr>
              <w:rPr>
                <w:sz w:val="18"/>
                <w:szCs w:val="18"/>
              </w:rPr>
            </w:pPr>
            <w:r w:rsidRPr="00FF7DEA">
              <w:rPr>
                <w:sz w:val="18"/>
                <w:szCs w:val="18"/>
              </w:rPr>
              <w:t>1</w:t>
            </w:r>
          </w:p>
        </w:tc>
        <w:tc>
          <w:tcPr>
            <w:tcW w:w="900" w:type="dxa"/>
            <w:noWrap/>
            <w:hideMark/>
          </w:tcPr>
          <w:p w14:paraId="4129C238" w14:textId="77777777" w:rsidR="00D04C52" w:rsidRPr="00FF7DEA" w:rsidRDefault="00D04C52" w:rsidP="00B46744">
            <w:pPr>
              <w:rPr>
                <w:sz w:val="18"/>
                <w:szCs w:val="18"/>
              </w:rPr>
            </w:pPr>
          </w:p>
        </w:tc>
        <w:tc>
          <w:tcPr>
            <w:tcW w:w="630" w:type="dxa"/>
            <w:gridSpan w:val="2"/>
            <w:noWrap/>
            <w:hideMark/>
          </w:tcPr>
          <w:p w14:paraId="7A0CADEA" w14:textId="77777777" w:rsidR="00D04C52" w:rsidRPr="00FF7DEA" w:rsidRDefault="00D04C52" w:rsidP="00B46744">
            <w:pPr>
              <w:rPr>
                <w:sz w:val="18"/>
                <w:szCs w:val="18"/>
              </w:rPr>
            </w:pPr>
            <w:r w:rsidRPr="00FF7DEA">
              <w:rPr>
                <w:sz w:val="18"/>
                <w:szCs w:val="18"/>
              </w:rPr>
              <w:t>0</w:t>
            </w:r>
          </w:p>
        </w:tc>
        <w:tc>
          <w:tcPr>
            <w:tcW w:w="990" w:type="dxa"/>
            <w:noWrap/>
            <w:hideMark/>
          </w:tcPr>
          <w:p w14:paraId="5378E676" w14:textId="77777777" w:rsidR="00D04C52" w:rsidRPr="00FF7DEA" w:rsidRDefault="00D04C52" w:rsidP="00B46744">
            <w:pPr>
              <w:rPr>
                <w:sz w:val="18"/>
                <w:szCs w:val="18"/>
              </w:rPr>
            </w:pPr>
            <w:r w:rsidRPr="00FF7DEA">
              <w:rPr>
                <w:sz w:val="18"/>
                <w:szCs w:val="18"/>
              </w:rPr>
              <w:t>U</w:t>
            </w:r>
          </w:p>
        </w:tc>
        <w:tc>
          <w:tcPr>
            <w:tcW w:w="3960" w:type="dxa"/>
            <w:hideMark/>
          </w:tcPr>
          <w:p w14:paraId="602E31D4" w14:textId="77777777" w:rsidR="00D04C52" w:rsidRPr="00FF7DEA" w:rsidRDefault="00D04C52" w:rsidP="00B46744">
            <w:pPr>
              <w:rPr>
                <w:sz w:val="18"/>
                <w:szCs w:val="18"/>
              </w:rPr>
            </w:pPr>
            <w:r w:rsidRPr="00FF7DEA">
              <w:rPr>
                <w:sz w:val="18"/>
                <w:szCs w:val="18"/>
              </w:rPr>
              <w:t xml:space="preserve">For the question to be answered </w:t>
            </w:r>
            <w:r w:rsidR="002070E0" w:rsidRPr="00FF7DEA">
              <w:rPr>
                <w:sz w:val="18"/>
                <w:szCs w:val="18"/>
              </w:rPr>
              <w:t>yes,</w:t>
            </w:r>
            <w:r w:rsidRPr="00FF7DEA">
              <w:rPr>
                <w:sz w:val="18"/>
                <w:szCs w:val="18"/>
              </w:rPr>
              <w:t xml:space="preserve"> the study should demonstrate that the intervention was representative of that in use in the source population. The question should be answered no if, for example, the intervention was undertaken in a specialist center unrepresentative of the hospitals most of the source population would attend. </w:t>
            </w:r>
          </w:p>
        </w:tc>
        <w:tc>
          <w:tcPr>
            <w:tcW w:w="2515" w:type="dxa"/>
            <w:hideMark/>
          </w:tcPr>
          <w:p w14:paraId="673A809C" w14:textId="77777777" w:rsidR="00D04C52" w:rsidRPr="00FF7DEA" w:rsidRDefault="00D04C52" w:rsidP="00B46744">
            <w:pPr>
              <w:rPr>
                <w:sz w:val="18"/>
                <w:szCs w:val="18"/>
              </w:rPr>
            </w:pPr>
            <w:r w:rsidRPr="00FF7DEA">
              <w:rPr>
                <w:sz w:val="18"/>
                <w:szCs w:val="18"/>
              </w:rPr>
              <w:t>If this was a telephone, computer, or paper self</w:t>
            </w:r>
            <w:r>
              <w:rPr>
                <w:sz w:val="18"/>
                <w:szCs w:val="18"/>
              </w:rPr>
              <w:t>-</w:t>
            </w:r>
            <w:r w:rsidRPr="00FF7DEA">
              <w:rPr>
                <w:sz w:val="18"/>
                <w:szCs w:val="18"/>
              </w:rPr>
              <w:t xml:space="preserve">report completed at home, mark no. </w:t>
            </w:r>
          </w:p>
        </w:tc>
      </w:tr>
      <w:tr w:rsidR="00D04C52" w:rsidRPr="00FF7DEA" w14:paraId="17D82141" w14:textId="77777777" w:rsidTr="00B46744">
        <w:trPr>
          <w:trHeight w:val="620"/>
        </w:trPr>
        <w:tc>
          <w:tcPr>
            <w:tcW w:w="1075" w:type="dxa"/>
            <w:noWrap/>
            <w:hideMark/>
          </w:tcPr>
          <w:p w14:paraId="15E97E8A" w14:textId="77777777" w:rsidR="00D04C52" w:rsidRPr="00FF7DEA" w:rsidRDefault="00D04C52" w:rsidP="00B46744">
            <w:pPr>
              <w:rPr>
                <w:b/>
                <w:bCs/>
                <w:sz w:val="18"/>
                <w:szCs w:val="18"/>
              </w:rPr>
            </w:pPr>
            <w:r w:rsidRPr="00FF7DEA">
              <w:rPr>
                <w:b/>
                <w:bCs/>
                <w:sz w:val="18"/>
                <w:szCs w:val="18"/>
              </w:rPr>
              <w:t>Q14</w:t>
            </w:r>
          </w:p>
        </w:tc>
        <w:tc>
          <w:tcPr>
            <w:tcW w:w="2250" w:type="dxa"/>
            <w:hideMark/>
          </w:tcPr>
          <w:p w14:paraId="39A8370B" w14:textId="77777777" w:rsidR="00D04C52" w:rsidRPr="00FF7DEA" w:rsidRDefault="00D04C52" w:rsidP="00B46744">
            <w:pPr>
              <w:rPr>
                <w:b/>
                <w:bCs/>
                <w:sz w:val="18"/>
                <w:szCs w:val="18"/>
              </w:rPr>
            </w:pPr>
            <w:r w:rsidRPr="00FF7DEA">
              <w:rPr>
                <w:b/>
                <w:bCs/>
                <w:sz w:val="18"/>
                <w:szCs w:val="18"/>
              </w:rPr>
              <w:t xml:space="preserve">Was an attempt made to blind study subjects to the </w:t>
            </w:r>
            <w:r>
              <w:rPr>
                <w:b/>
                <w:bCs/>
                <w:sz w:val="18"/>
                <w:szCs w:val="18"/>
              </w:rPr>
              <w:t>intervention they have received</w:t>
            </w:r>
            <w:r w:rsidRPr="00FF7DEA">
              <w:rPr>
                <w:b/>
                <w:bCs/>
                <w:sz w:val="18"/>
                <w:szCs w:val="18"/>
              </w:rPr>
              <w:t>?</w:t>
            </w:r>
          </w:p>
        </w:tc>
        <w:tc>
          <w:tcPr>
            <w:tcW w:w="630" w:type="dxa"/>
            <w:noWrap/>
            <w:hideMark/>
          </w:tcPr>
          <w:p w14:paraId="055482B5" w14:textId="77777777" w:rsidR="00D04C52" w:rsidRPr="00FF7DEA" w:rsidRDefault="00D04C52" w:rsidP="00B46744">
            <w:pPr>
              <w:rPr>
                <w:sz w:val="18"/>
                <w:szCs w:val="18"/>
              </w:rPr>
            </w:pPr>
            <w:r w:rsidRPr="00FF7DEA">
              <w:rPr>
                <w:sz w:val="18"/>
                <w:szCs w:val="18"/>
              </w:rPr>
              <w:t>1</w:t>
            </w:r>
          </w:p>
        </w:tc>
        <w:tc>
          <w:tcPr>
            <w:tcW w:w="900" w:type="dxa"/>
            <w:noWrap/>
            <w:hideMark/>
          </w:tcPr>
          <w:p w14:paraId="162707D6" w14:textId="77777777" w:rsidR="00D04C52" w:rsidRPr="00FF7DEA" w:rsidRDefault="00D04C52" w:rsidP="00B46744">
            <w:pPr>
              <w:rPr>
                <w:sz w:val="18"/>
                <w:szCs w:val="18"/>
              </w:rPr>
            </w:pPr>
          </w:p>
        </w:tc>
        <w:tc>
          <w:tcPr>
            <w:tcW w:w="630" w:type="dxa"/>
            <w:gridSpan w:val="2"/>
            <w:noWrap/>
            <w:hideMark/>
          </w:tcPr>
          <w:p w14:paraId="72646B6A" w14:textId="77777777" w:rsidR="00D04C52" w:rsidRPr="00FF7DEA" w:rsidRDefault="00D04C52" w:rsidP="00B46744">
            <w:pPr>
              <w:rPr>
                <w:sz w:val="18"/>
                <w:szCs w:val="18"/>
              </w:rPr>
            </w:pPr>
            <w:r w:rsidRPr="00FF7DEA">
              <w:rPr>
                <w:sz w:val="18"/>
                <w:szCs w:val="18"/>
              </w:rPr>
              <w:t>0</w:t>
            </w:r>
          </w:p>
        </w:tc>
        <w:tc>
          <w:tcPr>
            <w:tcW w:w="990" w:type="dxa"/>
            <w:noWrap/>
            <w:hideMark/>
          </w:tcPr>
          <w:p w14:paraId="1179B713" w14:textId="77777777" w:rsidR="00D04C52" w:rsidRPr="00FF7DEA" w:rsidRDefault="00D04C52" w:rsidP="00B46744">
            <w:pPr>
              <w:rPr>
                <w:sz w:val="18"/>
                <w:szCs w:val="18"/>
              </w:rPr>
            </w:pPr>
            <w:r w:rsidRPr="00FF7DEA">
              <w:rPr>
                <w:sz w:val="18"/>
                <w:szCs w:val="18"/>
              </w:rPr>
              <w:t>U</w:t>
            </w:r>
          </w:p>
        </w:tc>
        <w:tc>
          <w:tcPr>
            <w:tcW w:w="3960" w:type="dxa"/>
            <w:hideMark/>
          </w:tcPr>
          <w:p w14:paraId="0571073B" w14:textId="77777777" w:rsidR="00D04C52" w:rsidRPr="00FF7DEA" w:rsidRDefault="00D04C52" w:rsidP="00B46744">
            <w:pPr>
              <w:rPr>
                <w:sz w:val="18"/>
                <w:szCs w:val="18"/>
              </w:rPr>
            </w:pPr>
            <w:r w:rsidRPr="00FF7DEA">
              <w:rPr>
                <w:sz w:val="18"/>
                <w:szCs w:val="18"/>
              </w:rPr>
              <w:t>For studies where the patients would have no way of knowing which intervention they received, this should be answered yes.</w:t>
            </w:r>
            <w:r w:rsidR="00A40A4C">
              <w:rPr>
                <w:sz w:val="18"/>
                <w:szCs w:val="18"/>
              </w:rPr>
              <w:t xml:space="preserve"> </w:t>
            </w:r>
          </w:p>
        </w:tc>
        <w:tc>
          <w:tcPr>
            <w:tcW w:w="2515" w:type="dxa"/>
            <w:hideMark/>
          </w:tcPr>
          <w:p w14:paraId="5C2F262B" w14:textId="77777777" w:rsidR="00D04C52" w:rsidRPr="00FF7DEA" w:rsidRDefault="00D04C52" w:rsidP="00B46744">
            <w:pPr>
              <w:rPr>
                <w:sz w:val="18"/>
                <w:szCs w:val="18"/>
              </w:rPr>
            </w:pPr>
            <w:r w:rsidRPr="00FF7DEA">
              <w:rPr>
                <w:sz w:val="18"/>
                <w:szCs w:val="18"/>
              </w:rPr>
              <w:t xml:space="preserve">For observational studies, were subjects blinded to the purposes of the research? Secondary analyses of previously collected data should be marked yes since </w:t>
            </w:r>
            <w:r w:rsidRPr="00FF7DEA">
              <w:rPr>
                <w:sz w:val="18"/>
                <w:szCs w:val="18"/>
              </w:rPr>
              <w:lastRenderedPageBreak/>
              <w:t xml:space="preserve">data was collected before the study question was developed. </w:t>
            </w:r>
          </w:p>
        </w:tc>
      </w:tr>
      <w:tr w:rsidR="00D04C52" w:rsidRPr="00FF7DEA" w14:paraId="303EBC1B" w14:textId="77777777" w:rsidTr="00B46744">
        <w:trPr>
          <w:trHeight w:val="960"/>
        </w:trPr>
        <w:tc>
          <w:tcPr>
            <w:tcW w:w="1075" w:type="dxa"/>
            <w:noWrap/>
            <w:hideMark/>
          </w:tcPr>
          <w:p w14:paraId="59808817" w14:textId="77777777" w:rsidR="00D04C52" w:rsidRPr="00FF7DEA" w:rsidRDefault="00D04C52" w:rsidP="00B46744">
            <w:pPr>
              <w:rPr>
                <w:b/>
                <w:bCs/>
                <w:sz w:val="18"/>
                <w:szCs w:val="18"/>
              </w:rPr>
            </w:pPr>
            <w:r w:rsidRPr="00FF7DEA">
              <w:rPr>
                <w:b/>
                <w:bCs/>
                <w:sz w:val="18"/>
                <w:szCs w:val="18"/>
              </w:rPr>
              <w:lastRenderedPageBreak/>
              <w:t>Q15</w:t>
            </w:r>
          </w:p>
        </w:tc>
        <w:tc>
          <w:tcPr>
            <w:tcW w:w="2250" w:type="dxa"/>
            <w:hideMark/>
          </w:tcPr>
          <w:p w14:paraId="32F1AD27" w14:textId="77777777" w:rsidR="00D04C52" w:rsidRPr="00FF7DEA" w:rsidRDefault="00D04C52" w:rsidP="00B46744">
            <w:pPr>
              <w:rPr>
                <w:b/>
                <w:bCs/>
                <w:sz w:val="18"/>
                <w:szCs w:val="18"/>
              </w:rPr>
            </w:pPr>
            <w:r w:rsidRPr="00FF7DEA">
              <w:rPr>
                <w:b/>
                <w:bCs/>
                <w:sz w:val="18"/>
                <w:szCs w:val="18"/>
              </w:rPr>
              <w:t>Was an attempt made to blind those measuring the main outcomes of the intervention?</w:t>
            </w:r>
          </w:p>
        </w:tc>
        <w:tc>
          <w:tcPr>
            <w:tcW w:w="630" w:type="dxa"/>
            <w:noWrap/>
            <w:hideMark/>
          </w:tcPr>
          <w:p w14:paraId="7C8C7FFD" w14:textId="77777777" w:rsidR="00D04C52" w:rsidRPr="00FF7DEA" w:rsidRDefault="00D04C52" w:rsidP="00B46744">
            <w:pPr>
              <w:rPr>
                <w:sz w:val="18"/>
                <w:szCs w:val="18"/>
              </w:rPr>
            </w:pPr>
            <w:r w:rsidRPr="00FF7DEA">
              <w:rPr>
                <w:sz w:val="18"/>
                <w:szCs w:val="18"/>
              </w:rPr>
              <w:t>1</w:t>
            </w:r>
          </w:p>
        </w:tc>
        <w:tc>
          <w:tcPr>
            <w:tcW w:w="900" w:type="dxa"/>
            <w:noWrap/>
            <w:hideMark/>
          </w:tcPr>
          <w:p w14:paraId="35171069" w14:textId="77777777" w:rsidR="00D04C52" w:rsidRPr="00FF7DEA" w:rsidRDefault="00D04C52" w:rsidP="00B46744">
            <w:pPr>
              <w:rPr>
                <w:sz w:val="18"/>
                <w:szCs w:val="18"/>
              </w:rPr>
            </w:pPr>
          </w:p>
        </w:tc>
        <w:tc>
          <w:tcPr>
            <w:tcW w:w="630" w:type="dxa"/>
            <w:gridSpan w:val="2"/>
            <w:noWrap/>
            <w:hideMark/>
          </w:tcPr>
          <w:p w14:paraId="50DD5D97" w14:textId="77777777" w:rsidR="00D04C52" w:rsidRPr="00FF7DEA" w:rsidRDefault="00D04C52" w:rsidP="00B46744">
            <w:pPr>
              <w:rPr>
                <w:sz w:val="18"/>
                <w:szCs w:val="18"/>
              </w:rPr>
            </w:pPr>
            <w:r w:rsidRPr="00FF7DEA">
              <w:rPr>
                <w:sz w:val="18"/>
                <w:szCs w:val="18"/>
              </w:rPr>
              <w:t>0</w:t>
            </w:r>
          </w:p>
        </w:tc>
        <w:tc>
          <w:tcPr>
            <w:tcW w:w="990" w:type="dxa"/>
            <w:noWrap/>
            <w:hideMark/>
          </w:tcPr>
          <w:p w14:paraId="575C54B4" w14:textId="77777777" w:rsidR="00D04C52" w:rsidRPr="00FF7DEA" w:rsidRDefault="00D04C52" w:rsidP="00B46744">
            <w:pPr>
              <w:rPr>
                <w:sz w:val="18"/>
                <w:szCs w:val="18"/>
              </w:rPr>
            </w:pPr>
            <w:r w:rsidRPr="00FF7DEA">
              <w:rPr>
                <w:sz w:val="18"/>
                <w:szCs w:val="18"/>
              </w:rPr>
              <w:t>U</w:t>
            </w:r>
          </w:p>
        </w:tc>
        <w:tc>
          <w:tcPr>
            <w:tcW w:w="3960" w:type="dxa"/>
            <w:hideMark/>
          </w:tcPr>
          <w:p w14:paraId="0C2A57FB" w14:textId="77777777" w:rsidR="00D04C52" w:rsidRPr="00FF7DEA" w:rsidRDefault="00D04C52" w:rsidP="00B46744">
            <w:pPr>
              <w:rPr>
                <w:sz w:val="18"/>
                <w:szCs w:val="18"/>
              </w:rPr>
            </w:pPr>
            <w:r w:rsidRPr="00FF7DEA">
              <w:rPr>
                <w:sz w:val="18"/>
                <w:szCs w:val="18"/>
              </w:rPr>
              <w:t xml:space="preserve">Secondary analyses of previously collected data should be marked yes since data was collected before the study question was developed. </w:t>
            </w:r>
          </w:p>
        </w:tc>
        <w:tc>
          <w:tcPr>
            <w:tcW w:w="2515" w:type="dxa"/>
            <w:noWrap/>
            <w:hideMark/>
          </w:tcPr>
          <w:p w14:paraId="4F7E02D0" w14:textId="77777777" w:rsidR="00D04C52" w:rsidRPr="00FF7DEA" w:rsidRDefault="00D04C52" w:rsidP="00B46744">
            <w:pPr>
              <w:rPr>
                <w:sz w:val="18"/>
                <w:szCs w:val="18"/>
              </w:rPr>
            </w:pPr>
          </w:p>
        </w:tc>
      </w:tr>
      <w:tr w:rsidR="00D04C52" w:rsidRPr="00FF7DEA" w14:paraId="05618D36" w14:textId="77777777" w:rsidTr="00B46744">
        <w:trPr>
          <w:trHeight w:val="1500"/>
        </w:trPr>
        <w:tc>
          <w:tcPr>
            <w:tcW w:w="1075" w:type="dxa"/>
            <w:noWrap/>
            <w:hideMark/>
          </w:tcPr>
          <w:p w14:paraId="71C329C7" w14:textId="77777777" w:rsidR="00D04C52" w:rsidRPr="00FF7DEA" w:rsidRDefault="00D04C52" w:rsidP="00B46744">
            <w:pPr>
              <w:rPr>
                <w:b/>
                <w:bCs/>
                <w:sz w:val="18"/>
                <w:szCs w:val="18"/>
              </w:rPr>
            </w:pPr>
            <w:r w:rsidRPr="00FF7DEA">
              <w:rPr>
                <w:b/>
                <w:bCs/>
                <w:sz w:val="18"/>
                <w:szCs w:val="18"/>
              </w:rPr>
              <w:t>Q16</w:t>
            </w:r>
          </w:p>
        </w:tc>
        <w:tc>
          <w:tcPr>
            <w:tcW w:w="2250" w:type="dxa"/>
            <w:hideMark/>
          </w:tcPr>
          <w:p w14:paraId="6726AC8E" w14:textId="77777777" w:rsidR="00D04C52" w:rsidRPr="00FF7DEA" w:rsidRDefault="00D04C52" w:rsidP="00B46744">
            <w:pPr>
              <w:rPr>
                <w:b/>
                <w:bCs/>
                <w:sz w:val="18"/>
                <w:szCs w:val="18"/>
              </w:rPr>
            </w:pPr>
            <w:r w:rsidRPr="00FF7DEA">
              <w:rPr>
                <w:b/>
                <w:bCs/>
                <w:sz w:val="18"/>
                <w:szCs w:val="18"/>
              </w:rPr>
              <w:t>If any of the results of the study were based on "data dredging", was this made clear?</w:t>
            </w:r>
          </w:p>
        </w:tc>
        <w:tc>
          <w:tcPr>
            <w:tcW w:w="630" w:type="dxa"/>
            <w:noWrap/>
            <w:hideMark/>
          </w:tcPr>
          <w:p w14:paraId="51B6A7C4" w14:textId="77777777" w:rsidR="00D04C52" w:rsidRPr="00FF7DEA" w:rsidRDefault="00D04C52" w:rsidP="00B46744">
            <w:pPr>
              <w:rPr>
                <w:sz w:val="18"/>
                <w:szCs w:val="18"/>
              </w:rPr>
            </w:pPr>
            <w:r w:rsidRPr="00FF7DEA">
              <w:rPr>
                <w:sz w:val="18"/>
                <w:szCs w:val="18"/>
              </w:rPr>
              <w:t>1</w:t>
            </w:r>
          </w:p>
        </w:tc>
        <w:tc>
          <w:tcPr>
            <w:tcW w:w="900" w:type="dxa"/>
            <w:noWrap/>
            <w:hideMark/>
          </w:tcPr>
          <w:p w14:paraId="674EDE6C" w14:textId="77777777" w:rsidR="00D04C52" w:rsidRPr="00FF7DEA" w:rsidRDefault="00D04C52" w:rsidP="00B46744">
            <w:pPr>
              <w:rPr>
                <w:sz w:val="18"/>
                <w:szCs w:val="18"/>
              </w:rPr>
            </w:pPr>
          </w:p>
        </w:tc>
        <w:tc>
          <w:tcPr>
            <w:tcW w:w="630" w:type="dxa"/>
            <w:gridSpan w:val="2"/>
            <w:noWrap/>
            <w:hideMark/>
          </w:tcPr>
          <w:p w14:paraId="57B7B55E" w14:textId="77777777" w:rsidR="00D04C52" w:rsidRPr="00FF7DEA" w:rsidRDefault="00D04C52" w:rsidP="00B46744">
            <w:pPr>
              <w:rPr>
                <w:sz w:val="18"/>
                <w:szCs w:val="18"/>
              </w:rPr>
            </w:pPr>
            <w:r w:rsidRPr="00FF7DEA">
              <w:rPr>
                <w:sz w:val="18"/>
                <w:szCs w:val="18"/>
              </w:rPr>
              <w:t>0</w:t>
            </w:r>
          </w:p>
        </w:tc>
        <w:tc>
          <w:tcPr>
            <w:tcW w:w="990" w:type="dxa"/>
            <w:noWrap/>
            <w:hideMark/>
          </w:tcPr>
          <w:p w14:paraId="3DB5B2B6" w14:textId="77777777" w:rsidR="00D04C52" w:rsidRPr="00FF7DEA" w:rsidRDefault="00D04C52" w:rsidP="00B46744">
            <w:pPr>
              <w:rPr>
                <w:sz w:val="18"/>
                <w:szCs w:val="18"/>
              </w:rPr>
            </w:pPr>
            <w:r w:rsidRPr="00FF7DEA">
              <w:rPr>
                <w:sz w:val="18"/>
                <w:szCs w:val="18"/>
              </w:rPr>
              <w:t>U</w:t>
            </w:r>
          </w:p>
        </w:tc>
        <w:tc>
          <w:tcPr>
            <w:tcW w:w="3960" w:type="dxa"/>
            <w:hideMark/>
          </w:tcPr>
          <w:p w14:paraId="7E95C89B" w14:textId="77777777" w:rsidR="00D04C52" w:rsidRPr="00FF7DEA" w:rsidRDefault="00D04C52" w:rsidP="00B46744">
            <w:pPr>
              <w:rPr>
                <w:sz w:val="18"/>
                <w:szCs w:val="18"/>
              </w:rPr>
            </w:pPr>
            <w:r w:rsidRPr="00FF7DEA">
              <w:rPr>
                <w:sz w:val="18"/>
                <w:szCs w:val="18"/>
              </w:rPr>
              <w:t>Any analyses that had not been planned at the outset of the study should be clearly indicated. If no retrospective unplanned subgroup analyses were reported, then answer yes. If at the beginning of the article, authors forewarned about exploratory analyses completed later on, mark yes.</w:t>
            </w:r>
          </w:p>
        </w:tc>
        <w:tc>
          <w:tcPr>
            <w:tcW w:w="2515" w:type="dxa"/>
            <w:hideMark/>
          </w:tcPr>
          <w:p w14:paraId="533DD001" w14:textId="77777777" w:rsidR="00D04C52" w:rsidRPr="00FF7DEA" w:rsidRDefault="00D04C52" w:rsidP="00B46744">
            <w:pPr>
              <w:rPr>
                <w:sz w:val="18"/>
                <w:szCs w:val="18"/>
              </w:rPr>
            </w:pPr>
            <w:r w:rsidRPr="00FF7DEA">
              <w:rPr>
                <w:sz w:val="18"/>
                <w:szCs w:val="18"/>
              </w:rPr>
              <w:t>If exploratory analyses and lots of subgroup analyses were conducted in exploratory fashion, were the authors clear about this in the title and overall study objectives?</w:t>
            </w:r>
          </w:p>
        </w:tc>
      </w:tr>
      <w:tr w:rsidR="00D04C52" w:rsidRPr="00FF7DEA" w14:paraId="15E5826C" w14:textId="77777777" w:rsidTr="00B46744">
        <w:trPr>
          <w:trHeight w:val="1883"/>
        </w:trPr>
        <w:tc>
          <w:tcPr>
            <w:tcW w:w="1075" w:type="dxa"/>
            <w:noWrap/>
            <w:hideMark/>
          </w:tcPr>
          <w:p w14:paraId="0A72F1BD" w14:textId="77777777" w:rsidR="00D04C52" w:rsidRPr="00FF7DEA" w:rsidRDefault="00D04C52" w:rsidP="00B46744">
            <w:pPr>
              <w:rPr>
                <w:b/>
                <w:bCs/>
                <w:sz w:val="18"/>
                <w:szCs w:val="18"/>
              </w:rPr>
            </w:pPr>
            <w:r w:rsidRPr="00FF7DEA">
              <w:rPr>
                <w:b/>
                <w:bCs/>
                <w:sz w:val="18"/>
                <w:szCs w:val="18"/>
              </w:rPr>
              <w:t>Q17</w:t>
            </w:r>
          </w:p>
        </w:tc>
        <w:tc>
          <w:tcPr>
            <w:tcW w:w="2250" w:type="dxa"/>
            <w:hideMark/>
          </w:tcPr>
          <w:p w14:paraId="76B09E13" w14:textId="77777777" w:rsidR="00D04C52" w:rsidRPr="00FF7DEA" w:rsidRDefault="00D04C52" w:rsidP="00B46744">
            <w:pPr>
              <w:rPr>
                <w:b/>
                <w:bCs/>
                <w:sz w:val="18"/>
                <w:szCs w:val="18"/>
              </w:rPr>
            </w:pPr>
            <w:r w:rsidRPr="00FF7DEA">
              <w:rPr>
                <w:b/>
                <w:bCs/>
                <w:sz w:val="18"/>
                <w:szCs w:val="18"/>
              </w:rPr>
              <w:t xml:space="preserve">In trials and cohort studies, do the analyses adjust for different lengths of follow-up of patients, or in case-control studies, is the time period between the intervention (exposure) and outcome </w:t>
            </w:r>
            <w:r>
              <w:rPr>
                <w:b/>
                <w:bCs/>
                <w:sz w:val="18"/>
                <w:szCs w:val="18"/>
              </w:rPr>
              <w:t>the same for cases and controls</w:t>
            </w:r>
            <w:r w:rsidRPr="00FF7DEA">
              <w:rPr>
                <w:b/>
                <w:bCs/>
                <w:sz w:val="18"/>
                <w:szCs w:val="18"/>
              </w:rPr>
              <w:t>?</w:t>
            </w:r>
          </w:p>
        </w:tc>
        <w:tc>
          <w:tcPr>
            <w:tcW w:w="630" w:type="dxa"/>
            <w:noWrap/>
            <w:hideMark/>
          </w:tcPr>
          <w:p w14:paraId="70AD2481" w14:textId="77777777" w:rsidR="00D04C52" w:rsidRPr="00FF7DEA" w:rsidRDefault="00D04C52" w:rsidP="00B46744">
            <w:pPr>
              <w:rPr>
                <w:sz w:val="18"/>
                <w:szCs w:val="18"/>
              </w:rPr>
            </w:pPr>
            <w:r w:rsidRPr="00FF7DEA">
              <w:rPr>
                <w:sz w:val="18"/>
                <w:szCs w:val="18"/>
              </w:rPr>
              <w:t>1</w:t>
            </w:r>
          </w:p>
        </w:tc>
        <w:tc>
          <w:tcPr>
            <w:tcW w:w="900" w:type="dxa"/>
            <w:noWrap/>
            <w:hideMark/>
          </w:tcPr>
          <w:p w14:paraId="3D5E4E64" w14:textId="77777777" w:rsidR="00D04C52" w:rsidRPr="00FF7DEA" w:rsidRDefault="00D04C52" w:rsidP="00B46744">
            <w:pPr>
              <w:rPr>
                <w:sz w:val="18"/>
                <w:szCs w:val="18"/>
              </w:rPr>
            </w:pPr>
          </w:p>
        </w:tc>
        <w:tc>
          <w:tcPr>
            <w:tcW w:w="630" w:type="dxa"/>
            <w:gridSpan w:val="2"/>
            <w:noWrap/>
            <w:hideMark/>
          </w:tcPr>
          <w:p w14:paraId="65F230F6" w14:textId="77777777" w:rsidR="00D04C52" w:rsidRPr="00FF7DEA" w:rsidRDefault="00D04C52" w:rsidP="00B46744">
            <w:pPr>
              <w:rPr>
                <w:sz w:val="18"/>
                <w:szCs w:val="18"/>
              </w:rPr>
            </w:pPr>
            <w:r w:rsidRPr="00FF7DEA">
              <w:rPr>
                <w:sz w:val="18"/>
                <w:szCs w:val="18"/>
              </w:rPr>
              <w:t>0</w:t>
            </w:r>
          </w:p>
        </w:tc>
        <w:tc>
          <w:tcPr>
            <w:tcW w:w="990" w:type="dxa"/>
            <w:noWrap/>
            <w:hideMark/>
          </w:tcPr>
          <w:p w14:paraId="174D3705" w14:textId="77777777" w:rsidR="00D04C52" w:rsidRPr="00FF7DEA" w:rsidRDefault="00D04C52" w:rsidP="00B46744">
            <w:pPr>
              <w:rPr>
                <w:sz w:val="18"/>
                <w:szCs w:val="18"/>
              </w:rPr>
            </w:pPr>
            <w:r w:rsidRPr="00FF7DEA">
              <w:rPr>
                <w:sz w:val="18"/>
                <w:szCs w:val="18"/>
              </w:rPr>
              <w:t>U</w:t>
            </w:r>
          </w:p>
        </w:tc>
        <w:tc>
          <w:tcPr>
            <w:tcW w:w="3960" w:type="dxa"/>
            <w:hideMark/>
          </w:tcPr>
          <w:p w14:paraId="084472A4" w14:textId="77777777" w:rsidR="00D04C52" w:rsidRPr="00FF7DEA" w:rsidRDefault="00D04C52" w:rsidP="00B46744">
            <w:pPr>
              <w:rPr>
                <w:sz w:val="18"/>
                <w:szCs w:val="18"/>
              </w:rPr>
            </w:pPr>
            <w:r w:rsidRPr="00FF7DEA">
              <w:rPr>
                <w:sz w:val="18"/>
                <w:szCs w:val="18"/>
              </w:rPr>
              <w:t xml:space="preserve">Where follow-up was the same for all study patients the answer should yes. If different lengths of follow-up were adjusted for by, for example, survival analysis the answer should be yes. Studies where differences in follow-up are ignored should be answered no. Cross sectional study designs should be marked yes. </w:t>
            </w:r>
          </w:p>
        </w:tc>
        <w:tc>
          <w:tcPr>
            <w:tcW w:w="2515" w:type="dxa"/>
            <w:noWrap/>
            <w:hideMark/>
          </w:tcPr>
          <w:p w14:paraId="44EEBD6B" w14:textId="77777777" w:rsidR="00D04C52" w:rsidRPr="00FF7DEA" w:rsidRDefault="00D04C52" w:rsidP="00B46744">
            <w:pPr>
              <w:rPr>
                <w:sz w:val="18"/>
                <w:szCs w:val="18"/>
              </w:rPr>
            </w:pPr>
          </w:p>
        </w:tc>
      </w:tr>
      <w:tr w:rsidR="00D04C52" w:rsidRPr="00FF7DEA" w14:paraId="1B029198" w14:textId="77777777" w:rsidTr="00B46744">
        <w:trPr>
          <w:trHeight w:val="2243"/>
        </w:trPr>
        <w:tc>
          <w:tcPr>
            <w:tcW w:w="1075" w:type="dxa"/>
            <w:noWrap/>
            <w:hideMark/>
          </w:tcPr>
          <w:p w14:paraId="20C926D4" w14:textId="77777777" w:rsidR="00D04C52" w:rsidRPr="00FF7DEA" w:rsidRDefault="00D04C52" w:rsidP="00B46744">
            <w:pPr>
              <w:rPr>
                <w:b/>
                <w:bCs/>
                <w:sz w:val="18"/>
                <w:szCs w:val="18"/>
              </w:rPr>
            </w:pPr>
            <w:r w:rsidRPr="00FF7DEA">
              <w:rPr>
                <w:b/>
                <w:bCs/>
                <w:sz w:val="18"/>
                <w:szCs w:val="18"/>
              </w:rPr>
              <w:t>Q18</w:t>
            </w:r>
          </w:p>
        </w:tc>
        <w:tc>
          <w:tcPr>
            <w:tcW w:w="2250" w:type="dxa"/>
            <w:hideMark/>
          </w:tcPr>
          <w:p w14:paraId="5FE35254" w14:textId="77777777" w:rsidR="00D04C52" w:rsidRPr="00FF7DEA" w:rsidRDefault="00D04C52" w:rsidP="00B46744">
            <w:pPr>
              <w:rPr>
                <w:b/>
                <w:bCs/>
                <w:sz w:val="18"/>
                <w:szCs w:val="18"/>
              </w:rPr>
            </w:pPr>
            <w:r w:rsidRPr="00FF7DEA">
              <w:rPr>
                <w:b/>
                <w:bCs/>
                <w:sz w:val="18"/>
                <w:szCs w:val="18"/>
              </w:rPr>
              <w:t>Were the statistical tests used to assess the main outcomes appropriate?</w:t>
            </w:r>
          </w:p>
        </w:tc>
        <w:tc>
          <w:tcPr>
            <w:tcW w:w="630" w:type="dxa"/>
            <w:noWrap/>
            <w:hideMark/>
          </w:tcPr>
          <w:p w14:paraId="2EDA4D03" w14:textId="77777777" w:rsidR="00D04C52" w:rsidRPr="00FF7DEA" w:rsidRDefault="00D04C52" w:rsidP="00B46744">
            <w:pPr>
              <w:rPr>
                <w:sz w:val="18"/>
                <w:szCs w:val="18"/>
              </w:rPr>
            </w:pPr>
            <w:r w:rsidRPr="00FF7DEA">
              <w:rPr>
                <w:sz w:val="18"/>
                <w:szCs w:val="18"/>
              </w:rPr>
              <w:t>1</w:t>
            </w:r>
          </w:p>
        </w:tc>
        <w:tc>
          <w:tcPr>
            <w:tcW w:w="900" w:type="dxa"/>
            <w:noWrap/>
            <w:hideMark/>
          </w:tcPr>
          <w:p w14:paraId="07C94688" w14:textId="77777777" w:rsidR="00D04C52" w:rsidRPr="00FF7DEA" w:rsidRDefault="00D04C52" w:rsidP="00B46744">
            <w:pPr>
              <w:rPr>
                <w:sz w:val="18"/>
                <w:szCs w:val="18"/>
              </w:rPr>
            </w:pPr>
          </w:p>
        </w:tc>
        <w:tc>
          <w:tcPr>
            <w:tcW w:w="630" w:type="dxa"/>
            <w:gridSpan w:val="2"/>
            <w:noWrap/>
            <w:hideMark/>
          </w:tcPr>
          <w:p w14:paraId="4FA38C19" w14:textId="77777777" w:rsidR="00D04C52" w:rsidRPr="00FF7DEA" w:rsidRDefault="00D04C52" w:rsidP="00B46744">
            <w:pPr>
              <w:rPr>
                <w:sz w:val="18"/>
                <w:szCs w:val="18"/>
              </w:rPr>
            </w:pPr>
            <w:r w:rsidRPr="00FF7DEA">
              <w:rPr>
                <w:sz w:val="18"/>
                <w:szCs w:val="18"/>
              </w:rPr>
              <w:t>0</w:t>
            </w:r>
          </w:p>
        </w:tc>
        <w:tc>
          <w:tcPr>
            <w:tcW w:w="990" w:type="dxa"/>
            <w:noWrap/>
            <w:hideMark/>
          </w:tcPr>
          <w:p w14:paraId="504279DE" w14:textId="77777777" w:rsidR="00D04C52" w:rsidRPr="00FF7DEA" w:rsidRDefault="00D04C52" w:rsidP="00B46744">
            <w:pPr>
              <w:rPr>
                <w:sz w:val="18"/>
                <w:szCs w:val="18"/>
              </w:rPr>
            </w:pPr>
            <w:r w:rsidRPr="00FF7DEA">
              <w:rPr>
                <w:sz w:val="18"/>
                <w:szCs w:val="18"/>
              </w:rPr>
              <w:t>U</w:t>
            </w:r>
          </w:p>
        </w:tc>
        <w:tc>
          <w:tcPr>
            <w:tcW w:w="3960" w:type="dxa"/>
            <w:hideMark/>
          </w:tcPr>
          <w:p w14:paraId="214A0ADF" w14:textId="77777777" w:rsidR="00D04C52" w:rsidRPr="00FF7DEA" w:rsidRDefault="00D04C52" w:rsidP="00B46744">
            <w:pPr>
              <w:rPr>
                <w:sz w:val="18"/>
                <w:szCs w:val="18"/>
              </w:rPr>
            </w:pPr>
            <w:r w:rsidRPr="00FF7DEA">
              <w:rPr>
                <w:sz w:val="18"/>
                <w:szCs w:val="18"/>
              </w:rPr>
              <w:t xml:space="preserve">The statistical techniques used must be appropriate to the data. For </w:t>
            </w:r>
            <w:r w:rsidR="002070E0" w:rsidRPr="00FF7DEA">
              <w:rPr>
                <w:sz w:val="18"/>
                <w:szCs w:val="18"/>
              </w:rPr>
              <w:t>example,</w:t>
            </w:r>
            <w:r w:rsidRPr="00FF7DEA">
              <w:rPr>
                <w:sz w:val="18"/>
                <w:szCs w:val="18"/>
              </w:rPr>
              <w:t xml:space="preserve"> nonparametric methods should be used for small sample sizes. Where little statistical analysis has been undertaken but where there is no evidence of bias, the question should be answered yes. If the distribution of the data (normal or not) is not described it must be assumed that the estimates used were appropriate and the question should be answered yes (vast majority of cases). </w:t>
            </w:r>
          </w:p>
        </w:tc>
        <w:tc>
          <w:tcPr>
            <w:tcW w:w="2515" w:type="dxa"/>
            <w:hideMark/>
          </w:tcPr>
          <w:p w14:paraId="308FE2F5" w14:textId="77777777" w:rsidR="00D04C52" w:rsidRPr="00FF7DEA" w:rsidRDefault="00D04C52" w:rsidP="00B46744">
            <w:pPr>
              <w:rPr>
                <w:sz w:val="18"/>
                <w:szCs w:val="18"/>
              </w:rPr>
            </w:pPr>
            <w:r w:rsidRPr="00FF7DEA">
              <w:rPr>
                <w:sz w:val="18"/>
                <w:szCs w:val="18"/>
              </w:rPr>
              <w:t>If the reasoning behind the statistical methods used is explained, choose yes.</w:t>
            </w:r>
          </w:p>
        </w:tc>
      </w:tr>
      <w:tr w:rsidR="00D04C52" w:rsidRPr="00FF7DEA" w14:paraId="50CBD3EE" w14:textId="77777777" w:rsidTr="00B46744">
        <w:trPr>
          <w:trHeight w:val="2700"/>
        </w:trPr>
        <w:tc>
          <w:tcPr>
            <w:tcW w:w="1075" w:type="dxa"/>
            <w:noWrap/>
            <w:hideMark/>
          </w:tcPr>
          <w:p w14:paraId="4C983DB9" w14:textId="77777777" w:rsidR="00D04C52" w:rsidRPr="00FF7DEA" w:rsidRDefault="00D04C52" w:rsidP="00B46744">
            <w:pPr>
              <w:rPr>
                <w:b/>
                <w:bCs/>
                <w:sz w:val="18"/>
                <w:szCs w:val="18"/>
              </w:rPr>
            </w:pPr>
            <w:r w:rsidRPr="00FF7DEA">
              <w:rPr>
                <w:b/>
                <w:bCs/>
                <w:sz w:val="18"/>
                <w:szCs w:val="18"/>
              </w:rPr>
              <w:lastRenderedPageBreak/>
              <w:t>Q19</w:t>
            </w:r>
          </w:p>
        </w:tc>
        <w:tc>
          <w:tcPr>
            <w:tcW w:w="2250" w:type="dxa"/>
            <w:hideMark/>
          </w:tcPr>
          <w:p w14:paraId="0784C351" w14:textId="77777777" w:rsidR="00D04C52" w:rsidRPr="00FF7DEA" w:rsidRDefault="00D04C52" w:rsidP="00B46744">
            <w:pPr>
              <w:rPr>
                <w:b/>
                <w:bCs/>
                <w:sz w:val="18"/>
                <w:szCs w:val="18"/>
              </w:rPr>
            </w:pPr>
            <w:r w:rsidRPr="00FF7DEA">
              <w:rPr>
                <w:b/>
                <w:bCs/>
                <w:sz w:val="18"/>
                <w:szCs w:val="18"/>
              </w:rPr>
              <w:t>Was compliance with the intervention/s reliable?</w:t>
            </w:r>
          </w:p>
        </w:tc>
        <w:tc>
          <w:tcPr>
            <w:tcW w:w="630" w:type="dxa"/>
            <w:noWrap/>
            <w:hideMark/>
          </w:tcPr>
          <w:p w14:paraId="0B45BD7D" w14:textId="77777777" w:rsidR="00D04C52" w:rsidRPr="00FF7DEA" w:rsidRDefault="00D04C52" w:rsidP="00B46744">
            <w:pPr>
              <w:rPr>
                <w:sz w:val="18"/>
                <w:szCs w:val="18"/>
              </w:rPr>
            </w:pPr>
            <w:r w:rsidRPr="00FF7DEA">
              <w:rPr>
                <w:sz w:val="18"/>
                <w:szCs w:val="18"/>
              </w:rPr>
              <w:t>1</w:t>
            </w:r>
          </w:p>
        </w:tc>
        <w:tc>
          <w:tcPr>
            <w:tcW w:w="900" w:type="dxa"/>
            <w:noWrap/>
            <w:hideMark/>
          </w:tcPr>
          <w:p w14:paraId="0D832DB2" w14:textId="77777777" w:rsidR="00D04C52" w:rsidRPr="00FF7DEA" w:rsidRDefault="00D04C52" w:rsidP="00B46744">
            <w:pPr>
              <w:rPr>
                <w:sz w:val="18"/>
                <w:szCs w:val="18"/>
              </w:rPr>
            </w:pPr>
          </w:p>
        </w:tc>
        <w:tc>
          <w:tcPr>
            <w:tcW w:w="630" w:type="dxa"/>
            <w:gridSpan w:val="2"/>
            <w:noWrap/>
            <w:hideMark/>
          </w:tcPr>
          <w:p w14:paraId="7C7CAB80" w14:textId="77777777" w:rsidR="00D04C52" w:rsidRPr="00FF7DEA" w:rsidRDefault="00D04C52" w:rsidP="00B46744">
            <w:pPr>
              <w:rPr>
                <w:sz w:val="18"/>
                <w:szCs w:val="18"/>
              </w:rPr>
            </w:pPr>
            <w:r w:rsidRPr="00FF7DEA">
              <w:rPr>
                <w:sz w:val="18"/>
                <w:szCs w:val="18"/>
              </w:rPr>
              <w:t>0</w:t>
            </w:r>
          </w:p>
        </w:tc>
        <w:tc>
          <w:tcPr>
            <w:tcW w:w="990" w:type="dxa"/>
            <w:noWrap/>
            <w:hideMark/>
          </w:tcPr>
          <w:p w14:paraId="55CC4349" w14:textId="77777777" w:rsidR="00D04C52" w:rsidRPr="00FF7DEA" w:rsidRDefault="00D04C52" w:rsidP="00B46744">
            <w:pPr>
              <w:rPr>
                <w:sz w:val="18"/>
                <w:szCs w:val="18"/>
              </w:rPr>
            </w:pPr>
            <w:r w:rsidRPr="00FF7DEA">
              <w:rPr>
                <w:sz w:val="18"/>
                <w:szCs w:val="18"/>
              </w:rPr>
              <w:t>U</w:t>
            </w:r>
          </w:p>
        </w:tc>
        <w:tc>
          <w:tcPr>
            <w:tcW w:w="3960" w:type="dxa"/>
            <w:hideMark/>
          </w:tcPr>
          <w:p w14:paraId="183E360B" w14:textId="77777777" w:rsidR="00D04C52" w:rsidRPr="00FF7DEA" w:rsidRDefault="00D04C52" w:rsidP="00B46744">
            <w:pPr>
              <w:rPr>
                <w:sz w:val="18"/>
                <w:szCs w:val="18"/>
              </w:rPr>
            </w:pPr>
            <w:r w:rsidRPr="00FF7DEA">
              <w:rPr>
                <w:sz w:val="18"/>
                <w:szCs w:val="18"/>
              </w:rPr>
              <w:t>Where there was non</w:t>
            </w:r>
            <w:r>
              <w:rPr>
                <w:sz w:val="18"/>
                <w:szCs w:val="18"/>
              </w:rPr>
              <w:t>-</w:t>
            </w:r>
            <w:r w:rsidRPr="00FF7DEA">
              <w:rPr>
                <w:sz w:val="18"/>
                <w:szCs w:val="18"/>
              </w:rPr>
              <w:t>compliance with the allocated treatment or where there was contamination of one group, the question should be answered no. For studies where the effect of any misclassification was likely to bias any association to the null, the question should be answered yes.</w:t>
            </w:r>
            <w:r w:rsidR="00A40A4C">
              <w:rPr>
                <w:sz w:val="18"/>
                <w:szCs w:val="18"/>
              </w:rPr>
              <w:t xml:space="preserve"> </w:t>
            </w:r>
          </w:p>
        </w:tc>
        <w:tc>
          <w:tcPr>
            <w:tcW w:w="2515" w:type="dxa"/>
            <w:hideMark/>
          </w:tcPr>
          <w:p w14:paraId="25ABF467" w14:textId="77777777" w:rsidR="00D04C52" w:rsidRPr="00FF7DEA" w:rsidRDefault="00D04C52" w:rsidP="00B46744">
            <w:pPr>
              <w:rPr>
                <w:sz w:val="18"/>
                <w:szCs w:val="18"/>
              </w:rPr>
            </w:pPr>
            <w:r w:rsidRPr="00FF7DEA">
              <w:rPr>
                <w:sz w:val="18"/>
                <w:szCs w:val="18"/>
              </w:rPr>
              <w:t>For observational studies, can we reasonably rule out differential exposure misclassification?</w:t>
            </w:r>
            <w:r w:rsidRPr="00FF7DEA">
              <w:rPr>
                <w:sz w:val="18"/>
                <w:szCs w:val="18"/>
              </w:rPr>
              <w:br/>
            </w:r>
            <w:r w:rsidRPr="00FF7DEA">
              <w:rPr>
                <w:sz w:val="18"/>
                <w:szCs w:val="18"/>
              </w:rPr>
              <w:br/>
              <w:t>Studies in which authors mention they believe there was no differential exposure misclassification or self</w:t>
            </w:r>
            <w:r>
              <w:rPr>
                <w:sz w:val="18"/>
                <w:szCs w:val="18"/>
              </w:rPr>
              <w:t>-</w:t>
            </w:r>
            <w:r w:rsidRPr="00FF7DEA">
              <w:rPr>
                <w:sz w:val="18"/>
                <w:szCs w:val="18"/>
              </w:rPr>
              <w:t xml:space="preserve">report is verified through biochemical measures, mark yes. </w:t>
            </w:r>
          </w:p>
        </w:tc>
      </w:tr>
      <w:tr w:rsidR="00D04C52" w:rsidRPr="00FF7DEA" w14:paraId="33B26537" w14:textId="77777777" w:rsidTr="002070E0">
        <w:trPr>
          <w:trHeight w:val="1619"/>
        </w:trPr>
        <w:tc>
          <w:tcPr>
            <w:tcW w:w="1075" w:type="dxa"/>
            <w:noWrap/>
            <w:hideMark/>
          </w:tcPr>
          <w:p w14:paraId="368E3A5D" w14:textId="77777777" w:rsidR="00D04C52" w:rsidRPr="00FF7DEA" w:rsidRDefault="00D04C52" w:rsidP="00B46744">
            <w:pPr>
              <w:rPr>
                <w:b/>
                <w:bCs/>
                <w:sz w:val="18"/>
                <w:szCs w:val="18"/>
              </w:rPr>
            </w:pPr>
            <w:r w:rsidRPr="00FF7DEA">
              <w:rPr>
                <w:b/>
                <w:bCs/>
                <w:sz w:val="18"/>
                <w:szCs w:val="18"/>
              </w:rPr>
              <w:t>Q20</w:t>
            </w:r>
          </w:p>
        </w:tc>
        <w:tc>
          <w:tcPr>
            <w:tcW w:w="2250" w:type="dxa"/>
            <w:hideMark/>
          </w:tcPr>
          <w:p w14:paraId="0961C0A7" w14:textId="77777777" w:rsidR="00D04C52" w:rsidRPr="00FF7DEA" w:rsidRDefault="00D04C52" w:rsidP="00B46744">
            <w:pPr>
              <w:rPr>
                <w:b/>
                <w:bCs/>
                <w:sz w:val="18"/>
                <w:szCs w:val="18"/>
              </w:rPr>
            </w:pPr>
            <w:r w:rsidRPr="00FF7DEA">
              <w:rPr>
                <w:b/>
                <w:bCs/>
                <w:sz w:val="18"/>
                <w:szCs w:val="18"/>
              </w:rPr>
              <w:t>Were the main outcome measures used accurate (valid and reliable)?</w:t>
            </w:r>
          </w:p>
        </w:tc>
        <w:tc>
          <w:tcPr>
            <w:tcW w:w="630" w:type="dxa"/>
            <w:noWrap/>
            <w:hideMark/>
          </w:tcPr>
          <w:p w14:paraId="0628895C" w14:textId="77777777" w:rsidR="00D04C52" w:rsidRPr="00FF7DEA" w:rsidRDefault="00D04C52" w:rsidP="00B46744">
            <w:pPr>
              <w:rPr>
                <w:sz w:val="18"/>
                <w:szCs w:val="18"/>
              </w:rPr>
            </w:pPr>
            <w:r w:rsidRPr="00FF7DEA">
              <w:rPr>
                <w:sz w:val="18"/>
                <w:szCs w:val="18"/>
              </w:rPr>
              <w:t>1</w:t>
            </w:r>
          </w:p>
        </w:tc>
        <w:tc>
          <w:tcPr>
            <w:tcW w:w="900" w:type="dxa"/>
            <w:noWrap/>
            <w:hideMark/>
          </w:tcPr>
          <w:p w14:paraId="5C2A34DC" w14:textId="77777777" w:rsidR="00D04C52" w:rsidRPr="00FF7DEA" w:rsidRDefault="00D04C52" w:rsidP="00B46744">
            <w:pPr>
              <w:rPr>
                <w:sz w:val="18"/>
                <w:szCs w:val="18"/>
              </w:rPr>
            </w:pPr>
          </w:p>
        </w:tc>
        <w:tc>
          <w:tcPr>
            <w:tcW w:w="630" w:type="dxa"/>
            <w:gridSpan w:val="2"/>
            <w:noWrap/>
            <w:hideMark/>
          </w:tcPr>
          <w:p w14:paraId="5A3ABCBA" w14:textId="77777777" w:rsidR="00D04C52" w:rsidRPr="00FF7DEA" w:rsidRDefault="00D04C52" w:rsidP="00B46744">
            <w:pPr>
              <w:rPr>
                <w:sz w:val="18"/>
                <w:szCs w:val="18"/>
              </w:rPr>
            </w:pPr>
            <w:r w:rsidRPr="00FF7DEA">
              <w:rPr>
                <w:sz w:val="18"/>
                <w:szCs w:val="18"/>
              </w:rPr>
              <w:t>0</w:t>
            </w:r>
          </w:p>
        </w:tc>
        <w:tc>
          <w:tcPr>
            <w:tcW w:w="990" w:type="dxa"/>
            <w:noWrap/>
            <w:hideMark/>
          </w:tcPr>
          <w:p w14:paraId="1A671F7D" w14:textId="77777777" w:rsidR="00D04C52" w:rsidRPr="00FF7DEA" w:rsidRDefault="00D04C52" w:rsidP="00B46744">
            <w:pPr>
              <w:rPr>
                <w:sz w:val="18"/>
                <w:szCs w:val="18"/>
              </w:rPr>
            </w:pPr>
            <w:r w:rsidRPr="00FF7DEA">
              <w:rPr>
                <w:sz w:val="18"/>
                <w:szCs w:val="18"/>
              </w:rPr>
              <w:t>U</w:t>
            </w:r>
          </w:p>
        </w:tc>
        <w:tc>
          <w:tcPr>
            <w:tcW w:w="3960" w:type="dxa"/>
            <w:hideMark/>
          </w:tcPr>
          <w:p w14:paraId="012FB1D1" w14:textId="77777777" w:rsidR="00D04C52" w:rsidRPr="00FF7DEA" w:rsidRDefault="00D04C52" w:rsidP="00B46744">
            <w:pPr>
              <w:rPr>
                <w:sz w:val="18"/>
                <w:szCs w:val="18"/>
              </w:rPr>
            </w:pPr>
            <w:r w:rsidRPr="00FF7DEA">
              <w:rPr>
                <w:sz w:val="18"/>
                <w:szCs w:val="18"/>
              </w:rPr>
              <w:t>For studies where the outcome measures are clearly described, the question should be answered yes. For studies which refer to other work or that demonstrates the outcome measures are accurate, the question should be answered as yes.</w:t>
            </w:r>
          </w:p>
        </w:tc>
        <w:tc>
          <w:tcPr>
            <w:tcW w:w="2515" w:type="dxa"/>
            <w:hideMark/>
          </w:tcPr>
          <w:p w14:paraId="1DC54345" w14:textId="77777777" w:rsidR="00D04C52" w:rsidRPr="00FF7DEA" w:rsidRDefault="00D04C52" w:rsidP="00B46744">
            <w:pPr>
              <w:rPr>
                <w:sz w:val="18"/>
                <w:szCs w:val="18"/>
              </w:rPr>
            </w:pPr>
            <w:r w:rsidRPr="00FF7DEA">
              <w:rPr>
                <w:sz w:val="18"/>
                <w:szCs w:val="18"/>
              </w:rPr>
              <w:t>A validated scale based on self-reported questions, mark yes. If most of the measures taken are taken through uses of validated scales, but there are a few non-essential self</w:t>
            </w:r>
            <w:r>
              <w:rPr>
                <w:sz w:val="18"/>
                <w:szCs w:val="18"/>
              </w:rPr>
              <w:t>-</w:t>
            </w:r>
            <w:r w:rsidRPr="00FF7DEA">
              <w:rPr>
                <w:sz w:val="18"/>
                <w:szCs w:val="18"/>
              </w:rPr>
              <w:t xml:space="preserve">reported questions, mark yes. </w:t>
            </w:r>
          </w:p>
        </w:tc>
      </w:tr>
      <w:tr w:rsidR="00D04C52" w:rsidRPr="00FF7DEA" w14:paraId="4BDD749F" w14:textId="77777777" w:rsidTr="00B46744">
        <w:trPr>
          <w:trHeight w:val="1849"/>
        </w:trPr>
        <w:tc>
          <w:tcPr>
            <w:tcW w:w="1075" w:type="dxa"/>
            <w:noWrap/>
            <w:hideMark/>
          </w:tcPr>
          <w:p w14:paraId="5DE1C855" w14:textId="77777777" w:rsidR="00D04C52" w:rsidRPr="00FF7DEA" w:rsidRDefault="00D04C52" w:rsidP="00B46744">
            <w:pPr>
              <w:rPr>
                <w:b/>
                <w:bCs/>
                <w:sz w:val="18"/>
                <w:szCs w:val="18"/>
              </w:rPr>
            </w:pPr>
            <w:r w:rsidRPr="00FF7DEA">
              <w:rPr>
                <w:b/>
                <w:bCs/>
                <w:sz w:val="18"/>
                <w:szCs w:val="18"/>
              </w:rPr>
              <w:t>Q21</w:t>
            </w:r>
          </w:p>
        </w:tc>
        <w:tc>
          <w:tcPr>
            <w:tcW w:w="2250" w:type="dxa"/>
            <w:hideMark/>
          </w:tcPr>
          <w:p w14:paraId="39CF42CD" w14:textId="77777777" w:rsidR="00D04C52" w:rsidRPr="00FF7DEA" w:rsidRDefault="00D04C52" w:rsidP="00B46744">
            <w:pPr>
              <w:rPr>
                <w:b/>
                <w:bCs/>
                <w:sz w:val="18"/>
                <w:szCs w:val="18"/>
              </w:rPr>
            </w:pPr>
            <w:r w:rsidRPr="00FF7DEA">
              <w:rPr>
                <w:b/>
                <w:bCs/>
                <w:sz w:val="18"/>
                <w:szCs w:val="18"/>
              </w:rPr>
              <w:t>Were the patients in different intervention groups (trials and cohort studies) or were the cases and controls (case-control studies) recruited from the same population?</w:t>
            </w:r>
          </w:p>
        </w:tc>
        <w:tc>
          <w:tcPr>
            <w:tcW w:w="630" w:type="dxa"/>
            <w:noWrap/>
            <w:hideMark/>
          </w:tcPr>
          <w:p w14:paraId="5F42936E" w14:textId="77777777" w:rsidR="00D04C52" w:rsidRPr="00FF7DEA" w:rsidRDefault="00D04C52" w:rsidP="00B46744">
            <w:pPr>
              <w:rPr>
                <w:sz w:val="18"/>
                <w:szCs w:val="18"/>
              </w:rPr>
            </w:pPr>
            <w:r w:rsidRPr="00FF7DEA">
              <w:rPr>
                <w:sz w:val="18"/>
                <w:szCs w:val="18"/>
              </w:rPr>
              <w:t>1</w:t>
            </w:r>
          </w:p>
        </w:tc>
        <w:tc>
          <w:tcPr>
            <w:tcW w:w="900" w:type="dxa"/>
            <w:noWrap/>
            <w:hideMark/>
          </w:tcPr>
          <w:p w14:paraId="181EBE73" w14:textId="77777777" w:rsidR="00D04C52" w:rsidRPr="00FF7DEA" w:rsidRDefault="00D04C52" w:rsidP="00B46744">
            <w:pPr>
              <w:rPr>
                <w:sz w:val="18"/>
                <w:szCs w:val="18"/>
              </w:rPr>
            </w:pPr>
          </w:p>
        </w:tc>
        <w:tc>
          <w:tcPr>
            <w:tcW w:w="630" w:type="dxa"/>
            <w:gridSpan w:val="2"/>
            <w:noWrap/>
            <w:hideMark/>
          </w:tcPr>
          <w:p w14:paraId="6E7D134C" w14:textId="77777777" w:rsidR="00D04C52" w:rsidRPr="00FF7DEA" w:rsidRDefault="00D04C52" w:rsidP="00B46744">
            <w:pPr>
              <w:rPr>
                <w:sz w:val="18"/>
                <w:szCs w:val="18"/>
              </w:rPr>
            </w:pPr>
            <w:r w:rsidRPr="00FF7DEA">
              <w:rPr>
                <w:sz w:val="18"/>
                <w:szCs w:val="18"/>
              </w:rPr>
              <w:t>0</w:t>
            </w:r>
          </w:p>
        </w:tc>
        <w:tc>
          <w:tcPr>
            <w:tcW w:w="990" w:type="dxa"/>
            <w:noWrap/>
            <w:hideMark/>
          </w:tcPr>
          <w:p w14:paraId="4F5A3C6D" w14:textId="77777777" w:rsidR="00D04C52" w:rsidRPr="00FF7DEA" w:rsidRDefault="00D04C52" w:rsidP="00B46744">
            <w:pPr>
              <w:rPr>
                <w:sz w:val="18"/>
                <w:szCs w:val="18"/>
              </w:rPr>
            </w:pPr>
            <w:r w:rsidRPr="00FF7DEA">
              <w:rPr>
                <w:sz w:val="18"/>
                <w:szCs w:val="18"/>
              </w:rPr>
              <w:t>U</w:t>
            </w:r>
          </w:p>
        </w:tc>
        <w:tc>
          <w:tcPr>
            <w:tcW w:w="3960" w:type="dxa"/>
            <w:hideMark/>
          </w:tcPr>
          <w:p w14:paraId="53CCF824" w14:textId="77777777" w:rsidR="00D04C52" w:rsidRPr="00FF7DEA" w:rsidRDefault="00D04C52" w:rsidP="00B46744">
            <w:pPr>
              <w:rPr>
                <w:sz w:val="18"/>
                <w:szCs w:val="18"/>
              </w:rPr>
            </w:pPr>
            <w:r w:rsidRPr="00FF7DEA">
              <w:rPr>
                <w:sz w:val="18"/>
                <w:szCs w:val="18"/>
              </w:rPr>
              <w:t xml:space="preserve">For example, patients for all comparison groups should be selected from the same hospital. The question should be answered unable to determine for cohort and case- control studies where there is no information concerning the source of patients included in the study. In a secondary data analysis, if the source of the controls is not specifically mentioned, assume the controls are also taken from the same data. </w:t>
            </w:r>
          </w:p>
        </w:tc>
        <w:tc>
          <w:tcPr>
            <w:tcW w:w="2515" w:type="dxa"/>
            <w:noWrap/>
            <w:hideMark/>
          </w:tcPr>
          <w:p w14:paraId="79584F0C" w14:textId="77777777" w:rsidR="00D04C52" w:rsidRPr="00FF7DEA" w:rsidRDefault="00D04C52" w:rsidP="00B46744">
            <w:pPr>
              <w:rPr>
                <w:sz w:val="18"/>
                <w:szCs w:val="18"/>
              </w:rPr>
            </w:pPr>
          </w:p>
        </w:tc>
      </w:tr>
      <w:tr w:rsidR="00D04C52" w:rsidRPr="00FF7DEA" w14:paraId="19356687" w14:textId="77777777" w:rsidTr="00B46744">
        <w:trPr>
          <w:trHeight w:val="1680"/>
        </w:trPr>
        <w:tc>
          <w:tcPr>
            <w:tcW w:w="1075" w:type="dxa"/>
            <w:noWrap/>
            <w:hideMark/>
          </w:tcPr>
          <w:p w14:paraId="09CFDBF2" w14:textId="77777777" w:rsidR="00D04C52" w:rsidRPr="00FF7DEA" w:rsidRDefault="00D04C52" w:rsidP="00B46744">
            <w:pPr>
              <w:rPr>
                <w:b/>
                <w:bCs/>
                <w:sz w:val="18"/>
                <w:szCs w:val="18"/>
              </w:rPr>
            </w:pPr>
            <w:r w:rsidRPr="00FF7DEA">
              <w:rPr>
                <w:b/>
                <w:bCs/>
                <w:sz w:val="18"/>
                <w:szCs w:val="18"/>
              </w:rPr>
              <w:t>Q22</w:t>
            </w:r>
          </w:p>
        </w:tc>
        <w:tc>
          <w:tcPr>
            <w:tcW w:w="2250" w:type="dxa"/>
            <w:hideMark/>
          </w:tcPr>
          <w:p w14:paraId="063580C6" w14:textId="77777777" w:rsidR="00D04C52" w:rsidRPr="00FF7DEA" w:rsidRDefault="00D04C52" w:rsidP="00B46744">
            <w:pPr>
              <w:rPr>
                <w:b/>
                <w:bCs/>
                <w:sz w:val="18"/>
                <w:szCs w:val="18"/>
              </w:rPr>
            </w:pPr>
            <w:r w:rsidRPr="00FF7DEA">
              <w:rPr>
                <w:b/>
                <w:bCs/>
                <w:sz w:val="18"/>
                <w:szCs w:val="18"/>
              </w:rPr>
              <w:t xml:space="preserve">Were study subjects in different intervention groups (trials and cohort studies) or were the cases and </w:t>
            </w:r>
            <w:r>
              <w:rPr>
                <w:b/>
                <w:bCs/>
                <w:sz w:val="18"/>
                <w:szCs w:val="18"/>
              </w:rPr>
              <w:t xml:space="preserve">controls (case-control studies) </w:t>
            </w:r>
            <w:r w:rsidRPr="00FF7DEA">
              <w:rPr>
                <w:b/>
                <w:bCs/>
                <w:sz w:val="18"/>
                <w:szCs w:val="18"/>
              </w:rPr>
              <w:t>recruited over the same period of time?</w:t>
            </w:r>
          </w:p>
        </w:tc>
        <w:tc>
          <w:tcPr>
            <w:tcW w:w="630" w:type="dxa"/>
            <w:noWrap/>
            <w:hideMark/>
          </w:tcPr>
          <w:p w14:paraId="4D99E5B3" w14:textId="77777777" w:rsidR="00D04C52" w:rsidRPr="00FF7DEA" w:rsidRDefault="00D04C52" w:rsidP="00B46744">
            <w:pPr>
              <w:rPr>
                <w:sz w:val="18"/>
                <w:szCs w:val="18"/>
              </w:rPr>
            </w:pPr>
            <w:r w:rsidRPr="00FF7DEA">
              <w:rPr>
                <w:sz w:val="18"/>
                <w:szCs w:val="18"/>
              </w:rPr>
              <w:t>1</w:t>
            </w:r>
          </w:p>
        </w:tc>
        <w:tc>
          <w:tcPr>
            <w:tcW w:w="900" w:type="dxa"/>
            <w:noWrap/>
            <w:hideMark/>
          </w:tcPr>
          <w:p w14:paraId="240DDF97" w14:textId="77777777" w:rsidR="00D04C52" w:rsidRPr="00FF7DEA" w:rsidRDefault="00D04C52" w:rsidP="00B46744">
            <w:pPr>
              <w:rPr>
                <w:sz w:val="18"/>
                <w:szCs w:val="18"/>
              </w:rPr>
            </w:pPr>
          </w:p>
        </w:tc>
        <w:tc>
          <w:tcPr>
            <w:tcW w:w="630" w:type="dxa"/>
            <w:gridSpan w:val="2"/>
            <w:noWrap/>
            <w:hideMark/>
          </w:tcPr>
          <w:p w14:paraId="43477C59" w14:textId="77777777" w:rsidR="00D04C52" w:rsidRPr="00FF7DEA" w:rsidRDefault="00D04C52" w:rsidP="00B46744">
            <w:pPr>
              <w:rPr>
                <w:sz w:val="18"/>
                <w:szCs w:val="18"/>
              </w:rPr>
            </w:pPr>
            <w:r w:rsidRPr="00FF7DEA">
              <w:rPr>
                <w:sz w:val="18"/>
                <w:szCs w:val="18"/>
              </w:rPr>
              <w:t>0</w:t>
            </w:r>
          </w:p>
        </w:tc>
        <w:tc>
          <w:tcPr>
            <w:tcW w:w="990" w:type="dxa"/>
            <w:noWrap/>
            <w:hideMark/>
          </w:tcPr>
          <w:p w14:paraId="287A29AA" w14:textId="77777777" w:rsidR="00D04C52" w:rsidRPr="00FF7DEA" w:rsidRDefault="00D04C52" w:rsidP="00B46744">
            <w:pPr>
              <w:rPr>
                <w:sz w:val="18"/>
                <w:szCs w:val="18"/>
              </w:rPr>
            </w:pPr>
            <w:r w:rsidRPr="00FF7DEA">
              <w:rPr>
                <w:sz w:val="18"/>
                <w:szCs w:val="18"/>
              </w:rPr>
              <w:t>U</w:t>
            </w:r>
          </w:p>
        </w:tc>
        <w:tc>
          <w:tcPr>
            <w:tcW w:w="3960" w:type="dxa"/>
            <w:hideMark/>
          </w:tcPr>
          <w:p w14:paraId="719D3599" w14:textId="77777777" w:rsidR="00D04C52" w:rsidRPr="00FF7DEA" w:rsidRDefault="00D04C52" w:rsidP="00B46744">
            <w:pPr>
              <w:rPr>
                <w:sz w:val="18"/>
                <w:szCs w:val="18"/>
              </w:rPr>
            </w:pPr>
            <w:r w:rsidRPr="00FF7DEA">
              <w:rPr>
                <w:sz w:val="18"/>
                <w:szCs w:val="18"/>
              </w:rPr>
              <w:t>For a study which does not specify the time period over which patients were recruited, the question should be answered as unable to determine. If the study gives a year or a range of dates during which data was collected, mark yes.</w:t>
            </w:r>
          </w:p>
        </w:tc>
        <w:tc>
          <w:tcPr>
            <w:tcW w:w="2515" w:type="dxa"/>
            <w:noWrap/>
            <w:hideMark/>
          </w:tcPr>
          <w:p w14:paraId="371E1C6E" w14:textId="77777777" w:rsidR="00D04C52" w:rsidRPr="00FF7DEA" w:rsidRDefault="00D04C52" w:rsidP="00B46744">
            <w:pPr>
              <w:rPr>
                <w:sz w:val="18"/>
                <w:szCs w:val="18"/>
              </w:rPr>
            </w:pPr>
          </w:p>
        </w:tc>
      </w:tr>
      <w:tr w:rsidR="00D04C52" w:rsidRPr="00FF7DEA" w14:paraId="5858B0CC" w14:textId="77777777" w:rsidTr="00B46744">
        <w:trPr>
          <w:trHeight w:val="1332"/>
        </w:trPr>
        <w:tc>
          <w:tcPr>
            <w:tcW w:w="1075" w:type="dxa"/>
            <w:noWrap/>
            <w:hideMark/>
          </w:tcPr>
          <w:p w14:paraId="30AB1638" w14:textId="77777777" w:rsidR="00D04C52" w:rsidRPr="00FF7DEA" w:rsidRDefault="00D04C52" w:rsidP="00B46744">
            <w:pPr>
              <w:rPr>
                <w:b/>
                <w:bCs/>
                <w:sz w:val="18"/>
                <w:szCs w:val="18"/>
              </w:rPr>
            </w:pPr>
            <w:r w:rsidRPr="00FF7DEA">
              <w:rPr>
                <w:b/>
                <w:bCs/>
                <w:sz w:val="18"/>
                <w:szCs w:val="18"/>
              </w:rPr>
              <w:lastRenderedPageBreak/>
              <w:t>Q23</w:t>
            </w:r>
          </w:p>
        </w:tc>
        <w:tc>
          <w:tcPr>
            <w:tcW w:w="2250" w:type="dxa"/>
            <w:hideMark/>
          </w:tcPr>
          <w:p w14:paraId="2E803FA2" w14:textId="77777777" w:rsidR="00D04C52" w:rsidRPr="00FF7DEA" w:rsidRDefault="00D04C52" w:rsidP="00B46744">
            <w:pPr>
              <w:rPr>
                <w:b/>
                <w:bCs/>
                <w:sz w:val="18"/>
                <w:szCs w:val="18"/>
              </w:rPr>
            </w:pPr>
            <w:r w:rsidRPr="00FF7DEA">
              <w:rPr>
                <w:b/>
                <w:bCs/>
                <w:sz w:val="18"/>
                <w:szCs w:val="18"/>
              </w:rPr>
              <w:t>Were study subjects randomized to intervention groups?</w:t>
            </w:r>
          </w:p>
        </w:tc>
        <w:tc>
          <w:tcPr>
            <w:tcW w:w="630" w:type="dxa"/>
            <w:noWrap/>
            <w:hideMark/>
          </w:tcPr>
          <w:p w14:paraId="0915E2CD" w14:textId="77777777" w:rsidR="00D04C52" w:rsidRPr="00FF7DEA" w:rsidRDefault="00D04C52" w:rsidP="00B46744">
            <w:pPr>
              <w:rPr>
                <w:sz w:val="18"/>
                <w:szCs w:val="18"/>
              </w:rPr>
            </w:pPr>
            <w:r w:rsidRPr="00FF7DEA">
              <w:rPr>
                <w:sz w:val="18"/>
                <w:szCs w:val="18"/>
              </w:rPr>
              <w:t>1</w:t>
            </w:r>
          </w:p>
        </w:tc>
        <w:tc>
          <w:tcPr>
            <w:tcW w:w="900" w:type="dxa"/>
            <w:noWrap/>
            <w:hideMark/>
          </w:tcPr>
          <w:p w14:paraId="27AA87C0" w14:textId="77777777" w:rsidR="00D04C52" w:rsidRPr="00FF7DEA" w:rsidRDefault="00D04C52" w:rsidP="00B46744">
            <w:pPr>
              <w:rPr>
                <w:sz w:val="18"/>
                <w:szCs w:val="18"/>
              </w:rPr>
            </w:pPr>
          </w:p>
        </w:tc>
        <w:tc>
          <w:tcPr>
            <w:tcW w:w="630" w:type="dxa"/>
            <w:gridSpan w:val="2"/>
            <w:noWrap/>
            <w:hideMark/>
          </w:tcPr>
          <w:p w14:paraId="542689D8" w14:textId="77777777" w:rsidR="00D04C52" w:rsidRPr="00FF7DEA" w:rsidRDefault="00D04C52" w:rsidP="00B46744">
            <w:pPr>
              <w:rPr>
                <w:sz w:val="18"/>
                <w:szCs w:val="18"/>
              </w:rPr>
            </w:pPr>
            <w:r w:rsidRPr="00FF7DEA">
              <w:rPr>
                <w:sz w:val="18"/>
                <w:szCs w:val="18"/>
              </w:rPr>
              <w:t>0</w:t>
            </w:r>
          </w:p>
        </w:tc>
        <w:tc>
          <w:tcPr>
            <w:tcW w:w="990" w:type="dxa"/>
            <w:noWrap/>
            <w:hideMark/>
          </w:tcPr>
          <w:p w14:paraId="65830D0A" w14:textId="77777777" w:rsidR="00D04C52" w:rsidRPr="00FF7DEA" w:rsidRDefault="00D04C52" w:rsidP="00B46744">
            <w:pPr>
              <w:rPr>
                <w:sz w:val="18"/>
                <w:szCs w:val="18"/>
              </w:rPr>
            </w:pPr>
            <w:r w:rsidRPr="00FF7DEA">
              <w:rPr>
                <w:sz w:val="18"/>
                <w:szCs w:val="18"/>
              </w:rPr>
              <w:t>U</w:t>
            </w:r>
          </w:p>
        </w:tc>
        <w:tc>
          <w:tcPr>
            <w:tcW w:w="3960" w:type="dxa"/>
            <w:hideMark/>
          </w:tcPr>
          <w:p w14:paraId="6F983636" w14:textId="77777777" w:rsidR="00D04C52" w:rsidRPr="00FF7DEA" w:rsidRDefault="00D04C52" w:rsidP="00B46744">
            <w:pPr>
              <w:rPr>
                <w:sz w:val="18"/>
                <w:szCs w:val="18"/>
              </w:rPr>
            </w:pPr>
            <w:r w:rsidRPr="00FF7DEA">
              <w:rPr>
                <w:sz w:val="18"/>
                <w:szCs w:val="18"/>
              </w:rPr>
              <w:t xml:space="preserve">Studies which state that subjects were randomized should be answered yes except where method of randomization would not ensure random allocation. For </w:t>
            </w:r>
            <w:r w:rsidR="002070E0" w:rsidRPr="00FF7DEA">
              <w:rPr>
                <w:sz w:val="18"/>
                <w:szCs w:val="18"/>
              </w:rPr>
              <w:t>example,</w:t>
            </w:r>
            <w:r w:rsidRPr="00FF7DEA">
              <w:rPr>
                <w:sz w:val="18"/>
                <w:szCs w:val="18"/>
              </w:rPr>
              <w:t xml:space="preserve"> alternate allocation would score no because it is predictable. Observational studies = no.</w:t>
            </w:r>
          </w:p>
        </w:tc>
        <w:tc>
          <w:tcPr>
            <w:tcW w:w="2515" w:type="dxa"/>
            <w:noWrap/>
            <w:hideMark/>
          </w:tcPr>
          <w:p w14:paraId="3D649FF1" w14:textId="77777777" w:rsidR="00D04C52" w:rsidRPr="00FF7DEA" w:rsidRDefault="00D04C52" w:rsidP="00B46744">
            <w:pPr>
              <w:rPr>
                <w:sz w:val="18"/>
                <w:szCs w:val="18"/>
              </w:rPr>
            </w:pPr>
          </w:p>
        </w:tc>
      </w:tr>
      <w:tr w:rsidR="00D04C52" w:rsidRPr="00FF7DEA" w14:paraId="61F37715" w14:textId="77777777" w:rsidTr="00B46744">
        <w:trPr>
          <w:trHeight w:val="1680"/>
        </w:trPr>
        <w:tc>
          <w:tcPr>
            <w:tcW w:w="1075" w:type="dxa"/>
            <w:noWrap/>
            <w:hideMark/>
          </w:tcPr>
          <w:p w14:paraId="5D83708D" w14:textId="77777777" w:rsidR="00D04C52" w:rsidRPr="00FF7DEA" w:rsidRDefault="00D04C52" w:rsidP="00B46744">
            <w:pPr>
              <w:rPr>
                <w:b/>
                <w:bCs/>
                <w:sz w:val="18"/>
                <w:szCs w:val="18"/>
              </w:rPr>
            </w:pPr>
            <w:r w:rsidRPr="00FF7DEA">
              <w:rPr>
                <w:b/>
                <w:bCs/>
                <w:sz w:val="18"/>
                <w:szCs w:val="18"/>
              </w:rPr>
              <w:t>Q24</w:t>
            </w:r>
          </w:p>
        </w:tc>
        <w:tc>
          <w:tcPr>
            <w:tcW w:w="2250" w:type="dxa"/>
            <w:hideMark/>
          </w:tcPr>
          <w:p w14:paraId="1681C763" w14:textId="77777777" w:rsidR="00D04C52" w:rsidRPr="00FF7DEA" w:rsidRDefault="00D04C52" w:rsidP="00B46744">
            <w:pPr>
              <w:rPr>
                <w:b/>
                <w:bCs/>
                <w:sz w:val="18"/>
                <w:szCs w:val="18"/>
              </w:rPr>
            </w:pPr>
            <w:r w:rsidRPr="00FF7DEA">
              <w:rPr>
                <w:b/>
                <w:bCs/>
                <w:sz w:val="18"/>
                <w:szCs w:val="18"/>
              </w:rPr>
              <w:t>Was the randomized intervention assignment concealed from both patients and health care staff until recruitment was complete and</w:t>
            </w:r>
            <w:r w:rsidRPr="00FF7DEA">
              <w:rPr>
                <w:b/>
                <w:bCs/>
                <w:sz w:val="18"/>
                <w:szCs w:val="18"/>
              </w:rPr>
              <w:br/>
              <w:t>irrevocable?</w:t>
            </w:r>
          </w:p>
        </w:tc>
        <w:tc>
          <w:tcPr>
            <w:tcW w:w="630" w:type="dxa"/>
            <w:noWrap/>
            <w:hideMark/>
          </w:tcPr>
          <w:p w14:paraId="0BCAE59A" w14:textId="77777777" w:rsidR="00D04C52" w:rsidRPr="00FF7DEA" w:rsidRDefault="00D04C52" w:rsidP="00B46744">
            <w:pPr>
              <w:rPr>
                <w:sz w:val="18"/>
                <w:szCs w:val="18"/>
              </w:rPr>
            </w:pPr>
            <w:r w:rsidRPr="00FF7DEA">
              <w:rPr>
                <w:sz w:val="18"/>
                <w:szCs w:val="18"/>
              </w:rPr>
              <w:t>1</w:t>
            </w:r>
          </w:p>
        </w:tc>
        <w:tc>
          <w:tcPr>
            <w:tcW w:w="900" w:type="dxa"/>
            <w:noWrap/>
            <w:hideMark/>
          </w:tcPr>
          <w:p w14:paraId="01D7071C" w14:textId="77777777" w:rsidR="00D04C52" w:rsidRPr="00FF7DEA" w:rsidRDefault="00D04C52" w:rsidP="00B46744">
            <w:pPr>
              <w:rPr>
                <w:sz w:val="18"/>
                <w:szCs w:val="18"/>
              </w:rPr>
            </w:pPr>
          </w:p>
        </w:tc>
        <w:tc>
          <w:tcPr>
            <w:tcW w:w="630" w:type="dxa"/>
            <w:gridSpan w:val="2"/>
            <w:noWrap/>
            <w:hideMark/>
          </w:tcPr>
          <w:p w14:paraId="31387F8F" w14:textId="77777777" w:rsidR="00D04C52" w:rsidRPr="00FF7DEA" w:rsidRDefault="00D04C52" w:rsidP="00B46744">
            <w:pPr>
              <w:rPr>
                <w:sz w:val="18"/>
                <w:szCs w:val="18"/>
              </w:rPr>
            </w:pPr>
            <w:r w:rsidRPr="00FF7DEA">
              <w:rPr>
                <w:sz w:val="18"/>
                <w:szCs w:val="18"/>
              </w:rPr>
              <w:t>0</w:t>
            </w:r>
          </w:p>
        </w:tc>
        <w:tc>
          <w:tcPr>
            <w:tcW w:w="990" w:type="dxa"/>
            <w:noWrap/>
            <w:hideMark/>
          </w:tcPr>
          <w:p w14:paraId="5F82683E" w14:textId="77777777" w:rsidR="00D04C52" w:rsidRPr="00FF7DEA" w:rsidRDefault="00D04C52" w:rsidP="00B46744">
            <w:pPr>
              <w:rPr>
                <w:sz w:val="18"/>
                <w:szCs w:val="18"/>
              </w:rPr>
            </w:pPr>
            <w:r w:rsidRPr="00FF7DEA">
              <w:rPr>
                <w:sz w:val="18"/>
                <w:szCs w:val="18"/>
              </w:rPr>
              <w:t>U</w:t>
            </w:r>
          </w:p>
        </w:tc>
        <w:tc>
          <w:tcPr>
            <w:tcW w:w="3960" w:type="dxa"/>
            <w:hideMark/>
          </w:tcPr>
          <w:p w14:paraId="28E5F475" w14:textId="77777777" w:rsidR="00D04C52" w:rsidRPr="00FF7DEA" w:rsidRDefault="00D04C52" w:rsidP="00B46744">
            <w:pPr>
              <w:rPr>
                <w:sz w:val="18"/>
                <w:szCs w:val="18"/>
              </w:rPr>
            </w:pPr>
            <w:r w:rsidRPr="00FF7DEA">
              <w:rPr>
                <w:sz w:val="18"/>
                <w:szCs w:val="18"/>
              </w:rPr>
              <w:t>All non-randomized studies should be answered no. If assignment was concealed from patients but not from staff, it should be answered no. Double-blind RCTs = yes; Observational studies = no.</w:t>
            </w:r>
          </w:p>
        </w:tc>
        <w:tc>
          <w:tcPr>
            <w:tcW w:w="2515" w:type="dxa"/>
            <w:noWrap/>
            <w:hideMark/>
          </w:tcPr>
          <w:p w14:paraId="18DFEF7E" w14:textId="77777777" w:rsidR="00D04C52" w:rsidRPr="00FF7DEA" w:rsidRDefault="00D04C52" w:rsidP="00B46744">
            <w:pPr>
              <w:rPr>
                <w:sz w:val="18"/>
                <w:szCs w:val="18"/>
              </w:rPr>
            </w:pPr>
          </w:p>
        </w:tc>
      </w:tr>
      <w:tr w:rsidR="00D04C52" w:rsidRPr="00FF7DEA" w14:paraId="2E9E6222" w14:textId="77777777" w:rsidTr="00B46744">
        <w:trPr>
          <w:trHeight w:val="2963"/>
        </w:trPr>
        <w:tc>
          <w:tcPr>
            <w:tcW w:w="1075" w:type="dxa"/>
            <w:noWrap/>
            <w:hideMark/>
          </w:tcPr>
          <w:p w14:paraId="542C5750" w14:textId="77777777" w:rsidR="00D04C52" w:rsidRPr="00FF7DEA" w:rsidRDefault="00D04C52" w:rsidP="00B46744">
            <w:pPr>
              <w:rPr>
                <w:b/>
                <w:bCs/>
                <w:sz w:val="18"/>
                <w:szCs w:val="18"/>
              </w:rPr>
            </w:pPr>
            <w:r w:rsidRPr="00FF7DEA">
              <w:rPr>
                <w:b/>
                <w:bCs/>
                <w:sz w:val="18"/>
                <w:szCs w:val="18"/>
              </w:rPr>
              <w:t>Q25</w:t>
            </w:r>
          </w:p>
        </w:tc>
        <w:tc>
          <w:tcPr>
            <w:tcW w:w="2250" w:type="dxa"/>
            <w:hideMark/>
          </w:tcPr>
          <w:p w14:paraId="441E8D7A" w14:textId="77777777" w:rsidR="00D04C52" w:rsidRPr="00FF7DEA" w:rsidRDefault="00D04C52" w:rsidP="00B46744">
            <w:pPr>
              <w:rPr>
                <w:b/>
                <w:bCs/>
                <w:sz w:val="18"/>
                <w:szCs w:val="18"/>
              </w:rPr>
            </w:pPr>
            <w:r w:rsidRPr="00FF7DEA">
              <w:rPr>
                <w:b/>
                <w:bCs/>
                <w:sz w:val="18"/>
                <w:szCs w:val="18"/>
              </w:rPr>
              <w:t>Was there adequate adjustment for confounding in the analyses from which the main findings were drawn?</w:t>
            </w:r>
          </w:p>
        </w:tc>
        <w:tc>
          <w:tcPr>
            <w:tcW w:w="630" w:type="dxa"/>
            <w:noWrap/>
            <w:hideMark/>
          </w:tcPr>
          <w:p w14:paraId="63264CFF" w14:textId="77777777" w:rsidR="00D04C52" w:rsidRPr="00FF7DEA" w:rsidRDefault="00D04C52" w:rsidP="00B46744">
            <w:pPr>
              <w:rPr>
                <w:sz w:val="18"/>
                <w:szCs w:val="18"/>
              </w:rPr>
            </w:pPr>
            <w:r w:rsidRPr="00FF7DEA">
              <w:rPr>
                <w:sz w:val="18"/>
                <w:szCs w:val="18"/>
              </w:rPr>
              <w:t>1</w:t>
            </w:r>
          </w:p>
        </w:tc>
        <w:tc>
          <w:tcPr>
            <w:tcW w:w="900" w:type="dxa"/>
            <w:noWrap/>
            <w:hideMark/>
          </w:tcPr>
          <w:p w14:paraId="4F64BE02" w14:textId="77777777" w:rsidR="00D04C52" w:rsidRPr="00FF7DEA" w:rsidRDefault="00D04C52" w:rsidP="00B46744">
            <w:pPr>
              <w:rPr>
                <w:sz w:val="18"/>
                <w:szCs w:val="18"/>
              </w:rPr>
            </w:pPr>
          </w:p>
        </w:tc>
        <w:tc>
          <w:tcPr>
            <w:tcW w:w="630" w:type="dxa"/>
            <w:gridSpan w:val="2"/>
            <w:noWrap/>
            <w:hideMark/>
          </w:tcPr>
          <w:p w14:paraId="66DA37BA" w14:textId="77777777" w:rsidR="00D04C52" w:rsidRPr="00FF7DEA" w:rsidRDefault="00D04C52" w:rsidP="00B46744">
            <w:pPr>
              <w:rPr>
                <w:sz w:val="18"/>
                <w:szCs w:val="18"/>
              </w:rPr>
            </w:pPr>
            <w:r w:rsidRPr="00FF7DEA">
              <w:rPr>
                <w:sz w:val="18"/>
                <w:szCs w:val="18"/>
              </w:rPr>
              <w:t>0</w:t>
            </w:r>
          </w:p>
        </w:tc>
        <w:tc>
          <w:tcPr>
            <w:tcW w:w="990" w:type="dxa"/>
            <w:noWrap/>
            <w:hideMark/>
          </w:tcPr>
          <w:p w14:paraId="5C98D514" w14:textId="77777777" w:rsidR="00D04C52" w:rsidRPr="00FF7DEA" w:rsidRDefault="00D04C52" w:rsidP="00B46744">
            <w:pPr>
              <w:rPr>
                <w:sz w:val="18"/>
                <w:szCs w:val="18"/>
              </w:rPr>
            </w:pPr>
            <w:r w:rsidRPr="00FF7DEA">
              <w:rPr>
                <w:sz w:val="18"/>
                <w:szCs w:val="18"/>
              </w:rPr>
              <w:t>U</w:t>
            </w:r>
          </w:p>
        </w:tc>
        <w:tc>
          <w:tcPr>
            <w:tcW w:w="3960" w:type="dxa"/>
            <w:hideMark/>
          </w:tcPr>
          <w:p w14:paraId="6E33396E" w14:textId="77777777" w:rsidR="00D04C52" w:rsidRPr="00FF7DEA" w:rsidRDefault="00D04C52" w:rsidP="00B46744">
            <w:pPr>
              <w:rPr>
                <w:sz w:val="18"/>
                <w:szCs w:val="18"/>
              </w:rPr>
            </w:pPr>
            <w:r w:rsidRPr="00FF7DEA">
              <w:rPr>
                <w:sz w:val="18"/>
                <w:szCs w:val="18"/>
              </w:rPr>
              <w:t xml:space="preserve">This question should be answered no for trials if: the main conclusions of the study were based on analyses of treatment rather than intention to treat; the distribution of known confounders in the different treatment groups was not described; or the distribution of known confounders differed between the treatment groups but was not </w:t>
            </w:r>
            <w:proofErr w:type="gramStart"/>
            <w:r w:rsidRPr="00FF7DEA">
              <w:rPr>
                <w:sz w:val="18"/>
                <w:szCs w:val="18"/>
              </w:rPr>
              <w:t>taken into account</w:t>
            </w:r>
            <w:proofErr w:type="gramEnd"/>
            <w:r w:rsidRPr="00FF7DEA">
              <w:rPr>
                <w:sz w:val="18"/>
                <w:szCs w:val="18"/>
              </w:rPr>
              <w:t xml:space="preserve"> in the analyses. In non</w:t>
            </w:r>
            <w:r>
              <w:rPr>
                <w:sz w:val="18"/>
                <w:szCs w:val="18"/>
              </w:rPr>
              <w:t>-</w:t>
            </w:r>
            <w:r w:rsidRPr="00FF7DEA">
              <w:rPr>
                <w:sz w:val="18"/>
                <w:szCs w:val="18"/>
              </w:rPr>
              <w:t>randomized studies if the effect of the main confounders was not investigated or confounding was demonstrated but no adjustment was made in the analyses the question should be answered as no.</w:t>
            </w:r>
          </w:p>
        </w:tc>
        <w:tc>
          <w:tcPr>
            <w:tcW w:w="2515" w:type="dxa"/>
            <w:hideMark/>
          </w:tcPr>
          <w:p w14:paraId="3E2F10A5" w14:textId="77777777" w:rsidR="00D04C52" w:rsidRPr="00FF7DEA" w:rsidRDefault="00D04C52" w:rsidP="00B46744">
            <w:pPr>
              <w:rPr>
                <w:sz w:val="18"/>
                <w:szCs w:val="18"/>
              </w:rPr>
            </w:pPr>
            <w:r w:rsidRPr="00FF7DEA">
              <w:rPr>
                <w:sz w:val="18"/>
                <w:szCs w:val="18"/>
              </w:rPr>
              <w:t xml:space="preserve">For purposes of this review, main confounders </w:t>
            </w:r>
            <w:r w:rsidR="002070E0" w:rsidRPr="00FF7DEA">
              <w:rPr>
                <w:sz w:val="18"/>
                <w:szCs w:val="18"/>
              </w:rPr>
              <w:t>are</w:t>
            </w:r>
            <w:r w:rsidRPr="00FF7DEA">
              <w:rPr>
                <w:sz w:val="18"/>
                <w:szCs w:val="18"/>
              </w:rPr>
              <w:t>: age, race, gender. Additional confounders should be flagged. No mention of any adjustment for confounders is marked as unable to determine.</w:t>
            </w:r>
          </w:p>
        </w:tc>
      </w:tr>
      <w:tr w:rsidR="00D04C52" w:rsidRPr="00FF7DEA" w14:paraId="0F683AE0" w14:textId="77777777" w:rsidTr="00B46744">
        <w:trPr>
          <w:trHeight w:val="1838"/>
        </w:trPr>
        <w:tc>
          <w:tcPr>
            <w:tcW w:w="1075" w:type="dxa"/>
            <w:noWrap/>
            <w:hideMark/>
          </w:tcPr>
          <w:p w14:paraId="0D27842D" w14:textId="77777777" w:rsidR="00D04C52" w:rsidRPr="00FF7DEA" w:rsidRDefault="00D04C52" w:rsidP="00B46744">
            <w:pPr>
              <w:rPr>
                <w:b/>
                <w:bCs/>
                <w:sz w:val="18"/>
                <w:szCs w:val="18"/>
              </w:rPr>
            </w:pPr>
            <w:r w:rsidRPr="00FF7DEA">
              <w:rPr>
                <w:b/>
                <w:bCs/>
                <w:sz w:val="18"/>
                <w:szCs w:val="18"/>
              </w:rPr>
              <w:t>Q26</w:t>
            </w:r>
          </w:p>
        </w:tc>
        <w:tc>
          <w:tcPr>
            <w:tcW w:w="2250" w:type="dxa"/>
            <w:hideMark/>
          </w:tcPr>
          <w:p w14:paraId="40067350" w14:textId="77777777" w:rsidR="00D04C52" w:rsidRPr="00FF7DEA" w:rsidRDefault="00D04C52" w:rsidP="00B46744">
            <w:pPr>
              <w:rPr>
                <w:b/>
                <w:bCs/>
                <w:sz w:val="18"/>
                <w:szCs w:val="18"/>
              </w:rPr>
            </w:pPr>
            <w:r w:rsidRPr="00FF7DEA">
              <w:rPr>
                <w:b/>
                <w:bCs/>
                <w:sz w:val="18"/>
                <w:szCs w:val="18"/>
              </w:rPr>
              <w:t xml:space="preserve">Were losses of patients to follow-up </w:t>
            </w:r>
            <w:proofErr w:type="gramStart"/>
            <w:r w:rsidRPr="00FF7DEA">
              <w:rPr>
                <w:b/>
                <w:bCs/>
                <w:sz w:val="18"/>
                <w:szCs w:val="18"/>
              </w:rPr>
              <w:t>taken into account</w:t>
            </w:r>
            <w:proofErr w:type="gramEnd"/>
            <w:r w:rsidRPr="00FF7DEA">
              <w:rPr>
                <w:b/>
                <w:bCs/>
                <w:sz w:val="18"/>
                <w:szCs w:val="18"/>
              </w:rPr>
              <w:t>?</w:t>
            </w:r>
          </w:p>
        </w:tc>
        <w:tc>
          <w:tcPr>
            <w:tcW w:w="630" w:type="dxa"/>
            <w:noWrap/>
            <w:hideMark/>
          </w:tcPr>
          <w:p w14:paraId="52828A0B" w14:textId="77777777" w:rsidR="00D04C52" w:rsidRPr="00FF7DEA" w:rsidRDefault="00D04C52" w:rsidP="00B46744">
            <w:pPr>
              <w:rPr>
                <w:sz w:val="18"/>
                <w:szCs w:val="18"/>
              </w:rPr>
            </w:pPr>
            <w:r w:rsidRPr="00FF7DEA">
              <w:rPr>
                <w:sz w:val="18"/>
                <w:szCs w:val="18"/>
              </w:rPr>
              <w:t>1</w:t>
            </w:r>
          </w:p>
        </w:tc>
        <w:tc>
          <w:tcPr>
            <w:tcW w:w="900" w:type="dxa"/>
            <w:noWrap/>
            <w:hideMark/>
          </w:tcPr>
          <w:p w14:paraId="74F6BADC" w14:textId="77777777" w:rsidR="00D04C52" w:rsidRPr="00FF7DEA" w:rsidRDefault="00D04C52" w:rsidP="00B46744">
            <w:pPr>
              <w:rPr>
                <w:sz w:val="18"/>
                <w:szCs w:val="18"/>
              </w:rPr>
            </w:pPr>
          </w:p>
        </w:tc>
        <w:tc>
          <w:tcPr>
            <w:tcW w:w="630" w:type="dxa"/>
            <w:gridSpan w:val="2"/>
            <w:noWrap/>
            <w:hideMark/>
          </w:tcPr>
          <w:p w14:paraId="386B7538" w14:textId="77777777" w:rsidR="00D04C52" w:rsidRPr="00FF7DEA" w:rsidRDefault="00D04C52" w:rsidP="00B46744">
            <w:pPr>
              <w:rPr>
                <w:sz w:val="18"/>
                <w:szCs w:val="18"/>
              </w:rPr>
            </w:pPr>
            <w:r w:rsidRPr="00FF7DEA">
              <w:rPr>
                <w:sz w:val="18"/>
                <w:szCs w:val="18"/>
              </w:rPr>
              <w:t>0</w:t>
            </w:r>
          </w:p>
        </w:tc>
        <w:tc>
          <w:tcPr>
            <w:tcW w:w="990" w:type="dxa"/>
            <w:noWrap/>
            <w:hideMark/>
          </w:tcPr>
          <w:p w14:paraId="0D7CC362" w14:textId="77777777" w:rsidR="00D04C52" w:rsidRPr="00FF7DEA" w:rsidRDefault="00D04C52" w:rsidP="00B46744">
            <w:pPr>
              <w:rPr>
                <w:sz w:val="18"/>
                <w:szCs w:val="18"/>
              </w:rPr>
            </w:pPr>
            <w:r w:rsidRPr="00FF7DEA">
              <w:rPr>
                <w:sz w:val="18"/>
                <w:szCs w:val="18"/>
              </w:rPr>
              <w:t>U</w:t>
            </w:r>
          </w:p>
        </w:tc>
        <w:tc>
          <w:tcPr>
            <w:tcW w:w="3960" w:type="dxa"/>
            <w:hideMark/>
          </w:tcPr>
          <w:p w14:paraId="06603882" w14:textId="77777777" w:rsidR="00D04C52" w:rsidRPr="00FF7DEA" w:rsidRDefault="00D04C52" w:rsidP="00B46744">
            <w:pPr>
              <w:rPr>
                <w:sz w:val="18"/>
                <w:szCs w:val="18"/>
              </w:rPr>
            </w:pPr>
            <w:r w:rsidRPr="00FF7DEA">
              <w:rPr>
                <w:sz w:val="18"/>
                <w:szCs w:val="18"/>
              </w:rPr>
              <w:t xml:space="preserve">If the numbers of patients lost to follow-up are not reported, the question should be answered as unable to determine. If the proportion lost to follow-up was too small to affect the main findings or if the losses to follow up were </w:t>
            </w:r>
            <w:proofErr w:type="gramStart"/>
            <w:r w:rsidRPr="00FF7DEA">
              <w:rPr>
                <w:sz w:val="18"/>
                <w:szCs w:val="18"/>
              </w:rPr>
              <w:t>taken into account</w:t>
            </w:r>
            <w:proofErr w:type="gramEnd"/>
            <w:r w:rsidRPr="00FF7DEA">
              <w:rPr>
                <w:sz w:val="18"/>
                <w:szCs w:val="18"/>
              </w:rPr>
              <w:t xml:space="preserve"> in a way that would only bias results towards the null, the question should be answered yes. </w:t>
            </w:r>
          </w:p>
        </w:tc>
        <w:tc>
          <w:tcPr>
            <w:tcW w:w="2515" w:type="dxa"/>
            <w:hideMark/>
          </w:tcPr>
          <w:p w14:paraId="346485A8" w14:textId="77777777" w:rsidR="00D04C52" w:rsidRPr="00FF7DEA" w:rsidRDefault="00D04C52" w:rsidP="00B46744">
            <w:pPr>
              <w:rPr>
                <w:sz w:val="18"/>
                <w:szCs w:val="18"/>
              </w:rPr>
            </w:pPr>
            <w:r w:rsidRPr="00FF7DEA">
              <w:rPr>
                <w:sz w:val="18"/>
                <w:szCs w:val="18"/>
              </w:rPr>
              <w:t xml:space="preserve">In a smoking cessation trial, if those who were lost to follow up were assumed to have relapsed, and counted as such in the analysis, mark yes. </w:t>
            </w:r>
          </w:p>
        </w:tc>
      </w:tr>
      <w:tr w:rsidR="00D04C52" w:rsidRPr="00FF7DEA" w14:paraId="4B18D8DB" w14:textId="77777777" w:rsidTr="002070E0">
        <w:trPr>
          <w:trHeight w:val="1628"/>
        </w:trPr>
        <w:tc>
          <w:tcPr>
            <w:tcW w:w="1075" w:type="dxa"/>
            <w:noWrap/>
            <w:hideMark/>
          </w:tcPr>
          <w:p w14:paraId="2CA769BC" w14:textId="77777777" w:rsidR="00D04C52" w:rsidRPr="00FF7DEA" w:rsidRDefault="00D04C52" w:rsidP="00B46744">
            <w:pPr>
              <w:rPr>
                <w:b/>
                <w:bCs/>
                <w:sz w:val="18"/>
                <w:szCs w:val="18"/>
              </w:rPr>
            </w:pPr>
            <w:r w:rsidRPr="00FF7DEA">
              <w:rPr>
                <w:b/>
                <w:bCs/>
                <w:sz w:val="18"/>
                <w:szCs w:val="18"/>
              </w:rPr>
              <w:lastRenderedPageBreak/>
              <w:t>Q27</w:t>
            </w:r>
          </w:p>
        </w:tc>
        <w:tc>
          <w:tcPr>
            <w:tcW w:w="2250" w:type="dxa"/>
            <w:hideMark/>
          </w:tcPr>
          <w:p w14:paraId="2D901A47" w14:textId="77777777" w:rsidR="00D04C52" w:rsidRPr="00FF7DEA" w:rsidRDefault="00D04C52" w:rsidP="00B46744">
            <w:pPr>
              <w:rPr>
                <w:b/>
                <w:bCs/>
                <w:sz w:val="18"/>
                <w:szCs w:val="18"/>
              </w:rPr>
            </w:pPr>
            <w:r w:rsidRPr="00FF7DEA">
              <w:rPr>
                <w:b/>
                <w:bCs/>
                <w:sz w:val="18"/>
                <w:szCs w:val="18"/>
              </w:rPr>
              <w:t>Did the study have sufficient power to detect a clinically important effect where the probability value for a difference being due to chance is less than 5%?</w:t>
            </w:r>
          </w:p>
        </w:tc>
        <w:tc>
          <w:tcPr>
            <w:tcW w:w="630" w:type="dxa"/>
            <w:noWrap/>
            <w:hideMark/>
          </w:tcPr>
          <w:p w14:paraId="0C4CEC7D" w14:textId="77777777" w:rsidR="00D04C52" w:rsidRPr="00FF7DEA" w:rsidRDefault="00D04C52" w:rsidP="00B46744">
            <w:pPr>
              <w:rPr>
                <w:sz w:val="18"/>
                <w:szCs w:val="18"/>
              </w:rPr>
            </w:pPr>
            <w:r w:rsidRPr="00FF7DEA">
              <w:rPr>
                <w:sz w:val="18"/>
                <w:szCs w:val="18"/>
              </w:rPr>
              <w:t>1</w:t>
            </w:r>
          </w:p>
        </w:tc>
        <w:tc>
          <w:tcPr>
            <w:tcW w:w="900" w:type="dxa"/>
            <w:noWrap/>
            <w:hideMark/>
          </w:tcPr>
          <w:p w14:paraId="7E1930F4" w14:textId="77777777" w:rsidR="00D04C52" w:rsidRPr="00FF7DEA" w:rsidRDefault="00D04C52" w:rsidP="00B46744">
            <w:pPr>
              <w:rPr>
                <w:sz w:val="18"/>
                <w:szCs w:val="18"/>
              </w:rPr>
            </w:pPr>
          </w:p>
        </w:tc>
        <w:tc>
          <w:tcPr>
            <w:tcW w:w="630" w:type="dxa"/>
            <w:gridSpan w:val="2"/>
            <w:noWrap/>
            <w:hideMark/>
          </w:tcPr>
          <w:p w14:paraId="2777EDAA" w14:textId="77777777" w:rsidR="00D04C52" w:rsidRPr="00FF7DEA" w:rsidRDefault="00D04C52" w:rsidP="00B46744">
            <w:pPr>
              <w:rPr>
                <w:sz w:val="18"/>
                <w:szCs w:val="18"/>
              </w:rPr>
            </w:pPr>
            <w:r w:rsidRPr="00FF7DEA">
              <w:rPr>
                <w:sz w:val="18"/>
                <w:szCs w:val="18"/>
              </w:rPr>
              <w:t>0</w:t>
            </w:r>
          </w:p>
        </w:tc>
        <w:tc>
          <w:tcPr>
            <w:tcW w:w="990" w:type="dxa"/>
            <w:noWrap/>
            <w:hideMark/>
          </w:tcPr>
          <w:p w14:paraId="3EE55153" w14:textId="77777777" w:rsidR="00D04C52" w:rsidRPr="00FF7DEA" w:rsidRDefault="00D04C52" w:rsidP="00B46744">
            <w:pPr>
              <w:rPr>
                <w:sz w:val="18"/>
                <w:szCs w:val="18"/>
              </w:rPr>
            </w:pPr>
            <w:r w:rsidRPr="00FF7DEA">
              <w:rPr>
                <w:sz w:val="18"/>
                <w:szCs w:val="18"/>
              </w:rPr>
              <w:t>U</w:t>
            </w:r>
          </w:p>
        </w:tc>
        <w:tc>
          <w:tcPr>
            <w:tcW w:w="3960" w:type="dxa"/>
            <w:hideMark/>
          </w:tcPr>
          <w:p w14:paraId="7E6DAA53" w14:textId="77777777" w:rsidR="00D04C52" w:rsidRPr="00FF7DEA" w:rsidRDefault="00D04C52" w:rsidP="00B46744">
            <w:pPr>
              <w:rPr>
                <w:sz w:val="18"/>
                <w:szCs w:val="18"/>
              </w:rPr>
            </w:pPr>
            <w:r w:rsidRPr="00FF7DEA">
              <w:rPr>
                <w:sz w:val="18"/>
                <w:szCs w:val="18"/>
              </w:rPr>
              <w:t>Yes/No.</w:t>
            </w:r>
            <w:r w:rsidR="00A40A4C">
              <w:rPr>
                <w:sz w:val="18"/>
                <w:szCs w:val="18"/>
              </w:rPr>
              <w:t xml:space="preserve"> </w:t>
            </w:r>
          </w:p>
        </w:tc>
        <w:tc>
          <w:tcPr>
            <w:tcW w:w="2515" w:type="dxa"/>
            <w:hideMark/>
          </w:tcPr>
          <w:p w14:paraId="502C35CD" w14:textId="77777777" w:rsidR="00D04C52" w:rsidRPr="00FF7DEA" w:rsidRDefault="00D04C52" w:rsidP="00B46744">
            <w:pPr>
              <w:rPr>
                <w:sz w:val="18"/>
                <w:szCs w:val="18"/>
              </w:rPr>
            </w:pPr>
            <w:r w:rsidRPr="00FF7DEA">
              <w:rPr>
                <w:sz w:val="18"/>
                <w:szCs w:val="18"/>
              </w:rPr>
              <w:t xml:space="preserve">If the study is a large national survey with clearly adequate power, </w:t>
            </w:r>
            <w:r w:rsidR="002070E0" w:rsidRPr="00FF7DEA">
              <w:rPr>
                <w:sz w:val="18"/>
                <w:szCs w:val="18"/>
              </w:rPr>
              <w:t>mark yes</w:t>
            </w:r>
            <w:r w:rsidRPr="00FF7DEA">
              <w:rPr>
                <w:sz w:val="18"/>
                <w:szCs w:val="18"/>
              </w:rPr>
              <w:t>; if the study is not a large national survey and does not address power, select no.</w:t>
            </w:r>
          </w:p>
        </w:tc>
      </w:tr>
    </w:tbl>
    <w:p w14:paraId="13442C2B" w14:textId="77777777" w:rsidR="00D04C52" w:rsidRDefault="00D04C52" w:rsidP="00B46744"/>
    <w:p w14:paraId="395F2299" w14:textId="77777777" w:rsidR="00D04C52" w:rsidRDefault="00D04C52" w:rsidP="00B46744"/>
    <w:p w14:paraId="11BF0B2C" w14:textId="77777777" w:rsidR="00D04C52" w:rsidRDefault="00D04C52">
      <w:r>
        <w:br w:type="page"/>
      </w:r>
    </w:p>
    <w:p w14:paraId="691C4450" w14:textId="77777777" w:rsidR="00D04C52" w:rsidRDefault="00D04C52" w:rsidP="00B46744">
      <w:pPr>
        <w:spacing w:line="240" w:lineRule="auto"/>
        <w:jc w:val="center"/>
        <w:rPr>
          <w:b/>
        </w:rPr>
        <w:sectPr w:rsidR="00D04C52" w:rsidSect="00B46744">
          <w:pgSz w:w="15840" w:h="12240" w:orient="landscape"/>
          <w:pgMar w:top="1440" w:right="1440" w:bottom="1440" w:left="1440" w:header="720" w:footer="720" w:gutter="0"/>
          <w:cols w:space="720"/>
          <w:docGrid w:linePitch="360"/>
        </w:sectPr>
      </w:pPr>
    </w:p>
    <w:p w14:paraId="3A0AF14F" w14:textId="77777777" w:rsidR="00D04C52" w:rsidRDefault="00D04C52" w:rsidP="00EA69AA">
      <w:pPr>
        <w:pStyle w:val="ChapterHeading"/>
        <w:spacing w:after="0"/>
        <w:rPr>
          <w:rFonts w:asciiTheme="minorHAnsi" w:hAnsiTheme="minorHAnsi"/>
          <w:b w:val="0"/>
          <w:sz w:val="22"/>
          <w:szCs w:val="22"/>
        </w:rPr>
      </w:pPr>
      <w:r>
        <w:rPr>
          <w:rFonts w:asciiTheme="minorHAnsi" w:hAnsiTheme="minorHAnsi"/>
          <w:sz w:val="22"/>
          <w:szCs w:val="22"/>
        </w:rPr>
        <w:lastRenderedPageBreak/>
        <w:t xml:space="preserve">SUPPLEMENTAL SECTION </w:t>
      </w:r>
      <w:r w:rsidR="00B44564">
        <w:rPr>
          <w:rFonts w:asciiTheme="minorHAnsi" w:hAnsiTheme="minorHAnsi"/>
          <w:sz w:val="22"/>
          <w:szCs w:val="22"/>
        </w:rPr>
        <w:t>1</w:t>
      </w:r>
      <w:r w:rsidR="00C82C02">
        <w:rPr>
          <w:rFonts w:asciiTheme="minorHAnsi" w:hAnsiTheme="minorHAnsi"/>
          <w:sz w:val="22"/>
          <w:szCs w:val="22"/>
        </w:rPr>
        <w:t>3</w:t>
      </w:r>
      <w:r>
        <w:rPr>
          <w:rFonts w:asciiTheme="minorHAnsi" w:hAnsiTheme="minorHAnsi"/>
          <w:sz w:val="22"/>
          <w:szCs w:val="22"/>
        </w:rPr>
        <w:t>: Strength of Evidence</w:t>
      </w:r>
    </w:p>
    <w:p w14:paraId="50D826C2" w14:textId="77777777" w:rsidR="00D04C52" w:rsidRDefault="00D04C52" w:rsidP="00B46744">
      <w:pPr>
        <w:pStyle w:val="BodyText"/>
        <w:jc w:val="both"/>
        <w:rPr>
          <w:rFonts w:asciiTheme="minorHAnsi" w:hAnsiTheme="minorHAnsi"/>
          <w:b/>
          <w:sz w:val="22"/>
          <w:szCs w:val="22"/>
        </w:rPr>
      </w:pPr>
    </w:p>
    <w:p w14:paraId="0F53D01F" w14:textId="77777777" w:rsidR="00D04C52" w:rsidRDefault="00D04C52" w:rsidP="00B46744">
      <w:pPr>
        <w:pStyle w:val="BodyText"/>
        <w:jc w:val="both"/>
        <w:rPr>
          <w:rFonts w:asciiTheme="minorHAnsi" w:hAnsiTheme="minorHAnsi"/>
          <w:b/>
          <w:sz w:val="22"/>
          <w:szCs w:val="22"/>
        </w:rPr>
      </w:pPr>
      <w:r>
        <w:rPr>
          <w:rFonts w:asciiTheme="minorHAnsi" w:hAnsiTheme="minorHAnsi"/>
          <w:b/>
          <w:sz w:val="22"/>
          <w:szCs w:val="22"/>
        </w:rPr>
        <w:t>Strength of Evidence Definitions</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3600"/>
        <w:gridCol w:w="4950"/>
      </w:tblGrid>
      <w:tr w:rsidR="00D04C52" w:rsidRPr="006932B9" w14:paraId="671AD234" w14:textId="77777777" w:rsidTr="00B46744">
        <w:tc>
          <w:tcPr>
            <w:tcW w:w="1165" w:type="dxa"/>
            <w:shd w:val="clear" w:color="auto" w:fill="44546A" w:themeFill="text2"/>
          </w:tcPr>
          <w:p w14:paraId="1D640177" w14:textId="77777777" w:rsidR="00D04C52" w:rsidRPr="006932B9" w:rsidRDefault="00D04C52" w:rsidP="00B46744">
            <w:pPr>
              <w:autoSpaceDE w:val="0"/>
              <w:autoSpaceDN w:val="0"/>
              <w:adjustRightInd w:val="0"/>
              <w:jc w:val="center"/>
              <w:rPr>
                <w:b/>
                <w:color w:val="FFFFFF" w:themeColor="background1"/>
                <w:sz w:val="20"/>
                <w:szCs w:val="20"/>
              </w:rPr>
            </w:pPr>
            <w:r w:rsidRPr="006932B9">
              <w:rPr>
                <w:b/>
                <w:color w:val="FFFFFF" w:themeColor="background1"/>
                <w:sz w:val="20"/>
                <w:szCs w:val="20"/>
              </w:rPr>
              <w:t>Grade</w:t>
            </w:r>
          </w:p>
        </w:tc>
        <w:tc>
          <w:tcPr>
            <w:tcW w:w="3600" w:type="dxa"/>
            <w:shd w:val="clear" w:color="auto" w:fill="44546A" w:themeFill="text2"/>
          </w:tcPr>
          <w:p w14:paraId="209901A8" w14:textId="77777777" w:rsidR="00D04C52" w:rsidRPr="006932B9" w:rsidRDefault="00D04C52" w:rsidP="00B46744">
            <w:pPr>
              <w:autoSpaceDE w:val="0"/>
              <w:autoSpaceDN w:val="0"/>
              <w:adjustRightInd w:val="0"/>
              <w:jc w:val="center"/>
              <w:rPr>
                <w:b/>
                <w:color w:val="FFFFFF" w:themeColor="background1"/>
                <w:sz w:val="20"/>
                <w:szCs w:val="20"/>
              </w:rPr>
            </w:pPr>
            <w:r w:rsidRPr="006932B9">
              <w:rPr>
                <w:b/>
                <w:color w:val="FFFFFF" w:themeColor="background1"/>
                <w:sz w:val="20"/>
                <w:szCs w:val="20"/>
              </w:rPr>
              <w:t>Interpretation</w:t>
            </w:r>
          </w:p>
        </w:tc>
        <w:tc>
          <w:tcPr>
            <w:tcW w:w="4950" w:type="dxa"/>
            <w:shd w:val="clear" w:color="auto" w:fill="44546A" w:themeFill="text2"/>
          </w:tcPr>
          <w:p w14:paraId="28E15230" w14:textId="77777777" w:rsidR="00D04C52" w:rsidRPr="006932B9" w:rsidRDefault="00D04C52" w:rsidP="00B46744">
            <w:pPr>
              <w:autoSpaceDE w:val="0"/>
              <w:autoSpaceDN w:val="0"/>
              <w:adjustRightInd w:val="0"/>
              <w:jc w:val="center"/>
              <w:rPr>
                <w:b/>
                <w:color w:val="FFFFFF" w:themeColor="background1"/>
                <w:sz w:val="20"/>
                <w:szCs w:val="20"/>
              </w:rPr>
            </w:pPr>
            <w:r w:rsidRPr="006932B9">
              <w:rPr>
                <w:b/>
                <w:color w:val="FFFFFF" w:themeColor="background1"/>
                <w:sz w:val="20"/>
                <w:szCs w:val="20"/>
              </w:rPr>
              <w:t>Description</w:t>
            </w:r>
          </w:p>
        </w:tc>
      </w:tr>
      <w:tr w:rsidR="00D04C52" w:rsidRPr="006932B9" w14:paraId="6AB7B470" w14:textId="77777777" w:rsidTr="00B46744">
        <w:tc>
          <w:tcPr>
            <w:tcW w:w="1165" w:type="dxa"/>
            <w:shd w:val="clear" w:color="auto" w:fill="E7E6E6"/>
          </w:tcPr>
          <w:p w14:paraId="0AFEFBC5" w14:textId="77777777" w:rsidR="00D04C52" w:rsidRPr="006932B9" w:rsidRDefault="00D04C52" w:rsidP="00B46744">
            <w:pPr>
              <w:autoSpaceDE w:val="0"/>
              <w:autoSpaceDN w:val="0"/>
              <w:adjustRightInd w:val="0"/>
              <w:jc w:val="center"/>
              <w:rPr>
                <w:b/>
                <w:color w:val="000000" w:themeColor="text1"/>
                <w:sz w:val="20"/>
                <w:szCs w:val="20"/>
              </w:rPr>
            </w:pPr>
            <w:r w:rsidRPr="006932B9">
              <w:rPr>
                <w:b/>
                <w:color w:val="000000" w:themeColor="text1"/>
                <w:sz w:val="20"/>
                <w:szCs w:val="20"/>
              </w:rPr>
              <w:t>High</w:t>
            </w:r>
          </w:p>
        </w:tc>
        <w:tc>
          <w:tcPr>
            <w:tcW w:w="3600" w:type="dxa"/>
            <w:shd w:val="clear" w:color="auto" w:fill="FFFFFF" w:themeFill="background1"/>
          </w:tcPr>
          <w:p w14:paraId="730D771A" w14:textId="77777777" w:rsidR="00D04C52" w:rsidRPr="006932B9" w:rsidRDefault="00D04C52" w:rsidP="00B46744">
            <w:pPr>
              <w:autoSpaceDE w:val="0"/>
              <w:autoSpaceDN w:val="0"/>
              <w:adjustRightInd w:val="0"/>
              <w:rPr>
                <w:color w:val="000000" w:themeColor="text1"/>
                <w:sz w:val="20"/>
                <w:szCs w:val="20"/>
              </w:rPr>
            </w:pPr>
            <w:r>
              <w:rPr>
                <w:color w:val="000000" w:themeColor="text1"/>
                <w:sz w:val="20"/>
                <w:szCs w:val="20"/>
              </w:rPr>
              <w:t>V</w:t>
            </w:r>
            <w:r w:rsidRPr="006932B9">
              <w:rPr>
                <w:color w:val="000000" w:themeColor="text1"/>
                <w:sz w:val="20"/>
                <w:szCs w:val="20"/>
              </w:rPr>
              <w:t>ery confident that the estimate of effect lies close to the true effect for this outcome.</w:t>
            </w:r>
          </w:p>
        </w:tc>
        <w:tc>
          <w:tcPr>
            <w:tcW w:w="4950" w:type="dxa"/>
            <w:shd w:val="clear" w:color="auto" w:fill="FFFFFF" w:themeFill="background1"/>
          </w:tcPr>
          <w:p w14:paraId="669F05AC" w14:textId="77777777" w:rsidR="00D04C52" w:rsidRPr="006932B9" w:rsidRDefault="00D04C52" w:rsidP="00B46744">
            <w:pPr>
              <w:pStyle w:val="ListParagraph"/>
              <w:numPr>
                <w:ilvl w:val="0"/>
                <w:numId w:val="1"/>
              </w:numPr>
              <w:autoSpaceDE w:val="0"/>
              <w:autoSpaceDN w:val="0"/>
              <w:adjustRightInd w:val="0"/>
              <w:spacing w:after="0" w:line="240" w:lineRule="auto"/>
              <w:rPr>
                <w:color w:val="000000" w:themeColor="text1"/>
                <w:sz w:val="20"/>
                <w:szCs w:val="20"/>
              </w:rPr>
            </w:pPr>
            <w:r w:rsidRPr="006932B9">
              <w:rPr>
                <w:color w:val="000000" w:themeColor="text1"/>
                <w:sz w:val="20"/>
                <w:szCs w:val="20"/>
              </w:rPr>
              <w:t>The body of evidence has few or no deficiencies.</w:t>
            </w:r>
          </w:p>
          <w:p w14:paraId="7DA9809B" w14:textId="77777777" w:rsidR="00D04C52" w:rsidRPr="006932B9" w:rsidRDefault="00D04C52" w:rsidP="00B46744">
            <w:pPr>
              <w:pStyle w:val="ListParagraph"/>
              <w:numPr>
                <w:ilvl w:val="0"/>
                <w:numId w:val="1"/>
              </w:numPr>
              <w:autoSpaceDE w:val="0"/>
              <w:autoSpaceDN w:val="0"/>
              <w:adjustRightInd w:val="0"/>
              <w:spacing w:after="0" w:line="240" w:lineRule="auto"/>
              <w:rPr>
                <w:color w:val="000000" w:themeColor="text1"/>
                <w:sz w:val="20"/>
                <w:szCs w:val="20"/>
              </w:rPr>
            </w:pPr>
            <w:r w:rsidRPr="006932B9">
              <w:rPr>
                <w:color w:val="000000" w:themeColor="text1"/>
                <w:sz w:val="20"/>
                <w:szCs w:val="20"/>
              </w:rPr>
              <w:t>We believe that the findings are stable, that is, another study would not change the conclusions.</w:t>
            </w:r>
          </w:p>
        </w:tc>
      </w:tr>
      <w:tr w:rsidR="00D04C52" w:rsidRPr="006932B9" w14:paraId="435C5799" w14:textId="77777777" w:rsidTr="00B46744">
        <w:tc>
          <w:tcPr>
            <w:tcW w:w="1165" w:type="dxa"/>
            <w:shd w:val="clear" w:color="auto" w:fill="E7E6E6"/>
          </w:tcPr>
          <w:p w14:paraId="24922FE4" w14:textId="77777777" w:rsidR="00D04C52" w:rsidRPr="006932B9" w:rsidRDefault="00D04C52" w:rsidP="00B46744">
            <w:pPr>
              <w:autoSpaceDE w:val="0"/>
              <w:autoSpaceDN w:val="0"/>
              <w:adjustRightInd w:val="0"/>
              <w:jc w:val="center"/>
              <w:rPr>
                <w:b/>
                <w:color w:val="000000" w:themeColor="text1"/>
                <w:sz w:val="20"/>
                <w:szCs w:val="20"/>
              </w:rPr>
            </w:pPr>
            <w:r w:rsidRPr="006932B9">
              <w:rPr>
                <w:b/>
                <w:color w:val="000000" w:themeColor="text1"/>
                <w:sz w:val="20"/>
                <w:szCs w:val="20"/>
              </w:rPr>
              <w:t>Moderate</w:t>
            </w:r>
          </w:p>
        </w:tc>
        <w:tc>
          <w:tcPr>
            <w:tcW w:w="3600" w:type="dxa"/>
            <w:shd w:val="clear" w:color="auto" w:fill="FFFFFF" w:themeFill="background1"/>
          </w:tcPr>
          <w:p w14:paraId="1743F354" w14:textId="77777777" w:rsidR="00D04C52" w:rsidRPr="006932B9" w:rsidRDefault="00D04C52" w:rsidP="00B46744">
            <w:pPr>
              <w:autoSpaceDE w:val="0"/>
              <w:autoSpaceDN w:val="0"/>
              <w:adjustRightInd w:val="0"/>
              <w:rPr>
                <w:color w:val="000000" w:themeColor="text1"/>
                <w:sz w:val="20"/>
                <w:szCs w:val="20"/>
              </w:rPr>
            </w:pPr>
            <w:r>
              <w:rPr>
                <w:color w:val="000000" w:themeColor="text1"/>
                <w:sz w:val="20"/>
                <w:szCs w:val="20"/>
              </w:rPr>
              <w:t>M</w:t>
            </w:r>
            <w:r w:rsidRPr="006932B9">
              <w:rPr>
                <w:color w:val="000000" w:themeColor="text1"/>
                <w:sz w:val="20"/>
                <w:szCs w:val="20"/>
              </w:rPr>
              <w:t>oderately confident that the estimate of effect lies close to the true effect for this outcome.</w:t>
            </w:r>
          </w:p>
        </w:tc>
        <w:tc>
          <w:tcPr>
            <w:tcW w:w="4950" w:type="dxa"/>
            <w:shd w:val="clear" w:color="auto" w:fill="FFFFFF" w:themeFill="background1"/>
          </w:tcPr>
          <w:p w14:paraId="24DAAB85" w14:textId="77777777" w:rsidR="00D04C52" w:rsidRPr="006932B9" w:rsidRDefault="00D04C52" w:rsidP="00B46744">
            <w:pPr>
              <w:pStyle w:val="ListParagraph"/>
              <w:numPr>
                <w:ilvl w:val="0"/>
                <w:numId w:val="2"/>
              </w:numPr>
              <w:autoSpaceDE w:val="0"/>
              <w:autoSpaceDN w:val="0"/>
              <w:adjustRightInd w:val="0"/>
              <w:spacing w:after="0" w:line="240" w:lineRule="auto"/>
              <w:rPr>
                <w:color w:val="000000" w:themeColor="text1"/>
                <w:sz w:val="20"/>
                <w:szCs w:val="20"/>
              </w:rPr>
            </w:pPr>
            <w:r w:rsidRPr="006932B9">
              <w:rPr>
                <w:color w:val="000000" w:themeColor="text1"/>
                <w:sz w:val="20"/>
                <w:szCs w:val="20"/>
              </w:rPr>
              <w:t>The body of evidence has some deficiencies.</w:t>
            </w:r>
          </w:p>
          <w:p w14:paraId="73F2C429" w14:textId="77777777" w:rsidR="00D04C52" w:rsidRPr="006932B9" w:rsidRDefault="00D04C52" w:rsidP="00B46744">
            <w:pPr>
              <w:pStyle w:val="ListParagraph"/>
              <w:numPr>
                <w:ilvl w:val="0"/>
                <w:numId w:val="2"/>
              </w:numPr>
              <w:autoSpaceDE w:val="0"/>
              <w:autoSpaceDN w:val="0"/>
              <w:adjustRightInd w:val="0"/>
              <w:spacing w:after="0" w:line="240" w:lineRule="auto"/>
              <w:rPr>
                <w:color w:val="000000" w:themeColor="text1"/>
                <w:sz w:val="20"/>
                <w:szCs w:val="20"/>
              </w:rPr>
            </w:pPr>
            <w:r w:rsidRPr="006932B9">
              <w:rPr>
                <w:color w:val="000000" w:themeColor="text1"/>
                <w:sz w:val="20"/>
                <w:szCs w:val="20"/>
              </w:rPr>
              <w:t>We believe that the findings are likely to be stable, but some doubt remains.</w:t>
            </w:r>
          </w:p>
        </w:tc>
      </w:tr>
      <w:tr w:rsidR="00D04C52" w:rsidRPr="006932B9" w14:paraId="51EA6A63" w14:textId="77777777" w:rsidTr="00B46744">
        <w:tc>
          <w:tcPr>
            <w:tcW w:w="1165" w:type="dxa"/>
            <w:shd w:val="clear" w:color="auto" w:fill="E7E6E6"/>
          </w:tcPr>
          <w:p w14:paraId="4899686A" w14:textId="77777777" w:rsidR="00D04C52" w:rsidRPr="006932B9" w:rsidRDefault="00D04C52" w:rsidP="00B46744">
            <w:pPr>
              <w:autoSpaceDE w:val="0"/>
              <w:autoSpaceDN w:val="0"/>
              <w:adjustRightInd w:val="0"/>
              <w:jc w:val="center"/>
              <w:rPr>
                <w:b/>
                <w:color w:val="000000" w:themeColor="text1"/>
                <w:sz w:val="20"/>
                <w:szCs w:val="20"/>
              </w:rPr>
            </w:pPr>
            <w:r w:rsidRPr="006932B9">
              <w:rPr>
                <w:b/>
                <w:color w:val="000000" w:themeColor="text1"/>
                <w:sz w:val="20"/>
                <w:szCs w:val="20"/>
              </w:rPr>
              <w:t>Low</w:t>
            </w:r>
          </w:p>
        </w:tc>
        <w:tc>
          <w:tcPr>
            <w:tcW w:w="3600" w:type="dxa"/>
            <w:shd w:val="clear" w:color="auto" w:fill="FFFFFF" w:themeFill="background1"/>
          </w:tcPr>
          <w:p w14:paraId="4047908F" w14:textId="77777777" w:rsidR="00D04C52" w:rsidRPr="006932B9" w:rsidRDefault="00D04C52" w:rsidP="00B46744">
            <w:pPr>
              <w:autoSpaceDE w:val="0"/>
              <w:autoSpaceDN w:val="0"/>
              <w:adjustRightInd w:val="0"/>
              <w:rPr>
                <w:color w:val="000000" w:themeColor="text1"/>
                <w:sz w:val="20"/>
                <w:szCs w:val="20"/>
              </w:rPr>
            </w:pPr>
            <w:r>
              <w:rPr>
                <w:color w:val="000000" w:themeColor="text1"/>
                <w:sz w:val="20"/>
                <w:szCs w:val="20"/>
              </w:rPr>
              <w:t>L</w:t>
            </w:r>
            <w:r w:rsidRPr="006932B9">
              <w:rPr>
                <w:color w:val="000000" w:themeColor="text1"/>
                <w:sz w:val="20"/>
                <w:szCs w:val="20"/>
              </w:rPr>
              <w:t>imited confidence that the estimate of effect lies close to the true effect for this outcome.</w:t>
            </w:r>
          </w:p>
        </w:tc>
        <w:tc>
          <w:tcPr>
            <w:tcW w:w="4950" w:type="dxa"/>
            <w:shd w:val="clear" w:color="auto" w:fill="FFFFFF" w:themeFill="background1"/>
          </w:tcPr>
          <w:p w14:paraId="1481A6ED" w14:textId="77777777" w:rsidR="00D04C52" w:rsidRPr="006932B9" w:rsidRDefault="00D04C52" w:rsidP="00B46744">
            <w:pPr>
              <w:pStyle w:val="ListParagraph"/>
              <w:numPr>
                <w:ilvl w:val="0"/>
                <w:numId w:val="3"/>
              </w:numPr>
              <w:autoSpaceDE w:val="0"/>
              <w:autoSpaceDN w:val="0"/>
              <w:adjustRightInd w:val="0"/>
              <w:spacing w:after="0" w:line="240" w:lineRule="auto"/>
              <w:rPr>
                <w:color w:val="000000" w:themeColor="text1"/>
                <w:sz w:val="20"/>
                <w:szCs w:val="20"/>
              </w:rPr>
            </w:pPr>
            <w:r w:rsidRPr="006932B9">
              <w:rPr>
                <w:color w:val="000000" w:themeColor="text1"/>
                <w:sz w:val="20"/>
                <w:szCs w:val="20"/>
              </w:rPr>
              <w:t>The body of evidence has major or numerous deficiencies (or both).</w:t>
            </w:r>
          </w:p>
          <w:p w14:paraId="4CED97EE" w14:textId="77777777" w:rsidR="00D04C52" w:rsidRPr="006932B9" w:rsidRDefault="00D04C52" w:rsidP="00B46744">
            <w:pPr>
              <w:pStyle w:val="ListParagraph"/>
              <w:numPr>
                <w:ilvl w:val="0"/>
                <w:numId w:val="3"/>
              </w:numPr>
              <w:autoSpaceDE w:val="0"/>
              <w:autoSpaceDN w:val="0"/>
              <w:adjustRightInd w:val="0"/>
              <w:spacing w:after="0" w:line="240" w:lineRule="auto"/>
              <w:rPr>
                <w:color w:val="000000" w:themeColor="text1"/>
                <w:sz w:val="20"/>
                <w:szCs w:val="20"/>
              </w:rPr>
            </w:pPr>
            <w:r w:rsidRPr="006932B9">
              <w:rPr>
                <w:color w:val="000000" w:themeColor="text1"/>
                <w:sz w:val="20"/>
                <w:szCs w:val="20"/>
              </w:rPr>
              <w:t>We believe that additional evidence is needed before concluding either that the findings are stable or that the estimate of effect is close to the true effect.</w:t>
            </w:r>
          </w:p>
        </w:tc>
      </w:tr>
      <w:tr w:rsidR="00D04C52" w:rsidRPr="006932B9" w14:paraId="6A209A2C" w14:textId="77777777" w:rsidTr="00B46744">
        <w:tc>
          <w:tcPr>
            <w:tcW w:w="1165" w:type="dxa"/>
            <w:shd w:val="clear" w:color="auto" w:fill="E7E6E6"/>
          </w:tcPr>
          <w:p w14:paraId="29004B82" w14:textId="77777777" w:rsidR="00D04C52" w:rsidRPr="006932B9" w:rsidRDefault="00D04C52" w:rsidP="00B46744">
            <w:pPr>
              <w:autoSpaceDE w:val="0"/>
              <w:autoSpaceDN w:val="0"/>
              <w:adjustRightInd w:val="0"/>
              <w:jc w:val="center"/>
              <w:rPr>
                <w:b/>
                <w:color w:val="000000" w:themeColor="text1"/>
                <w:sz w:val="20"/>
                <w:szCs w:val="20"/>
              </w:rPr>
            </w:pPr>
            <w:r w:rsidRPr="006932B9">
              <w:rPr>
                <w:b/>
                <w:color w:val="000000" w:themeColor="text1"/>
                <w:sz w:val="20"/>
                <w:szCs w:val="20"/>
              </w:rPr>
              <w:t>Insufficient</w:t>
            </w:r>
          </w:p>
        </w:tc>
        <w:tc>
          <w:tcPr>
            <w:tcW w:w="3600" w:type="dxa"/>
          </w:tcPr>
          <w:p w14:paraId="0B5D7127" w14:textId="77777777" w:rsidR="00D04C52" w:rsidRPr="006932B9" w:rsidRDefault="00D04C52" w:rsidP="00B46744">
            <w:pPr>
              <w:autoSpaceDE w:val="0"/>
              <w:autoSpaceDN w:val="0"/>
              <w:adjustRightInd w:val="0"/>
              <w:rPr>
                <w:color w:val="000000" w:themeColor="text1"/>
                <w:sz w:val="20"/>
                <w:szCs w:val="20"/>
              </w:rPr>
            </w:pPr>
            <w:r>
              <w:rPr>
                <w:color w:val="000000" w:themeColor="text1"/>
                <w:sz w:val="20"/>
                <w:szCs w:val="20"/>
              </w:rPr>
              <w:t>N</w:t>
            </w:r>
            <w:r w:rsidRPr="006932B9">
              <w:rPr>
                <w:color w:val="000000" w:themeColor="text1"/>
                <w:sz w:val="20"/>
                <w:szCs w:val="20"/>
              </w:rPr>
              <w:t>o evidence</w:t>
            </w:r>
            <w:r>
              <w:rPr>
                <w:color w:val="000000" w:themeColor="text1"/>
                <w:sz w:val="20"/>
                <w:szCs w:val="20"/>
              </w:rPr>
              <w:t>;</w:t>
            </w:r>
            <w:r w:rsidRPr="006932B9">
              <w:rPr>
                <w:color w:val="000000" w:themeColor="text1"/>
                <w:sz w:val="20"/>
                <w:szCs w:val="20"/>
              </w:rPr>
              <w:t xml:space="preserve"> unable to estimate an effect, or no confidence in the estimate of effect for this outcome.</w:t>
            </w:r>
          </w:p>
        </w:tc>
        <w:tc>
          <w:tcPr>
            <w:tcW w:w="4950" w:type="dxa"/>
            <w:shd w:val="clear" w:color="auto" w:fill="FFFFFF" w:themeFill="background1"/>
          </w:tcPr>
          <w:p w14:paraId="1ACA9E1E" w14:textId="77777777" w:rsidR="00D04C52" w:rsidRPr="006932B9" w:rsidRDefault="00D04C52" w:rsidP="00B46744">
            <w:pPr>
              <w:pStyle w:val="ListParagraph"/>
              <w:numPr>
                <w:ilvl w:val="0"/>
                <w:numId w:val="4"/>
              </w:numPr>
              <w:autoSpaceDE w:val="0"/>
              <w:autoSpaceDN w:val="0"/>
              <w:adjustRightInd w:val="0"/>
              <w:spacing w:after="0" w:line="240" w:lineRule="auto"/>
              <w:rPr>
                <w:color w:val="000000" w:themeColor="text1"/>
                <w:sz w:val="20"/>
                <w:szCs w:val="20"/>
              </w:rPr>
            </w:pPr>
            <w:r w:rsidRPr="006932B9">
              <w:rPr>
                <w:color w:val="000000" w:themeColor="text1"/>
                <w:sz w:val="20"/>
                <w:szCs w:val="20"/>
              </w:rPr>
              <w:t xml:space="preserve">No evidence is </w:t>
            </w:r>
            <w:r w:rsidR="002070E0" w:rsidRPr="006932B9">
              <w:rPr>
                <w:color w:val="000000" w:themeColor="text1"/>
                <w:sz w:val="20"/>
                <w:szCs w:val="20"/>
              </w:rPr>
              <w:t>available,</w:t>
            </w:r>
            <w:r w:rsidRPr="006932B9">
              <w:rPr>
                <w:color w:val="000000" w:themeColor="text1"/>
                <w:sz w:val="20"/>
                <w:szCs w:val="20"/>
              </w:rPr>
              <w:t xml:space="preserve"> or the body of evidence has unacceptable deficiencies, precluding reaching a conclusion.</w:t>
            </w:r>
          </w:p>
        </w:tc>
      </w:tr>
    </w:tbl>
    <w:p w14:paraId="7FC76970" w14:textId="77777777" w:rsidR="00D04C52" w:rsidRPr="006932B9" w:rsidRDefault="00D04C52" w:rsidP="00B46744">
      <w:pPr>
        <w:pStyle w:val="BodyText"/>
        <w:jc w:val="both"/>
        <w:rPr>
          <w:rFonts w:asciiTheme="minorHAnsi" w:hAnsiTheme="minorHAnsi"/>
          <w:sz w:val="22"/>
          <w:szCs w:val="22"/>
        </w:rPr>
      </w:pPr>
    </w:p>
    <w:p w14:paraId="2024FDA1" w14:textId="239022D3" w:rsidR="00D04C52" w:rsidRPr="007A60C3" w:rsidRDefault="00D04C52" w:rsidP="00EA4065">
      <w:pPr>
        <w:pStyle w:val="BodyText"/>
        <w:jc w:val="both"/>
        <w:rPr>
          <w:rFonts w:asciiTheme="minorHAnsi" w:hAnsiTheme="minorHAnsi"/>
          <w:color w:val="000000" w:themeColor="text1"/>
          <w:sz w:val="22"/>
          <w:szCs w:val="22"/>
        </w:rPr>
      </w:pPr>
      <w:r w:rsidRPr="00AD248C">
        <w:rPr>
          <w:rFonts w:asciiTheme="minorHAnsi" w:hAnsiTheme="minorHAnsi"/>
          <w:color w:val="000000" w:themeColor="text1"/>
          <w:sz w:val="22"/>
          <w:szCs w:val="22"/>
        </w:rPr>
        <w:t>Reporting bias is one of the specific strength of evidence (SOE) domains typically</w:t>
      </w:r>
      <w:r w:rsidRPr="007A60C3">
        <w:rPr>
          <w:rFonts w:asciiTheme="minorHAnsi" w:hAnsiTheme="minorHAnsi"/>
          <w:color w:val="000000" w:themeColor="text1"/>
          <w:sz w:val="22"/>
          <w:szCs w:val="22"/>
        </w:rPr>
        <w:t xml:space="preserve"> assessed, but the methods used to detect it are designed for use with controlled trials. Although observational studies may be susceptible to reporting bias, no comparable methods exist for assessing reporting bias for those study designs. As a result, reporting bias was not assessed for the purposes of this systematic review, which comprised only observational studies, in accordance with methodological recommendations</w:t>
      </w:r>
      <w:r>
        <w:rPr>
          <w:rFonts w:asciiTheme="minorHAnsi" w:hAnsiTheme="minorHAnsi"/>
          <w:color w:val="000000" w:themeColor="text1"/>
          <w:sz w:val="22"/>
          <w:szCs w:val="22"/>
        </w:rPr>
        <w:t xml:space="preserve"> </w:t>
      </w:r>
      <w:r w:rsidR="00D2134A">
        <w:rPr>
          <w:rFonts w:asciiTheme="minorHAnsi" w:hAnsiTheme="minorHAnsi"/>
          <w:color w:val="000000" w:themeColor="text1"/>
          <w:sz w:val="22"/>
          <w:szCs w:val="22"/>
        </w:rPr>
        <w:fldChar w:fldCharType="begin">
          <w:fldData xml:space="preserve">PEVuZE5vdGU+PENpdGU+PEF1dGhvcj5CZXJrbWFuPC9BdXRob3I+PFllYXI+MjAxNTwvWWVhcj48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</w:fldData>
        </w:fldChar>
      </w:r>
      <w:r w:rsidR="00D2134A">
        <w:rPr>
          <w:rFonts w:asciiTheme="minorHAnsi" w:hAnsiTheme="minorHAnsi"/>
          <w:color w:val="000000" w:themeColor="text1"/>
          <w:sz w:val="22"/>
          <w:szCs w:val="22"/>
        </w:rPr>
        <w:instrText xml:space="preserve"> ADDIN EN.CITE </w:instrText>
      </w:r>
      <w:r w:rsidR="00D2134A">
        <w:rPr>
          <w:rFonts w:asciiTheme="minorHAnsi" w:hAnsiTheme="minorHAnsi"/>
          <w:color w:val="000000" w:themeColor="text1"/>
          <w:sz w:val="22"/>
          <w:szCs w:val="22"/>
        </w:rPr>
        <w:fldChar w:fldCharType="begin">
          <w:fldData xml:space="preserve">PEVuZE5vdGU+PENpdGU+PEF1dGhvcj5CZXJrbWFuPC9BdXRob3I+PFllYXI+MjAxNTwvWWVhcj48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</w:fldData>
        </w:fldChar>
      </w:r>
      <w:r w:rsidR="00D2134A">
        <w:rPr>
          <w:rFonts w:asciiTheme="minorHAnsi" w:hAnsiTheme="minorHAnsi"/>
          <w:color w:val="000000" w:themeColor="text1"/>
          <w:sz w:val="22"/>
          <w:szCs w:val="22"/>
        </w:rPr>
        <w:instrText xml:space="preserve"> ADDIN EN.CITE.DATA </w:instrText>
      </w:r>
      <w:r w:rsidR="00D2134A">
        <w:rPr>
          <w:rFonts w:asciiTheme="minorHAnsi" w:hAnsiTheme="minorHAnsi"/>
          <w:color w:val="000000" w:themeColor="text1"/>
          <w:sz w:val="22"/>
          <w:szCs w:val="22"/>
        </w:rPr>
      </w:r>
      <w:r w:rsidR="00D2134A">
        <w:rPr>
          <w:rFonts w:asciiTheme="minorHAnsi" w:hAnsiTheme="minorHAnsi"/>
          <w:color w:val="000000" w:themeColor="text1"/>
          <w:sz w:val="22"/>
          <w:szCs w:val="22"/>
        </w:rPr>
        <w:fldChar w:fldCharType="end"/>
      </w:r>
      <w:r w:rsidR="00D2134A">
        <w:rPr>
          <w:rFonts w:asciiTheme="minorHAnsi" w:hAnsiTheme="minorHAnsi"/>
          <w:color w:val="000000" w:themeColor="text1"/>
          <w:sz w:val="22"/>
          <w:szCs w:val="22"/>
        </w:rPr>
        <w:fldChar w:fldCharType="separate"/>
      </w:r>
      <w:r w:rsidR="00D2134A">
        <w:rPr>
          <w:rFonts w:asciiTheme="minorHAnsi" w:hAnsiTheme="minorHAnsi"/>
          <w:noProof/>
          <w:color w:val="000000" w:themeColor="text1"/>
          <w:sz w:val="22"/>
          <w:szCs w:val="22"/>
        </w:rPr>
        <w:t>(</w:t>
      </w:r>
      <w:hyperlink w:anchor="_ENREF_89" w:tooltip="Berkman, 2015 #195" w:history="1">
        <w:r w:rsidR="00A234A9">
          <w:rPr>
            <w:rFonts w:asciiTheme="minorHAnsi" w:hAnsiTheme="minorHAnsi"/>
            <w:noProof/>
            <w:color w:val="000000" w:themeColor="text1"/>
            <w:sz w:val="22"/>
            <w:szCs w:val="22"/>
          </w:rPr>
          <w:t>89</w:t>
        </w:r>
      </w:hyperlink>
      <w:r w:rsidR="00D2134A">
        <w:rPr>
          <w:rFonts w:asciiTheme="minorHAnsi" w:hAnsiTheme="minorHAnsi"/>
          <w:noProof/>
          <w:color w:val="000000" w:themeColor="text1"/>
          <w:sz w:val="22"/>
          <w:szCs w:val="22"/>
        </w:rPr>
        <w:t>)</w:t>
      </w:r>
      <w:r w:rsidR="00D2134A">
        <w:rPr>
          <w:rFonts w:asciiTheme="minorHAnsi" w:hAnsiTheme="minorHAnsi"/>
          <w:color w:val="000000" w:themeColor="text1"/>
          <w:sz w:val="22"/>
          <w:szCs w:val="22"/>
        </w:rPr>
        <w:fldChar w:fldCharType="end"/>
      </w:r>
      <w:r>
        <w:rPr>
          <w:rFonts w:asciiTheme="minorHAnsi" w:hAnsiTheme="minorHAnsi"/>
          <w:color w:val="000000" w:themeColor="text1"/>
          <w:sz w:val="22"/>
          <w:szCs w:val="22"/>
        </w:rPr>
        <w:t>.</w:t>
      </w:r>
    </w:p>
    <w:p w14:paraId="4622BA6B" w14:textId="77777777" w:rsidR="00D04C52" w:rsidRPr="007A60C3" w:rsidRDefault="00D04C52" w:rsidP="00EA4065">
      <w:pPr>
        <w:pStyle w:val="BodyText"/>
        <w:jc w:val="both"/>
        <w:rPr>
          <w:rFonts w:asciiTheme="minorHAnsi" w:hAnsiTheme="minorHAnsi"/>
          <w:sz w:val="22"/>
          <w:szCs w:val="22"/>
        </w:rPr>
      </w:pPr>
      <w:r w:rsidRPr="007A60C3">
        <w:rPr>
          <w:rFonts w:asciiTheme="minorHAnsi" w:hAnsiTheme="minorHAnsi"/>
          <w:sz w:val="22"/>
          <w:szCs w:val="22"/>
        </w:rPr>
        <w:t xml:space="preserve">For this </w:t>
      </w:r>
      <w:r>
        <w:rPr>
          <w:rFonts w:asciiTheme="minorHAnsi" w:hAnsiTheme="minorHAnsi"/>
          <w:sz w:val="22"/>
          <w:szCs w:val="22"/>
        </w:rPr>
        <w:t>review</w:t>
      </w:r>
      <w:r w:rsidRPr="007A60C3">
        <w:rPr>
          <w:rFonts w:asciiTheme="minorHAnsi" w:hAnsiTheme="minorHAnsi"/>
          <w:sz w:val="22"/>
          <w:szCs w:val="22"/>
        </w:rPr>
        <w:t xml:space="preserve">, the SOE was assessed in two ways for each outcome measure. First, SOE was assessed for the studies that adjusted for the key confounders of age, race/ethnicity, and </w:t>
      </w:r>
      <w:r>
        <w:rPr>
          <w:rFonts w:asciiTheme="minorHAnsi" w:hAnsiTheme="minorHAnsi"/>
          <w:sz w:val="22"/>
          <w:szCs w:val="22"/>
        </w:rPr>
        <w:t>gender</w:t>
      </w:r>
      <w:r w:rsidRPr="007A60C3">
        <w:rPr>
          <w:rFonts w:asciiTheme="minorHAnsi" w:hAnsiTheme="minorHAnsi"/>
          <w:sz w:val="22"/>
          <w:szCs w:val="22"/>
        </w:rPr>
        <w:t xml:space="preserve"> (through multivariable modeling, sample stratifications, or predefined study inclusion criteria). Those results minimized the potential for confounding bias and represented the “best evidence” and may be more likely to represent the “true” association of menthol cigarettes with smoking behaviors.</w:t>
      </w:r>
    </w:p>
    <w:p w14:paraId="3D5665CD" w14:textId="77777777" w:rsidR="00D04C52" w:rsidRPr="007A60C3" w:rsidRDefault="00D04C52" w:rsidP="00EA4065">
      <w:pPr>
        <w:pStyle w:val="BodyText"/>
        <w:jc w:val="both"/>
        <w:rPr>
          <w:rFonts w:asciiTheme="minorHAnsi" w:hAnsiTheme="minorHAnsi"/>
          <w:sz w:val="22"/>
          <w:szCs w:val="22"/>
        </w:rPr>
      </w:pPr>
      <w:r w:rsidRPr="007A60C3">
        <w:rPr>
          <w:rFonts w:asciiTheme="minorHAnsi" w:hAnsiTheme="minorHAnsi"/>
          <w:sz w:val="22"/>
          <w:szCs w:val="22"/>
        </w:rPr>
        <w:t xml:space="preserve">Next, a sensitivity analysis was conducted, including the results from analyses that did not control for the key confounders. The unadjusted results reflected the effect of menthol but allow all other variables—measured and unmeasured—to vary, potentially obscuring the actual effect of menthol smoking. For some measures, </w:t>
      </w:r>
      <w:r w:rsidRPr="007A60C3">
        <w:rPr>
          <w:rFonts w:asciiTheme="minorHAnsi" w:hAnsiTheme="minorHAnsi"/>
          <w:i/>
          <w:sz w:val="22"/>
          <w:szCs w:val="22"/>
        </w:rPr>
        <w:t>only</w:t>
      </w:r>
      <w:r w:rsidRPr="007A60C3">
        <w:rPr>
          <w:rFonts w:asciiTheme="minorHAnsi" w:hAnsiTheme="minorHAnsi"/>
          <w:sz w:val="22"/>
          <w:szCs w:val="22"/>
        </w:rPr>
        <w:t xml:space="preserve"> unadjusted results were available. In those cases, unadjusted results represent the “best </w:t>
      </w:r>
      <w:r w:rsidRPr="007A60C3">
        <w:rPr>
          <w:rFonts w:asciiTheme="minorHAnsi" w:hAnsiTheme="minorHAnsi"/>
          <w:i/>
          <w:sz w:val="22"/>
          <w:szCs w:val="22"/>
        </w:rPr>
        <w:t>available</w:t>
      </w:r>
      <w:r w:rsidRPr="007A60C3">
        <w:rPr>
          <w:rFonts w:asciiTheme="minorHAnsi" w:hAnsiTheme="minorHAnsi"/>
          <w:sz w:val="22"/>
          <w:szCs w:val="22"/>
        </w:rPr>
        <w:t xml:space="preserve"> evidence” upon which the SOE was based; however, it was rare that SOE based on unadjusted results alone would be rated higher than “insufficient,” given the inability of unadjusted data to control for confounding.</w:t>
      </w:r>
    </w:p>
    <w:p w14:paraId="368C3587" w14:textId="77777777" w:rsidR="00D04C52" w:rsidRPr="007A60C3" w:rsidRDefault="00D04C52" w:rsidP="00EA4065">
      <w:pPr>
        <w:pStyle w:val="BodyText"/>
        <w:jc w:val="both"/>
        <w:rPr>
          <w:rFonts w:asciiTheme="minorHAnsi" w:hAnsiTheme="minorHAnsi"/>
          <w:sz w:val="22"/>
          <w:szCs w:val="22"/>
        </w:rPr>
      </w:pPr>
      <w:r w:rsidRPr="007A60C3">
        <w:rPr>
          <w:rFonts w:asciiTheme="minorHAnsi" w:hAnsiTheme="minorHAnsi"/>
          <w:sz w:val="22"/>
          <w:szCs w:val="22"/>
        </w:rPr>
        <w:t>In both SOE assessments, measures with “acceptable” reliability and/or validity were weighed more heavily than the “inconclusive” measures (to minimize the impact of misclassification bias).</w:t>
      </w:r>
    </w:p>
    <w:p w14:paraId="3BEE3D88" w14:textId="77777777" w:rsidR="00A20AE4" w:rsidRDefault="00D04C52" w:rsidP="00EA4065">
      <w:pPr>
        <w:pStyle w:val="BodyText"/>
        <w:jc w:val="both"/>
        <w:rPr>
          <w:rFonts w:asciiTheme="minorHAnsi" w:hAnsiTheme="minorHAnsi"/>
          <w:color w:val="000000" w:themeColor="text1"/>
          <w:sz w:val="22"/>
          <w:szCs w:val="22"/>
        </w:rPr>
      </w:pPr>
      <w:r w:rsidRPr="007A60C3">
        <w:rPr>
          <w:rFonts w:asciiTheme="minorHAnsi" w:hAnsiTheme="minorHAnsi"/>
          <w:color w:val="000000" w:themeColor="text1"/>
          <w:sz w:val="22"/>
          <w:szCs w:val="22"/>
        </w:rPr>
        <w:t>The final SOE judgment was necessarily qualitative but reflected a sound, reasoned weighing of domain ratings</w:t>
      </w:r>
      <w:r w:rsidR="00A20AE4">
        <w:rPr>
          <w:rFonts w:asciiTheme="minorHAnsi" w:hAnsiTheme="minorHAnsi"/>
          <w:color w:val="000000" w:themeColor="text1"/>
          <w:sz w:val="22"/>
          <w:szCs w:val="22"/>
        </w:rPr>
        <w:t>.</w:t>
      </w:r>
    </w:p>
    <w:p w14:paraId="3DBB5ACE" w14:textId="77777777" w:rsidR="00D04C52" w:rsidRDefault="00D04C52" w:rsidP="00B46744">
      <w:pPr>
        <w:rPr>
          <w:b/>
        </w:rPr>
        <w:sectPr w:rsidR="00D04C52" w:rsidSect="00B46744">
          <w:pgSz w:w="12240" w:h="15840"/>
          <w:pgMar w:top="1440" w:right="1440" w:bottom="1440" w:left="1440" w:header="720" w:footer="720" w:gutter="0"/>
          <w:cols w:space="720"/>
          <w:docGrid w:linePitch="360"/>
        </w:sectPr>
      </w:pPr>
    </w:p>
    <w:p w14:paraId="20F3191F" w14:textId="77777777" w:rsidR="00D04C52" w:rsidRDefault="00D04C52" w:rsidP="00193DD0">
      <w:pPr>
        <w:outlineLvl w:val="0"/>
        <w:rPr>
          <w:rFonts w:eastAsia="Times New Roman" w:cs="Times New Roman"/>
          <w:b/>
          <w:bCs/>
        </w:rPr>
      </w:pPr>
      <w:r>
        <w:rPr>
          <w:rFonts w:eastAsia="Times New Roman" w:cs="Times New Roman"/>
          <w:b/>
          <w:bCs/>
        </w:rPr>
        <w:lastRenderedPageBreak/>
        <w:t xml:space="preserve">SUPPLEMENTAL SECTION </w:t>
      </w:r>
      <w:r w:rsidR="00C82C02">
        <w:rPr>
          <w:rFonts w:eastAsia="Times New Roman" w:cs="Times New Roman"/>
          <w:b/>
          <w:bCs/>
        </w:rPr>
        <w:t>14</w:t>
      </w:r>
      <w:r>
        <w:rPr>
          <w:rFonts w:eastAsia="Times New Roman" w:cs="Times New Roman"/>
          <w:b/>
          <w:bCs/>
        </w:rPr>
        <w:t>: Adjusted Subgroup Analyses by Outcome</w:t>
      </w:r>
    </w:p>
    <w:p w14:paraId="29176EF0" w14:textId="77777777" w:rsidR="00107778" w:rsidRPr="001D44FA" w:rsidRDefault="00107778" w:rsidP="00193DD0">
      <w:pPr>
        <w:spacing w:after="120" w:line="240" w:lineRule="auto"/>
        <w:jc w:val="both"/>
        <w:outlineLvl w:val="1"/>
        <w:rPr>
          <w:rFonts w:eastAsia="Calibri" w:cs="Times New Roman"/>
          <w:i/>
          <w:color w:val="000000"/>
          <w:u w:val="single"/>
        </w:rPr>
      </w:pPr>
      <w:r w:rsidRPr="001D44FA">
        <w:rPr>
          <w:rFonts w:eastAsia="Calibri" w:cs="Times New Roman"/>
          <w:i/>
          <w:color w:val="000000"/>
          <w:u w:val="single"/>
        </w:rPr>
        <w:t xml:space="preserve">Adjusted Results: </w:t>
      </w:r>
      <w:r>
        <w:rPr>
          <w:rFonts w:eastAsia="Calibri" w:cs="Times New Roman"/>
          <w:bCs/>
          <w:i/>
          <w:color w:val="000000"/>
          <w:u w:val="single"/>
        </w:rPr>
        <w:t>I</w:t>
      </w:r>
      <w:r w:rsidRPr="00EE32FF">
        <w:rPr>
          <w:rFonts w:eastAsia="Calibri" w:cs="Times New Roman"/>
          <w:bCs/>
          <w:i/>
          <w:color w:val="000000"/>
          <w:u w:val="single"/>
        </w:rPr>
        <w:t xml:space="preserve">nitiation and </w:t>
      </w:r>
      <w:r>
        <w:rPr>
          <w:rFonts w:eastAsia="Calibri" w:cs="Times New Roman"/>
          <w:bCs/>
          <w:i/>
          <w:color w:val="000000"/>
          <w:u w:val="single"/>
        </w:rPr>
        <w:t>P</w:t>
      </w:r>
      <w:r w:rsidRPr="00EE32FF">
        <w:rPr>
          <w:rFonts w:eastAsia="Calibri" w:cs="Times New Roman"/>
          <w:bCs/>
          <w:i/>
          <w:color w:val="000000"/>
          <w:u w:val="single"/>
        </w:rPr>
        <w:t xml:space="preserve">rogression to </w:t>
      </w:r>
      <w:r>
        <w:rPr>
          <w:rFonts w:eastAsia="Calibri" w:cs="Times New Roman"/>
          <w:bCs/>
          <w:i/>
          <w:color w:val="000000"/>
          <w:u w:val="single"/>
        </w:rPr>
        <w:t>R</w:t>
      </w:r>
      <w:r w:rsidRPr="00EE32FF">
        <w:rPr>
          <w:rFonts w:eastAsia="Calibri" w:cs="Times New Roman"/>
          <w:bCs/>
          <w:i/>
          <w:color w:val="000000"/>
          <w:u w:val="single"/>
        </w:rPr>
        <w:t xml:space="preserve">egular </w:t>
      </w:r>
      <w:r>
        <w:rPr>
          <w:rFonts w:eastAsia="Calibri" w:cs="Times New Roman"/>
          <w:bCs/>
          <w:i/>
          <w:color w:val="000000"/>
          <w:u w:val="single"/>
        </w:rPr>
        <w:t>S</w:t>
      </w:r>
      <w:r w:rsidRPr="00EE32FF">
        <w:rPr>
          <w:rFonts w:eastAsia="Calibri" w:cs="Times New Roman"/>
          <w:bCs/>
          <w:i/>
          <w:color w:val="000000"/>
          <w:u w:val="single"/>
        </w:rPr>
        <w:t>moking</w:t>
      </w:r>
      <w:r w:rsidRPr="001D44FA">
        <w:rPr>
          <w:rFonts w:eastAsia="Calibri" w:cs="Times New Roman"/>
          <w:i/>
          <w:color w:val="000000"/>
          <w:u w:val="single"/>
        </w:rPr>
        <w:t xml:space="preserve"> by </w:t>
      </w:r>
      <w:r>
        <w:rPr>
          <w:rFonts w:eastAsia="Calibri" w:cs="Times New Roman"/>
          <w:i/>
          <w:color w:val="000000"/>
          <w:u w:val="single"/>
        </w:rPr>
        <w:t>Race/Ethnicity</w:t>
      </w:r>
    </w:p>
    <w:p w14:paraId="0307BB44" w14:textId="77777777" w:rsidR="00107778" w:rsidRPr="00193DD0" w:rsidRDefault="00107778" w:rsidP="00193DD0">
      <w:pPr>
        <w:spacing w:after="120" w:line="240" w:lineRule="auto"/>
        <w:jc w:val="both"/>
        <w:outlineLvl w:val="2"/>
        <w:rPr>
          <w:rFonts w:eastAsia="Calibri" w:cs="Times New Roman"/>
          <w:b/>
          <w:bCs/>
          <w:color w:val="000000"/>
        </w:rPr>
      </w:pPr>
      <w:r w:rsidRPr="00193DD0">
        <w:rPr>
          <w:rFonts w:eastAsia="Calibri" w:cs="Times New Roman"/>
          <w:b/>
          <w:bCs/>
          <w:color w:val="000000"/>
        </w:rPr>
        <w:t>White</w:t>
      </w:r>
      <w:r w:rsidR="00667B57">
        <w:rPr>
          <w:rFonts w:eastAsia="Calibri" w:cs="Times New Roman"/>
          <w:b/>
          <w:bCs/>
          <w:color w:val="000000"/>
        </w:rPr>
        <w:t>s</w:t>
      </w:r>
    </w:p>
    <w:p w14:paraId="5AA7DD85" w14:textId="7FE653E6" w:rsidR="00107778" w:rsidRDefault="00107778" w:rsidP="00107778">
      <w:pPr>
        <w:spacing w:after="120" w:line="240" w:lineRule="auto"/>
        <w:jc w:val="both"/>
        <w:rPr>
          <w:rFonts w:eastAsia="Calibri" w:cs="Times New Roman"/>
          <w:i/>
          <w:color w:val="000000"/>
        </w:rPr>
      </w:pPr>
      <w:r>
        <w:rPr>
          <w:rFonts w:eastAsia="Calibri" w:cs="Times New Roman"/>
          <w:i/>
          <w:color w:val="000000"/>
        </w:rPr>
        <w:t xml:space="preserve">Across a total of </w:t>
      </w:r>
      <w:r w:rsidR="00253CDB">
        <w:rPr>
          <w:rFonts w:eastAsia="Calibri" w:cs="Times New Roman"/>
          <w:i/>
          <w:color w:val="000000"/>
        </w:rPr>
        <w:t xml:space="preserve">two </w:t>
      </w:r>
      <w:r>
        <w:rPr>
          <w:rFonts w:eastAsia="Calibri" w:cs="Times New Roman"/>
          <w:i/>
          <w:color w:val="000000"/>
        </w:rPr>
        <w:t xml:space="preserve">studies </w:t>
      </w:r>
      <w:r w:rsidR="00D2134A">
        <w:rPr>
          <w:rFonts w:eastAsia="Calibri" w:cs="Times New Roman"/>
          <w:i/>
          <w:color w:val="000000"/>
        </w:rPr>
        <w:fldChar w:fldCharType="begin">
          <w:fldData xml:space="preserve">PEVuZE5vdGU+PENpdGU+PEF1dGhvcj5DdWJiaW48L0F1dGhvcj48WWVhcj4yMDEwPC9ZZWFyPjxS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PEVuZE5vdGU+PENpdGU+PEF1dGhvcj5DdWJiaW48L0F1dGhvcj48WWVhcj4yMDEwPC9ZZWFyPjxS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50" w:tooltip="Cubbin, 2010 #53" w:history="1">
        <w:r w:rsidR="00A234A9">
          <w:rPr>
            <w:rFonts w:eastAsia="Calibri" w:cs="Times New Roman"/>
            <w:i/>
            <w:noProof/>
            <w:color w:val="000000"/>
          </w:rPr>
          <w:t>50</w:t>
        </w:r>
      </w:hyperlink>
      <w:r w:rsidR="00D2134A">
        <w:rPr>
          <w:rFonts w:eastAsia="Calibri" w:cs="Times New Roman"/>
          <w:i/>
          <w:noProof/>
          <w:color w:val="000000"/>
        </w:rPr>
        <w:t xml:space="preserve">, </w:t>
      </w:r>
      <w:hyperlink w:anchor="_ENREF_70" w:tooltip="Lawrence, 2010 #52" w:history="1">
        <w:r w:rsidR="00A234A9">
          <w:rPr>
            <w:rFonts w:eastAsia="Calibri" w:cs="Times New Roman"/>
            <w:i/>
            <w:noProof/>
            <w:color w:val="000000"/>
          </w:rPr>
          <w:t>70</w:t>
        </w:r>
      </w:hyperlink>
      <w:r w:rsidR="00D2134A">
        <w:rPr>
          <w:rFonts w:eastAsia="Calibri" w:cs="Times New Roman"/>
          <w:i/>
          <w:noProof/>
          <w:color w:val="000000"/>
        </w:rPr>
        <w:t>)</w:t>
      </w:r>
      <w:r w:rsidR="00D2134A">
        <w:rPr>
          <w:rFonts w:eastAsia="Calibri" w:cs="Times New Roman"/>
          <w:i/>
          <w:color w:val="000000"/>
        </w:rPr>
        <w:fldChar w:fldCharType="end"/>
      </w:r>
      <w:r>
        <w:rPr>
          <w:rFonts w:eastAsia="Calibri" w:cs="Times New Roman"/>
          <w:i/>
          <w:color w:val="000000"/>
        </w:rPr>
        <w:t>, no difference was reported in</w:t>
      </w:r>
      <w:r w:rsidRPr="00A0218A">
        <w:rPr>
          <w:rFonts w:eastAsia="Calibri" w:cs="Times New Roman"/>
          <w:i/>
          <w:color w:val="000000"/>
        </w:rPr>
        <w:t xml:space="preserve"> age </w:t>
      </w:r>
      <w:r>
        <w:rPr>
          <w:rFonts w:eastAsia="Calibri" w:cs="Times New Roman"/>
          <w:i/>
          <w:color w:val="000000"/>
        </w:rPr>
        <w:t>at initiation among White smokers.</w:t>
      </w:r>
    </w:p>
    <w:p w14:paraId="74EA0B89" w14:textId="1DFEC313" w:rsidR="00107778" w:rsidRPr="00A0218A" w:rsidRDefault="00107778" w:rsidP="00107778">
      <w:pPr>
        <w:spacing w:after="120" w:line="240" w:lineRule="auto"/>
        <w:jc w:val="both"/>
        <w:rPr>
          <w:rFonts w:eastAsia="Calibri" w:cs="Times New Roman"/>
          <w:color w:val="000000"/>
        </w:rPr>
      </w:pPr>
      <w:r>
        <w:rPr>
          <w:rFonts w:eastAsia="Calibri" w:cs="Times New Roman"/>
          <w:color w:val="000000"/>
        </w:rPr>
        <w:t xml:space="preserve">Lawrence et al. </w:t>
      </w:r>
      <w:r w:rsidR="00D2134A">
        <w:rPr>
          <w:rFonts w:eastAsia="Calibri" w:cs="Times New Roman"/>
          <w:color w:val="000000"/>
        </w:rPr>
        <w:fldChar w:fldCharType="begin">
          <w:fldData xml:space="preserve">PEVuZE5vdGU+PENpdGU+PEF1dGhvcj5MYXdyZW5jZTwvQXV0aG9yPjxZZWFyPjIwMTA8L1llYXI+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PEVuZE5vdGU+PENpdGU+PEF1dGhvcj5MYXdyZW5jZTwvQXV0aG9yPjxZZWFyPjIwMTA8L1llYXI+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70" w:tooltip="Lawrence, 2010 #52" w:history="1">
        <w:r w:rsidR="00A234A9">
          <w:rPr>
            <w:rFonts w:eastAsia="Calibri" w:cs="Times New Roman"/>
            <w:noProof/>
            <w:color w:val="000000"/>
          </w:rPr>
          <w:t>70</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found that non-Hispanic </w:t>
      </w:r>
      <w:r>
        <w:rPr>
          <w:rFonts w:eastAsia="Calibri" w:cs="Times New Roman"/>
          <w:color w:val="000000"/>
        </w:rPr>
        <w:t>White</w:t>
      </w:r>
      <w:r w:rsidRPr="00A0218A">
        <w:rPr>
          <w:rFonts w:eastAsia="Calibri" w:cs="Times New Roman"/>
          <w:color w:val="000000"/>
        </w:rPr>
        <w:t xml:space="preserve">s who began smoking regularly before age 18 had lower odds of being menthol smokers. Compared with </w:t>
      </w:r>
      <w:r>
        <w:rPr>
          <w:rFonts w:eastAsia="Calibri" w:cs="Times New Roman"/>
          <w:color w:val="000000"/>
        </w:rPr>
        <w:t>White</w:t>
      </w:r>
      <w:r w:rsidRPr="00A0218A">
        <w:rPr>
          <w:rFonts w:eastAsia="Calibri" w:cs="Times New Roman"/>
          <w:color w:val="000000"/>
        </w:rPr>
        <w:t xml:space="preserve">s who began smoking at or after age 18, </w:t>
      </w:r>
      <w:r>
        <w:rPr>
          <w:rFonts w:eastAsia="Calibri" w:cs="Times New Roman"/>
          <w:color w:val="000000"/>
        </w:rPr>
        <w:t>White</w:t>
      </w:r>
      <w:r w:rsidRPr="00A0218A">
        <w:rPr>
          <w:rFonts w:eastAsia="Calibri" w:cs="Times New Roman"/>
          <w:color w:val="000000"/>
        </w:rPr>
        <w:t xml:space="preserve">s who began before age 15 were </w:t>
      </w:r>
      <w:r>
        <w:rPr>
          <w:rFonts w:eastAsia="Calibri" w:cs="Times New Roman"/>
          <w:color w:val="000000"/>
        </w:rPr>
        <w:t xml:space="preserve">no more or </w:t>
      </w:r>
      <w:r w:rsidRPr="00A0218A">
        <w:rPr>
          <w:rFonts w:eastAsia="Calibri" w:cs="Times New Roman"/>
          <w:color w:val="000000"/>
        </w:rPr>
        <w:t xml:space="preserve">less likely to be menthol smokers (OR=0.98, 95% CI: 0.88 to 1.09), and </w:t>
      </w:r>
      <w:r>
        <w:rPr>
          <w:rFonts w:eastAsia="Calibri" w:cs="Times New Roman"/>
          <w:color w:val="000000"/>
        </w:rPr>
        <w:t>White</w:t>
      </w:r>
      <w:r w:rsidRPr="00A0218A">
        <w:rPr>
          <w:rFonts w:eastAsia="Calibri" w:cs="Times New Roman"/>
          <w:color w:val="000000"/>
        </w:rPr>
        <w:t xml:space="preserve">s who began at age 15, 16, or 17 were </w:t>
      </w:r>
      <w:r>
        <w:rPr>
          <w:rFonts w:eastAsia="Calibri" w:cs="Times New Roman"/>
          <w:color w:val="000000"/>
        </w:rPr>
        <w:t>no more or</w:t>
      </w:r>
      <w:r w:rsidRPr="00A0218A">
        <w:rPr>
          <w:rFonts w:eastAsia="Calibri" w:cs="Times New Roman"/>
          <w:color w:val="000000"/>
        </w:rPr>
        <w:t xml:space="preserve"> less likely to be menthol smokers (OR=0.95, 95% CI: 0.87 to 1.03).</w:t>
      </w:r>
    </w:p>
    <w:p w14:paraId="51C97DE8" w14:textId="4A55EBAF" w:rsidR="00107778" w:rsidRPr="00A0218A" w:rsidRDefault="00107778" w:rsidP="00107778">
      <w:pPr>
        <w:spacing w:after="240" w:line="240" w:lineRule="auto"/>
        <w:jc w:val="both"/>
        <w:rPr>
          <w:rFonts w:eastAsia="Calibri" w:cs="Times New Roman"/>
          <w:color w:val="000000"/>
        </w:rPr>
      </w:pPr>
      <w:r w:rsidRPr="00A0218A">
        <w:rPr>
          <w:rFonts w:eastAsia="Calibri" w:cs="Times New Roman"/>
          <w:color w:val="000000"/>
        </w:rPr>
        <w:t>In an analysis of current adult smokers i</w:t>
      </w:r>
      <w:r>
        <w:rPr>
          <w:rFonts w:eastAsia="Calibri" w:cs="Times New Roman"/>
          <w:color w:val="000000"/>
        </w:rPr>
        <w:t xml:space="preserve">n the 2005 National Health </w:t>
      </w:r>
      <w:r w:rsidRPr="00AD248C">
        <w:rPr>
          <w:rFonts w:eastAsia="Calibri" w:cs="Times New Roman"/>
          <w:color w:val="000000"/>
        </w:rPr>
        <w:t>Interview Survey (NHIS), Cubbin</w:t>
      </w:r>
      <w:r>
        <w:rPr>
          <w:rFonts w:eastAsia="Calibri" w:cs="Times New Roman"/>
          <w:color w:val="000000"/>
        </w:rPr>
        <w:t xml:space="preserve">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&lt;EndNote&gt;&lt;Cite&gt;&lt;Author&gt;Cubbin&lt;/Author&gt;&lt;Year&gt;2010&lt;/Year&gt;&lt;RecNum&gt;53&lt;/RecNum&gt;&lt;DisplayText&gt;(50)&lt;/DisplayText&gt;&lt;record&gt;&lt;rec-number&gt;53&lt;/rec-number&gt;&lt;foreign-keys&gt;&lt;key app="EN" db-id="a2vz2dfp8xrad6exes75zwpiw5rxwa0vwapv" timestamp="0"&gt;53&lt;/key&gt;&lt;/foreign-keys&gt;&lt;ref-type name="Journal Article"&gt;17&lt;/ref-type&gt;&lt;contributors&gt;&lt;authors&gt;&lt;author&gt;Cubbin, C.&lt;/author&gt;&lt;author&gt;Soobader, M. J.&lt;/author&gt;&lt;author&gt;LeClere, F. B.&lt;/author&gt;&lt;/authors&gt;&lt;/contributors&gt;&lt;auth-address&gt;School of Social Work, University of Texas at Austin, Austin, TX 78712-0358, USA. ccubbin@austin.utexas.edu&lt;/auth-address&gt;&lt;titles&gt;&lt;title&gt;The intersection of gender and race/ethnicity in smoking behaviors among menthol and non-menthol smokers in the United States&lt;/title&gt;&lt;secondary-title&gt;Addiction&lt;/secondary-title&gt;&lt;/titles&gt;&lt;periodical&gt;&lt;full-title&gt;Addiction&lt;/full-title&gt;&lt;/periodical&gt;&lt;pages&gt;32-8&lt;/pages&gt;&lt;volume&gt;105 Suppl 1&lt;/volume&gt;&lt;keywords&gt;&lt;keyword&gt;Adult&lt;/keyword&gt;&lt;keyword&gt;African Americans/statistics &amp;amp; numerical data&lt;/keyword&gt;&lt;keyword&gt;Age of Onset&lt;/keyword&gt;&lt;keyword&gt;Cross-Sectional Studies&lt;/keyword&gt;&lt;keyword&gt;European Continental Ancestry Group/statistics &amp;amp; numerical data&lt;/keyword&gt;&lt;keyword&gt;Female&lt;/keyword&gt;&lt;keyword&gt;Hispanic Americans/statistics &amp;amp; numerical data&lt;/keyword&gt;&lt;keyword&gt;Humans&lt;/keyword&gt;&lt;keyword&gt;Male&lt;/keyword&gt;&lt;keyword&gt;*Menthol&lt;/keyword&gt;&lt;keyword&gt;Middle Aged&lt;/keyword&gt;&lt;keyword&gt;*Population Surveillance&lt;/keyword&gt;&lt;keyword&gt;Sex Factors&lt;/keyword&gt;&lt;keyword&gt;Smoking/*epidemiology/ethnology&lt;/keyword&gt;&lt;keyword&gt;Smoking Cessation/ethnology/statistics &amp;amp; numerical data&lt;/keyword&gt;&lt;keyword&gt;Socioeconomic Factors&lt;/keyword&gt;&lt;keyword&gt;United States/epidemiology&lt;/keyword&gt;&lt;/keywords&gt;&lt;dates&gt;&lt;year&gt;2010&lt;/year&gt;&lt;pub-dates&gt;&lt;date&gt;Dec&lt;/date&gt;&lt;/pub-dates&gt;&lt;/dates&gt;&lt;isbn&gt;1360-0443 (Electronic)&amp;#xD;0965-2140 (Linking)&lt;/isbn&gt;&lt;accession-num&gt;21059134&lt;/accession-num&gt;&lt;urls&gt;&lt;related-urls&gt;&lt;url&gt;http://www.ncbi.nlm.nih.gov/pubmed/21059134&lt;/url&gt;&lt;/related-urls&gt;&lt;/urls&gt;&lt;electronic-resource-num&gt;10.1111/j.1360-0443.2010.03191.x&lt;/electronic-resource-num&gt;&lt;research-notes&gt;#281&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50" w:tooltip="Cubbin, 2010 #53" w:history="1">
        <w:r w:rsidR="00A234A9">
          <w:rPr>
            <w:rFonts w:eastAsia="Calibri" w:cs="Times New Roman"/>
            <w:noProof/>
            <w:color w:val="000000"/>
          </w:rPr>
          <w:t>50</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found </w:t>
      </w:r>
      <w:r>
        <w:rPr>
          <w:rFonts w:eastAsia="Calibri" w:cs="Times New Roman"/>
          <w:color w:val="000000"/>
        </w:rPr>
        <w:t>no differences for any racial/ethnic group for either cigarette type. Further, no differences were found in age at initiation for menthol or non-menthol across each demographic group.</w:t>
      </w:r>
    </w:p>
    <w:p w14:paraId="39EFFFEE" w14:textId="77777777" w:rsidR="00107778" w:rsidRPr="00193DD0" w:rsidRDefault="00107778" w:rsidP="00193DD0">
      <w:pPr>
        <w:spacing w:after="120" w:line="240" w:lineRule="auto"/>
        <w:jc w:val="both"/>
        <w:outlineLvl w:val="2"/>
        <w:rPr>
          <w:rFonts w:eastAsia="Calibri" w:cs="Times New Roman"/>
          <w:b/>
          <w:bCs/>
          <w:color w:val="000000"/>
        </w:rPr>
      </w:pPr>
      <w:r w:rsidRPr="00193DD0">
        <w:rPr>
          <w:rFonts w:eastAsia="Calibri" w:cs="Times New Roman"/>
          <w:b/>
          <w:bCs/>
          <w:color w:val="000000"/>
        </w:rPr>
        <w:t>Blacks</w:t>
      </w:r>
    </w:p>
    <w:p w14:paraId="473A0E59" w14:textId="37DEF00D" w:rsidR="00107778" w:rsidRPr="00A0218A" w:rsidRDefault="00107778" w:rsidP="00107778">
      <w:pPr>
        <w:spacing w:after="120" w:line="240" w:lineRule="auto"/>
        <w:jc w:val="both"/>
        <w:rPr>
          <w:rFonts w:eastAsia="Calibri" w:cs="Times New Roman"/>
          <w:i/>
          <w:color w:val="000000"/>
        </w:rPr>
      </w:pPr>
      <w:r w:rsidRPr="00A0218A">
        <w:rPr>
          <w:rFonts w:eastAsia="Calibri" w:cs="Times New Roman"/>
          <w:i/>
          <w:color w:val="000000"/>
        </w:rPr>
        <w:t xml:space="preserve">Five studies </w:t>
      </w:r>
      <w:r w:rsidR="00D2134A">
        <w:rPr>
          <w:rFonts w:eastAsia="Calibri" w:cs="Times New Roman"/>
          <w:i/>
          <w:color w:val="000000"/>
        </w:rPr>
        <w:fldChar w:fldCharType="begin">
          <w:fldData xml:space="preserve">PEVuZE5vdGU+PENpdGU+PEF1dGhvcj5BbGxlbjwvQXV0aG9yPjxZZWFyPjIwMDc8L1llYXI+PFJl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==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PEVuZE5vdGU+PENpdGU+PEF1dGhvcj5BbGxlbjwvQXV0aG9yPjxZZWFyPjIwMDc8L1llYXI+PFJl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==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47" w:tooltip="Allen, 2007 #76" w:history="1">
        <w:r w:rsidR="00A234A9">
          <w:rPr>
            <w:rFonts w:eastAsia="Calibri" w:cs="Times New Roman"/>
            <w:i/>
            <w:noProof/>
            <w:color w:val="000000"/>
          </w:rPr>
          <w:t>47</w:t>
        </w:r>
      </w:hyperlink>
      <w:r w:rsidR="00D2134A">
        <w:rPr>
          <w:rFonts w:eastAsia="Calibri" w:cs="Times New Roman"/>
          <w:i/>
          <w:noProof/>
          <w:color w:val="000000"/>
        </w:rPr>
        <w:t xml:space="preserve">, </w:t>
      </w:r>
      <w:hyperlink w:anchor="_ENREF_50" w:tooltip="Cubbin, 2010 #53" w:history="1">
        <w:r w:rsidR="00A234A9">
          <w:rPr>
            <w:rFonts w:eastAsia="Calibri" w:cs="Times New Roman"/>
            <w:i/>
            <w:noProof/>
            <w:color w:val="000000"/>
          </w:rPr>
          <w:t>50</w:t>
        </w:r>
      </w:hyperlink>
      <w:r w:rsidR="00D2134A">
        <w:rPr>
          <w:rFonts w:eastAsia="Calibri" w:cs="Times New Roman"/>
          <w:i/>
          <w:noProof/>
          <w:color w:val="000000"/>
        </w:rPr>
        <w:t xml:space="preserve">, </w:t>
      </w:r>
      <w:hyperlink w:anchor="_ENREF_69" w:tooltip="Kasza, 2014 #16" w:history="1">
        <w:r w:rsidR="00A234A9">
          <w:rPr>
            <w:rFonts w:eastAsia="Calibri" w:cs="Times New Roman"/>
            <w:i/>
            <w:noProof/>
            <w:color w:val="000000"/>
          </w:rPr>
          <w:t>69</w:t>
        </w:r>
      </w:hyperlink>
      <w:r w:rsidR="00D2134A">
        <w:rPr>
          <w:rFonts w:eastAsia="Calibri" w:cs="Times New Roman"/>
          <w:i/>
          <w:noProof/>
          <w:color w:val="000000"/>
        </w:rPr>
        <w:t xml:space="preserve">, </w:t>
      </w:r>
      <w:hyperlink w:anchor="_ENREF_70" w:tooltip="Lawrence, 2010 #52" w:history="1">
        <w:r w:rsidR="00A234A9">
          <w:rPr>
            <w:rFonts w:eastAsia="Calibri" w:cs="Times New Roman"/>
            <w:i/>
            <w:noProof/>
            <w:color w:val="000000"/>
          </w:rPr>
          <w:t>70</w:t>
        </w:r>
      </w:hyperlink>
      <w:r w:rsidR="00D2134A">
        <w:rPr>
          <w:rFonts w:eastAsia="Calibri" w:cs="Times New Roman"/>
          <w:i/>
          <w:noProof/>
          <w:color w:val="000000"/>
        </w:rPr>
        <w:t xml:space="preserve">, </w:t>
      </w:r>
      <w:hyperlink w:anchor="_ENREF_82" w:tooltip="Sidney, 1989 #92" w:history="1">
        <w:r w:rsidR="00A234A9">
          <w:rPr>
            <w:rFonts w:eastAsia="Calibri" w:cs="Times New Roman"/>
            <w:i/>
            <w:noProof/>
            <w:color w:val="000000"/>
          </w:rPr>
          <w:t>82</w:t>
        </w:r>
      </w:hyperlink>
      <w:r w:rsidR="00D2134A">
        <w:rPr>
          <w:rFonts w:eastAsia="Calibri" w:cs="Times New Roman"/>
          <w:i/>
          <w:noProof/>
          <w:color w:val="000000"/>
        </w:rPr>
        <w:t>)</w:t>
      </w:r>
      <w:r w:rsidR="00D2134A">
        <w:rPr>
          <w:rFonts w:eastAsia="Calibri" w:cs="Times New Roman"/>
          <w:i/>
          <w:color w:val="000000"/>
        </w:rPr>
        <w:fldChar w:fldCharType="end"/>
      </w:r>
      <w:r>
        <w:rPr>
          <w:rFonts w:eastAsia="Calibri" w:cs="Times New Roman"/>
          <w:i/>
          <w:color w:val="000000"/>
        </w:rPr>
        <w:t xml:space="preserve"> </w:t>
      </w:r>
      <w:r w:rsidRPr="00A0218A">
        <w:rPr>
          <w:rFonts w:eastAsia="Calibri" w:cs="Times New Roman"/>
          <w:i/>
          <w:color w:val="000000"/>
        </w:rPr>
        <w:t>reported data on age at initiation or switching ciga</w:t>
      </w:r>
      <w:r>
        <w:rPr>
          <w:rFonts w:eastAsia="Calibri" w:cs="Times New Roman"/>
          <w:i/>
          <w:color w:val="000000"/>
        </w:rPr>
        <w:t>rette type among Black smokers. Among these five studies, three studies found no difference in m</w:t>
      </w:r>
      <w:r w:rsidRPr="00A0218A">
        <w:rPr>
          <w:rFonts w:eastAsia="Calibri" w:cs="Times New Roman"/>
          <w:i/>
          <w:color w:val="000000"/>
        </w:rPr>
        <w:t xml:space="preserve">enthol use </w:t>
      </w:r>
      <w:r>
        <w:rPr>
          <w:rFonts w:eastAsia="Calibri" w:cs="Times New Roman"/>
          <w:i/>
          <w:color w:val="000000"/>
        </w:rPr>
        <w:t xml:space="preserve">among Black smokers in </w:t>
      </w:r>
      <w:r w:rsidRPr="00A0218A">
        <w:rPr>
          <w:rFonts w:eastAsia="Calibri" w:cs="Times New Roman"/>
          <w:i/>
          <w:color w:val="000000"/>
        </w:rPr>
        <w:t>age at initiation</w:t>
      </w:r>
      <w:r>
        <w:rPr>
          <w:rFonts w:eastAsia="Calibri" w:cs="Times New Roman"/>
          <w:i/>
          <w:color w:val="000000"/>
        </w:rPr>
        <w:t xml:space="preserve"> among Black smokers </w:t>
      </w:r>
      <w:r w:rsidR="00D2134A">
        <w:rPr>
          <w:rFonts w:eastAsia="Calibri" w:cs="Times New Roman"/>
          <w:i/>
          <w:color w:val="000000"/>
        </w:rPr>
        <w:fldChar w:fldCharType="begin">
          <w:fldData xml:space="preserve">PEVuZE5vdGU+PENpdGU+PEF1dGhvcj5BbGxlbjwvQXV0aG9yPjxZZWFyPjIwMDc8L1llYXI+PFJl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PEVuZE5vdGU+PENpdGU+PEF1dGhvcj5BbGxlbjwvQXV0aG9yPjxZZWFyPjIwMDc8L1llYXI+PFJl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47" w:tooltip="Allen, 2007 #76" w:history="1">
        <w:r w:rsidR="00A234A9">
          <w:rPr>
            <w:rFonts w:eastAsia="Calibri" w:cs="Times New Roman"/>
            <w:i/>
            <w:noProof/>
            <w:color w:val="000000"/>
          </w:rPr>
          <w:t>47</w:t>
        </w:r>
      </w:hyperlink>
      <w:r w:rsidR="00D2134A">
        <w:rPr>
          <w:rFonts w:eastAsia="Calibri" w:cs="Times New Roman"/>
          <w:i/>
          <w:noProof/>
          <w:color w:val="000000"/>
        </w:rPr>
        <w:t xml:space="preserve">, </w:t>
      </w:r>
      <w:hyperlink w:anchor="_ENREF_50" w:tooltip="Cubbin, 2010 #53" w:history="1">
        <w:r w:rsidR="00A234A9">
          <w:rPr>
            <w:rFonts w:eastAsia="Calibri" w:cs="Times New Roman"/>
            <w:i/>
            <w:noProof/>
            <w:color w:val="000000"/>
          </w:rPr>
          <w:t>50</w:t>
        </w:r>
      </w:hyperlink>
      <w:r w:rsidR="00D2134A">
        <w:rPr>
          <w:rFonts w:eastAsia="Calibri" w:cs="Times New Roman"/>
          <w:i/>
          <w:noProof/>
          <w:color w:val="000000"/>
        </w:rPr>
        <w:t xml:space="preserve">, </w:t>
      </w:r>
      <w:hyperlink w:anchor="_ENREF_70" w:tooltip="Lawrence, 2010 #52" w:history="1">
        <w:r w:rsidR="00A234A9">
          <w:rPr>
            <w:rFonts w:eastAsia="Calibri" w:cs="Times New Roman"/>
            <w:i/>
            <w:noProof/>
            <w:color w:val="000000"/>
          </w:rPr>
          <w:t>70</w:t>
        </w:r>
      </w:hyperlink>
      <w:r w:rsidR="00D2134A">
        <w:rPr>
          <w:rFonts w:eastAsia="Calibri" w:cs="Times New Roman"/>
          <w:i/>
          <w:noProof/>
          <w:color w:val="000000"/>
        </w:rPr>
        <w:t>)</w:t>
      </w:r>
      <w:r w:rsidR="00D2134A">
        <w:rPr>
          <w:rFonts w:eastAsia="Calibri" w:cs="Times New Roman"/>
          <w:i/>
          <w:color w:val="000000"/>
        </w:rPr>
        <w:fldChar w:fldCharType="end"/>
      </w:r>
      <w:r>
        <w:rPr>
          <w:rFonts w:eastAsia="Calibri" w:cs="Times New Roman"/>
          <w:i/>
          <w:color w:val="000000"/>
        </w:rPr>
        <w:t>. A fourth</w:t>
      </w:r>
      <w:r w:rsidRPr="00A0218A">
        <w:rPr>
          <w:rFonts w:eastAsia="Calibri" w:cs="Times New Roman"/>
          <w:i/>
          <w:color w:val="000000"/>
        </w:rPr>
        <w:t xml:space="preserve"> study compared switching behaviors between </w:t>
      </w:r>
      <w:r>
        <w:rPr>
          <w:rFonts w:eastAsia="Calibri" w:cs="Times New Roman"/>
          <w:i/>
          <w:color w:val="000000"/>
        </w:rPr>
        <w:t>Black</w:t>
      </w:r>
      <w:r w:rsidRPr="00A0218A">
        <w:rPr>
          <w:rFonts w:eastAsia="Calibri" w:cs="Times New Roman"/>
          <w:i/>
          <w:color w:val="000000"/>
        </w:rPr>
        <w:t xml:space="preserve"> and </w:t>
      </w:r>
      <w:r>
        <w:rPr>
          <w:rFonts w:eastAsia="Calibri" w:cs="Times New Roman"/>
          <w:i/>
          <w:color w:val="000000"/>
        </w:rPr>
        <w:t>White</w:t>
      </w:r>
      <w:r w:rsidRPr="00A0218A">
        <w:rPr>
          <w:rFonts w:eastAsia="Calibri" w:cs="Times New Roman"/>
          <w:i/>
          <w:color w:val="000000"/>
        </w:rPr>
        <w:t xml:space="preserve"> smokers (rather than </w:t>
      </w:r>
      <w:r>
        <w:rPr>
          <w:rFonts w:eastAsia="Calibri" w:cs="Times New Roman"/>
          <w:i/>
          <w:color w:val="000000"/>
        </w:rPr>
        <w:t>Black</w:t>
      </w:r>
      <w:r w:rsidRPr="00A0218A">
        <w:rPr>
          <w:rFonts w:eastAsia="Calibri" w:cs="Times New Roman"/>
          <w:i/>
          <w:color w:val="000000"/>
        </w:rPr>
        <w:t xml:space="preserve"> menthol </w:t>
      </w:r>
      <w:r>
        <w:rPr>
          <w:rFonts w:eastAsia="Calibri" w:cs="Times New Roman"/>
          <w:i/>
          <w:color w:val="000000"/>
        </w:rPr>
        <w:t xml:space="preserve">versus Black non-menthol smokers) </w:t>
      </w:r>
      <w:r w:rsidR="00D2134A">
        <w:rPr>
          <w:rFonts w:eastAsia="Calibri" w:cs="Times New Roman"/>
          <w:i/>
          <w:color w:val="000000"/>
        </w:rPr>
        <w:fldChar w:fldCharType="begin">
          <w:fldData xml:space="preserve">PEVuZE5vdGU+PENpdGU+PEF1dGhvcj5LYXN6YTwvQXV0aG9yPjxZZWFyPjIwMTQ8L1llYXI+PFJl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PEVuZE5vdGU+PENpdGU+PEF1dGhvcj5LYXN6YTwvQXV0aG9yPjxZZWFyPjIwMTQ8L1llYXI+PFJl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69" w:tooltip="Kasza, 2014 #16" w:history="1">
        <w:r w:rsidR="00A234A9">
          <w:rPr>
            <w:rFonts w:eastAsia="Calibri" w:cs="Times New Roman"/>
            <w:i/>
            <w:noProof/>
            <w:color w:val="000000"/>
          </w:rPr>
          <w:t>69</w:t>
        </w:r>
      </w:hyperlink>
      <w:r w:rsidR="00D2134A">
        <w:rPr>
          <w:rFonts w:eastAsia="Calibri" w:cs="Times New Roman"/>
          <w:i/>
          <w:noProof/>
          <w:color w:val="000000"/>
        </w:rPr>
        <w:t>)</w:t>
      </w:r>
      <w:r w:rsidR="00D2134A">
        <w:rPr>
          <w:rFonts w:eastAsia="Calibri" w:cs="Times New Roman"/>
          <w:i/>
          <w:color w:val="000000"/>
        </w:rPr>
        <w:fldChar w:fldCharType="end"/>
      </w:r>
      <w:r>
        <w:rPr>
          <w:rFonts w:eastAsia="Calibri" w:cs="Times New Roman"/>
          <w:i/>
          <w:color w:val="000000"/>
        </w:rPr>
        <w:t>. This particular</w:t>
      </w:r>
      <w:r w:rsidRPr="00A0218A">
        <w:rPr>
          <w:rFonts w:eastAsia="Calibri" w:cs="Times New Roman"/>
          <w:i/>
          <w:color w:val="000000"/>
        </w:rPr>
        <w:t xml:space="preserve"> study found that among menthol smokers, </w:t>
      </w:r>
      <w:r>
        <w:rPr>
          <w:rFonts w:eastAsia="Calibri" w:cs="Times New Roman"/>
          <w:i/>
          <w:color w:val="000000"/>
        </w:rPr>
        <w:t>Black</w:t>
      </w:r>
      <w:r w:rsidRPr="00A0218A">
        <w:rPr>
          <w:rFonts w:eastAsia="Calibri" w:cs="Times New Roman"/>
          <w:i/>
          <w:color w:val="000000"/>
        </w:rPr>
        <w:t xml:space="preserve">s were significantly less likely than </w:t>
      </w:r>
      <w:r>
        <w:rPr>
          <w:rFonts w:eastAsia="Calibri" w:cs="Times New Roman"/>
          <w:i/>
          <w:color w:val="000000"/>
        </w:rPr>
        <w:t>White</w:t>
      </w:r>
      <w:r w:rsidRPr="00A0218A">
        <w:rPr>
          <w:rFonts w:eastAsia="Calibri" w:cs="Times New Roman"/>
          <w:i/>
          <w:color w:val="000000"/>
        </w:rPr>
        <w:t xml:space="preserve">s to switch to non-menthol cigarettes and that among non-menthol smokers, </w:t>
      </w:r>
      <w:r>
        <w:rPr>
          <w:rFonts w:eastAsia="Calibri" w:cs="Times New Roman"/>
          <w:i/>
          <w:color w:val="000000"/>
        </w:rPr>
        <w:t>Black</w:t>
      </w:r>
      <w:r w:rsidRPr="00A0218A">
        <w:rPr>
          <w:rFonts w:eastAsia="Calibri" w:cs="Times New Roman"/>
          <w:i/>
          <w:color w:val="000000"/>
        </w:rPr>
        <w:t xml:space="preserve">s were significantly more likely than </w:t>
      </w:r>
      <w:r>
        <w:rPr>
          <w:rFonts w:eastAsia="Calibri" w:cs="Times New Roman"/>
          <w:i/>
          <w:color w:val="000000"/>
        </w:rPr>
        <w:t>White</w:t>
      </w:r>
      <w:r w:rsidRPr="00A0218A">
        <w:rPr>
          <w:rFonts w:eastAsia="Calibri" w:cs="Times New Roman"/>
          <w:i/>
          <w:color w:val="000000"/>
        </w:rPr>
        <w:t xml:space="preserve">s to switch to menthol. </w:t>
      </w:r>
      <w:r>
        <w:rPr>
          <w:rFonts w:eastAsia="Calibri" w:cs="Times New Roman"/>
          <w:i/>
          <w:color w:val="000000"/>
        </w:rPr>
        <w:t xml:space="preserve">Finally, the fifth </w:t>
      </w:r>
      <w:r w:rsidRPr="00A0218A">
        <w:rPr>
          <w:rFonts w:eastAsia="Calibri" w:cs="Times New Roman"/>
          <w:i/>
          <w:color w:val="000000"/>
        </w:rPr>
        <w:t xml:space="preserve">study </w:t>
      </w:r>
      <w:r>
        <w:rPr>
          <w:rFonts w:eastAsia="Calibri" w:cs="Times New Roman"/>
          <w:i/>
          <w:color w:val="000000"/>
        </w:rPr>
        <w:t>of</w:t>
      </w:r>
      <w:r w:rsidRPr="00A0218A">
        <w:rPr>
          <w:rFonts w:eastAsia="Calibri" w:cs="Times New Roman"/>
          <w:i/>
          <w:color w:val="000000"/>
        </w:rPr>
        <w:t xml:space="preserve"> only </w:t>
      </w:r>
      <w:r>
        <w:rPr>
          <w:rFonts w:eastAsia="Calibri" w:cs="Times New Roman"/>
          <w:i/>
          <w:color w:val="000000"/>
        </w:rPr>
        <w:t>Black</w:t>
      </w:r>
      <w:r w:rsidRPr="00A0218A">
        <w:rPr>
          <w:rFonts w:eastAsia="Calibri" w:cs="Times New Roman"/>
          <w:i/>
          <w:color w:val="000000"/>
        </w:rPr>
        <w:t xml:space="preserve"> smokers under </w:t>
      </w:r>
      <w:r>
        <w:rPr>
          <w:rFonts w:eastAsia="Calibri" w:cs="Times New Roman"/>
          <w:i/>
          <w:color w:val="000000"/>
        </w:rPr>
        <w:t xml:space="preserve">the </w:t>
      </w:r>
      <w:r w:rsidRPr="00A0218A">
        <w:rPr>
          <w:rFonts w:eastAsia="Calibri" w:cs="Times New Roman"/>
          <w:i/>
          <w:color w:val="000000"/>
        </w:rPr>
        <w:t xml:space="preserve">age </w:t>
      </w:r>
      <w:r>
        <w:rPr>
          <w:rFonts w:eastAsia="Calibri" w:cs="Times New Roman"/>
          <w:i/>
          <w:color w:val="000000"/>
        </w:rPr>
        <w:t xml:space="preserve">of </w:t>
      </w:r>
      <w:r w:rsidRPr="00A0218A">
        <w:rPr>
          <w:rFonts w:eastAsia="Calibri" w:cs="Times New Roman"/>
          <w:i/>
          <w:color w:val="000000"/>
        </w:rPr>
        <w:t>40 found that the odds of non-menthol smokers switching to menthol cigarettes were significantly higher than the odds of menthol smokers switching to non-menthol</w:t>
      </w:r>
      <w:r>
        <w:rPr>
          <w:rFonts w:eastAsia="Calibri" w:cs="Times New Roman"/>
          <w:i/>
          <w:color w:val="000000"/>
        </w:rPr>
        <w:t xml:space="preserve"> </w:t>
      </w:r>
      <w:r w:rsidR="00D2134A">
        <w:rPr>
          <w:rFonts w:eastAsia="Calibri" w:cs="Times New Roman"/>
          <w:i/>
          <w:color w:val="000000"/>
        </w:rPr>
        <w:fldChar w:fldCharType="begin"/>
      </w:r>
      <w:r w:rsidR="00D2134A">
        <w:rPr>
          <w:rFonts w:eastAsia="Calibri" w:cs="Times New Roman"/>
          <w:i/>
          <w:color w:val="000000"/>
        </w:rPr>
        <w:instrText xml:space="preserve"> ADDIN EN.CITE &lt;EndNote&gt;&lt;Cite&gt;&lt;Author&gt;Sidney&lt;/Author&gt;&lt;Year&gt;1989&lt;/Year&gt;&lt;RecNum&gt;92&lt;/RecNum&gt;&lt;DisplayText&gt;(82)&lt;/DisplayText&gt;&lt;record&gt;&lt;rec-number&gt;92&lt;/rec-number&gt;&lt;foreign-keys&gt;&lt;key app="EN" db-id="a2vz2dfp8xrad6exes75zwpiw5rxwa0vwapv" timestamp="0"&gt;92&lt;/key&gt;&lt;/foreign-keys&gt;&lt;ref-type name="Journal Article"&gt;17&lt;/ref-type&gt;&lt;contributors&gt;&lt;authors&gt;&lt;author&gt;Sidney, S.&lt;/author&gt;&lt;author&gt;Tekawa, I. S.&lt;/author&gt;&lt;author&gt;Friedman, G. D.&lt;/author&gt;&lt;/authors&gt;&lt;/contributors&gt;&lt;titles&gt;&lt;title&gt;Mentholated cigarette use among multiphasic examinees, 1979-86&lt;/title&gt;&lt;secondary-title&gt;Am J Public Health&lt;/secondary-title&gt;&lt;/titles&gt;&lt;periodical&gt;&lt;full-title&gt;Am J Public Health&lt;/full-title&gt;&lt;/periodical&gt;&lt;pages&gt;1415-1416&lt;/pages&gt;&lt;volume&gt;79&lt;/volume&gt;&lt;section&gt;1415&lt;/section&gt;&lt;dates&gt;&lt;year&gt;1989&lt;/year&gt;&lt;/dates&gt;&lt;urls&gt;&lt;/urls&gt;&lt;research-notes&gt;#505&lt;/research-notes&gt;&lt;/record&gt;&lt;/Cite&gt;&lt;/EndNote&gt;</w:instrText>
      </w:r>
      <w:r w:rsidR="00D2134A">
        <w:rPr>
          <w:rFonts w:eastAsia="Calibri" w:cs="Times New Roman"/>
          <w:i/>
          <w:color w:val="000000"/>
        </w:rPr>
        <w:fldChar w:fldCharType="separate"/>
      </w:r>
      <w:r w:rsidR="00D2134A">
        <w:rPr>
          <w:rFonts w:eastAsia="Calibri" w:cs="Times New Roman"/>
          <w:i/>
          <w:noProof/>
          <w:color w:val="000000"/>
        </w:rPr>
        <w:t>(</w:t>
      </w:r>
      <w:hyperlink w:anchor="_ENREF_82" w:tooltip="Sidney, 1989 #92" w:history="1">
        <w:r w:rsidR="00A234A9">
          <w:rPr>
            <w:rFonts w:eastAsia="Calibri" w:cs="Times New Roman"/>
            <w:i/>
            <w:noProof/>
            <w:color w:val="000000"/>
          </w:rPr>
          <w:t>82</w:t>
        </w:r>
      </w:hyperlink>
      <w:r w:rsidR="00D2134A">
        <w:rPr>
          <w:rFonts w:eastAsia="Calibri" w:cs="Times New Roman"/>
          <w:i/>
          <w:noProof/>
          <w:color w:val="000000"/>
        </w:rPr>
        <w:t>)</w:t>
      </w:r>
      <w:r w:rsidR="00D2134A">
        <w:rPr>
          <w:rFonts w:eastAsia="Calibri" w:cs="Times New Roman"/>
          <w:i/>
          <w:color w:val="000000"/>
        </w:rPr>
        <w:fldChar w:fldCharType="end"/>
      </w:r>
      <w:r w:rsidRPr="00A0218A">
        <w:rPr>
          <w:rFonts w:eastAsia="Calibri" w:cs="Times New Roman"/>
          <w:i/>
          <w:color w:val="000000"/>
        </w:rPr>
        <w:t>.</w:t>
      </w:r>
    </w:p>
    <w:p w14:paraId="194551B6" w14:textId="27F20D09" w:rsidR="00107778" w:rsidRPr="00A0218A" w:rsidRDefault="00107778" w:rsidP="00107778">
      <w:pPr>
        <w:spacing w:after="120" w:line="240" w:lineRule="auto"/>
        <w:jc w:val="both"/>
        <w:rPr>
          <w:rFonts w:eastAsia="Calibri" w:cs="Times New Roman"/>
          <w:color w:val="000000"/>
        </w:rPr>
      </w:pPr>
      <w:r>
        <w:rPr>
          <w:rFonts w:eastAsia="Calibri" w:cs="Times New Roman"/>
          <w:color w:val="000000"/>
        </w:rPr>
        <w:t xml:space="preserve">Kasza et al. </w:t>
      </w:r>
      <w:r w:rsidR="00D2134A">
        <w:rPr>
          <w:rFonts w:eastAsia="Calibri" w:cs="Times New Roman"/>
          <w:color w:val="000000"/>
        </w:rPr>
        <w:fldChar w:fldCharType="begin">
          <w:fldData xml:space="preserve">PEVuZE5vdGU+PENpdGU+PEF1dGhvcj5LYXN6YTwvQXV0aG9yPjxZZWFyPjIwMTQ8L1llYXI+PFJl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PEVuZE5vdGU+PENpdGU+PEF1dGhvcj5LYXN6YTwvQXV0aG9yPjxZZWFyPjIwMTQ8L1llYXI+PFJl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69" w:tooltip="Kasza, 2014 #16" w:history="1">
        <w:r w:rsidR="00A234A9">
          <w:rPr>
            <w:rFonts w:eastAsia="Calibri" w:cs="Times New Roman"/>
            <w:noProof/>
            <w:color w:val="000000"/>
          </w:rPr>
          <w:t>69</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examined switching between menthol and non-menthol cigarettes in a cohort of adult smokers in the United States who were interviewed during at least two waves of </w:t>
      </w:r>
      <w:r w:rsidRPr="004F3FD7">
        <w:rPr>
          <w:rFonts w:eastAsia="Calibri" w:cs="Times New Roman"/>
          <w:color w:val="000000"/>
        </w:rPr>
        <w:t>the ITC-4. Among</w:t>
      </w:r>
      <w:r w:rsidRPr="00A0218A">
        <w:rPr>
          <w:rFonts w:eastAsia="Calibri" w:cs="Times New Roman"/>
          <w:color w:val="000000"/>
        </w:rPr>
        <w:t xml:space="preserve"> participants who initially reported smoking menthol cigarettes, the authors found that </w:t>
      </w:r>
      <w:r>
        <w:rPr>
          <w:rFonts w:eastAsia="Calibri" w:cs="Times New Roman"/>
          <w:color w:val="000000"/>
        </w:rPr>
        <w:t>Black</w:t>
      </w:r>
      <w:r w:rsidRPr="00A0218A">
        <w:rPr>
          <w:rFonts w:eastAsia="Calibri" w:cs="Times New Roman"/>
          <w:color w:val="000000"/>
        </w:rPr>
        <w:t xml:space="preserve">s were significantly less likely than </w:t>
      </w:r>
      <w:r>
        <w:rPr>
          <w:rFonts w:eastAsia="Calibri" w:cs="Times New Roman"/>
          <w:color w:val="000000"/>
        </w:rPr>
        <w:t>White</w:t>
      </w:r>
      <w:r w:rsidRPr="00A0218A">
        <w:rPr>
          <w:rFonts w:eastAsia="Calibri" w:cs="Times New Roman"/>
          <w:color w:val="000000"/>
        </w:rPr>
        <w:t xml:space="preserve">s to switch to non-menthol cigarettes (OR=0.57, 95% CI: 0.33 to 0.99). Among participants who initially reported smoking non-menthol cigarettes, </w:t>
      </w:r>
      <w:r>
        <w:rPr>
          <w:rFonts w:eastAsia="Calibri" w:cs="Times New Roman"/>
          <w:color w:val="000000"/>
        </w:rPr>
        <w:t>Black</w:t>
      </w:r>
      <w:r w:rsidRPr="00A0218A">
        <w:rPr>
          <w:rFonts w:eastAsia="Calibri" w:cs="Times New Roman"/>
          <w:color w:val="000000"/>
        </w:rPr>
        <w:t xml:space="preserve">s were significantly more likely than </w:t>
      </w:r>
      <w:r>
        <w:rPr>
          <w:rFonts w:eastAsia="Calibri" w:cs="Times New Roman"/>
          <w:color w:val="000000"/>
        </w:rPr>
        <w:t>White</w:t>
      </w:r>
      <w:r w:rsidRPr="00A0218A">
        <w:rPr>
          <w:rFonts w:eastAsia="Calibri" w:cs="Times New Roman"/>
          <w:color w:val="000000"/>
        </w:rPr>
        <w:t>s to switch to menthol cigarettes</w:t>
      </w:r>
      <w:r>
        <w:rPr>
          <w:rFonts w:eastAsia="Calibri" w:cs="Times New Roman"/>
          <w:color w:val="000000"/>
        </w:rPr>
        <w:t xml:space="preserve"> </w:t>
      </w:r>
      <w:r w:rsidRPr="00A0218A">
        <w:rPr>
          <w:rFonts w:eastAsia="Calibri" w:cs="Times New Roman"/>
          <w:color w:val="000000"/>
        </w:rPr>
        <w:t>(OR=11.9</w:t>
      </w:r>
      <w:r w:rsidR="00667B57">
        <w:rPr>
          <w:rFonts w:eastAsia="Calibri" w:cs="Times New Roman"/>
          <w:color w:val="000000"/>
        </w:rPr>
        <w:t>3</w:t>
      </w:r>
      <w:r w:rsidRPr="00A0218A">
        <w:rPr>
          <w:rFonts w:eastAsia="Calibri" w:cs="Times New Roman"/>
          <w:color w:val="000000"/>
        </w:rPr>
        <w:t>, 95% CI: 6.3</w:t>
      </w:r>
      <w:r w:rsidR="00667B57">
        <w:rPr>
          <w:rFonts w:eastAsia="Calibri" w:cs="Times New Roman"/>
          <w:color w:val="000000"/>
        </w:rPr>
        <w:t>0</w:t>
      </w:r>
      <w:r w:rsidRPr="00A0218A">
        <w:rPr>
          <w:rFonts w:eastAsia="Calibri" w:cs="Times New Roman"/>
          <w:color w:val="000000"/>
        </w:rPr>
        <w:t xml:space="preserve"> to 22.</w:t>
      </w:r>
      <w:r w:rsidR="00667B57">
        <w:rPr>
          <w:rFonts w:eastAsia="Calibri" w:cs="Times New Roman"/>
          <w:color w:val="000000"/>
        </w:rPr>
        <w:t>58</w:t>
      </w:r>
      <w:r w:rsidRPr="00A0218A">
        <w:rPr>
          <w:rFonts w:eastAsia="Calibri" w:cs="Times New Roman"/>
          <w:color w:val="000000"/>
        </w:rPr>
        <w:t>).</w:t>
      </w:r>
    </w:p>
    <w:p w14:paraId="135C83BE" w14:textId="34392F7D" w:rsidR="00107778" w:rsidRDefault="00107778" w:rsidP="00107778">
      <w:pPr>
        <w:spacing w:after="120" w:line="240" w:lineRule="auto"/>
        <w:jc w:val="both"/>
        <w:rPr>
          <w:rFonts w:eastAsia="Calibri" w:cs="Times New Roman"/>
          <w:color w:val="000000"/>
        </w:rPr>
      </w:pPr>
      <w:r>
        <w:rPr>
          <w:rFonts w:eastAsia="Calibri" w:cs="Times New Roman"/>
          <w:color w:val="000000"/>
        </w:rPr>
        <w:t xml:space="preserve">Lawrence et al. </w:t>
      </w:r>
      <w:r w:rsidR="00D2134A">
        <w:rPr>
          <w:rFonts w:eastAsia="Calibri" w:cs="Times New Roman"/>
          <w:color w:val="000000"/>
        </w:rPr>
        <w:fldChar w:fldCharType="begin">
          <w:fldData xml:space="preserve">PEVuZE5vdGU+PENpdGU+PEF1dGhvcj5MYXdyZW5jZTwvQXV0aG9yPjxZZWFyPjIwMTA8L1llYXI+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PEVuZE5vdGU+PENpdGU+PEF1dGhvcj5MYXdyZW5jZTwvQXV0aG9yPjxZZWFyPjIwMTA8L1llYXI+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70" w:tooltip="Lawrence, 2010 #52" w:history="1">
        <w:r w:rsidR="00A234A9">
          <w:rPr>
            <w:rFonts w:eastAsia="Calibri" w:cs="Times New Roman"/>
            <w:noProof/>
            <w:color w:val="000000"/>
          </w:rPr>
          <w:t>70</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found that non-Hispanic </w:t>
      </w:r>
      <w:r>
        <w:rPr>
          <w:rFonts w:eastAsia="Calibri" w:cs="Times New Roman"/>
          <w:color w:val="000000"/>
        </w:rPr>
        <w:t>Black</w:t>
      </w:r>
      <w:r w:rsidRPr="00A0218A">
        <w:rPr>
          <w:rFonts w:eastAsia="Calibri" w:cs="Times New Roman"/>
          <w:color w:val="000000"/>
        </w:rPr>
        <w:t xml:space="preserve">s who began smoking regularly before age 18 had lower odds of being menthol smokers. Compared with </w:t>
      </w:r>
      <w:r>
        <w:rPr>
          <w:rFonts w:eastAsia="Calibri" w:cs="Times New Roman"/>
          <w:color w:val="000000"/>
        </w:rPr>
        <w:t>Black</w:t>
      </w:r>
      <w:r w:rsidRPr="00A0218A">
        <w:rPr>
          <w:rFonts w:eastAsia="Calibri" w:cs="Times New Roman"/>
          <w:color w:val="000000"/>
        </w:rPr>
        <w:t xml:space="preserve">s who began smoking at or after age 18, </w:t>
      </w:r>
      <w:r>
        <w:rPr>
          <w:rFonts w:eastAsia="Calibri" w:cs="Times New Roman"/>
          <w:color w:val="000000"/>
        </w:rPr>
        <w:t>Black</w:t>
      </w:r>
      <w:r w:rsidRPr="00A0218A">
        <w:rPr>
          <w:rFonts w:eastAsia="Calibri" w:cs="Times New Roman"/>
          <w:color w:val="000000"/>
        </w:rPr>
        <w:t xml:space="preserve">s who began before age 15 were 9 percent </w:t>
      </w:r>
      <w:r>
        <w:rPr>
          <w:rFonts w:eastAsia="Calibri" w:cs="Times New Roman"/>
          <w:color w:val="000000"/>
        </w:rPr>
        <w:t xml:space="preserve">no different in their likelihood of </w:t>
      </w:r>
      <w:r w:rsidRPr="00A0218A">
        <w:rPr>
          <w:rFonts w:eastAsia="Calibri" w:cs="Times New Roman"/>
          <w:color w:val="000000"/>
        </w:rPr>
        <w:t>be</w:t>
      </w:r>
      <w:r>
        <w:rPr>
          <w:rFonts w:eastAsia="Calibri" w:cs="Times New Roman"/>
          <w:color w:val="000000"/>
        </w:rPr>
        <w:t>ing a</w:t>
      </w:r>
      <w:r w:rsidRPr="00A0218A">
        <w:rPr>
          <w:rFonts w:eastAsia="Calibri" w:cs="Times New Roman"/>
          <w:color w:val="000000"/>
        </w:rPr>
        <w:t xml:space="preserve"> menthol smoker (OR=0.91, 95% CI: 0.65 to 1.27)</w:t>
      </w:r>
      <w:r>
        <w:rPr>
          <w:rFonts w:eastAsia="Calibri" w:cs="Times New Roman"/>
          <w:color w:val="000000"/>
        </w:rPr>
        <w:t>. Similarly,</w:t>
      </w:r>
      <w:r w:rsidRPr="00A0218A">
        <w:rPr>
          <w:rFonts w:eastAsia="Calibri" w:cs="Times New Roman"/>
          <w:color w:val="000000"/>
        </w:rPr>
        <w:t xml:space="preserve"> </w:t>
      </w:r>
      <w:r>
        <w:rPr>
          <w:rFonts w:eastAsia="Calibri" w:cs="Times New Roman"/>
          <w:color w:val="000000"/>
        </w:rPr>
        <w:t>Black</w:t>
      </w:r>
      <w:r w:rsidRPr="00A0218A">
        <w:rPr>
          <w:rFonts w:eastAsia="Calibri" w:cs="Times New Roman"/>
          <w:color w:val="000000"/>
        </w:rPr>
        <w:t>s who began</w:t>
      </w:r>
      <w:r>
        <w:rPr>
          <w:rFonts w:eastAsia="Calibri" w:cs="Times New Roman"/>
          <w:color w:val="000000"/>
        </w:rPr>
        <w:t xml:space="preserve"> smoking</w:t>
      </w:r>
      <w:r w:rsidRPr="00A0218A">
        <w:rPr>
          <w:rFonts w:eastAsia="Calibri" w:cs="Times New Roman"/>
          <w:color w:val="000000"/>
        </w:rPr>
        <w:t xml:space="preserve"> at age 15, 16, or 17 were </w:t>
      </w:r>
      <w:r>
        <w:rPr>
          <w:rFonts w:eastAsia="Calibri" w:cs="Times New Roman"/>
          <w:color w:val="000000"/>
        </w:rPr>
        <w:t>no different in their likelihood</w:t>
      </w:r>
      <w:r w:rsidRPr="00A0218A">
        <w:rPr>
          <w:rFonts w:eastAsia="Calibri" w:cs="Times New Roman"/>
          <w:color w:val="000000"/>
        </w:rPr>
        <w:t xml:space="preserve"> to be menthol smokers (OR=0.92, 95% CI: 0.74 to 1.15)</w:t>
      </w:r>
      <w:r>
        <w:rPr>
          <w:rFonts w:eastAsia="Calibri" w:cs="Times New Roman"/>
          <w:color w:val="000000"/>
        </w:rPr>
        <w:t>.</w:t>
      </w:r>
    </w:p>
    <w:p w14:paraId="5F36D495" w14:textId="5E5F37D9" w:rsidR="00107778" w:rsidRDefault="00107778" w:rsidP="00107778">
      <w:pPr>
        <w:spacing w:after="120" w:line="240" w:lineRule="auto"/>
        <w:jc w:val="both"/>
        <w:rPr>
          <w:rFonts w:eastAsia="Calibri" w:cs="Times New Roman"/>
          <w:color w:val="000000"/>
        </w:rPr>
      </w:pPr>
      <w:r>
        <w:rPr>
          <w:rFonts w:eastAsia="Calibri" w:cs="Times New Roman"/>
          <w:color w:val="000000"/>
        </w:rPr>
        <w:t xml:space="preserve">As described earlier, according to the 2005 NHIS, Cubbin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&lt;EndNote&gt;&lt;Cite&gt;&lt;Author&gt;Cubbin&lt;/Author&gt;&lt;Year&gt;2010&lt;/Year&gt;&lt;RecNum&gt;53&lt;/RecNum&gt;&lt;DisplayText&gt;(50)&lt;/DisplayText&gt;&lt;record&gt;&lt;rec-number&gt;53&lt;/rec-number&gt;&lt;foreign-keys&gt;&lt;key app="EN" db-id="a2vz2dfp8xrad6exes75zwpiw5rxwa0vwapv" timestamp="0"&gt;53&lt;/key&gt;&lt;/foreign-keys&gt;&lt;ref-type name="Journal Article"&gt;17&lt;/ref-type&gt;&lt;contributors&gt;&lt;authors&gt;&lt;author&gt;Cubbin, C.&lt;/author&gt;&lt;author&gt;Soobader, M. J.&lt;/author&gt;&lt;author&gt;LeClere, F. B.&lt;/author&gt;&lt;/authors&gt;&lt;/contributors&gt;&lt;auth-address&gt;School of Social Work, University of Texas at Austin, Austin, TX 78712-0358, USA. ccubbin@austin.utexas.edu&lt;/auth-address&gt;&lt;titles&gt;&lt;title&gt;The intersection of gender and race/ethnicity in smoking behaviors among menthol and non-menthol smokers in the United States&lt;/title&gt;&lt;secondary-title&gt;Addiction&lt;/secondary-title&gt;&lt;/titles&gt;&lt;periodical&gt;&lt;full-title&gt;Addiction&lt;/full-title&gt;&lt;/periodical&gt;&lt;pages&gt;32-8&lt;/pages&gt;&lt;volume&gt;105 Suppl 1&lt;/volume&gt;&lt;keywords&gt;&lt;keyword&gt;Adult&lt;/keyword&gt;&lt;keyword&gt;African Americans/statistics &amp;amp; numerical data&lt;/keyword&gt;&lt;keyword&gt;Age of Onset&lt;/keyword&gt;&lt;keyword&gt;Cross-Sectional Studies&lt;/keyword&gt;&lt;keyword&gt;European Continental Ancestry Group/statistics &amp;amp; numerical data&lt;/keyword&gt;&lt;keyword&gt;Female&lt;/keyword&gt;&lt;keyword&gt;Hispanic Americans/statistics &amp;amp; numerical data&lt;/keyword&gt;&lt;keyword&gt;Humans&lt;/keyword&gt;&lt;keyword&gt;Male&lt;/keyword&gt;&lt;keyword&gt;*Menthol&lt;/keyword&gt;&lt;keyword&gt;Middle Aged&lt;/keyword&gt;&lt;keyword&gt;*Population Surveillance&lt;/keyword&gt;&lt;keyword&gt;Sex Factors&lt;/keyword&gt;&lt;keyword&gt;Smoking/*epidemiology/ethnology&lt;/keyword&gt;&lt;keyword&gt;Smoking Cessation/ethnology/statistics &amp;amp; numerical data&lt;/keyword&gt;&lt;keyword&gt;Socioeconomic Factors&lt;/keyword&gt;&lt;keyword&gt;United States/epidemiology&lt;/keyword&gt;&lt;/keywords&gt;&lt;dates&gt;&lt;year&gt;2010&lt;/year&gt;&lt;pub-dates&gt;&lt;date&gt;Dec&lt;/date&gt;&lt;/pub-dates&gt;&lt;/dates&gt;&lt;isbn&gt;1360-0443 (Electronic)&amp;#xD;0965-2140 (Linking)&lt;/isbn&gt;&lt;accession-num&gt;21059134&lt;/accession-num&gt;&lt;urls&gt;&lt;related-urls&gt;&lt;url&gt;http://www.ncbi.nlm.nih.gov/pubmed/21059134&lt;/url&gt;&lt;/related-urls&gt;&lt;/urls&gt;&lt;electronic-resource-num&gt;10.1111/j.1360-0443.2010.03191.x&lt;/electronic-resource-num&gt;&lt;research-notes&gt;#281&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50" w:tooltip="Cubbin, 2010 #53" w:history="1">
        <w:r w:rsidR="00A234A9">
          <w:rPr>
            <w:rFonts w:eastAsia="Calibri" w:cs="Times New Roman"/>
            <w:noProof/>
            <w:color w:val="000000"/>
          </w:rPr>
          <w:t>50</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found </w:t>
      </w:r>
      <w:r>
        <w:rPr>
          <w:rFonts w:eastAsia="Calibri" w:cs="Times New Roman"/>
          <w:color w:val="000000"/>
        </w:rPr>
        <w:t>no differences for any racial/ethnic group for either cigarette type. Further, no differences were found in age at initiation for menthol or non-menthol across each demographic group.</w:t>
      </w:r>
    </w:p>
    <w:p w14:paraId="558639AF" w14:textId="4A67A25E" w:rsidR="00107778" w:rsidRDefault="00107778" w:rsidP="00107778">
      <w:pPr>
        <w:spacing w:after="120" w:line="240" w:lineRule="auto"/>
        <w:jc w:val="both"/>
        <w:rPr>
          <w:rFonts w:eastAsia="Calibri" w:cs="Times New Roman"/>
          <w:color w:val="000000"/>
        </w:rPr>
      </w:pPr>
      <w:r>
        <w:rPr>
          <w:rFonts w:eastAsia="Calibri" w:cs="Times New Roman"/>
          <w:color w:val="000000"/>
        </w:rPr>
        <w:t xml:space="preserve">Allen and Unger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&lt;EndNote&gt;&lt;Cite&gt;&lt;Author&gt;Allen&lt;/Author&gt;&lt;Year&gt;2007&lt;/Year&gt;&lt;RecNum&gt;76&lt;/RecNum&gt;&lt;DisplayText&gt;(47)&lt;/DisplayText&gt;&lt;record&gt;&lt;rec-number&gt;76&lt;/rec-number&gt;&lt;foreign-keys&gt;&lt;key app="EN" db-id="a2vz2dfp8xrad6exes75zwpiw5rxwa0vwapv" timestamp="0"&gt;76&lt;/key&gt;&lt;/foreign-keys&gt;&lt;ref-type name="Journal Article"&gt;17&lt;/ref-type&gt;&lt;contributors&gt;&lt;authors&gt;&lt;author&gt;Allen, B., Jr.&lt;/author&gt;&lt;author&gt;Unger, J. B.&lt;/author&gt;&lt;/authors&gt;&lt;/contributors&gt;&lt;auth-address&gt;Charles R. Drew University of Medicine and Science, Los Angeles, CA 90059, USA. brallen@cdrewu.edu&lt;/auth-address&gt;&lt;titles&gt;&lt;title&gt;Sociocultural correlates of menthol cigarette smoking among adult African Americans in Los Angeles&lt;/title&gt;&lt;secondary-title&gt;Nicotine Tob Res&lt;/secondary-title&gt;&lt;/titles&gt;&lt;periodical&gt;&lt;full-title&gt;Nicotine Tob Res&lt;/full-title&gt;&lt;/periodical&gt;&lt;pages&gt;447-51&lt;/pages&gt;&lt;volume&gt;9&lt;/volume&gt;&lt;number&gt;4&lt;/number&gt;&lt;keywords&gt;&lt;keyword&gt;Adult&lt;/keyword&gt;&lt;keyword&gt;African Americans/psychology/*statistics &amp;amp; numerical data&lt;/keyword&gt;&lt;keyword&gt;Attitude to Health/*ethnology&lt;/keyword&gt;&lt;keyword&gt;Cultural Characteristics&lt;/keyword&gt;&lt;keyword&gt;Female&lt;/keyword&gt;&lt;keyword&gt;*Flavoring Agents&lt;/keyword&gt;&lt;keyword&gt;Health Behavior/ethnology&lt;/keyword&gt;&lt;keyword&gt;Humans&lt;/keyword&gt;&lt;keyword&gt;Los Angeles/epidemiology&lt;/keyword&gt;&lt;keyword&gt;Male&lt;/keyword&gt;&lt;keyword&gt;*Menthol&lt;/keyword&gt;&lt;keyword&gt;Middle Aged&lt;/keyword&gt;&lt;keyword&gt;Smoking/*ethnology&lt;/keyword&gt;&lt;keyword&gt;Smoking Cessation/*ethnology&lt;/keyword&gt;&lt;keyword&gt;Socioeconomic Factors&lt;/keyword&gt;&lt;keyword&gt;Surveys and Questionnaires&lt;/keyword&gt;&lt;keyword&gt;Urban Population/statistics &amp;amp; numerical data&lt;/keyword&gt;&lt;/keywords&gt;&lt;dates&gt;&lt;year&gt;2007&lt;/year&gt;&lt;pub-dates&gt;&lt;date&gt;Apr&lt;/date&gt;&lt;/pub-dates&gt;&lt;/dates&gt;&lt;isbn&gt;1462-2203 (Print)&amp;#xD;1462-2203 (Linking)&lt;/isbn&gt;&lt;accession-num&gt;17454699&lt;/accession-num&gt;&lt;urls&gt;&lt;related-urls&gt;&lt;url&gt;http://www.ncbi.nlm.nih.gov/pubmed/17454699&lt;/url&gt;&lt;/related-urls&gt;&lt;/urls&gt;&lt;electronic-resource-num&gt;10.1080/14622200701239647&lt;/electronic-resource-num&gt;&lt;research-notes&gt;#377&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47" w:tooltip="Allen, 2007 #76" w:history="1">
        <w:r w:rsidR="00A234A9">
          <w:rPr>
            <w:rFonts w:eastAsia="Calibri" w:cs="Times New Roman"/>
            <w:noProof/>
            <w:color w:val="000000"/>
          </w:rPr>
          <w:t>47</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found </w:t>
      </w:r>
      <w:r>
        <w:rPr>
          <w:rFonts w:eastAsia="Calibri" w:cs="Times New Roman"/>
          <w:color w:val="000000"/>
        </w:rPr>
        <w:t xml:space="preserve">no difference in </w:t>
      </w:r>
      <w:r w:rsidRPr="00A0218A">
        <w:rPr>
          <w:rFonts w:eastAsia="Calibri" w:cs="Times New Roman"/>
          <w:color w:val="000000"/>
        </w:rPr>
        <w:t xml:space="preserve">age at initiation </w:t>
      </w:r>
      <w:r>
        <w:rPr>
          <w:rFonts w:eastAsia="Calibri" w:cs="Times New Roman"/>
          <w:color w:val="000000"/>
        </w:rPr>
        <w:t xml:space="preserve">for </w:t>
      </w:r>
      <w:r w:rsidRPr="00A0218A">
        <w:rPr>
          <w:rFonts w:eastAsia="Calibri" w:cs="Times New Roman"/>
          <w:color w:val="000000"/>
        </w:rPr>
        <w:t xml:space="preserve">current menthol versus non-menthol </w:t>
      </w:r>
      <w:r>
        <w:rPr>
          <w:rFonts w:eastAsia="Calibri" w:cs="Times New Roman"/>
          <w:color w:val="000000"/>
        </w:rPr>
        <w:t>Black</w:t>
      </w:r>
      <w:r w:rsidRPr="00A0218A">
        <w:rPr>
          <w:rFonts w:eastAsia="Calibri" w:cs="Times New Roman"/>
          <w:color w:val="000000"/>
        </w:rPr>
        <w:t xml:space="preserve"> women </w:t>
      </w:r>
      <w:r>
        <w:rPr>
          <w:rFonts w:eastAsia="Calibri" w:cs="Times New Roman"/>
          <w:color w:val="000000"/>
        </w:rPr>
        <w:t xml:space="preserve">smokers </w:t>
      </w:r>
      <w:r w:rsidRPr="00A0218A">
        <w:rPr>
          <w:rFonts w:eastAsia="Calibri" w:cs="Times New Roman"/>
          <w:color w:val="000000"/>
        </w:rPr>
        <w:t xml:space="preserve">(OR=1.04, 95% CI: 0.98 to 1.11) and </w:t>
      </w:r>
      <w:r>
        <w:rPr>
          <w:rFonts w:eastAsia="Calibri" w:cs="Times New Roman"/>
          <w:color w:val="000000"/>
        </w:rPr>
        <w:t>Black</w:t>
      </w:r>
      <w:r w:rsidRPr="00A0218A">
        <w:rPr>
          <w:rFonts w:eastAsia="Calibri" w:cs="Times New Roman"/>
          <w:color w:val="000000"/>
        </w:rPr>
        <w:t xml:space="preserve"> men (OR=1.03, 95% CI: 0.97 to 1.09)</w:t>
      </w:r>
      <w:r>
        <w:rPr>
          <w:rFonts w:eastAsia="Calibri" w:cs="Times New Roman"/>
          <w:color w:val="000000"/>
        </w:rPr>
        <w:t>.</w:t>
      </w:r>
    </w:p>
    <w:p w14:paraId="195FDB73" w14:textId="76B5A82A" w:rsidR="00107778" w:rsidRPr="00A0218A" w:rsidRDefault="00107778" w:rsidP="00107778">
      <w:pPr>
        <w:spacing w:after="240" w:line="240" w:lineRule="auto"/>
        <w:jc w:val="both"/>
        <w:rPr>
          <w:rFonts w:eastAsia="Calibri" w:cs="Times New Roman"/>
          <w:color w:val="000000"/>
        </w:rPr>
      </w:pPr>
      <w:r w:rsidRPr="00A0218A">
        <w:rPr>
          <w:rFonts w:eastAsia="Calibri" w:cs="Times New Roman"/>
          <w:color w:val="000000"/>
        </w:rPr>
        <w:t>Sidney et al</w:t>
      </w:r>
      <w:r>
        <w:rPr>
          <w:rFonts w:eastAsia="Calibri" w:cs="Times New Roman"/>
          <w:color w:val="000000"/>
        </w:rPr>
        <w:t xml:space="preserve">.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&lt;EndNote&gt;&lt;Cite&gt;&lt;Author&gt;Sidney&lt;/Author&gt;&lt;Year&gt;1989&lt;/Year&gt;&lt;RecNum&gt;92&lt;/RecNum&gt;&lt;DisplayText&gt;(82)&lt;/DisplayText&gt;&lt;record&gt;&lt;rec-number&gt;92&lt;/rec-number&gt;&lt;foreign-keys&gt;&lt;key app="EN" db-id="a2vz2dfp8xrad6exes75zwpiw5rxwa0vwapv" timestamp="0"&gt;92&lt;/key&gt;&lt;/foreign-keys&gt;&lt;ref-type name="Journal Article"&gt;17&lt;/ref-type&gt;&lt;contributors&gt;&lt;authors&gt;&lt;author&gt;Sidney, S.&lt;/author&gt;&lt;author&gt;Tekawa, I. S.&lt;/author&gt;&lt;author&gt;Friedman, G. D.&lt;/author&gt;&lt;/authors&gt;&lt;/contributors&gt;&lt;titles&gt;&lt;title&gt;Mentholated cigarette use among multiphasic examinees, 1979-86&lt;/title&gt;&lt;secondary-title&gt;Am J Public Health&lt;/secondary-title&gt;&lt;/titles&gt;&lt;periodical&gt;&lt;full-title&gt;Am J Public Health&lt;/full-title&gt;&lt;/periodical&gt;&lt;pages&gt;1415-1416&lt;/pages&gt;&lt;volume&gt;79&lt;/volume&gt;&lt;section&gt;1415&lt;/section&gt;&lt;dates&gt;&lt;year&gt;1989&lt;/year&gt;&lt;/dates&gt;&lt;urls&gt;&lt;/urls&gt;&lt;research-notes&gt;#505&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82" w:tooltip="Sidney, 1989 #92" w:history="1">
        <w:r w:rsidR="00A234A9">
          <w:rPr>
            <w:rFonts w:eastAsia="Calibri" w:cs="Times New Roman"/>
            <w:noProof/>
            <w:color w:val="000000"/>
          </w:rPr>
          <w:t>82</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analyzed switching data reported by 1,688 </w:t>
      </w:r>
      <w:r>
        <w:rPr>
          <w:rFonts w:eastAsia="Calibri" w:cs="Times New Roman"/>
          <w:color w:val="000000"/>
        </w:rPr>
        <w:t>Black</w:t>
      </w:r>
      <w:r w:rsidRPr="00A0218A">
        <w:rPr>
          <w:rFonts w:eastAsia="Calibri" w:cs="Times New Roman"/>
          <w:color w:val="000000"/>
        </w:rPr>
        <w:t xml:space="preserve"> smokers under the age of 40 enrolled in a single health maintenance organization. The authors adjusted for age, gender, and duration of follow up (mean=4.5 years) and found that the odds of </w:t>
      </w:r>
      <w:r>
        <w:rPr>
          <w:rFonts w:eastAsia="Calibri" w:cs="Times New Roman"/>
          <w:color w:val="000000"/>
        </w:rPr>
        <w:t>Black</w:t>
      </w:r>
      <w:r w:rsidRPr="00A0218A">
        <w:rPr>
          <w:rFonts w:eastAsia="Calibri" w:cs="Times New Roman"/>
          <w:color w:val="000000"/>
        </w:rPr>
        <w:t xml:space="preserve"> non-menthol cigarette smokers switching to </w:t>
      </w:r>
      <w:r w:rsidRPr="00A0218A">
        <w:rPr>
          <w:rFonts w:eastAsia="Calibri" w:cs="Times New Roman"/>
          <w:color w:val="000000"/>
        </w:rPr>
        <w:lastRenderedPageBreak/>
        <w:t xml:space="preserve">menthol cigarettes were significantly higher than the odds of </w:t>
      </w:r>
      <w:r>
        <w:rPr>
          <w:rFonts w:eastAsia="Calibri" w:cs="Times New Roman"/>
          <w:color w:val="000000"/>
        </w:rPr>
        <w:t>Black</w:t>
      </w:r>
      <w:r w:rsidRPr="00A0218A">
        <w:rPr>
          <w:rFonts w:eastAsia="Calibri" w:cs="Times New Roman"/>
          <w:color w:val="000000"/>
        </w:rPr>
        <w:t xml:space="preserve"> menthol smokers switching to non-menthol (hazard ratio=4.2, 95% CI: 2.8 to 6.4).</w:t>
      </w:r>
    </w:p>
    <w:p w14:paraId="0D727B56" w14:textId="77777777" w:rsidR="00107778" w:rsidRPr="00193DD0" w:rsidRDefault="00107778" w:rsidP="00B8342F">
      <w:pPr>
        <w:spacing w:after="120" w:line="240" w:lineRule="auto"/>
        <w:jc w:val="both"/>
        <w:outlineLvl w:val="2"/>
        <w:rPr>
          <w:rFonts w:eastAsia="Calibri" w:cs="Times New Roman"/>
          <w:b/>
          <w:bCs/>
          <w:color w:val="000000"/>
        </w:rPr>
      </w:pPr>
      <w:r w:rsidRPr="00193DD0">
        <w:rPr>
          <w:rFonts w:eastAsia="Calibri" w:cs="Times New Roman"/>
          <w:b/>
          <w:bCs/>
          <w:color w:val="000000"/>
        </w:rPr>
        <w:t>Hispanics</w:t>
      </w:r>
    </w:p>
    <w:p w14:paraId="7BF23A53" w14:textId="4888AC4F" w:rsidR="00107778" w:rsidRPr="00A0218A" w:rsidRDefault="00107778" w:rsidP="00107778">
      <w:pPr>
        <w:spacing w:after="120" w:line="240" w:lineRule="auto"/>
        <w:jc w:val="both"/>
        <w:rPr>
          <w:rFonts w:eastAsia="Calibri" w:cs="Times New Roman"/>
          <w:i/>
          <w:color w:val="000000"/>
        </w:rPr>
      </w:pPr>
      <w:r w:rsidRPr="00A0218A">
        <w:rPr>
          <w:rFonts w:eastAsia="Calibri" w:cs="Times New Roman"/>
          <w:i/>
          <w:color w:val="000000"/>
        </w:rPr>
        <w:t xml:space="preserve">Findings for Hispanic smokers were mixed among </w:t>
      </w:r>
      <w:r w:rsidR="00253CDB">
        <w:rPr>
          <w:rFonts w:eastAsia="Calibri" w:cs="Times New Roman"/>
          <w:i/>
          <w:color w:val="000000"/>
        </w:rPr>
        <w:t xml:space="preserve">three </w:t>
      </w:r>
      <w:r w:rsidRPr="00A0218A">
        <w:rPr>
          <w:rFonts w:eastAsia="Calibri" w:cs="Times New Roman"/>
          <w:i/>
          <w:color w:val="000000"/>
        </w:rPr>
        <w:t>studies</w:t>
      </w:r>
      <w:r>
        <w:rPr>
          <w:rFonts w:eastAsia="Calibri" w:cs="Times New Roman"/>
          <w:i/>
          <w:color w:val="000000"/>
        </w:rPr>
        <w:t xml:space="preserve"> </w:t>
      </w:r>
      <w:r w:rsidR="00D2134A">
        <w:rPr>
          <w:rFonts w:eastAsia="Calibri" w:cs="Times New Roman"/>
          <w:i/>
          <w:color w:val="000000"/>
        </w:rPr>
        <w:fldChar w:fldCharType="begin">
          <w:fldData xml:space="preserve">PEVuZE5vdGU+PENpdGU+PEF1dGhvcj5DdWJiaW48L0F1dGhvcj48WWVhcj4yMDEwPC9ZZWFyPjxS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PEVuZE5vdGU+PENpdGU+PEF1dGhvcj5DdWJiaW48L0F1dGhvcj48WWVhcj4yMDEwPC9ZZWFyPjxS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50" w:tooltip="Cubbin, 2010 #53" w:history="1">
        <w:r w:rsidR="00A234A9">
          <w:rPr>
            <w:rFonts w:eastAsia="Calibri" w:cs="Times New Roman"/>
            <w:i/>
            <w:noProof/>
            <w:color w:val="000000"/>
          </w:rPr>
          <w:t>50</w:t>
        </w:r>
      </w:hyperlink>
      <w:r w:rsidR="00D2134A">
        <w:rPr>
          <w:rFonts w:eastAsia="Calibri" w:cs="Times New Roman"/>
          <w:i/>
          <w:noProof/>
          <w:color w:val="000000"/>
        </w:rPr>
        <w:t xml:space="preserve">, </w:t>
      </w:r>
      <w:hyperlink w:anchor="_ENREF_69" w:tooltip="Kasza, 2014 #16" w:history="1">
        <w:r w:rsidR="00A234A9">
          <w:rPr>
            <w:rFonts w:eastAsia="Calibri" w:cs="Times New Roman"/>
            <w:i/>
            <w:noProof/>
            <w:color w:val="000000"/>
          </w:rPr>
          <w:t>69</w:t>
        </w:r>
      </w:hyperlink>
      <w:r w:rsidR="00D2134A">
        <w:rPr>
          <w:rFonts w:eastAsia="Calibri" w:cs="Times New Roman"/>
          <w:i/>
          <w:noProof/>
          <w:color w:val="000000"/>
        </w:rPr>
        <w:t xml:space="preserve">, </w:t>
      </w:r>
      <w:hyperlink w:anchor="_ENREF_70" w:tooltip="Lawrence, 2010 #52" w:history="1">
        <w:r w:rsidR="00A234A9">
          <w:rPr>
            <w:rFonts w:eastAsia="Calibri" w:cs="Times New Roman"/>
            <w:i/>
            <w:noProof/>
            <w:color w:val="000000"/>
          </w:rPr>
          <w:t>70</w:t>
        </w:r>
      </w:hyperlink>
      <w:r w:rsidR="00D2134A">
        <w:rPr>
          <w:rFonts w:eastAsia="Calibri" w:cs="Times New Roman"/>
          <w:i/>
          <w:noProof/>
          <w:color w:val="000000"/>
        </w:rPr>
        <w:t>)</w:t>
      </w:r>
      <w:r w:rsidR="00D2134A">
        <w:rPr>
          <w:rFonts w:eastAsia="Calibri" w:cs="Times New Roman"/>
          <w:i/>
          <w:color w:val="000000"/>
        </w:rPr>
        <w:fldChar w:fldCharType="end"/>
      </w:r>
      <w:r w:rsidRPr="003E7833">
        <w:rPr>
          <w:rFonts w:eastAsia="Calibri" w:cs="Times New Roman"/>
          <w:i/>
          <w:color w:val="000000"/>
        </w:rPr>
        <w:t>.</w:t>
      </w:r>
      <w:r w:rsidRPr="00A0218A">
        <w:rPr>
          <w:rFonts w:eastAsia="Calibri" w:cs="Times New Roman"/>
          <w:i/>
          <w:color w:val="000000"/>
        </w:rPr>
        <w:t xml:space="preserve"> </w:t>
      </w:r>
      <w:r w:rsidR="00253CDB">
        <w:rPr>
          <w:rFonts w:eastAsia="Calibri" w:cs="Times New Roman"/>
          <w:i/>
          <w:color w:val="000000"/>
        </w:rPr>
        <w:t>Two</w:t>
      </w:r>
      <w:r w:rsidR="00253CDB" w:rsidRPr="00A0218A">
        <w:rPr>
          <w:rFonts w:eastAsia="Calibri" w:cs="Times New Roman"/>
          <w:i/>
          <w:color w:val="000000"/>
        </w:rPr>
        <w:t xml:space="preserve"> </w:t>
      </w:r>
      <w:r w:rsidRPr="00A0218A">
        <w:rPr>
          <w:rFonts w:eastAsia="Calibri" w:cs="Times New Roman"/>
          <w:i/>
          <w:color w:val="000000"/>
        </w:rPr>
        <w:t xml:space="preserve">studies found </w:t>
      </w:r>
      <w:r>
        <w:rPr>
          <w:rFonts w:eastAsia="Calibri" w:cs="Times New Roman"/>
          <w:i/>
          <w:color w:val="000000"/>
        </w:rPr>
        <w:t xml:space="preserve">no difference between </w:t>
      </w:r>
      <w:r w:rsidRPr="00A0218A">
        <w:rPr>
          <w:rFonts w:eastAsia="Calibri" w:cs="Times New Roman"/>
          <w:i/>
          <w:color w:val="000000"/>
        </w:rPr>
        <w:t xml:space="preserve">menthol </w:t>
      </w:r>
      <w:r>
        <w:rPr>
          <w:rFonts w:eastAsia="Calibri" w:cs="Times New Roman"/>
          <w:i/>
          <w:color w:val="000000"/>
        </w:rPr>
        <w:t xml:space="preserve">and non-menthol smokers and initiation age when stratifying by Hispanic and non-Hispanic race/ethnicity and gender </w:t>
      </w:r>
      <w:r w:rsidR="00D2134A">
        <w:rPr>
          <w:rFonts w:eastAsia="Calibri" w:cs="Times New Roman"/>
          <w:i/>
          <w:color w:val="000000"/>
        </w:rPr>
        <w:fldChar w:fldCharType="begin">
          <w:fldData xml:space="preserve">PEVuZE5vdGU+PENpdGU+PEF1dGhvcj5DdWJiaW48L0F1dGhvcj48WWVhcj4yMDEwPC9ZZWFyPjxS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PEVuZE5vdGU+PENpdGU+PEF1dGhvcj5DdWJiaW48L0F1dGhvcj48WWVhcj4yMDEwPC9ZZWFyPjxS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50" w:tooltip="Cubbin, 2010 #53" w:history="1">
        <w:r w:rsidR="00A234A9">
          <w:rPr>
            <w:rFonts w:eastAsia="Calibri" w:cs="Times New Roman"/>
            <w:i/>
            <w:noProof/>
            <w:color w:val="000000"/>
          </w:rPr>
          <w:t>50</w:t>
        </w:r>
      </w:hyperlink>
      <w:r w:rsidR="00D2134A">
        <w:rPr>
          <w:rFonts w:eastAsia="Calibri" w:cs="Times New Roman"/>
          <w:i/>
          <w:noProof/>
          <w:color w:val="000000"/>
        </w:rPr>
        <w:t xml:space="preserve">, </w:t>
      </w:r>
      <w:hyperlink w:anchor="_ENREF_70" w:tooltip="Lawrence, 2010 #52" w:history="1">
        <w:r w:rsidR="00A234A9">
          <w:rPr>
            <w:rFonts w:eastAsia="Calibri" w:cs="Times New Roman"/>
            <w:i/>
            <w:noProof/>
            <w:color w:val="000000"/>
          </w:rPr>
          <w:t>70</w:t>
        </w:r>
      </w:hyperlink>
      <w:r w:rsidR="00D2134A">
        <w:rPr>
          <w:rFonts w:eastAsia="Calibri" w:cs="Times New Roman"/>
          <w:i/>
          <w:noProof/>
          <w:color w:val="000000"/>
        </w:rPr>
        <w:t>)</w:t>
      </w:r>
      <w:r w:rsidR="00D2134A">
        <w:rPr>
          <w:rFonts w:eastAsia="Calibri" w:cs="Times New Roman"/>
          <w:i/>
          <w:color w:val="000000"/>
        </w:rPr>
        <w:fldChar w:fldCharType="end"/>
      </w:r>
      <w:r w:rsidRPr="00A0218A">
        <w:rPr>
          <w:rFonts w:eastAsia="Calibri" w:cs="Times New Roman"/>
          <w:i/>
          <w:color w:val="000000"/>
        </w:rPr>
        <w:t xml:space="preserve">. </w:t>
      </w:r>
      <w:r>
        <w:rPr>
          <w:rFonts w:eastAsia="Calibri" w:cs="Times New Roman"/>
          <w:i/>
          <w:color w:val="000000"/>
        </w:rPr>
        <w:t>One of the three</w:t>
      </w:r>
      <w:r w:rsidRPr="003E7833">
        <w:rPr>
          <w:rFonts w:eastAsia="Calibri" w:cs="Times New Roman"/>
          <w:i/>
          <w:color w:val="000000"/>
        </w:rPr>
        <w:t xml:space="preserve"> stud</w:t>
      </w:r>
      <w:r>
        <w:rPr>
          <w:rFonts w:eastAsia="Calibri" w:cs="Times New Roman"/>
          <w:i/>
          <w:color w:val="000000"/>
        </w:rPr>
        <w:t>ies also</w:t>
      </w:r>
      <w:r w:rsidRPr="003E7833">
        <w:rPr>
          <w:rFonts w:eastAsia="Calibri" w:cs="Times New Roman"/>
          <w:i/>
          <w:color w:val="000000"/>
        </w:rPr>
        <w:t xml:space="preserve"> reported no significant difference on odds of being a daily smoker between Hispanic menthol and non-menthol smokers</w:t>
      </w:r>
      <w:r>
        <w:rPr>
          <w:rFonts w:eastAsia="Calibri" w:cs="Times New Roman"/>
          <w:i/>
          <w:color w:val="000000"/>
        </w:rPr>
        <w:t xml:space="preserve"> </w:t>
      </w:r>
      <w:r w:rsidR="00D2134A">
        <w:rPr>
          <w:rFonts w:eastAsia="Calibri" w:cs="Times New Roman"/>
          <w:color w:val="000000"/>
        </w:rPr>
        <w:fldChar w:fldCharType="begin">
          <w:fldData xml:space="preserve">PEVuZE5vdGU+PENpdGU+PEF1dGhvcj5MYXdyZW5jZTwvQXV0aG9yPjxZZWFyPjIwMTA8L1llYXI+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PEVuZE5vdGU+PENpdGU+PEF1dGhvcj5MYXdyZW5jZTwvQXV0aG9yPjxZZWFyPjIwMTA8L1llYXI+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70" w:tooltip="Lawrence, 2010 #52" w:history="1">
        <w:r w:rsidR="00A234A9">
          <w:rPr>
            <w:rFonts w:eastAsia="Calibri" w:cs="Times New Roman"/>
            <w:noProof/>
            <w:color w:val="000000"/>
          </w:rPr>
          <w:t>70</w:t>
        </w:r>
      </w:hyperlink>
      <w:r w:rsidR="00D2134A">
        <w:rPr>
          <w:rFonts w:eastAsia="Calibri" w:cs="Times New Roman"/>
          <w:noProof/>
          <w:color w:val="000000"/>
        </w:rPr>
        <w:t>)</w:t>
      </w:r>
      <w:r w:rsidR="00D2134A">
        <w:rPr>
          <w:rFonts w:eastAsia="Calibri" w:cs="Times New Roman"/>
          <w:color w:val="000000"/>
        </w:rPr>
        <w:fldChar w:fldCharType="end"/>
      </w:r>
      <w:r w:rsidRPr="003E7833">
        <w:rPr>
          <w:rFonts w:eastAsia="Calibri" w:cs="Times New Roman"/>
          <w:i/>
          <w:color w:val="000000"/>
        </w:rPr>
        <w:t>.</w:t>
      </w:r>
      <w:r>
        <w:rPr>
          <w:rFonts w:eastAsia="Calibri" w:cs="Times New Roman"/>
          <w:i/>
          <w:color w:val="000000"/>
        </w:rPr>
        <w:t xml:space="preserve"> Lastly, a</w:t>
      </w:r>
      <w:r w:rsidRPr="00C227A8">
        <w:rPr>
          <w:rFonts w:eastAsia="Calibri" w:cs="Times New Roman"/>
          <w:b/>
          <w:i/>
          <w:color w:val="000000"/>
        </w:rPr>
        <w:t xml:space="preserve"> </w:t>
      </w:r>
      <w:r w:rsidRPr="00C227A8">
        <w:rPr>
          <w:rFonts w:eastAsia="Calibri" w:cs="Times New Roman"/>
          <w:i/>
          <w:color w:val="000000"/>
        </w:rPr>
        <w:t>study</w:t>
      </w:r>
      <w:r w:rsidRPr="00A0218A">
        <w:rPr>
          <w:rFonts w:eastAsia="Calibri" w:cs="Times New Roman"/>
          <w:i/>
          <w:color w:val="000000"/>
        </w:rPr>
        <w:t xml:space="preserve"> assessed swi</w:t>
      </w:r>
      <w:r>
        <w:rPr>
          <w:rFonts w:eastAsia="Calibri" w:cs="Times New Roman"/>
          <w:i/>
          <w:color w:val="000000"/>
        </w:rPr>
        <w:t>tching behavior and found that when c</w:t>
      </w:r>
      <w:r w:rsidRPr="00A0218A">
        <w:rPr>
          <w:rFonts w:eastAsia="Calibri" w:cs="Times New Roman"/>
          <w:i/>
          <w:color w:val="000000"/>
        </w:rPr>
        <w:t xml:space="preserve">ompared </w:t>
      </w:r>
      <w:r>
        <w:rPr>
          <w:rFonts w:eastAsia="Calibri" w:cs="Times New Roman"/>
          <w:i/>
          <w:color w:val="000000"/>
        </w:rPr>
        <w:t>to</w:t>
      </w:r>
      <w:r w:rsidRPr="00A0218A">
        <w:rPr>
          <w:rFonts w:eastAsia="Calibri" w:cs="Times New Roman"/>
          <w:i/>
          <w:color w:val="000000"/>
        </w:rPr>
        <w:t xml:space="preserve"> </w:t>
      </w:r>
      <w:r>
        <w:rPr>
          <w:rFonts w:eastAsia="Calibri" w:cs="Times New Roman"/>
          <w:i/>
          <w:color w:val="000000"/>
        </w:rPr>
        <w:t>White</w:t>
      </w:r>
      <w:r w:rsidRPr="00A0218A">
        <w:rPr>
          <w:rFonts w:eastAsia="Calibri" w:cs="Times New Roman"/>
          <w:i/>
          <w:color w:val="000000"/>
        </w:rPr>
        <w:t>s</w:t>
      </w:r>
      <w:r>
        <w:rPr>
          <w:rFonts w:eastAsia="Calibri" w:cs="Times New Roman"/>
          <w:i/>
          <w:color w:val="000000"/>
        </w:rPr>
        <w:t>, H</w:t>
      </w:r>
      <w:r w:rsidRPr="00A0218A">
        <w:rPr>
          <w:rFonts w:eastAsia="Calibri" w:cs="Times New Roman"/>
          <w:i/>
          <w:color w:val="000000"/>
        </w:rPr>
        <w:t>ispanics were significantly more likely to switch from non-menthol to menthol</w:t>
      </w:r>
      <w:r>
        <w:rPr>
          <w:rFonts w:eastAsia="Calibri" w:cs="Times New Roman"/>
          <w:i/>
          <w:color w:val="000000"/>
        </w:rPr>
        <w:t xml:space="preserve"> </w:t>
      </w:r>
      <w:r w:rsidR="00D2134A">
        <w:rPr>
          <w:rFonts w:eastAsia="Calibri" w:cs="Times New Roman"/>
          <w:i/>
          <w:color w:val="000000"/>
        </w:rPr>
        <w:fldChar w:fldCharType="begin">
          <w:fldData xml:space="preserve">PEVuZE5vdGU+PENpdGU+PEF1dGhvcj5LYXN6YTwvQXV0aG9yPjxZZWFyPjIwMTQ8L1llYXI+PFJl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PEVuZE5vdGU+PENpdGU+PEF1dGhvcj5LYXN6YTwvQXV0aG9yPjxZZWFyPjIwMTQ8L1llYXI+PFJl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69" w:tooltip="Kasza, 2014 #16" w:history="1">
        <w:r w:rsidR="00A234A9">
          <w:rPr>
            <w:rFonts w:eastAsia="Calibri" w:cs="Times New Roman"/>
            <w:i/>
            <w:noProof/>
            <w:color w:val="000000"/>
          </w:rPr>
          <w:t>69</w:t>
        </w:r>
      </w:hyperlink>
      <w:r w:rsidR="00D2134A">
        <w:rPr>
          <w:rFonts w:eastAsia="Calibri" w:cs="Times New Roman"/>
          <w:i/>
          <w:noProof/>
          <w:color w:val="000000"/>
        </w:rPr>
        <w:t>)</w:t>
      </w:r>
      <w:r w:rsidR="00D2134A">
        <w:rPr>
          <w:rFonts w:eastAsia="Calibri" w:cs="Times New Roman"/>
          <w:i/>
          <w:color w:val="000000"/>
        </w:rPr>
        <w:fldChar w:fldCharType="end"/>
      </w:r>
      <w:r w:rsidRPr="00A0218A">
        <w:rPr>
          <w:rFonts w:eastAsia="Calibri" w:cs="Times New Roman"/>
          <w:i/>
          <w:color w:val="000000"/>
        </w:rPr>
        <w:t>.</w:t>
      </w:r>
      <w:r w:rsidRPr="003E7833">
        <w:rPr>
          <w:rFonts w:eastAsia="Calibri" w:cs="Times New Roman"/>
          <w:i/>
          <w:color w:val="000000"/>
        </w:rPr>
        <w:t xml:space="preserve"> </w:t>
      </w:r>
    </w:p>
    <w:p w14:paraId="16B4892D" w14:textId="653AC70B" w:rsidR="00107778" w:rsidRPr="00A0218A" w:rsidRDefault="00107778" w:rsidP="00107778">
      <w:pPr>
        <w:spacing w:after="120" w:line="240" w:lineRule="auto"/>
        <w:jc w:val="both"/>
        <w:rPr>
          <w:rFonts w:eastAsia="Calibri" w:cs="Times New Roman"/>
          <w:color w:val="000000"/>
        </w:rPr>
      </w:pPr>
      <w:r>
        <w:rPr>
          <w:rFonts w:eastAsia="Calibri" w:cs="Times New Roman"/>
          <w:color w:val="000000"/>
        </w:rPr>
        <w:t xml:space="preserve">Kasza et al. </w:t>
      </w:r>
      <w:r w:rsidR="00D2134A">
        <w:rPr>
          <w:rFonts w:eastAsia="Calibri" w:cs="Times New Roman"/>
          <w:color w:val="000000"/>
        </w:rPr>
        <w:fldChar w:fldCharType="begin">
          <w:fldData xml:space="preserve">PEVuZE5vdGU+PENpdGU+PEF1dGhvcj5LYXN6YTwvQXV0aG9yPjxZZWFyPjIwMTQ8L1llYXI+PFJl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PEVuZE5vdGU+PENpdGU+PEF1dGhvcj5LYXN6YTwvQXV0aG9yPjxZZWFyPjIwMTQ8L1llYXI+PFJl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69" w:tooltip="Kasza, 2014 #16" w:history="1">
        <w:r w:rsidR="00A234A9">
          <w:rPr>
            <w:rFonts w:eastAsia="Calibri" w:cs="Times New Roman"/>
            <w:noProof/>
            <w:color w:val="000000"/>
          </w:rPr>
          <w:t>69</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examined switching between menthol and non-menthol cigarettes in a cohort of adult smokers in the United States who were interviewed during </w:t>
      </w:r>
      <w:r w:rsidRPr="004F3FD7">
        <w:rPr>
          <w:rFonts w:eastAsia="Calibri" w:cs="Times New Roman"/>
          <w:color w:val="000000"/>
        </w:rPr>
        <w:t>at least two waves of the ITC-4. Among</w:t>
      </w:r>
      <w:r w:rsidRPr="00A0218A">
        <w:rPr>
          <w:rFonts w:eastAsia="Calibri" w:cs="Times New Roman"/>
          <w:color w:val="000000"/>
        </w:rPr>
        <w:t xml:space="preserve"> participants who initially reported smoking menthol cigarettes, Hispanics were </w:t>
      </w:r>
      <w:r>
        <w:rPr>
          <w:rFonts w:eastAsia="Calibri" w:cs="Times New Roman"/>
          <w:color w:val="000000"/>
        </w:rPr>
        <w:t xml:space="preserve">no different </w:t>
      </w:r>
      <w:r w:rsidRPr="00A0218A">
        <w:rPr>
          <w:rFonts w:eastAsia="Calibri" w:cs="Times New Roman"/>
          <w:color w:val="000000"/>
        </w:rPr>
        <w:t xml:space="preserve">than </w:t>
      </w:r>
      <w:r>
        <w:rPr>
          <w:rFonts w:eastAsia="Calibri" w:cs="Times New Roman"/>
          <w:color w:val="000000"/>
        </w:rPr>
        <w:t>White</w:t>
      </w:r>
      <w:r w:rsidRPr="00A0218A">
        <w:rPr>
          <w:rFonts w:eastAsia="Calibri" w:cs="Times New Roman"/>
          <w:color w:val="000000"/>
        </w:rPr>
        <w:t xml:space="preserve">s to switch to non-menthol cigarettes </w:t>
      </w:r>
      <w:r w:rsidRPr="000B6CBD">
        <w:rPr>
          <w:rFonts w:eastAsia="Calibri" w:cs="Times New Roman"/>
          <w:color w:val="000000"/>
        </w:rPr>
        <w:t>(OR=1.94, 95% CI: 0.90 to 4.17).</w:t>
      </w:r>
      <w:r w:rsidRPr="00A0218A">
        <w:rPr>
          <w:rFonts w:eastAsia="Calibri" w:cs="Times New Roman"/>
          <w:color w:val="000000"/>
        </w:rPr>
        <w:t xml:space="preserve"> Among participants who initially reported smoking non-menthol cigarettes, Hispanics were significantly more likely than </w:t>
      </w:r>
      <w:r>
        <w:rPr>
          <w:rFonts w:eastAsia="Calibri" w:cs="Times New Roman"/>
          <w:color w:val="000000"/>
        </w:rPr>
        <w:t>White</w:t>
      </w:r>
      <w:r w:rsidRPr="00A0218A">
        <w:rPr>
          <w:rFonts w:eastAsia="Calibri" w:cs="Times New Roman"/>
          <w:color w:val="000000"/>
        </w:rPr>
        <w:t>s to switch to menthol cigarettes (OR=3.16, 95% CI: 1.37 to 7.29).</w:t>
      </w:r>
    </w:p>
    <w:p w14:paraId="26FF431D" w14:textId="299A2A8C" w:rsidR="00107778" w:rsidRDefault="00107778" w:rsidP="00107778">
      <w:pPr>
        <w:spacing w:after="120" w:line="240" w:lineRule="auto"/>
        <w:jc w:val="both"/>
        <w:rPr>
          <w:rFonts w:eastAsia="Calibri" w:cs="Times New Roman"/>
          <w:color w:val="000000"/>
        </w:rPr>
      </w:pPr>
      <w:r>
        <w:rPr>
          <w:rFonts w:eastAsia="Calibri" w:cs="Times New Roman"/>
          <w:color w:val="000000"/>
        </w:rPr>
        <w:t xml:space="preserve">Lawrence et al. </w:t>
      </w:r>
      <w:r w:rsidR="00D2134A">
        <w:rPr>
          <w:rFonts w:eastAsia="Calibri" w:cs="Times New Roman"/>
          <w:color w:val="000000"/>
        </w:rPr>
        <w:fldChar w:fldCharType="begin">
          <w:fldData xml:space="preserve">PEVuZE5vdGU+PENpdGU+PEF1dGhvcj5MYXdyZW5jZTwvQXV0aG9yPjxZZWFyPjIwMTA8L1llYXI+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PEVuZE5vdGU+PENpdGU+PEF1dGhvcj5MYXdyZW5jZTwvQXV0aG9yPjxZZWFyPjIwMTA8L1llYXI+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70" w:tooltip="Lawrence, 2010 #52" w:history="1">
        <w:r w:rsidR="00A234A9">
          <w:rPr>
            <w:rFonts w:eastAsia="Calibri" w:cs="Times New Roman"/>
            <w:noProof/>
            <w:color w:val="000000"/>
          </w:rPr>
          <w:t>70</w:t>
        </w:r>
      </w:hyperlink>
      <w:r w:rsidR="00D2134A">
        <w:rPr>
          <w:rFonts w:eastAsia="Calibri" w:cs="Times New Roman"/>
          <w:noProof/>
          <w:color w:val="000000"/>
        </w:rPr>
        <w:t>)</w:t>
      </w:r>
      <w:r w:rsidR="00D2134A">
        <w:rPr>
          <w:rFonts w:eastAsia="Calibri" w:cs="Times New Roman"/>
          <w:color w:val="000000"/>
        </w:rPr>
        <w:fldChar w:fldCharType="end"/>
      </w:r>
      <w:r>
        <w:rPr>
          <w:rFonts w:eastAsia="Calibri" w:cs="Times New Roman"/>
          <w:color w:val="000000"/>
        </w:rPr>
        <w:t xml:space="preserve">, as previously reported, </w:t>
      </w:r>
      <w:r w:rsidRPr="00A0218A">
        <w:rPr>
          <w:rFonts w:eastAsia="Calibri" w:cs="Times New Roman"/>
          <w:color w:val="000000"/>
        </w:rPr>
        <w:t xml:space="preserve">found that Hispanics who began smoking regularly before age 18 </w:t>
      </w:r>
      <w:r>
        <w:rPr>
          <w:rFonts w:eastAsia="Calibri" w:cs="Times New Roman"/>
          <w:color w:val="000000"/>
        </w:rPr>
        <w:t xml:space="preserve">were no different than </w:t>
      </w:r>
      <w:r w:rsidRPr="00A0218A">
        <w:rPr>
          <w:rFonts w:eastAsia="Calibri" w:cs="Times New Roman"/>
          <w:color w:val="000000"/>
        </w:rPr>
        <w:t xml:space="preserve">Hispanics who began before age 15 </w:t>
      </w:r>
      <w:r>
        <w:rPr>
          <w:rFonts w:eastAsia="Calibri" w:cs="Times New Roman"/>
          <w:color w:val="000000"/>
        </w:rPr>
        <w:t>in their likelihood</w:t>
      </w:r>
      <w:r w:rsidRPr="00A0218A">
        <w:rPr>
          <w:rFonts w:eastAsia="Calibri" w:cs="Times New Roman"/>
          <w:color w:val="000000"/>
        </w:rPr>
        <w:t xml:space="preserve"> to be menthol smokers (OR=1.23, 95% CI: 0.91 to 1.67), and Hispanics who began at age 15, 16, or 17 were </w:t>
      </w:r>
      <w:r>
        <w:rPr>
          <w:rFonts w:eastAsia="Calibri" w:cs="Times New Roman"/>
          <w:color w:val="000000"/>
        </w:rPr>
        <w:t>also no different in the likelihood</w:t>
      </w:r>
      <w:r w:rsidRPr="00A0218A">
        <w:rPr>
          <w:rFonts w:eastAsia="Calibri" w:cs="Times New Roman"/>
          <w:color w:val="000000"/>
        </w:rPr>
        <w:t xml:space="preserve"> to be menthol smokers tha</w:t>
      </w:r>
      <w:r>
        <w:rPr>
          <w:rFonts w:eastAsia="Calibri" w:cs="Times New Roman"/>
          <w:color w:val="000000"/>
        </w:rPr>
        <w:t>n</w:t>
      </w:r>
      <w:r w:rsidRPr="00A0218A">
        <w:rPr>
          <w:rFonts w:eastAsia="Calibri" w:cs="Times New Roman"/>
          <w:color w:val="000000"/>
        </w:rPr>
        <w:t xml:space="preserve"> Hispanics who began smoking regularly before age 18 (OR=1.11, 95% CI: 0.83 to 1.48).</w:t>
      </w:r>
      <w:r>
        <w:rPr>
          <w:rFonts w:eastAsia="Calibri" w:cs="Times New Roman"/>
          <w:color w:val="000000"/>
        </w:rPr>
        <w:t xml:space="preserve"> </w:t>
      </w:r>
    </w:p>
    <w:p w14:paraId="29BE791E" w14:textId="0DD52F93" w:rsidR="00107778" w:rsidRPr="00A0218A" w:rsidRDefault="00107778" w:rsidP="00107778">
      <w:pPr>
        <w:spacing w:after="120" w:line="240" w:lineRule="auto"/>
        <w:jc w:val="both"/>
        <w:rPr>
          <w:rFonts w:eastAsia="Calibri" w:cs="Times New Roman"/>
          <w:color w:val="000000"/>
        </w:rPr>
      </w:pPr>
      <w:r>
        <w:rPr>
          <w:rFonts w:eastAsia="Calibri" w:cs="Times New Roman"/>
          <w:color w:val="000000"/>
        </w:rPr>
        <w:t xml:space="preserve">Further, </w:t>
      </w:r>
      <w:r w:rsidRPr="003E7833">
        <w:rPr>
          <w:rFonts w:eastAsia="Calibri" w:cs="Times New Roman"/>
          <w:color w:val="000000"/>
        </w:rPr>
        <w:t xml:space="preserve">Lawrence et al. </w:t>
      </w:r>
      <w:r w:rsidR="00D2134A">
        <w:rPr>
          <w:rFonts w:eastAsia="Calibri" w:cs="Times New Roman"/>
          <w:color w:val="000000"/>
        </w:rPr>
        <w:fldChar w:fldCharType="begin">
          <w:fldData xml:space="preserve">PEVuZE5vdGU+PENpdGU+PEF1dGhvcj5MYXdyZW5jZTwvQXV0aG9yPjxZZWFyPjIwMTA8L1llYXI+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PEVuZE5vdGU+PENpdGU+PEF1dGhvcj5MYXdyZW5jZTwvQXV0aG9yPjxZZWFyPjIwMTA8L1llYXI+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70" w:tooltip="Lawrence, 2010 #52" w:history="1">
        <w:r w:rsidR="00A234A9">
          <w:rPr>
            <w:rFonts w:eastAsia="Calibri" w:cs="Times New Roman"/>
            <w:noProof/>
            <w:color w:val="000000"/>
          </w:rPr>
          <w:t>70</w:t>
        </w:r>
      </w:hyperlink>
      <w:r w:rsidR="00D2134A">
        <w:rPr>
          <w:rFonts w:eastAsia="Calibri" w:cs="Times New Roman"/>
          <w:noProof/>
          <w:color w:val="000000"/>
        </w:rPr>
        <w:t>)</w:t>
      </w:r>
      <w:r w:rsidR="00D2134A">
        <w:rPr>
          <w:rFonts w:eastAsia="Calibri" w:cs="Times New Roman"/>
          <w:color w:val="000000"/>
        </w:rPr>
        <w:fldChar w:fldCharType="end"/>
      </w:r>
      <w:r w:rsidRPr="003E7833">
        <w:rPr>
          <w:rFonts w:eastAsia="Calibri" w:cs="Times New Roman"/>
          <w:color w:val="000000"/>
        </w:rPr>
        <w:t xml:space="preserve"> </w:t>
      </w:r>
      <w:r>
        <w:rPr>
          <w:rFonts w:eastAsia="Calibri" w:cs="Times New Roman"/>
          <w:color w:val="000000"/>
        </w:rPr>
        <w:t>also</w:t>
      </w:r>
      <w:r w:rsidRPr="003E7833">
        <w:rPr>
          <w:rFonts w:eastAsia="Calibri" w:cs="Times New Roman"/>
          <w:color w:val="000000"/>
        </w:rPr>
        <w:t xml:space="preserve"> </w:t>
      </w:r>
      <w:r w:rsidRPr="006645AB">
        <w:rPr>
          <w:rFonts w:eastAsia="Calibri" w:cs="Times New Roman"/>
          <w:color w:val="000000"/>
        </w:rPr>
        <w:t xml:space="preserve">analyzed </w:t>
      </w:r>
      <w:r w:rsidRPr="00193DD0">
        <w:rPr>
          <w:rFonts w:eastAsia="Calibri" w:cs="Times New Roman"/>
          <w:color w:val="000000"/>
        </w:rPr>
        <w:t>odds of being a daily smoker between Hispanic menthol and non-menthol smokers</w:t>
      </w:r>
      <w:r w:rsidRPr="006645AB">
        <w:rPr>
          <w:rFonts w:eastAsia="Calibri" w:cs="Times New Roman"/>
          <w:color w:val="000000"/>
        </w:rPr>
        <w:t xml:space="preserve">. </w:t>
      </w:r>
      <w:r>
        <w:rPr>
          <w:rFonts w:eastAsia="Calibri" w:cs="Times New Roman"/>
          <w:color w:val="000000"/>
        </w:rPr>
        <w:t xml:space="preserve">The study found </w:t>
      </w:r>
      <w:r w:rsidRPr="006645AB">
        <w:rPr>
          <w:rFonts w:eastAsia="Calibri" w:cs="Times New Roman"/>
          <w:color w:val="000000"/>
        </w:rPr>
        <w:t>H</w:t>
      </w:r>
      <w:r w:rsidRPr="003E7833">
        <w:rPr>
          <w:rFonts w:eastAsia="Calibri" w:cs="Times New Roman"/>
          <w:color w:val="000000"/>
        </w:rPr>
        <w:t xml:space="preserve">ispanic daily smokers had </w:t>
      </w:r>
      <w:r w:rsidR="00B8342F">
        <w:rPr>
          <w:rFonts w:eastAsia="Calibri" w:cs="Times New Roman"/>
          <w:color w:val="000000"/>
        </w:rPr>
        <w:t>the same</w:t>
      </w:r>
      <w:r w:rsidRPr="003E7833">
        <w:rPr>
          <w:rFonts w:eastAsia="Calibri" w:cs="Times New Roman"/>
          <w:color w:val="000000"/>
        </w:rPr>
        <w:t xml:space="preserve"> odds of being a menthol smoker (vs. a non-menthol smoker), compared with Hispanic non-daily smokers (OR=1.07, 95% CI: 0.81 to 1.40).</w:t>
      </w:r>
    </w:p>
    <w:p w14:paraId="0B39359D" w14:textId="5DDEE439" w:rsidR="00107778" w:rsidRDefault="00107778" w:rsidP="00107778">
      <w:pPr>
        <w:spacing w:after="240" w:line="240" w:lineRule="auto"/>
        <w:jc w:val="both"/>
        <w:rPr>
          <w:rFonts w:eastAsia="Calibri" w:cs="Times New Roman"/>
          <w:color w:val="000000"/>
        </w:rPr>
      </w:pPr>
      <w:r>
        <w:rPr>
          <w:rFonts w:eastAsia="Calibri" w:cs="Times New Roman"/>
          <w:color w:val="000000"/>
        </w:rPr>
        <w:t>Finally, in the context of this subgroup analysis, according to the</w:t>
      </w:r>
      <w:r w:rsidRPr="00A0218A">
        <w:rPr>
          <w:rFonts w:eastAsia="Calibri" w:cs="Times New Roman"/>
          <w:color w:val="000000"/>
        </w:rPr>
        <w:t xml:space="preserve"> 2005 NHIS, Cubbin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&lt;EndNote&gt;&lt;Cite&gt;&lt;Author&gt;Cubbin&lt;/Author&gt;&lt;Year&gt;2010&lt;/Year&gt;&lt;RecNum&gt;53&lt;/RecNum&gt;&lt;DisplayText&gt;(50)&lt;/DisplayText&gt;&lt;record&gt;&lt;rec-number&gt;53&lt;/rec-number&gt;&lt;foreign-keys&gt;&lt;key app="EN" db-id="a2vz2dfp8xrad6exes75zwpiw5rxwa0vwapv" timestamp="0"&gt;53&lt;/key&gt;&lt;/foreign-keys&gt;&lt;ref-type name="Journal Article"&gt;17&lt;/ref-type&gt;&lt;contributors&gt;&lt;authors&gt;&lt;author&gt;Cubbin, C.&lt;/author&gt;&lt;author&gt;Soobader, M. J.&lt;/author&gt;&lt;author&gt;LeClere, F. B.&lt;/author&gt;&lt;/authors&gt;&lt;/contributors&gt;&lt;auth-address&gt;School of Social Work, University of Texas at Austin, Austin, TX 78712-0358, USA. ccubbin@austin.utexas.edu&lt;/auth-address&gt;&lt;titles&gt;&lt;title&gt;The intersection of gender and race/ethnicity in smoking behaviors among menthol and non-menthol smokers in the United States&lt;/title&gt;&lt;secondary-title&gt;Addiction&lt;/secondary-title&gt;&lt;/titles&gt;&lt;periodical&gt;&lt;full-title&gt;Addiction&lt;/full-title&gt;&lt;/periodical&gt;&lt;pages&gt;32-8&lt;/pages&gt;&lt;volume&gt;105 Suppl 1&lt;/volume&gt;&lt;keywords&gt;&lt;keyword&gt;Adult&lt;/keyword&gt;&lt;keyword&gt;African Americans/statistics &amp;amp; numerical data&lt;/keyword&gt;&lt;keyword&gt;Age of Onset&lt;/keyword&gt;&lt;keyword&gt;Cross-Sectional Studies&lt;/keyword&gt;&lt;keyword&gt;European Continental Ancestry Group/statistics &amp;amp; numerical data&lt;/keyword&gt;&lt;keyword&gt;Female&lt;/keyword&gt;&lt;keyword&gt;Hispanic Americans/statistics &amp;amp; numerical data&lt;/keyword&gt;&lt;keyword&gt;Humans&lt;/keyword&gt;&lt;keyword&gt;Male&lt;/keyword&gt;&lt;keyword&gt;*Menthol&lt;/keyword&gt;&lt;keyword&gt;Middle Aged&lt;/keyword&gt;&lt;keyword&gt;*Population Surveillance&lt;/keyword&gt;&lt;keyword&gt;Sex Factors&lt;/keyword&gt;&lt;keyword&gt;Smoking/*epidemiology/ethnology&lt;/keyword&gt;&lt;keyword&gt;Smoking Cessation/ethnology/statistics &amp;amp; numerical data&lt;/keyword&gt;&lt;keyword&gt;Socioeconomic Factors&lt;/keyword&gt;&lt;keyword&gt;United States/epidemiology&lt;/keyword&gt;&lt;/keywords&gt;&lt;dates&gt;&lt;year&gt;2010&lt;/year&gt;&lt;pub-dates&gt;&lt;date&gt;Dec&lt;/date&gt;&lt;/pub-dates&gt;&lt;/dates&gt;&lt;isbn&gt;1360-0443 (Electronic)&amp;#xD;0965-2140 (Linking)&lt;/isbn&gt;&lt;accession-num&gt;21059134&lt;/accession-num&gt;&lt;urls&gt;&lt;related-urls&gt;&lt;url&gt;http://www.ncbi.nlm.nih.gov/pubmed/21059134&lt;/url&gt;&lt;/related-urls&gt;&lt;/urls&gt;&lt;electronic-resource-num&gt;10.1111/j.1360-0443.2010.03191.x&lt;/electronic-resource-num&gt;&lt;research-notes&gt;#281&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50" w:tooltip="Cubbin, 2010 #53" w:history="1">
        <w:r w:rsidR="00A234A9">
          <w:rPr>
            <w:rFonts w:eastAsia="Calibri" w:cs="Times New Roman"/>
            <w:noProof/>
            <w:color w:val="000000"/>
          </w:rPr>
          <w:t>50</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found </w:t>
      </w:r>
      <w:r>
        <w:rPr>
          <w:rFonts w:eastAsia="Calibri" w:cs="Times New Roman"/>
          <w:color w:val="000000"/>
        </w:rPr>
        <w:t>no differences for any racial/ethnic group for either cigarette type. Further, no differences were found in age at initiation for menthol or non-menthol across each demographic group.</w:t>
      </w:r>
    </w:p>
    <w:p w14:paraId="2CCA86FA" w14:textId="77777777" w:rsidR="00107778" w:rsidRPr="00B335C6" w:rsidRDefault="00107778" w:rsidP="00193DD0">
      <w:pPr>
        <w:spacing w:after="120" w:line="240" w:lineRule="auto"/>
        <w:jc w:val="both"/>
        <w:outlineLvl w:val="2"/>
        <w:rPr>
          <w:rFonts w:eastAsia="Calibri" w:cs="Times New Roman"/>
          <w:b/>
          <w:bCs/>
          <w:color w:val="000000"/>
        </w:rPr>
      </w:pPr>
      <w:r w:rsidRPr="00EA69AA">
        <w:rPr>
          <w:rFonts w:eastAsia="Calibri" w:cs="Times New Roman"/>
          <w:b/>
          <w:bCs/>
          <w:color w:val="000000"/>
          <w:lang w:val="fr-FR"/>
        </w:rPr>
        <w:t>Multiple Races/Ethnicities</w:t>
      </w:r>
    </w:p>
    <w:p w14:paraId="70A8EE79" w14:textId="210156AC" w:rsidR="00561EFD" w:rsidRPr="00AC031A" w:rsidRDefault="00107778" w:rsidP="00107778">
      <w:pPr>
        <w:spacing w:after="240" w:line="240" w:lineRule="auto"/>
        <w:jc w:val="both"/>
        <w:rPr>
          <w:rFonts w:eastAsia="Calibri" w:cs="Times New Roman"/>
          <w:i/>
          <w:iCs/>
          <w:color w:val="000000"/>
        </w:rPr>
      </w:pPr>
      <w:r w:rsidRPr="00EA69AA">
        <w:rPr>
          <w:rFonts w:eastAsia="Calibri" w:cs="Times New Roman"/>
          <w:i/>
          <w:iCs/>
          <w:color w:val="000000"/>
          <w:lang w:val="fr-FR"/>
        </w:rPr>
        <w:t xml:space="preserve">Lawrence et al. </w:t>
      </w:r>
      <w:r w:rsidR="00D2134A">
        <w:rPr>
          <w:rFonts w:eastAsia="Calibri" w:cs="Times New Roman"/>
          <w:i/>
          <w:iCs/>
          <w:color w:val="000000"/>
        </w:rPr>
        <w:fldChar w:fldCharType="begin">
          <w:fldData xml:space="preserve">PEVuZE5vdGU+PENpdGU+PEF1dGhvcj5MYXdyZW5jZTwvQXV0aG9yPjxZZWFyPjIwMTA8L1llYXI+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</w:fldData>
        </w:fldChar>
      </w:r>
      <w:r w:rsidR="00D2134A">
        <w:rPr>
          <w:rFonts w:eastAsia="Calibri" w:cs="Times New Roman"/>
          <w:i/>
          <w:iCs/>
          <w:color w:val="000000"/>
        </w:rPr>
        <w:instrText xml:space="preserve"> ADDIN EN.CITE </w:instrText>
      </w:r>
      <w:r w:rsidR="00D2134A">
        <w:rPr>
          <w:rFonts w:eastAsia="Calibri" w:cs="Times New Roman"/>
          <w:i/>
          <w:iCs/>
          <w:color w:val="000000"/>
        </w:rPr>
        <w:fldChar w:fldCharType="begin">
          <w:fldData xml:space="preserve">PEVuZE5vdGU+PENpdGU+PEF1dGhvcj5MYXdyZW5jZTwvQXV0aG9yPjxZZWFyPjIwMTA8L1llYXI+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</w:fldData>
        </w:fldChar>
      </w:r>
      <w:r w:rsidR="00D2134A">
        <w:rPr>
          <w:rFonts w:eastAsia="Calibri" w:cs="Times New Roman"/>
          <w:i/>
          <w:iCs/>
          <w:color w:val="000000"/>
        </w:rPr>
        <w:instrText xml:space="preserve"> ADDIN EN.CITE.DATA </w:instrText>
      </w:r>
      <w:r w:rsidR="00D2134A">
        <w:rPr>
          <w:rFonts w:eastAsia="Calibri" w:cs="Times New Roman"/>
          <w:i/>
          <w:iCs/>
          <w:color w:val="000000"/>
        </w:rPr>
      </w:r>
      <w:r w:rsidR="00D2134A">
        <w:rPr>
          <w:rFonts w:eastAsia="Calibri" w:cs="Times New Roman"/>
          <w:i/>
          <w:iCs/>
          <w:color w:val="000000"/>
        </w:rPr>
        <w:fldChar w:fldCharType="end"/>
      </w:r>
      <w:r w:rsidR="00D2134A">
        <w:rPr>
          <w:rFonts w:eastAsia="Calibri" w:cs="Times New Roman"/>
          <w:i/>
          <w:iCs/>
          <w:color w:val="000000"/>
        </w:rPr>
        <w:fldChar w:fldCharType="separate"/>
      </w:r>
      <w:r w:rsidR="00D2134A">
        <w:rPr>
          <w:rFonts w:eastAsia="Calibri" w:cs="Times New Roman"/>
          <w:i/>
          <w:iCs/>
          <w:noProof/>
          <w:color w:val="000000"/>
        </w:rPr>
        <w:t>(</w:t>
      </w:r>
      <w:hyperlink w:anchor="_ENREF_70" w:tooltip="Lawrence, 2010 #52" w:history="1">
        <w:r w:rsidR="00A234A9">
          <w:rPr>
            <w:rFonts w:eastAsia="Calibri" w:cs="Times New Roman"/>
            <w:i/>
            <w:iCs/>
            <w:noProof/>
            <w:color w:val="000000"/>
          </w:rPr>
          <w:t>70</w:t>
        </w:r>
      </w:hyperlink>
      <w:r w:rsidR="00D2134A">
        <w:rPr>
          <w:rFonts w:eastAsia="Calibri" w:cs="Times New Roman"/>
          <w:i/>
          <w:iCs/>
          <w:noProof/>
          <w:color w:val="000000"/>
        </w:rPr>
        <w:t>)</w:t>
      </w:r>
      <w:r w:rsidR="00D2134A">
        <w:rPr>
          <w:rFonts w:eastAsia="Calibri" w:cs="Times New Roman"/>
          <w:i/>
          <w:iCs/>
          <w:color w:val="000000"/>
        </w:rPr>
        <w:fldChar w:fldCharType="end"/>
      </w:r>
      <w:r w:rsidRPr="00AC031A">
        <w:rPr>
          <w:rFonts w:eastAsia="Calibri" w:cs="Times New Roman"/>
          <w:i/>
          <w:iCs/>
          <w:color w:val="000000"/>
        </w:rPr>
        <w:t xml:space="preserve"> found that Asians/Pacific Islanders who began smoking regularly before age 18 had higher odds of being menthol smokers. </w:t>
      </w:r>
    </w:p>
    <w:p w14:paraId="1BD18701" w14:textId="77777777" w:rsidR="00107778" w:rsidRPr="00B8342F" w:rsidRDefault="00107778" w:rsidP="00107778">
      <w:pPr>
        <w:spacing w:after="240" w:line="240" w:lineRule="auto"/>
        <w:jc w:val="both"/>
        <w:rPr>
          <w:rFonts w:eastAsia="Calibri" w:cs="Times New Roman"/>
        </w:rPr>
      </w:pPr>
      <w:r w:rsidRPr="00A0218A">
        <w:rPr>
          <w:rFonts w:eastAsia="Calibri" w:cs="Times New Roman"/>
          <w:color w:val="000000"/>
        </w:rPr>
        <w:t xml:space="preserve">Compared with Asians/Pacific Islanders who began smoking at or after age 18, Asians/Pacific Islanders who began before age 15 were </w:t>
      </w:r>
      <w:r>
        <w:rPr>
          <w:rFonts w:eastAsia="Calibri" w:cs="Times New Roman"/>
          <w:color w:val="000000"/>
        </w:rPr>
        <w:t xml:space="preserve">no </w:t>
      </w:r>
      <w:r w:rsidRPr="00A0218A">
        <w:rPr>
          <w:rFonts w:eastAsia="Calibri" w:cs="Times New Roman"/>
          <w:color w:val="000000"/>
        </w:rPr>
        <w:t xml:space="preserve">more </w:t>
      </w:r>
      <w:r>
        <w:rPr>
          <w:rFonts w:eastAsia="Calibri" w:cs="Times New Roman"/>
          <w:color w:val="000000"/>
        </w:rPr>
        <w:t xml:space="preserve">or less </w:t>
      </w:r>
      <w:r w:rsidRPr="00A0218A">
        <w:rPr>
          <w:rFonts w:eastAsia="Calibri" w:cs="Times New Roman"/>
          <w:color w:val="000000"/>
        </w:rPr>
        <w:t>likely to be menthol smokers (OR=1.88, 95% CI: 0.82 to 4.31)</w:t>
      </w:r>
      <w:r>
        <w:rPr>
          <w:rFonts w:eastAsia="Calibri" w:cs="Times New Roman"/>
          <w:color w:val="000000"/>
        </w:rPr>
        <w:t>; additionally</w:t>
      </w:r>
      <w:r w:rsidRPr="00A0218A">
        <w:rPr>
          <w:rFonts w:eastAsia="Calibri" w:cs="Times New Roman"/>
          <w:color w:val="000000"/>
        </w:rPr>
        <w:t xml:space="preserve">, Asians/Pacific Islanders who began at age 15, 16, or 17 were </w:t>
      </w:r>
      <w:r>
        <w:rPr>
          <w:rFonts w:eastAsia="Calibri" w:cs="Times New Roman"/>
          <w:color w:val="000000"/>
        </w:rPr>
        <w:t>no</w:t>
      </w:r>
      <w:r w:rsidRPr="00A0218A">
        <w:rPr>
          <w:rFonts w:eastAsia="Calibri" w:cs="Times New Roman"/>
          <w:color w:val="000000"/>
        </w:rPr>
        <w:t xml:space="preserve"> </w:t>
      </w:r>
      <w:r>
        <w:rPr>
          <w:rFonts w:eastAsia="Calibri" w:cs="Times New Roman"/>
          <w:color w:val="000000"/>
        </w:rPr>
        <w:t>different in the likelihood of being</w:t>
      </w:r>
      <w:r w:rsidRPr="00A0218A">
        <w:rPr>
          <w:rFonts w:eastAsia="Calibri" w:cs="Times New Roman"/>
          <w:color w:val="000000"/>
        </w:rPr>
        <w:t xml:space="preserve"> menthol smokers (OR=1.42, 95% CI: 0.85 to 2.37).</w:t>
      </w:r>
    </w:p>
    <w:p w14:paraId="5034EC55" w14:textId="77777777" w:rsidR="001D44FA" w:rsidRPr="001D44FA" w:rsidRDefault="001D44FA" w:rsidP="00B8342F">
      <w:pPr>
        <w:spacing w:after="120" w:line="240" w:lineRule="auto"/>
        <w:jc w:val="both"/>
        <w:outlineLvl w:val="1"/>
        <w:rPr>
          <w:rFonts w:eastAsia="Calibri" w:cs="Times New Roman"/>
          <w:i/>
          <w:color w:val="000000"/>
          <w:u w:val="single"/>
        </w:rPr>
      </w:pPr>
      <w:r w:rsidRPr="001D44FA">
        <w:rPr>
          <w:rFonts w:eastAsia="Calibri" w:cs="Times New Roman"/>
          <w:i/>
          <w:color w:val="000000"/>
          <w:u w:val="single"/>
        </w:rPr>
        <w:t xml:space="preserve">Adjusted Results: </w:t>
      </w:r>
      <w:r>
        <w:rPr>
          <w:rFonts w:eastAsia="Calibri" w:cs="Times New Roman"/>
          <w:bCs/>
          <w:i/>
          <w:color w:val="000000"/>
          <w:u w:val="single"/>
        </w:rPr>
        <w:t>I</w:t>
      </w:r>
      <w:r w:rsidRPr="00193DD0">
        <w:rPr>
          <w:rFonts w:eastAsia="Calibri" w:cs="Times New Roman"/>
          <w:bCs/>
          <w:i/>
          <w:color w:val="000000"/>
          <w:u w:val="single"/>
        </w:rPr>
        <w:t xml:space="preserve">nitiation and </w:t>
      </w:r>
      <w:r>
        <w:rPr>
          <w:rFonts w:eastAsia="Calibri" w:cs="Times New Roman"/>
          <w:bCs/>
          <w:i/>
          <w:color w:val="000000"/>
          <w:u w:val="single"/>
        </w:rPr>
        <w:t>P</w:t>
      </w:r>
      <w:r w:rsidRPr="00193DD0">
        <w:rPr>
          <w:rFonts w:eastAsia="Calibri" w:cs="Times New Roman"/>
          <w:bCs/>
          <w:i/>
          <w:color w:val="000000"/>
          <w:u w:val="single"/>
        </w:rPr>
        <w:t xml:space="preserve">rogression to </w:t>
      </w:r>
      <w:r>
        <w:rPr>
          <w:rFonts w:eastAsia="Calibri" w:cs="Times New Roman"/>
          <w:bCs/>
          <w:i/>
          <w:color w:val="000000"/>
          <w:u w:val="single"/>
        </w:rPr>
        <w:t>R</w:t>
      </w:r>
      <w:r w:rsidRPr="00193DD0">
        <w:rPr>
          <w:rFonts w:eastAsia="Calibri" w:cs="Times New Roman"/>
          <w:bCs/>
          <w:i/>
          <w:color w:val="000000"/>
          <w:u w:val="single"/>
        </w:rPr>
        <w:t xml:space="preserve">egular </w:t>
      </w:r>
      <w:r>
        <w:rPr>
          <w:rFonts w:eastAsia="Calibri" w:cs="Times New Roman"/>
          <w:bCs/>
          <w:i/>
          <w:color w:val="000000"/>
          <w:u w:val="single"/>
        </w:rPr>
        <w:t>S</w:t>
      </w:r>
      <w:r w:rsidRPr="00193DD0">
        <w:rPr>
          <w:rFonts w:eastAsia="Calibri" w:cs="Times New Roman"/>
          <w:bCs/>
          <w:i/>
          <w:color w:val="000000"/>
          <w:u w:val="single"/>
        </w:rPr>
        <w:t>moking</w:t>
      </w:r>
      <w:r w:rsidRPr="001D44FA">
        <w:rPr>
          <w:rFonts w:eastAsia="Calibri" w:cs="Times New Roman"/>
          <w:i/>
          <w:color w:val="000000"/>
          <w:u w:val="single"/>
        </w:rPr>
        <w:t xml:space="preserve"> by </w:t>
      </w:r>
      <w:r>
        <w:rPr>
          <w:rFonts w:eastAsia="Calibri" w:cs="Times New Roman"/>
          <w:i/>
          <w:color w:val="000000"/>
          <w:u w:val="single"/>
        </w:rPr>
        <w:t>Age</w:t>
      </w:r>
    </w:p>
    <w:p w14:paraId="195B50D9" w14:textId="77777777" w:rsidR="00D04C52" w:rsidRPr="00193DD0" w:rsidRDefault="00D04C52" w:rsidP="00B8342F">
      <w:pPr>
        <w:spacing w:after="120" w:line="240" w:lineRule="auto"/>
        <w:jc w:val="both"/>
        <w:outlineLvl w:val="2"/>
        <w:rPr>
          <w:rFonts w:eastAsia="Calibri" w:cs="Times New Roman"/>
          <w:b/>
          <w:bCs/>
          <w:i/>
          <w:iCs/>
          <w:color w:val="000000"/>
        </w:rPr>
      </w:pPr>
      <w:r w:rsidRPr="00193DD0">
        <w:rPr>
          <w:rFonts w:eastAsia="Calibri" w:cs="Times New Roman"/>
          <w:b/>
          <w:bCs/>
          <w:i/>
          <w:iCs/>
          <w:color w:val="000000"/>
        </w:rPr>
        <w:t>Youth</w:t>
      </w:r>
    </w:p>
    <w:p w14:paraId="5F3951BF" w14:textId="04903365" w:rsidR="001D44FA" w:rsidRPr="000F618F" w:rsidRDefault="00253CDB" w:rsidP="001D44FA">
      <w:pPr>
        <w:spacing w:after="120" w:line="240" w:lineRule="auto"/>
        <w:jc w:val="both"/>
        <w:rPr>
          <w:rFonts w:eastAsia="Calibri" w:cs="Times New Roman"/>
          <w:i/>
          <w:noProof/>
          <w:color w:val="000000"/>
        </w:rPr>
      </w:pPr>
      <w:r>
        <w:rPr>
          <w:rFonts w:eastAsia="Calibri" w:cs="Times New Roman"/>
          <w:i/>
          <w:noProof/>
          <w:color w:val="000000"/>
        </w:rPr>
        <w:t>Two</w:t>
      </w:r>
      <w:r w:rsidRPr="00B764F2">
        <w:rPr>
          <w:rFonts w:eastAsia="Calibri" w:cs="Times New Roman"/>
          <w:i/>
          <w:noProof/>
          <w:color w:val="000000"/>
        </w:rPr>
        <w:t xml:space="preserve"> </w:t>
      </w:r>
      <w:r w:rsidR="001D44FA" w:rsidRPr="00B764F2">
        <w:rPr>
          <w:rFonts w:eastAsia="Calibri" w:cs="Times New Roman"/>
          <w:i/>
          <w:noProof/>
          <w:color w:val="000000"/>
        </w:rPr>
        <w:t xml:space="preserve">analyses (from </w:t>
      </w:r>
      <w:r>
        <w:rPr>
          <w:rFonts w:eastAsia="Calibri" w:cs="Times New Roman"/>
          <w:i/>
          <w:noProof/>
          <w:color w:val="000000"/>
        </w:rPr>
        <w:t>one study</w:t>
      </w:r>
      <w:r w:rsidR="001D44FA" w:rsidRPr="00B764F2">
        <w:rPr>
          <w:rFonts w:eastAsia="Calibri" w:cs="Times New Roman"/>
          <w:i/>
          <w:noProof/>
          <w:color w:val="000000"/>
        </w:rPr>
        <w:t>) reported adjusted odds of being a daily smoker among menthol and non-menthol youth smokers</w:t>
      </w:r>
      <w:r w:rsidR="009A790F">
        <w:rPr>
          <w:rFonts w:eastAsia="Calibri" w:cs="Times New Roman"/>
          <w:i/>
          <w:noProof/>
          <w:color w:val="000000"/>
        </w:rPr>
        <w:t xml:space="preserve"> </w:t>
      </w:r>
      <w:r w:rsidR="00D2134A">
        <w:rPr>
          <w:rFonts w:eastAsia="Calibri" w:cs="Times New Roman"/>
          <w:i/>
          <w:noProof/>
          <w:color w:val="000000"/>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sidR="00D2134A">
        <w:rPr>
          <w:rFonts w:eastAsia="Calibri" w:cs="Times New Roman"/>
          <w:i/>
          <w:noProof/>
          <w:color w:val="000000"/>
        </w:rPr>
        <w:instrText xml:space="preserve"> ADDIN EN.CITE </w:instrText>
      </w:r>
      <w:r w:rsidR="00D2134A">
        <w:rPr>
          <w:rFonts w:eastAsia="Calibri" w:cs="Times New Roman"/>
          <w:i/>
          <w:noProof/>
          <w:color w:val="000000"/>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sidR="00D2134A">
        <w:rPr>
          <w:rFonts w:eastAsia="Calibri" w:cs="Times New Roman"/>
          <w:i/>
          <w:noProof/>
          <w:color w:val="000000"/>
        </w:rPr>
        <w:instrText xml:space="preserve"> ADDIN EN.CITE.DATA </w:instrText>
      </w:r>
      <w:r w:rsidR="00D2134A">
        <w:rPr>
          <w:rFonts w:eastAsia="Calibri" w:cs="Times New Roman"/>
          <w:i/>
          <w:noProof/>
          <w:color w:val="000000"/>
        </w:rPr>
      </w:r>
      <w:r w:rsidR="00D2134A">
        <w:rPr>
          <w:rFonts w:eastAsia="Calibri" w:cs="Times New Roman"/>
          <w:i/>
          <w:noProof/>
          <w:color w:val="000000"/>
        </w:rPr>
        <w:fldChar w:fldCharType="end"/>
      </w:r>
      <w:r w:rsidR="00D2134A">
        <w:rPr>
          <w:rFonts w:eastAsia="Calibri" w:cs="Times New Roman"/>
          <w:i/>
          <w:noProof/>
          <w:color w:val="000000"/>
        </w:rPr>
        <w:fldChar w:fldCharType="separate"/>
      </w:r>
      <w:r w:rsidR="00D2134A">
        <w:rPr>
          <w:rFonts w:eastAsia="Calibri" w:cs="Times New Roman"/>
          <w:i/>
          <w:noProof/>
          <w:color w:val="000000"/>
        </w:rPr>
        <w:t>(</w:t>
      </w:r>
      <w:hyperlink w:anchor="_ENREF_51" w:tooltip="Curtin, 2014 #13" w:history="1">
        <w:r w:rsidR="00A234A9">
          <w:rPr>
            <w:rFonts w:eastAsia="Calibri" w:cs="Times New Roman"/>
            <w:i/>
            <w:noProof/>
            <w:color w:val="000000"/>
          </w:rPr>
          <w:t>51</w:t>
        </w:r>
      </w:hyperlink>
      <w:r w:rsidR="00D2134A">
        <w:rPr>
          <w:rFonts w:eastAsia="Calibri" w:cs="Times New Roman"/>
          <w:i/>
          <w:noProof/>
          <w:color w:val="000000"/>
        </w:rPr>
        <w:t>)</w:t>
      </w:r>
      <w:r w:rsidR="00D2134A">
        <w:rPr>
          <w:rFonts w:eastAsia="Calibri" w:cs="Times New Roman"/>
          <w:i/>
          <w:noProof/>
          <w:color w:val="000000"/>
        </w:rPr>
        <w:fldChar w:fldCharType="end"/>
      </w:r>
      <w:r w:rsidR="001D44FA" w:rsidRPr="00B764F2">
        <w:rPr>
          <w:rFonts w:eastAsia="Calibri" w:cs="Times New Roman"/>
          <w:i/>
          <w:noProof/>
          <w:color w:val="000000"/>
        </w:rPr>
        <w:t xml:space="preserve">. </w:t>
      </w:r>
      <w:r>
        <w:rPr>
          <w:rFonts w:eastAsia="Calibri" w:cs="Times New Roman"/>
          <w:i/>
          <w:noProof/>
          <w:color w:val="000000"/>
        </w:rPr>
        <w:t>Both</w:t>
      </w:r>
      <w:r w:rsidR="001D44FA" w:rsidRPr="00B764F2">
        <w:rPr>
          <w:rFonts w:eastAsia="Calibri" w:cs="Times New Roman"/>
          <w:i/>
          <w:noProof/>
          <w:color w:val="000000"/>
        </w:rPr>
        <w:t xml:space="preserve"> analyses reported no significant differences between youth menthol and non-menthol smokers in terms of odds of daily smoking</w:t>
      </w:r>
      <w:r w:rsidR="00964973">
        <w:rPr>
          <w:rFonts w:eastAsia="Calibri" w:cs="Times New Roman"/>
          <w:i/>
          <w:noProof/>
          <w:color w:val="000000"/>
        </w:rPr>
        <w:t xml:space="preserve"> </w:t>
      </w:r>
      <w:r w:rsidR="00D2134A">
        <w:rPr>
          <w:rFonts w:eastAsia="Calibri" w:cs="Times New Roman"/>
          <w:color w:val="000000"/>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51" w:tooltip="Curtin, 2014 #13" w:history="1">
        <w:r w:rsidR="00A234A9">
          <w:rPr>
            <w:rFonts w:eastAsia="Calibri" w:cs="Times New Roman"/>
            <w:noProof/>
            <w:color w:val="000000"/>
          </w:rPr>
          <w:t>51</w:t>
        </w:r>
      </w:hyperlink>
      <w:r w:rsidR="00D2134A">
        <w:rPr>
          <w:rFonts w:eastAsia="Calibri" w:cs="Times New Roman"/>
          <w:noProof/>
          <w:color w:val="000000"/>
        </w:rPr>
        <w:t>)</w:t>
      </w:r>
      <w:r w:rsidR="00D2134A">
        <w:rPr>
          <w:rFonts w:eastAsia="Calibri" w:cs="Times New Roman"/>
          <w:color w:val="000000"/>
        </w:rPr>
        <w:fldChar w:fldCharType="end"/>
      </w:r>
      <w:r w:rsidR="001D44FA" w:rsidRPr="00B764F2">
        <w:rPr>
          <w:rFonts w:eastAsia="Calibri" w:cs="Times New Roman"/>
          <w:i/>
          <w:noProof/>
          <w:color w:val="000000"/>
        </w:rPr>
        <w:t>.</w:t>
      </w:r>
      <w:r w:rsidR="00E66B47" w:rsidRPr="00E66B47">
        <w:rPr>
          <w:rFonts w:eastAsia="Calibri" w:cs="Times New Roman"/>
          <w:i/>
          <w:color w:val="000000"/>
        </w:rPr>
        <w:t xml:space="preserve"> </w:t>
      </w:r>
      <w:r w:rsidR="00E66B47">
        <w:rPr>
          <w:rFonts w:eastAsia="Calibri" w:cs="Times New Roman"/>
          <w:i/>
          <w:color w:val="000000"/>
        </w:rPr>
        <w:t xml:space="preserve">Regarding age at initiation, among four analyses, across three studies </w:t>
      </w:r>
      <w:r w:rsidR="00D2134A">
        <w:rPr>
          <w:rFonts w:eastAsia="Calibri" w:cs="Times New Roman"/>
          <w:i/>
          <w:color w:val="000000"/>
        </w:rPr>
        <w:fldChar w:fldCharType="begin">
          <w:fldData xml:space="preserve">PEVuZE5vdGU+PENpdGU+PEF1dGhvcj5DdXJ0aW48L0F1dGhvcj48WWVhcj4yMDE0PC9ZZWFyPjxS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PEVuZE5vdGU+PENpdGU+PEF1dGhvcj5DdXJ0aW48L0F1dGhvcj48WWVhcj4yMDE0PC9ZZWFyPjxS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51" w:tooltip="Curtin, 2014 #13" w:history="1">
        <w:r w:rsidR="00A234A9">
          <w:rPr>
            <w:rFonts w:eastAsia="Calibri" w:cs="Times New Roman"/>
            <w:i/>
            <w:noProof/>
            <w:color w:val="000000"/>
          </w:rPr>
          <w:t>51</w:t>
        </w:r>
      </w:hyperlink>
      <w:r w:rsidR="00D2134A">
        <w:rPr>
          <w:rFonts w:eastAsia="Calibri" w:cs="Times New Roman"/>
          <w:i/>
          <w:noProof/>
          <w:color w:val="000000"/>
        </w:rPr>
        <w:t xml:space="preserve">, </w:t>
      </w:r>
      <w:hyperlink w:anchor="_ENREF_72" w:tooltip="Nonnemaker, 2012 #31" w:history="1">
        <w:r w:rsidR="00A234A9">
          <w:rPr>
            <w:rFonts w:eastAsia="Calibri" w:cs="Times New Roman"/>
            <w:i/>
            <w:noProof/>
            <w:color w:val="000000"/>
          </w:rPr>
          <w:t>72</w:t>
        </w:r>
      </w:hyperlink>
      <w:r w:rsidR="00D2134A">
        <w:rPr>
          <w:rFonts w:eastAsia="Calibri" w:cs="Times New Roman"/>
          <w:i/>
          <w:noProof/>
          <w:color w:val="000000"/>
        </w:rPr>
        <w:t xml:space="preserve">, </w:t>
      </w:r>
      <w:hyperlink w:anchor="_ENREF_73" w:tooltip="Nonnemaker, 2010 #97" w:history="1">
        <w:r w:rsidR="00A234A9">
          <w:rPr>
            <w:rFonts w:eastAsia="Calibri" w:cs="Times New Roman"/>
            <w:i/>
            <w:noProof/>
            <w:color w:val="000000"/>
          </w:rPr>
          <w:t>73</w:t>
        </w:r>
      </w:hyperlink>
      <w:r w:rsidR="00D2134A">
        <w:rPr>
          <w:rFonts w:eastAsia="Calibri" w:cs="Times New Roman"/>
          <w:i/>
          <w:noProof/>
          <w:color w:val="000000"/>
        </w:rPr>
        <w:t>)</w:t>
      </w:r>
      <w:r w:rsidR="00D2134A">
        <w:rPr>
          <w:rFonts w:eastAsia="Calibri" w:cs="Times New Roman"/>
          <w:i/>
          <w:color w:val="000000"/>
        </w:rPr>
        <w:fldChar w:fldCharType="end"/>
      </w:r>
      <w:r w:rsidR="00E66B47" w:rsidRPr="00B8342F">
        <w:rPr>
          <w:rFonts w:eastAsia="Calibri" w:cs="Times New Roman"/>
          <w:i/>
          <w:color w:val="000000"/>
        </w:rPr>
        <w:t xml:space="preserve">, conflicting results from two national surveys </w:t>
      </w:r>
      <w:r w:rsidR="00D2134A">
        <w:rPr>
          <w:rFonts w:eastAsia="Calibri" w:cs="Times New Roman"/>
          <w:i/>
          <w:color w:val="000000"/>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51" w:tooltip="Curtin, 2014 #13" w:history="1">
        <w:r w:rsidR="00A234A9">
          <w:rPr>
            <w:rFonts w:eastAsia="Calibri" w:cs="Times New Roman"/>
            <w:i/>
            <w:noProof/>
            <w:color w:val="000000"/>
          </w:rPr>
          <w:t>51</w:t>
        </w:r>
      </w:hyperlink>
      <w:r w:rsidR="00D2134A">
        <w:rPr>
          <w:rFonts w:eastAsia="Calibri" w:cs="Times New Roman"/>
          <w:i/>
          <w:noProof/>
          <w:color w:val="000000"/>
        </w:rPr>
        <w:t>)</w:t>
      </w:r>
      <w:r w:rsidR="00D2134A">
        <w:rPr>
          <w:rFonts w:eastAsia="Calibri" w:cs="Times New Roman"/>
          <w:i/>
          <w:color w:val="000000"/>
        </w:rPr>
        <w:fldChar w:fldCharType="end"/>
      </w:r>
      <w:r w:rsidR="00E66B47" w:rsidRPr="00B8342F">
        <w:rPr>
          <w:rFonts w:eastAsia="Calibri" w:cs="Times New Roman"/>
          <w:i/>
          <w:color w:val="000000"/>
        </w:rPr>
        <w:t>—each was</w:t>
      </w:r>
      <w:r w:rsidR="00E66B47">
        <w:rPr>
          <w:rFonts w:eastAsia="Calibri" w:cs="Times New Roman"/>
          <w:i/>
          <w:color w:val="000000"/>
        </w:rPr>
        <w:t xml:space="preserve"> </w:t>
      </w:r>
      <w:r w:rsidR="00E66B47">
        <w:rPr>
          <w:rFonts w:eastAsia="Calibri" w:cs="Times New Roman"/>
          <w:i/>
          <w:color w:val="000000"/>
        </w:rPr>
        <w:lastRenderedPageBreak/>
        <w:t xml:space="preserve">significant—were found. Analyses of two related sets of cohort study data from the </w:t>
      </w:r>
      <w:r w:rsidR="00E66B47" w:rsidRPr="00BD3A5F">
        <w:rPr>
          <w:rFonts w:eastAsia="Calibri" w:cs="Times New Roman"/>
          <w:i/>
          <w:color w:val="000000"/>
        </w:rPr>
        <w:t>American Legacy Longitudinal Tobacco Use Reduction Study</w:t>
      </w:r>
      <w:r w:rsidR="00E66B47">
        <w:rPr>
          <w:rFonts w:eastAsia="Calibri" w:cs="Times New Roman"/>
          <w:i/>
          <w:color w:val="000000"/>
        </w:rPr>
        <w:t xml:space="preserve"> (ALLTURS) found that youth who initiated to menthol cigarettes were </w:t>
      </w:r>
      <w:r w:rsidR="00E66B47" w:rsidRPr="000F618F">
        <w:rPr>
          <w:rFonts w:eastAsia="Calibri" w:cs="Times New Roman"/>
          <w:i/>
          <w:color w:val="000000"/>
        </w:rPr>
        <w:t xml:space="preserve">significantly more likely to increase frequency of smoking over time, compared with youth who initiated to non-menthol cigarettes </w:t>
      </w:r>
      <w:r w:rsidR="00D2134A">
        <w:rPr>
          <w:rFonts w:eastAsia="Calibri" w:cs="Times New Roman"/>
          <w:i/>
          <w:color w:val="000000"/>
        </w:rPr>
        <w:fldChar w:fldCharType="begin">
          <w:fldData xml:space="preserve">PEVuZE5vdGU+PENpdGU+PEF1dGhvcj5Ob25uZW1ha2VyPC9BdXRob3I+PFllYXI+MjAxMDwvWWVh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PEVuZE5vdGU+PENpdGU+PEF1dGhvcj5Ob25uZW1ha2VyPC9BdXRob3I+PFllYXI+MjAxMDwvWWVh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2" w:tooltip="Nonnemaker, 2012 #31" w:history="1">
        <w:r w:rsidR="00A234A9">
          <w:rPr>
            <w:rFonts w:eastAsia="Calibri" w:cs="Times New Roman"/>
            <w:i/>
            <w:noProof/>
            <w:color w:val="000000"/>
          </w:rPr>
          <w:t>72</w:t>
        </w:r>
      </w:hyperlink>
      <w:r w:rsidR="00D2134A">
        <w:rPr>
          <w:rFonts w:eastAsia="Calibri" w:cs="Times New Roman"/>
          <w:i/>
          <w:noProof/>
          <w:color w:val="000000"/>
        </w:rPr>
        <w:t xml:space="preserve">, </w:t>
      </w:r>
      <w:hyperlink w:anchor="_ENREF_73" w:tooltip="Nonnemaker, 2010 #97" w:history="1">
        <w:r w:rsidR="00A234A9">
          <w:rPr>
            <w:rFonts w:eastAsia="Calibri" w:cs="Times New Roman"/>
            <w:i/>
            <w:noProof/>
            <w:color w:val="000000"/>
          </w:rPr>
          <w:t>73</w:t>
        </w:r>
      </w:hyperlink>
      <w:r w:rsidR="00D2134A">
        <w:rPr>
          <w:rFonts w:eastAsia="Calibri" w:cs="Times New Roman"/>
          <w:i/>
          <w:noProof/>
          <w:color w:val="000000"/>
        </w:rPr>
        <w:t>)</w:t>
      </w:r>
      <w:r w:rsidR="00D2134A">
        <w:rPr>
          <w:rFonts w:eastAsia="Calibri" w:cs="Times New Roman"/>
          <w:i/>
          <w:color w:val="000000"/>
        </w:rPr>
        <w:fldChar w:fldCharType="end"/>
      </w:r>
      <w:r w:rsidR="00E66B47" w:rsidRPr="000F618F">
        <w:rPr>
          <w:rFonts w:eastAsia="Calibri" w:cs="Times New Roman"/>
          <w:i/>
          <w:color w:val="000000"/>
        </w:rPr>
        <w:t>.</w:t>
      </w:r>
    </w:p>
    <w:p w14:paraId="35020014" w14:textId="02276DEF" w:rsidR="001D44FA" w:rsidRPr="00B8342F" w:rsidRDefault="001D44FA" w:rsidP="001D44FA">
      <w:pPr>
        <w:spacing w:after="240" w:line="240" w:lineRule="auto"/>
        <w:jc w:val="both"/>
        <w:rPr>
          <w:rFonts w:eastAsia="Times New Roman" w:cs="Times New Roman"/>
        </w:rPr>
      </w:pPr>
      <w:r w:rsidRPr="000F618F">
        <w:rPr>
          <w:rFonts w:eastAsia="Calibri" w:cs="Times New Roman"/>
        </w:rPr>
        <w:t xml:space="preserve">Curtin et al. </w:t>
      </w:r>
      <w:r w:rsidR="00D2134A">
        <w:rPr>
          <w:rFonts w:eastAsia="Calibri" w:cs="Times New Roman"/>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sidR="00D2134A">
        <w:rPr>
          <w:rFonts w:eastAsia="Calibri" w:cs="Times New Roman"/>
        </w:rPr>
        <w:instrText xml:space="preserve"> ADDIN EN.CITE </w:instrText>
      </w:r>
      <w:r w:rsidR="00D2134A">
        <w:rPr>
          <w:rFonts w:eastAsia="Calibri" w:cs="Times New Roman"/>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sidR="00D2134A">
        <w:rPr>
          <w:rFonts w:eastAsia="Calibri" w:cs="Times New Roman"/>
        </w:rPr>
        <w:instrText xml:space="preserve"> ADDIN EN.CITE.DATA </w:instrText>
      </w:r>
      <w:r w:rsidR="00D2134A">
        <w:rPr>
          <w:rFonts w:eastAsia="Calibri" w:cs="Times New Roman"/>
        </w:rPr>
      </w:r>
      <w:r w:rsidR="00D2134A">
        <w:rPr>
          <w:rFonts w:eastAsia="Calibri" w:cs="Times New Roman"/>
        </w:rPr>
        <w:fldChar w:fldCharType="end"/>
      </w:r>
      <w:r w:rsidR="00D2134A">
        <w:rPr>
          <w:rFonts w:eastAsia="Calibri" w:cs="Times New Roman"/>
        </w:rPr>
        <w:fldChar w:fldCharType="separate"/>
      </w:r>
      <w:r w:rsidR="00D2134A">
        <w:rPr>
          <w:rFonts w:eastAsia="Calibri" w:cs="Times New Roman"/>
          <w:noProof/>
        </w:rPr>
        <w:t>(</w:t>
      </w:r>
      <w:hyperlink w:anchor="_ENREF_51" w:tooltip="Curtin, 2014 #13" w:history="1">
        <w:r w:rsidR="00A234A9">
          <w:rPr>
            <w:rFonts w:eastAsia="Calibri" w:cs="Times New Roman"/>
            <w:noProof/>
          </w:rPr>
          <w:t>51</w:t>
        </w:r>
      </w:hyperlink>
      <w:r w:rsidR="00D2134A">
        <w:rPr>
          <w:rFonts w:eastAsia="Calibri" w:cs="Times New Roman"/>
          <w:noProof/>
        </w:rPr>
        <w:t>)</w:t>
      </w:r>
      <w:r w:rsidR="00D2134A">
        <w:rPr>
          <w:rFonts w:eastAsia="Calibri" w:cs="Times New Roman"/>
        </w:rPr>
        <w:fldChar w:fldCharType="end"/>
      </w:r>
      <w:r w:rsidRPr="000F618F">
        <w:rPr>
          <w:rFonts w:eastAsia="Calibri" w:cs="Times New Roman"/>
        </w:rPr>
        <w:t xml:space="preserve"> conducted adjusted logistic regression models to analyze data from national cross-</w:t>
      </w:r>
      <w:r w:rsidRPr="000F618F">
        <w:rPr>
          <w:rFonts w:eastAsia="Times New Roman" w:cs="Times New Roman"/>
        </w:rPr>
        <w:t xml:space="preserve">sectional surveys of youth and adults. Additional models were reported, but they included other measures of initiation, progression, and/or dependence and are therefore at risk of inappropriate adjustment; as a result, we report below only results that adjusted for age, race/ethnicity, and gender. Two data sets provided data for youth (1999 to 2010 NHANES and 2003 and 2006/07 TUS-CPS). </w:t>
      </w:r>
      <w:r w:rsidR="00964973" w:rsidRPr="000F618F">
        <w:rPr>
          <w:rFonts w:eastAsia="Times New Roman" w:cs="Times New Roman"/>
        </w:rPr>
        <w:t>Both analyses found non-menthol smokers were no more likely than menthol smokers to smoke daily</w:t>
      </w:r>
      <w:r w:rsidR="00964973" w:rsidRPr="000F618F" w:rsidDel="00964973">
        <w:rPr>
          <w:rFonts w:eastAsia="Times New Roman" w:cs="Times New Roman"/>
        </w:rPr>
        <w:t xml:space="preserve"> </w:t>
      </w:r>
      <w:r w:rsidRPr="000F618F">
        <w:rPr>
          <w:rFonts w:eastAsia="Times New Roman" w:cs="Times New Roman"/>
        </w:rPr>
        <w:t>(</w:t>
      </w:r>
      <w:r w:rsidR="00964973" w:rsidRPr="000F618F">
        <w:rPr>
          <w:rFonts w:eastAsia="Times New Roman" w:cs="Times New Roman"/>
        </w:rPr>
        <w:t xml:space="preserve">NHANES: </w:t>
      </w:r>
      <w:r w:rsidRPr="000F618F">
        <w:rPr>
          <w:rFonts w:eastAsia="Times New Roman" w:cs="Times New Roman"/>
        </w:rPr>
        <w:t>OR=0.72, 95% CI: 0.49 to 1.05, p=0.09</w:t>
      </w:r>
      <w:r w:rsidR="00F40EF4" w:rsidRPr="000F618F">
        <w:rPr>
          <w:rFonts w:eastAsia="Times New Roman" w:cs="Times New Roman"/>
        </w:rPr>
        <w:t xml:space="preserve">; TUS-CPS: </w:t>
      </w:r>
      <w:r w:rsidRPr="000F618F">
        <w:rPr>
          <w:rFonts w:eastAsia="Times New Roman" w:cs="Times New Roman"/>
        </w:rPr>
        <w:t>OR=0.98, 95% CI: 0.87 to 1.10, p=0.71).</w:t>
      </w:r>
    </w:p>
    <w:p w14:paraId="28C9C420" w14:textId="22BD29FC" w:rsidR="00D04C52" w:rsidRDefault="00E66B47" w:rsidP="00E66B47">
      <w:pPr>
        <w:spacing w:after="120" w:line="240" w:lineRule="auto"/>
        <w:jc w:val="both"/>
        <w:rPr>
          <w:rFonts w:eastAsia="Calibri" w:cs="Times New Roman"/>
          <w:b/>
          <w:i/>
          <w:color w:val="000000"/>
        </w:rPr>
      </w:pPr>
      <w:r>
        <w:rPr>
          <w:rFonts w:eastAsia="Calibri" w:cs="Times New Roman"/>
          <w:iCs/>
          <w:color w:val="000000"/>
        </w:rPr>
        <w:t>In terms of age of initiation</w:t>
      </w:r>
      <w:r w:rsidR="00D04C52">
        <w:rPr>
          <w:rFonts w:eastAsia="Calibri" w:cs="Times New Roman"/>
          <w:color w:val="000000"/>
        </w:rPr>
        <w:t>, among youth, Curtin et al</w:t>
      </w:r>
      <w:r w:rsidR="00EA4065">
        <w:rPr>
          <w:rFonts w:eastAsia="Calibri" w:cs="Times New Roman"/>
          <w:color w:val="000000"/>
        </w:rPr>
        <w:t xml:space="preserve">. </w:t>
      </w:r>
      <w:r w:rsidR="00D2134A">
        <w:rPr>
          <w:rFonts w:eastAsia="Calibri" w:cs="Times New Roman"/>
          <w:color w:val="000000"/>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51" w:tooltip="Curtin, 2014 #13" w:history="1">
        <w:r w:rsidR="00A234A9">
          <w:rPr>
            <w:rFonts w:eastAsia="Calibri" w:cs="Times New Roman"/>
            <w:noProof/>
            <w:color w:val="000000"/>
          </w:rPr>
          <w:t>51</w:t>
        </w:r>
      </w:hyperlink>
      <w:r w:rsidR="00D2134A">
        <w:rPr>
          <w:rFonts w:eastAsia="Calibri" w:cs="Times New Roman"/>
          <w:noProof/>
          <w:color w:val="000000"/>
        </w:rPr>
        <w:t>)</w:t>
      </w:r>
      <w:r w:rsidR="00D2134A">
        <w:rPr>
          <w:rFonts w:eastAsia="Calibri" w:cs="Times New Roman"/>
          <w:color w:val="000000"/>
        </w:rPr>
        <w:fldChar w:fldCharType="end"/>
      </w:r>
      <w:r w:rsidR="00EA4065">
        <w:rPr>
          <w:rFonts w:eastAsia="Calibri" w:cs="Times New Roman"/>
          <w:color w:val="000000"/>
        </w:rPr>
        <w:t xml:space="preserve"> f</w:t>
      </w:r>
      <w:r w:rsidR="00D04C52">
        <w:rPr>
          <w:rFonts w:eastAsia="Calibri" w:cs="Times New Roman"/>
          <w:color w:val="000000"/>
        </w:rPr>
        <w:t xml:space="preserve">ound that results were inconsistent. Specifically, menthol smokers were 8.4 to 9.6 months older than non-menthol smokers in the National Health and </w:t>
      </w:r>
      <w:r w:rsidR="00D04C52" w:rsidRPr="00AD248C">
        <w:rPr>
          <w:rFonts w:eastAsia="Calibri" w:cs="Times New Roman"/>
          <w:color w:val="000000"/>
        </w:rPr>
        <w:t>Nutrition Examination Survey (NHANES), and menthol</w:t>
      </w:r>
      <w:r w:rsidR="00D04C52">
        <w:rPr>
          <w:rFonts w:eastAsia="Calibri" w:cs="Times New Roman"/>
          <w:color w:val="000000"/>
        </w:rPr>
        <w:t xml:space="preserve"> </w:t>
      </w:r>
      <w:r w:rsidR="00D04C52" w:rsidRPr="00AD248C">
        <w:t>smokers were 2.4 months younger at initiation than non-menthol smokers in the Tobacco Use Supplement to the Current Population Survey (TUS-CPS).</w:t>
      </w:r>
    </w:p>
    <w:p w14:paraId="5F75D6B1" w14:textId="5102D155" w:rsidR="00A20AE4" w:rsidRDefault="00D04C52" w:rsidP="00B46744">
      <w:pPr>
        <w:spacing w:after="120" w:line="240" w:lineRule="auto"/>
        <w:jc w:val="both"/>
        <w:rPr>
          <w:rFonts w:eastAsia="Calibri" w:cs="Times New Roman"/>
          <w:color w:val="000000"/>
        </w:rPr>
      </w:pPr>
      <w:r w:rsidRPr="00A0218A">
        <w:rPr>
          <w:rFonts w:eastAsia="Calibri" w:cs="Times New Roman"/>
          <w:color w:val="000000"/>
        </w:rPr>
        <w:t>Nonn</w:t>
      </w:r>
      <w:r>
        <w:rPr>
          <w:rFonts w:eastAsia="Calibri" w:cs="Times New Roman"/>
          <w:color w:val="000000"/>
        </w:rPr>
        <w:t>emaker et al</w:t>
      </w:r>
      <w:r w:rsidR="00D14E68">
        <w:rPr>
          <w:rFonts w:eastAsia="Calibri" w:cs="Times New Roman"/>
          <w:color w:val="000000"/>
        </w:rPr>
        <w:t xml:space="preserve">.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&lt;EndNote&gt;&lt;Cite&gt;&lt;Author&gt;Nonnemaker&lt;/Author&gt;&lt;Year&gt;2012&lt;/Year&gt;&lt;RecNum&gt;31&lt;/RecNum&gt;&lt;DisplayText&gt;(72)&lt;/DisplayText&gt;&lt;record&gt;&lt;rec-number&gt;31&lt;/rec-number&gt;&lt;foreign-keys&gt;&lt;key app="EN" db-id="a2vz2dfp8xrad6exes75zwpiw5rxwa0vwapv" timestamp="0"&gt;31&lt;/key&gt;&lt;/foreign-keys&gt;&lt;ref-type name="Journal Article"&gt;17&lt;/ref-type&gt;&lt;contributors&gt;&lt;authors&gt;&lt;author&gt;Nonnemaker, J.&lt;/author&gt;&lt;author&gt;Hersey, J.&lt;/author&gt;&lt;author&gt;Homsi, G.&lt;/author&gt;&lt;author&gt;Busey, A.&lt;/author&gt;&lt;author&gt;Allen, J.&lt;/author&gt;&lt;author&gt;Vallone, D.&lt;/author&gt;&lt;/authors&gt;&lt;/contributors&gt;&lt;auth-address&gt;RTI International, Research Triangle Park, NC 27709-2194, USA. jnonnemaker@rti.org&lt;/auth-address&gt;&lt;titles&gt;&lt;title&gt;Initiation with menthol cigarettes and youth smoking uptake&lt;/title&gt;&lt;secondary-title&gt;Addiction&lt;/secondary-title&gt;&lt;/titles&gt;&lt;periodical&gt;&lt;full-title&gt;Addiction&lt;/full-title&gt;&lt;/periodical&gt;&lt;pages&gt;171-8&lt;/pages&gt;&lt;volume&gt;108&lt;/volume&gt;&lt;number&gt;1&lt;/number&gt;&lt;keywords&gt;&lt;keyword&gt;Adolescent&lt;/keyword&gt;&lt;keyword&gt;Age Distribution&lt;/keyword&gt;&lt;keyword&gt;Child&lt;/keyword&gt;&lt;keyword&gt;Female&lt;/keyword&gt;&lt;keyword&gt;Flavoring Agents/*adverse effects&lt;/keyword&gt;&lt;keyword&gt;Humans&lt;/keyword&gt;&lt;keyword&gt;Longitudinal Studies&lt;/keyword&gt;&lt;keyword&gt;Male&lt;/keyword&gt;&lt;keyword&gt;Menthol/*adverse effects&lt;/keyword&gt;&lt;keyword&gt;Risk Factors&lt;/keyword&gt;&lt;keyword&gt;Sex Distribution&lt;/keyword&gt;&lt;keyword&gt;Smoking/*adverse effects&lt;/keyword&gt;&lt;keyword&gt;Smoking Cessation/psychology/statistics &amp;amp; numerical data&lt;/keyword&gt;&lt;keyword&gt;Tobacco Products/*adverse effects&lt;/keyword&gt;&lt;keyword&gt;Tobacco Use Disorder/*etiology&lt;/keyword&gt;&lt;keyword&gt;United States&lt;/keyword&gt;&lt;/keywords&gt;&lt;dates&gt;&lt;year&gt;2012&lt;/year&gt;&lt;pub-dates&gt;&lt;date&gt;Jan&lt;/date&gt;&lt;/pub-dates&gt;&lt;/dates&gt;&lt;isbn&gt;1360-0443 (Electronic)&amp;#xD;0965-2140 (Linking)&lt;/isbn&gt;&lt;accession-num&gt;22862154&lt;/accession-num&gt;&lt;urls&gt;&lt;related-urls&gt;&lt;url&gt;http://www.ncbi.nlm.nih.gov/pubmed/22862154&lt;/url&gt;&lt;/related-urls&gt;&lt;/urls&gt;&lt;electronic-resource-num&gt;10.1111/j.1360-0443.2012.04045.x&lt;/electronic-resource-num&gt;&lt;research-notes&gt;#160&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2" w:tooltip="Nonnemaker, 2012 #31" w:history="1">
        <w:r w:rsidR="00A234A9">
          <w:rPr>
            <w:rFonts w:eastAsia="Calibri" w:cs="Times New Roman"/>
            <w:noProof/>
            <w:color w:val="000000"/>
          </w:rPr>
          <w:t>72</w:t>
        </w:r>
      </w:hyperlink>
      <w:r w:rsidR="00D2134A">
        <w:rPr>
          <w:rFonts w:eastAsia="Calibri" w:cs="Times New Roman"/>
          <w:noProof/>
          <w:color w:val="000000"/>
        </w:rPr>
        <w:t>)</w:t>
      </w:r>
      <w:r w:rsidR="00D2134A">
        <w:rPr>
          <w:rFonts w:eastAsia="Calibri" w:cs="Times New Roman"/>
          <w:color w:val="000000"/>
        </w:rPr>
        <w:fldChar w:fldCharType="end"/>
      </w:r>
      <w:r w:rsidR="00D14E68">
        <w:rPr>
          <w:rFonts w:eastAsia="Calibri" w:cs="Times New Roman"/>
          <w:color w:val="000000"/>
        </w:rPr>
        <w:t xml:space="preserve"> </w:t>
      </w:r>
      <w:r w:rsidR="00EA4065">
        <w:rPr>
          <w:rFonts w:eastAsia="Calibri" w:cs="Times New Roman"/>
          <w:color w:val="000000"/>
        </w:rPr>
        <w:t>a</w:t>
      </w:r>
      <w:r w:rsidRPr="00A0218A">
        <w:rPr>
          <w:rFonts w:eastAsia="Calibri" w:cs="Times New Roman"/>
          <w:color w:val="000000"/>
        </w:rPr>
        <w:t xml:space="preserve">nalyzed data from a subset of youth who participated in the ALLTURS—a three-year school-based survey of middle school and high school students age </w:t>
      </w:r>
      <w:r w:rsidR="00D14E68">
        <w:rPr>
          <w:rFonts w:eastAsia="Calibri" w:cs="Times New Roman"/>
          <w:color w:val="000000"/>
        </w:rPr>
        <w:t>12</w:t>
      </w:r>
      <w:r w:rsidRPr="00A0218A">
        <w:rPr>
          <w:rFonts w:eastAsia="Calibri" w:cs="Times New Roman"/>
          <w:color w:val="000000"/>
        </w:rPr>
        <w:t xml:space="preserve"> to </w:t>
      </w:r>
      <w:r w:rsidR="00D14E68">
        <w:rPr>
          <w:rFonts w:eastAsia="Calibri" w:cs="Times New Roman"/>
          <w:color w:val="000000"/>
        </w:rPr>
        <w:t>17</w:t>
      </w:r>
      <w:r w:rsidRPr="00A0218A">
        <w:rPr>
          <w:rFonts w:eastAsia="Calibri" w:cs="Times New Roman"/>
          <w:color w:val="000000"/>
        </w:rPr>
        <w:t xml:space="preserve"> at baseline. The authors analyzed the set of smokers that included only youth w</w:t>
      </w:r>
      <w:r w:rsidR="00D14E68">
        <w:rPr>
          <w:rFonts w:eastAsia="Calibri" w:cs="Times New Roman"/>
          <w:color w:val="000000"/>
        </w:rPr>
        <w:t>ho started smoking before third and final</w:t>
      </w:r>
      <w:r w:rsidR="00561EFD">
        <w:rPr>
          <w:rFonts w:eastAsia="Calibri" w:cs="Times New Roman"/>
          <w:color w:val="000000"/>
        </w:rPr>
        <w:t xml:space="preserve"> wave</w:t>
      </w:r>
      <w:r w:rsidRPr="00A0218A">
        <w:rPr>
          <w:rFonts w:eastAsia="Calibri" w:cs="Times New Roman"/>
          <w:color w:val="000000"/>
        </w:rPr>
        <w:t xml:space="preserve">. </w:t>
      </w:r>
      <w:r>
        <w:rPr>
          <w:rFonts w:eastAsia="Calibri" w:cs="Times New Roman"/>
          <w:color w:val="000000"/>
        </w:rPr>
        <w:t xml:space="preserve">According to adjusted </w:t>
      </w:r>
      <w:r w:rsidR="00D14E68">
        <w:rPr>
          <w:rFonts w:eastAsia="Calibri" w:cs="Times New Roman"/>
          <w:color w:val="000000"/>
        </w:rPr>
        <w:t xml:space="preserve">regression model </w:t>
      </w:r>
      <w:r>
        <w:rPr>
          <w:rFonts w:eastAsia="Calibri" w:cs="Times New Roman"/>
          <w:color w:val="000000"/>
        </w:rPr>
        <w:t>results</w:t>
      </w:r>
      <w:r w:rsidRPr="00A0218A">
        <w:rPr>
          <w:rFonts w:eastAsia="Calibri" w:cs="Times New Roman"/>
          <w:color w:val="000000"/>
        </w:rPr>
        <w:t xml:space="preserve">, authors found that initiating </w:t>
      </w:r>
      <w:r w:rsidR="00D14E68">
        <w:rPr>
          <w:rFonts w:eastAsia="Calibri" w:cs="Times New Roman"/>
          <w:color w:val="000000"/>
        </w:rPr>
        <w:t>with</w:t>
      </w:r>
      <w:r w:rsidR="00D14E68" w:rsidRPr="00A0218A">
        <w:rPr>
          <w:rFonts w:eastAsia="Calibri" w:cs="Times New Roman"/>
          <w:color w:val="000000"/>
        </w:rPr>
        <w:t xml:space="preserve"> </w:t>
      </w:r>
      <w:r w:rsidRPr="00A0218A">
        <w:rPr>
          <w:rFonts w:eastAsia="Calibri" w:cs="Times New Roman"/>
          <w:color w:val="000000"/>
        </w:rPr>
        <w:t xml:space="preserve">menthol cigarettes was associated with significantly higher risk of escalation from non-established (smoking on fewer than 20 of the past 30 days) to established (smoking on at least 20 of the past 30 days) smoking at </w:t>
      </w:r>
      <w:r w:rsidR="00D14E68">
        <w:rPr>
          <w:rFonts w:eastAsia="Calibri" w:cs="Times New Roman"/>
          <w:color w:val="000000"/>
        </w:rPr>
        <w:t>wave</w:t>
      </w:r>
      <w:r w:rsidR="00D14E68" w:rsidRPr="00A0218A">
        <w:rPr>
          <w:rFonts w:eastAsia="Calibri" w:cs="Times New Roman"/>
          <w:color w:val="000000"/>
        </w:rPr>
        <w:t xml:space="preserve"> </w:t>
      </w:r>
      <w:r w:rsidRPr="00A0218A">
        <w:rPr>
          <w:rFonts w:eastAsia="Calibri" w:cs="Times New Roman"/>
          <w:color w:val="000000"/>
        </w:rPr>
        <w:t xml:space="preserve">three. Specifically, non-established smokers who initiated </w:t>
      </w:r>
      <w:r w:rsidR="00D14E68">
        <w:rPr>
          <w:rFonts w:eastAsia="Calibri" w:cs="Times New Roman"/>
          <w:color w:val="000000"/>
        </w:rPr>
        <w:t>with</w:t>
      </w:r>
      <w:r w:rsidR="00D14E68" w:rsidRPr="00A0218A">
        <w:rPr>
          <w:rFonts w:eastAsia="Calibri" w:cs="Times New Roman"/>
          <w:color w:val="000000"/>
        </w:rPr>
        <w:t xml:space="preserve"> </w:t>
      </w:r>
      <w:r w:rsidRPr="00A0218A">
        <w:rPr>
          <w:rFonts w:eastAsia="Calibri" w:cs="Times New Roman"/>
          <w:color w:val="000000"/>
        </w:rPr>
        <w:t xml:space="preserve">menthol cigarettes were at 80 percent higher risk of becoming established smokers, compared with those who initiated </w:t>
      </w:r>
      <w:r w:rsidR="00D14E68">
        <w:rPr>
          <w:rFonts w:eastAsia="Calibri" w:cs="Times New Roman"/>
          <w:color w:val="000000"/>
        </w:rPr>
        <w:t>with</w:t>
      </w:r>
      <w:r w:rsidR="00D14E68" w:rsidRPr="00A0218A">
        <w:rPr>
          <w:rFonts w:eastAsia="Calibri" w:cs="Times New Roman"/>
          <w:color w:val="000000"/>
        </w:rPr>
        <w:t xml:space="preserve"> </w:t>
      </w:r>
      <w:r w:rsidRPr="00A0218A">
        <w:rPr>
          <w:rFonts w:eastAsia="Calibri" w:cs="Times New Roman"/>
          <w:color w:val="000000"/>
        </w:rPr>
        <w:t>non-menthol cigarettes (relative risk ratio=1.</w:t>
      </w:r>
      <w:r w:rsidRPr="00AD248C">
        <w:rPr>
          <w:rFonts w:eastAsia="Calibri" w:cs="Times New Roman"/>
          <w:color w:val="000000"/>
        </w:rPr>
        <w:t>80, 95% CI:</w:t>
      </w:r>
      <w:r w:rsidRPr="00A0218A">
        <w:rPr>
          <w:rFonts w:eastAsia="Calibri" w:cs="Times New Roman"/>
          <w:color w:val="000000"/>
        </w:rPr>
        <w:t xml:space="preserve"> 1.02 to 3.16)</w:t>
      </w:r>
      <w:r w:rsidR="00A20AE4">
        <w:rPr>
          <w:rFonts w:eastAsia="Calibri" w:cs="Times New Roman"/>
          <w:color w:val="000000"/>
        </w:rPr>
        <w:t>.</w:t>
      </w:r>
    </w:p>
    <w:p w14:paraId="46BA20B0" w14:textId="13CE2EC3" w:rsidR="00A20AE4" w:rsidRDefault="00D04C52" w:rsidP="00B46744">
      <w:pPr>
        <w:spacing w:after="120" w:line="240" w:lineRule="auto"/>
        <w:jc w:val="both"/>
        <w:rPr>
          <w:rFonts w:eastAsia="Calibri" w:cs="Times New Roman"/>
          <w:color w:val="000000"/>
        </w:rPr>
      </w:pPr>
      <w:r>
        <w:rPr>
          <w:rFonts w:eastAsia="Calibri" w:cs="Times New Roman"/>
          <w:color w:val="000000"/>
        </w:rPr>
        <w:t xml:space="preserve">Nonnemaker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&lt;EndNote&gt;&lt;Cite&gt;&lt;Author&gt;Nonnemaker&lt;/Author&gt;&lt;Year&gt;2010&lt;/Year&gt;&lt;RecNum&gt;97&lt;/RecNum&gt;&lt;DisplayText&gt;(73)&lt;/DisplayText&gt;&lt;record&gt;&lt;rec-number&gt;97&lt;/rec-number&gt;&lt;foreign-keys&gt;&lt;key app="EN" db-id="a2vz2dfp8xrad6exes75zwpiw5rxwa0vwapv" timestamp="0"&gt;97&lt;/key&gt;&lt;/foreign-keys&gt;&lt;ref-type name="Report"&gt;27&lt;/ref-type&gt;&lt;contributors&gt;&lt;authors&gt;&lt;author&gt;Nonnemaker, J.&lt;/author&gt;&lt;author&gt;Hersey, J.&lt;/author&gt;&lt;author&gt;Homsi, G.&lt;/author&gt;&lt;author&gt;Busey, A.&lt;/author&gt;&lt;/authors&gt;&lt;/contributors&gt;&lt;titles&gt;&lt;title&gt;Menthol cigarettes and youth smoking updake&lt;/title&gt;&lt;/titles&gt;&lt;dates&gt;&lt;year&gt;2010&lt;/year&gt;&lt;/dates&gt;&lt;pub-location&gt;RTI International&lt;/pub-location&gt;&lt;urls&gt;&lt;/urls&gt;&lt;research-notes&gt;#812&lt;/research-notes&gt;&lt;/record&gt;&lt;/Cite&gt;&lt;/EndNote&gt;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3" w:tooltip="Nonnemaker, 2010 #97" w:history="1">
        <w:r w:rsidR="00A234A9">
          <w:rPr>
            <w:rFonts w:eastAsia="Calibri" w:cs="Times New Roman"/>
            <w:noProof/>
            <w:color w:val="000000"/>
          </w:rPr>
          <w:t>73</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assessed the association between initiation to menthol cigarettes and progression to regular smoking using three “indicators” of progression between the smoking level at initiation and the smoking level at year three: (1) transition from smoking fewer than 100 cigarettes to smoking more than 100 cigarettes (transition from ever smoking to lifetime smoking status); (2) transition from smoking on fewer than 20 days per month to smoking 20 or more days per month (transition from non-established to established smoking); and (3) transition from non</w:t>
      </w:r>
      <w:r w:rsidR="00621FF9">
        <w:rPr>
          <w:rFonts w:eastAsia="Calibri" w:cs="Times New Roman"/>
          <w:color w:val="000000"/>
        </w:rPr>
        <w:t>-</w:t>
      </w:r>
      <w:r w:rsidRPr="00A0218A">
        <w:rPr>
          <w:rFonts w:eastAsia="Calibri" w:cs="Times New Roman"/>
          <w:color w:val="000000"/>
        </w:rPr>
        <w:t>daily smoking to daily smoking</w:t>
      </w:r>
      <w:r w:rsidR="00A20AE4">
        <w:rPr>
          <w:rFonts w:eastAsia="Calibri" w:cs="Times New Roman"/>
          <w:color w:val="000000"/>
        </w:rPr>
        <w:t>.</w:t>
      </w:r>
    </w:p>
    <w:p w14:paraId="6D84D85A" w14:textId="02D2A6E0" w:rsidR="00A20AE4" w:rsidRDefault="00430F47" w:rsidP="00B46744">
      <w:pPr>
        <w:spacing w:after="120" w:line="240" w:lineRule="auto"/>
        <w:jc w:val="both"/>
        <w:rPr>
          <w:rFonts w:eastAsia="Calibri" w:cs="Times New Roman"/>
          <w:color w:val="000000"/>
        </w:rPr>
      </w:pPr>
      <w:r w:rsidRPr="00A0218A">
        <w:rPr>
          <w:rFonts w:eastAsia="Calibri" w:cs="Times New Roman"/>
          <w:color w:val="000000"/>
        </w:rPr>
        <w:t>Nonnemaker et al.</w:t>
      </w:r>
      <w:r>
        <w:rPr>
          <w:rFonts w:eastAsia="Calibri" w:cs="Times New Roman"/>
          <w:color w:val="000000"/>
        </w:rPr>
        <w:t xml:space="preserve">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&lt;EndNote&gt;&lt;Cite&gt;&lt;Author&gt;Nonnemaker&lt;/Author&gt;&lt;Year&gt;2012&lt;/Year&gt;&lt;RecNum&gt;31&lt;/RecNum&gt;&lt;DisplayText&gt;(72)&lt;/DisplayText&gt;&lt;record&gt;&lt;rec-number&gt;31&lt;/rec-number&gt;&lt;foreign-keys&gt;&lt;key app="EN" db-id="a2vz2dfp8xrad6exes75zwpiw5rxwa0vwapv" timestamp="0"&gt;31&lt;/key&gt;&lt;/foreign-keys&gt;&lt;ref-type name="Journal Article"&gt;17&lt;/ref-type&gt;&lt;contributors&gt;&lt;authors&gt;&lt;author&gt;Nonnemaker, J.&lt;/author&gt;&lt;author&gt;Hersey, J.&lt;/author&gt;&lt;author&gt;Homsi, G.&lt;/author&gt;&lt;author&gt;Busey, A.&lt;/author&gt;&lt;author&gt;Allen, J.&lt;/author&gt;&lt;author&gt;Vallone, D.&lt;/author&gt;&lt;/authors&gt;&lt;/contributors&gt;&lt;auth-address&gt;RTI International, Research Triangle Park, NC 27709-2194, USA. jnonnemaker@rti.org&lt;/auth-address&gt;&lt;titles&gt;&lt;title&gt;Initiation with menthol cigarettes and youth smoking uptake&lt;/title&gt;&lt;secondary-title&gt;Addiction&lt;/secondary-title&gt;&lt;/titles&gt;&lt;periodical&gt;&lt;full-title&gt;Addiction&lt;/full-title&gt;&lt;/periodical&gt;&lt;pages&gt;171-8&lt;/pages&gt;&lt;volume&gt;108&lt;/volume&gt;&lt;number&gt;1&lt;/number&gt;&lt;keywords&gt;&lt;keyword&gt;Adolescent&lt;/keyword&gt;&lt;keyword&gt;Age Distribution&lt;/keyword&gt;&lt;keyword&gt;Child&lt;/keyword&gt;&lt;keyword&gt;Female&lt;/keyword&gt;&lt;keyword&gt;Flavoring Agents/*adverse effects&lt;/keyword&gt;&lt;keyword&gt;Humans&lt;/keyword&gt;&lt;keyword&gt;Longitudinal Studies&lt;/keyword&gt;&lt;keyword&gt;Male&lt;/keyword&gt;&lt;keyword&gt;Menthol/*adverse effects&lt;/keyword&gt;&lt;keyword&gt;Risk Factors&lt;/keyword&gt;&lt;keyword&gt;Sex Distribution&lt;/keyword&gt;&lt;keyword&gt;Smoking/*adverse effects&lt;/keyword&gt;&lt;keyword&gt;Smoking Cessation/psychology/statistics &amp;amp; numerical data&lt;/keyword&gt;&lt;keyword&gt;Tobacco Products/*adverse effects&lt;/keyword&gt;&lt;keyword&gt;Tobacco Use Disorder/*etiology&lt;/keyword&gt;&lt;keyword&gt;United States&lt;/keyword&gt;&lt;/keywords&gt;&lt;dates&gt;&lt;year&gt;2012&lt;/year&gt;&lt;pub-dates&gt;&lt;date&gt;Jan&lt;/date&gt;&lt;/pub-dates&gt;&lt;/dates&gt;&lt;isbn&gt;1360-0443 (Electronic)&amp;#xD;0965-2140 (Linking)&lt;/isbn&gt;&lt;accession-num&gt;22862154&lt;/accession-num&gt;&lt;urls&gt;&lt;related-urls&gt;&lt;url&gt;http://www.ncbi.nlm.nih.gov/pubmed/22862154&lt;/url&gt;&lt;/related-urls&gt;&lt;/urls&gt;&lt;electronic-resource-num&gt;10.1111/j.1360-0443.2012.04045.x&lt;/electronic-resource-num&gt;&lt;research-notes&gt;#160&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2" w:tooltip="Nonnemaker, 2012 #31" w:history="1">
        <w:r w:rsidR="00A234A9">
          <w:rPr>
            <w:rFonts w:eastAsia="Calibri" w:cs="Times New Roman"/>
            <w:noProof/>
            <w:color w:val="000000"/>
          </w:rPr>
          <w:t>72</w:t>
        </w:r>
      </w:hyperlink>
      <w:r w:rsidR="00D2134A">
        <w:rPr>
          <w:rFonts w:eastAsia="Calibri" w:cs="Times New Roman"/>
          <w:noProof/>
          <w:color w:val="000000"/>
        </w:rPr>
        <w:t>)</w:t>
      </w:r>
      <w:r w:rsidR="00D2134A">
        <w:rPr>
          <w:rFonts w:eastAsia="Calibri" w:cs="Times New Roman"/>
          <w:color w:val="000000"/>
        </w:rPr>
        <w:fldChar w:fldCharType="end"/>
      </w:r>
      <w:r>
        <w:rPr>
          <w:rFonts w:eastAsia="Calibri" w:cs="Times New Roman"/>
          <w:color w:val="000000"/>
        </w:rPr>
        <w:t xml:space="preserve"> also </w:t>
      </w:r>
      <w:r w:rsidRPr="00A0218A">
        <w:rPr>
          <w:rFonts w:eastAsia="Calibri" w:cs="Times New Roman"/>
          <w:color w:val="000000"/>
        </w:rPr>
        <w:t>analyzed whether switching cigarette type was associated with progression.</w:t>
      </w:r>
      <w:r>
        <w:rPr>
          <w:rFonts w:eastAsia="Calibri" w:cs="Times New Roman"/>
          <w:color w:val="000000"/>
        </w:rPr>
        <w:t xml:space="preserve"> </w:t>
      </w:r>
      <w:r w:rsidRPr="00A0218A">
        <w:rPr>
          <w:rFonts w:eastAsia="Calibri" w:cs="Times New Roman"/>
          <w:color w:val="000000"/>
        </w:rPr>
        <w:t xml:space="preserve">Among youth who </w:t>
      </w:r>
      <w:r w:rsidRPr="00A0218A">
        <w:rPr>
          <w:rFonts w:eastAsia="Calibri" w:cs="Times New Roman"/>
          <w:i/>
          <w:color w:val="000000"/>
        </w:rPr>
        <w:t>did not</w:t>
      </w:r>
      <w:r w:rsidRPr="00A0218A">
        <w:rPr>
          <w:rFonts w:eastAsia="Calibri" w:cs="Times New Roman"/>
          <w:color w:val="000000"/>
        </w:rPr>
        <w:t xml:space="preserve"> switch cigarette type after initiation, menthol smokers were between 1.5 and 2.3 times </w:t>
      </w:r>
      <w:r>
        <w:rPr>
          <w:rFonts w:eastAsia="Calibri" w:cs="Times New Roman"/>
          <w:color w:val="000000"/>
        </w:rPr>
        <w:t>more</w:t>
      </w:r>
      <w:r w:rsidRPr="00A0218A">
        <w:rPr>
          <w:rFonts w:eastAsia="Calibri" w:cs="Times New Roman"/>
          <w:color w:val="000000"/>
        </w:rPr>
        <w:t xml:space="preserve"> likely to increase smoking frequency compared with non-menthol smokers, but the differences were only significant when wave three initiators were included in the sample</w:t>
      </w:r>
      <w:r>
        <w:rPr>
          <w:rFonts w:eastAsia="Calibri" w:cs="Times New Roman"/>
          <w:color w:val="000000"/>
        </w:rPr>
        <w:t xml:space="preserve"> (OR= 2.27, 95% CI: 1.57 to 3.2</w:t>
      </w:r>
      <w:r w:rsidRPr="00A0218A">
        <w:rPr>
          <w:rFonts w:eastAsia="Calibri" w:cs="Times New Roman"/>
          <w:color w:val="000000"/>
        </w:rPr>
        <w:t xml:space="preserve">8). Youth who switched from menthol cigarettes to non-menthol cigarettes were between </w:t>
      </w:r>
      <w:r>
        <w:rPr>
          <w:rFonts w:eastAsia="Calibri" w:cs="Times New Roman"/>
          <w:color w:val="000000"/>
        </w:rPr>
        <w:t>2.7</w:t>
      </w:r>
      <w:r w:rsidRPr="00A0218A">
        <w:rPr>
          <w:rFonts w:eastAsia="Calibri" w:cs="Times New Roman"/>
          <w:color w:val="000000"/>
        </w:rPr>
        <w:t xml:space="preserve"> and </w:t>
      </w:r>
      <w:r>
        <w:rPr>
          <w:rFonts w:eastAsia="Calibri" w:cs="Times New Roman"/>
          <w:color w:val="000000"/>
        </w:rPr>
        <w:t xml:space="preserve">7.4 </w:t>
      </w:r>
      <w:r w:rsidRPr="00A0218A">
        <w:rPr>
          <w:rFonts w:eastAsia="Calibri" w:cs="Times New Roman"/>
          <w:color w:val="000000"/>
        </w:rPr>
        <w:t xml:space="preserve">times </w:t>
      </w:r>
      <w:r>
        <w:rPr>
          <w:rFonts w:eastAsia="Calibri" w:cs="Times New Roman"/>
          <w:color w:val="000000"/>
        </w:rPr>
        <w:t>more</w:t>
      </w:r>
      <w:r w:rsidRPr="00A0218A">
        <w:rPr>
          <w:rFonts w:eastAsia="Calibri" w:cs="Times New Roman"/>
          <w:color w:val="000000"/>
        </w:rPr>
        <w:t xml:space="preserve"> likely to </w:t>
      </w:r>
      <w:r>
        <w:rPr>
          <w:rFonts w:eastAsia="Calibri" w:cs="Times New Roman"/>
          <w:color w:val="000000"/>
        </w:rPr>
        <w:t>increase</w:t>
      </w:r>
      <w:r w:rsidRPr="00A0218A">
        <w:rPr>
          <w:rFonts w:eastAsia="Calibri" w:cs="Times New Roman"/>
          <w:color w:val="000000"/>
        </w:rPr>
        <w:t xml:space="preserve"> smoking frequency, compared with youth who started smoking non-menthol cigarettes and did not switch. The difference </w:t>
      </w:r>
      <w:r>
        <w:rPr>
          <w:rFonts w:eastAsia="Calibri" w:cs="Times New Roman"/>
          <w:color w:val="000000"/>
        </w:rPr>
        <w:t xml:space="preserve">among the switchers </w:t>
      </w:r>
      <w:r w:rsidRPr="00A0218A">
        <w:rPr>
          <w:rFonts w:eastAsia="Calibri" w:cs="Times New Roman"/>
          <w:color w:val="000000"/>
        </w:rPr>
        <w:t xml:space="preserve">was significant, regardless of the type of progression and the inclusion or exclusion of wave three initiators. In summary, initiation to menthol cigarettes was associated with </w:t>
      </w:r>
      <w:r>
        <w:rPr>
          <w:rFonts w:eastAsia="Calibri" w:cs="Times New Roman"/>
          <w:color w:val="000000"/>
        </w:rPr>
        <w:t>higher</w:t>
      </w:r>
      <w:r w:rsidRPr="00A0218A">
        <w:rPr>
          <w:rFonts w:eastAsia="Calibri" w:cs="Times New Roman"/>
          <w:color w:val="000000"/>
        </w:rPr>
        <w:t xml:space="preserve"> risk of progression than initiation to non-menthol cigarettes, regardless of whether switching occurred. Youth who switched from non-menthol cigarettes to menthol cigarettes were more </w:t>
      </w:r>
      <w:r>
        <w:rPr>
          <w:rFonts w:eastAsia="Calibri" w:cs="Times New Roman"/>
          <w:color w:val="000000"/>
        </w:rPr>
        <w:t xml:space="preserve">and significantly </w:t>
      </w:r>
      <w:r w:rsidRPr="00A0218A">
        <w:rPr>
          <w:rFonts w:eastAsia="Calibri" w:cs="Times New Roman"/>
          <w:color w:val="000000"/>
        </w:rPr>
        <w:t xml:space="preserve">likely to increase smoking frequency compared </w:t>
      </w:r>
      <w:r>
        <w:rPr>
          <w:rFonts w:eastAsia="Calibri" w:cs="Times New Roman"/>
          <w:color w:val="000000"/>
        </w:rPr>
        <w:t>to</w:t>
      </w:r>
      <w:r w:rsidRPr="00A0218A">
        <w:rPr>
          <w:rFonts w:eastAsia="Calibri" w:cs="Times New Roman"/>
          <w:color w:val="000000"/>
        </w:rPr>
        <w:t xml:space="preserve"> youth who started as non-menthol smokers and did not switch)</w:t>
      </w:r>
      <w:r w:rsidR="00A20AE4">
        <w:rPr>
          <w:rFonts w:eastAsia="Calibri" w:cs="Times New Roman"/>
          <w:color w:val="000000"/>
        </w:rPr>
        <w:t>.</w:t>
      </w:r>
    </w:p>
    <w:p w14:paraId="1C6CDB6D" w14:textId="69475A52" w:rsidR="00A20AE4" w:rsidRDefault="00D14E68" w:rsidP="005C6607">
      <w:pPr>
        <w:spacing w:after="240" w:line="240" w:lineRule="auto"/>
        <w:jc w:val="both"/>
        <w:rPr>
          <w:rFonts w:eastAsia="Calibri" w:cs="Times New Roman"/>
          <w:color w:val="000000"/>
        </w:rPr>
      </w:pPr>
      <w:r>
        <w:rPr>
          <w:rFonts w:eastAsia="Calibri" w:cs="Times New Roman"/>
          <w:color w:val="000000"/>
        </w:rPr>
        <w:lastRenderedPageBreak/>
        <w:t xml:space="preserve">In earlier analyses of </w:t>
      </w:r>
      <w:r w:rsidR="00430F47">
        <w:rPr>
          <w:rFonts w:eastAsia="Calibri" w:cs="Times New Roman"/>
          <w:color w:val="000000"/>
        </w:rPr>
        <w:t>the ALLTURS</w:t>
      </w:r>
      <w:r>
        <w:rPr>
          <w:rFonts w:eastAsia="Calibri" w:cs="Times New Roman"/>
          <w:color w:val="000000"/>
        </w:rPr>
        <w:t xml:space="preserve">, Nonnemaker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&lt;EndNote&gt;&lt;Cite&gt;&lt;Author&gt;Nonnemaker&lt;/Author&gt;&lt;Year&gt;2010&lt;/Year&gt;&lt;RecNum&gt;97&lt;/RecNum&gt;&lt;DisplayText&gt;(73)&lt;/DisplayText&gt;&lt;record&gt;&lt;rec-number&gt;97&lt;/rec-number&gt;&lt;foreign-keys&gt;&lt;key app="EN" db-id="a2vz2dfp8xrad6exes75zwpiw5rxwa0vwapv" timestamp="0"&gt;97&lt;/key&gt;&lt;/foreign-keys&gt;&lt;ref-type name="Report"&gt;27&lt;/ref-type&gt;&lt;contributors&gt;&lt;authors&gt;&lt;author&gt;Nonnemaker, J.&lt;/author&gt;&lt;author&gt;Hersey, J.&lt;/author&gt;&lt;author&gt;Homsi, G.&lt;/author&gt;&lt;author&gt;Busey, A.&lt;/author&gt;&lt;/authors&gt;&lt;/contributors&gt;&lt;titles&gt;&lt;title&gt;Menthol cigarettes and youth smoking updake&lt;/title&gt;&lt;/titles&gt;&lt;dates&gt;&lt;year&gt;2010&lt;/year&gt;&lt;/dates&gt;&lt;pub-location&gt;RTI International&lt;/pub-location&gt;&lt;urls&gt;&lt;/urls&gt;&lt;research-notes&gt;#812&lt;/research-notes&gt;&lt;/record&gt;&lt;/Cite&gt;&lt;/EndNote&gt;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3" w:tooltip="Nonnemaker, 2010 #97" w:history="1">
        <w:r w:rsidR="00A234A9">
          <w:rPr>
            <w:rFonts w:eastAsia="Calibri" w:cs="Times New Roman"/>
            <w:noProof/>
            <w:color w:val="000000"/>
          </w:rPr>
          <w:t>73</w:t>
        </w:r>
      </w:hyperlink>
      <w:r w:rsidR="00D2134A">
        <w:rPr>
          <w:rFonts w:eastAsia="Calibri" w:cs="Times New Roman"/>
          <w:noProof/>
          <w:color w:val="000000"/>
        </w:rPr>
        <w:t>)</w:t>
      </w:r>
      <w:r w:rsidR="00D2134A">
        <w:rPr>
          <w:rFonts w:eastAsia="Calibri" w:cs="Times New Roman"/>
          <w:color w:val="000000"/>
        </w:rPr>
        <w:fldChar w:fldCharType="end"/>
      </w:r>
      <w:r w:rsidR="00D04C52" w:rsidRPr="00A0218A">
        <w:rPr>
          <w:rFonts w:eastAsia="Calibri" w:cs="Times New Roman"/>
          <w:color w:val="000000"/>
        </w:rPr>
        <w:t xml:space="preserve"> analyzed two sets of smokers: one that included youth who started smoking during the final wave (year 3) and one that </w:t>
      </w:r>
      <w:r>
        <w:rPr>
          <w:rFonts w:eastAsia="Calibri" w:cs="Times New Roman"/>
          <w:color w:val="000000"/>
        </w:rPr>
        <w:t>excluded wave three initiators</w:t>
      </w:r>
      <w:r w:rsidR="00D04C52" w:rsidRPr="00A0218A">
        <w:rPr>
          <w:rFonts w:eastAsia="Calibri" w:cs="Times New Roman"/>
          <w:color w:val="000000"/>
        </w:rPr>
        <w:t xml:space="preserve">. </w:t>
      </w:r>
      <w:r w:rsidR="00D04C52">
        <w:rPr>
          <w:rFonts w:eastAsia="Calibri" w:cs="Times New Roman"/>
          <w:color w:val="000000"/>
        </w:rPr>
        <w:t>Adjusted l</w:t>
      </w:r>
      <w:r w:rsidR="00D04C52" w:rsidRPr="00A0218A">
        <w:rPr>
          <w:rFonts w:eastAsia="Calibri" w:cs="Times New Roman"/>
          <w:color w:val="000000"/>
        </w:rPr>
        <w:t>ogistic regression model</w:t>
      </w:r>
      <w:r w:rsidR="00D04C52">
        <w:rPr>
          <w:rFonts w:eastAsia="Calibri" w:cs="Times New Roman"/>
          <w:color w:val="000000"/>
        </w:rPr>
        <w:t xml:space="preserve"> results </w:t>
      </w:r>
      <w:r w:rsidR="00D04C52" w:rsidRPr="00A0218A">
        <w:rPr>
          <w:rFonts w:eastAsia="Calibri" w:cs="Times New Roman"/>
          <w:color w:val="000000"/>
        </w:rPr>
        <w:t xml:space="preserve">found that youth who initiated to menthol cigarettes were more likely to progress to daily smoking at wave </w:t>
      </w:r>
      <w:r w:rsidR="00004E19">
        <w:rPr>
          <w:rFonts w:eastAsia="Calibri" w:cs="Times New Roman"/>
          <w:color w:val="000000"/>
        </w:rPr>
        <w:t>three</w:t>
      </w:r>
      <w:r w:rsidR="00D04C52" w:rsidRPr="00A0218A">
        <w:rPr>
          <w:rFonts w:eastAsia="Calibri" w:cs="Times New Roman"/>
          <w:color w:val="000000"/>
        </w:rPr>
        <w:t>, compared with youth who initiated to non-menthol cigarettes. The difference was significant when wave three initiators were included (</w:t>
      </w:r>
      <w:r w:rsidR="00D04C52" w:rsidRPr="00AD248C">
        <w:rPr>
          <w:rFonts w:eastAsia="Calibri" w:cs="Times New Roman"/>
          <w:color w:val="000000"/>
        </w:rPr>
        <w:t>OR=2.11,</w:t>
      </w:r>
      <w:r w:rsidR="00D04C52" w:rsidRPr="00A0218A">
        <w:rPr>
          <w:rFonts w:eastAsia="Calibri" w:cs="Times New Roman"/>
          <w:color w:val="000000"/>
        </w:rPr>
        <w:t xml:space="preserve"> 95% CI: 1.47 to 3.03) but not when they were excluded (OR=1.76, 95% CI: 0.94 to 3.30). Similarly, youth who initiated to menthol cigarettes were more likely to progress to established smoking at wave three, compared with youth who initiated to non-menthol cigarettes. Again, the difference was significant when wave three initiators were included (OR=2.02, 95% CI: 1.44 to 2.84) but not when they were excluded </w:t>
      </w:r>
      <w:r w:rsidR="00D04C52">
        <w:rPr>
          <w:rFonts w:eastAsia="Calibri" w:cs="Times New Roman"/>
          <w:color w:val="000000"/>
        </w:rPr>
        <w:t xml:space="preserve">in the analytic sample </w:t>
      </w:r>
      <w:r w:rsidR="00D04C52" w:rsidRPr="00A0218A">
        <w:rPr>
          <w:rFonts w:eastAsia="Calibri" w:cs="Times New Roman"/>
          <w:color w:val="000000"/>
        </w:rPr>
        <w:t>(OR=1.66, 95% CI: 0.89 to 3.09). Finally, youth who initiated to menthol cigarettes were more likely t</w:t>
      </w:r>
      <w:r w:rsidR="00D04C52">
        <w:rPr>
          <w:rFonts w:eastAsia="Calibri" w:cs="Times New Roman"/>
          <w:color w:val="000000"/>
        </w:rPr>
        <w:t>o transition to lifetime smoking status</w:t>
      </w:r>
      <w:r w:rsidR="00D04C52" w:rsidRPr="00A0218A">
        <w:rPr>
          <w:rFonts w:eastAsia="Calibri" w:cs="Times New Roman"/>
          <w:color w:val="000000"/>
        </w:rPr>
        <w:t xml:space="preserve"> at wave three, compared with youth who initiated to non-menthol cigarettes. The difference was significant regardless of wave three initiator</w:t>
      </w:r>
      <w:r w:rsidR="00D04C52">
        <w:rPr>
          <w:rFonts w:eastAsia="Calibri" w:cs="Times New Roman"/>
          <w:color w:val="000000"/>
        </w:rPr>
        <w:t xml:space="preserve"> inclusion</w:t>
      </w:r>
      <w:r w:rsidR="00D04C52" w:rsidRPr="00A0218A">
        <w:rPr>
          <w:rFonts w:eastAsia="Calibri" w:cs="Times New Roman"/>
          <w:color w:val="000000"/>
        </w:rPr>
        <w:t xml:space="preserve"> </w:t>
      </w:r>
      <w:r w:rsidR="00D04C52">
        <w:rPr>
          <w:rFonts w:eastAsia="Calibri" w:cs="Times New Roman"/>
          <w:color w:val="000000"/>
        </w:rPr>
        <w:t xml:space="preserve">in the analytic sample </w:t>
      </w:r>
      <w:r w:rsidR="00D04C52" w:rsidRPr="00A0218A">
        <w:rPr>
          <w:rFonts w:eastAsia="Calibri" w:cs="Times New Roman"/>
          <w:color w:val="000000"/>
        </w:rPr>
        <w:t>(OR=2.32, 95% CI: 1.64 to 3.28) or not (OR= 2.39, 95% CI: 1.25 to 4.58).</w:t>
      </w:r>
      <w:r w:rsidR="00D96058">
        <w:rPr>
          <w:rFonts w:eastAsia="Calibri" w:cs="Times New Roman"/>
          <w:color w:val="000000"/>
        </w:rPr>
        <w:t xml:space="preserve"> </w:t>
      </w:r>
      <w:r w:rsidR="00D96058" w:rsidRPr="00A0218A">
        <w:rPr>
          <w:rFonts w:eastAsia="Calibri" w:cs="Times New Roman"/>
          <w:color w:val="000000"/>
        </w:rPr>
        <w:t>It is unclear how much overlap there is in the samples used in the 2010 and 2012 publications</w:t>
      </w:r>
      <w:r w:rsidR="00A20AE4">
        <w:rPr>
          <w:rFonts w:eastAsia="Calibri" w:cs="Times New Roman"/>
          <w:color w:val="000000"/>
        </w:rPr>
        <w:t>.</w:t>
      </w:r>
    </w:p>
    <w:p w14:paraId="172A9946" w14:textId="77777777" w:rsidR="00D04C52" w:rsidRPr="00B8342F" w:rsidRDefault="00D04C52" w:rsidP="00B8342F">
      <w:pPr>
        <w:spacing w:after="120" w:line="240" w:lineRule="auto"/>
        <w:jc w:val="both"/>
        <w:outlineLvl w:val="2"/>
        <w:rPr>
          <w:rFonts w:eastAsia="Calibri" w:cs="Times New Roman"/>
          <w:b/>
          <w:bCs/>
          <w:color w:val="000000"/>
        </w:rPr>
      </w:pPr>
      <w:r w:rsidRPr="00B8342F">
        <w:rPr>
          <w:rFonts w:eastAsia="Calibri" w:cs="Times New Roman"/>
          <w:b/>
          <w:bCs/>
          <w:color w:val="000000"/>
        </w:rPr>
        <w:t>Young Adults</w:t>
      </w:r>
    </w:p>
    <w:p w14:paraId="5846E081" w14:textId="1F8F41FE" w:rsidR="00A20AE4" w:rsidRDefault="00D04C52" w:rsidP="00B46744">
      <w:pPr>
        <w:spacing w:after="120" w:line="240" w:lineRule="auto"/>
        <w:jc w:val="both"/>
        <w:rPr>
          <w:rFonts w:eastAsia="Calibri" w:cs="Times New Roman"/>
          <w:i/>
          <w:color w:val="000000"/>
        </w:rPr>
      </w:pPr>
      <w:r w:rsidRPr="00A0218A">
        <w:rPr>
          <w:rFonts w:eastAsia="Calibri" w:cs="Times New Roman"/>
          <w:i/>
          <w:color w:val="000000"/>
        </w:rPr>
        <w:t xml:space="preserve">Three studies </w:t>
      </w:r>
      <w:r w:rsidR="00D2134A">
        <w:rPr>
          <w:rFonts w:eastAsia="Calibri" w:cs="Times New Roman"/>
          <w:i/>
          <w:color w:val="000000"/>
        </w:rPr>
        <w:fldChar w:fldCharType="begin">
          <w:fldData xml:space="preserve">PEVuZE5vdGU+PENpdGU+PEF1dGhvcj5EZWxuZXZvPC9BdXRob3I+PFllYXI+MjAxNTwvWWVhcj48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PEVuZE5vdGU+PENpdGU+PEF1dGhvcj5EZWxuZXZvPC9BdXRob3I+PFllYXI+MjAxNTwvWWVhcj48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53" w:tooltip="Delnevo, 2015 #1" w:history="1">
        <w:r w:rsidR="00A234A9">
          <w:rPr>
            <w:rFonts w:eastAsia="Calibri" w:cs="Times New Roman"/>
            <w:i/>
            <w:noProof/>
            <w:color w:val="000000"/>
          </w:rPr>
          <w:t>53</w:t>
        </w:r>
      </w:hyperlink>
      <w:r w:rsidR="00D2134A">
        <w:rPr>
          <w:rFonts w:eastAsia="Calibri" w:cs="Times New Roman"/>
          <w:i/>
          <w:noProof/>
          <w:color w:val="000000"/>
        </w:rPr>
        <w:t xml:space="preserve">, </w:t>
      </w:r>
      <w:hyperlink w:anchor="_ENREF_69" w:tooltip="Kasza, 2014 #16" w:history="1">
        <w:r w:rsidR="00A234A9">
          <w:rPr>
            <w:rFonts w:eastAsia="Calibri" w:cs="Times New Roman"/>
            <w:i/>
            <w:noProof/>
            <w:color w:val="000000"/>
          </w:rPr>
          <w:t>69</w:t>
        </w:r>
      </w:hyperlink>
      <w:r w:rsidR="00D2134A">
        <w:rPr>
          <w:rFonts w:eastAsia="Calibri" w:cs="Times New Roman"/>
          <w:i/>
          <w:noProof/>
          <w:color w:val="000000"/>
        </w:rPr>
        <w:t xml:space="preserve">, </w:t>
      </w:r>
      <w:hyperlink w:anchor="_ENREF_82" w:tooltip="Sidney, 1989 #92" w:history="1">
        <w:r w:rsidR="00A234A9">
          <w:rPr>
            <w:rFonts w:eastAsia="Calibri" w:cs="Times New Roman"/>
            <w:i/>
            <w:noProof/>
            <w:color w:val="000000"/>
          </w:rPr>
          <w:t>82</w:t>
        </w:r>
      </w:hyperlink>
      <w:r w:rsidR="00D2134A">
        <w:rPr>
          <w:rFonts w:eastAsia="Calibri" w:cs="Times New Roman"/>
          <w:i/>
          <w:noProof/>
          <w:color w:val="000000"/>
        </w:rPr>
        <w:t>)</w:t>
      </w:r>
      <w:r w:rsidR="00D2134A">
        <w:rPr>
          <w:rFonts w:eastAsia="Calibri" w:cs="Times New Roman"/>
          <w:i/>
          <w:color w:val="000000"/>
        </w:rPr>
        <w:fldChar w:fldCharType="end"/>
      </w:r>
      <w:r w:rsidR="00195583">
        <w:rPr>
          <w:rFonts w:eastAsia="Calibri" w:cs="Times New Roman"/>
          <w:i/>
          <w:color w:val="000000"/>
        </w:rPr>
        <w:t xml:space="preserve"> </w:t>
      </w:r>
      <w:r w:rsidRPr="00A0218A">
        <w:rPr>
          <w:rFonts w:eastAsia="Calibri" w:cs="Times New Roman"/>
          <w:i/>
          <w:color w:val="000000"/>
        </w:rPr>
        <w:t xml:space="preserve">reported data from young adults—one defined young adults as age 18 to 34 </w:t>
      </w:r>
      <w:r w:rsidR="00D2134A">
        <w:rPr>
          <w:rFonts w:eastAsia="Calibri" w:cs="Times New Roman"/>
          <w:i/>
          <w:color w:val="000000"/>
        </w:rPr>
        <w:fldChar w:fldCharType="begin">
          <w:fldData xml:space="preserve">PEVuZE5vdGU+PENpdGU+PEF1dGhvcj5EZWxuZXZvPC9BdXRob3I+PFllYXI+MjAxNTwvWWVhcj48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PEVuZE5vdGU+PENpdGU+PEF1dGhvcj5EZWxuZXZvPC9BdXRob3I+PFllYXI+MjAxNTwvWWVhcj48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53" w:tooltip="Delnevo, 2015 #1" w:history="1">
        <w:r w:rsidR="00A234A9">
          <w:rPr>
            <w:rFonts w:eastAsia="Calibri" w:cs="Times New Roman"/>
            <w:i/>
            <w:noProof/>
            <w:color w:val="000000"/>
          </w:rPr>
          <w:t>53</w:t>
        </w:r>
      </w:hyperlink>
      <w:r w:rsidR="00D2134A">
        <w:rPr>
          <w:rFonts w:eastAsia="Calibri" w:cs="Times New Roman"/>
          <w:i/>
          <w:noProof/>
          <w:color w:val="000000"/>
        </w:rPr>
        <w:t>)</w:t>
      </w:r>
      <w:r w:rsidR="00D2134A">
        <w:rPr>
          <w:rFonts w:eastAsia="Calibri" w:cs="Times New Roman"/>
          <w:i/>
          <w:color w:val="000000"/>
        </w:rPr>
        <w:fldChar w:fldCharType="end"/>
      </w:r>
      <w:r w:rsidR="00057B53">
        <w:rPr>
          <w:rFonts w:eastAsia="Calibri" w:cs="Times New Roman"/>
          <w:i/>
          <w:color w:val="000000"/>
        </w:rPr>
        <w:t xml:space="preserve"> </w:t>
      </w:r>
      <w:r w:rsidRPr="00A0218A">
        <w:rPr>
          <w:rFonts w:eastAsia="Calibri" w:cs="Times New Roman"/>
          <w:i/>
          <w:color w:val="000000"/>
        </w:rPr>
        <w:t>and two as age 18 to 39</w:t>
      </w:r>
      <w:r w:rsidR="00057B53">
        <w:rPr>
          <w:rFonts w:eastAsia="Calibri" w:cs="Times New Roman"/>
          <w:i/>
          <w:color w:val="000000"/>
        </w:rPr>
        <w:t xml:space="preserve"> </w:t>
      </w:r>
      <w:r w:rsidR="00D2134A">
        <w:rPr>
          <w:rFonts w:eastAsia="Calibri" w:cs="Times New Roman"/>
          <w:i/>
          <w:color w:val="000000"/>
        </w:rPr>
        <w:fldChar w:fldCharType="begin">
          <w:fldData xml:space="preserve">PEVuZE5vdGU+PENpdGU+PEF1dGhvcj5LYXN6YTwvQXV0aG9yPjxZZWFyPjIwMTQ8L1llYXI+PFJl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PEVuZE5vdGU+PENpdGU+PEF1dGhvcj5LYXN6YTwvQXV0aG9yPjxZZWFyPjIwMTQ8L1llYXI+PFJl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69" w:tooltip="Kasza, 2014 #16" w:history="1">
        <w:r w:rsidR="00A234A9">
          <w:rPr>
            <w:rFonts w:eastAsia="Calibri" w:cs="Times New Roman"/>
            <w:i/>
            <w:noProof/>
            <w:color w:val="000000"/>
          </w:rPr>
          <w:t>69</w:t>
        </w:r>
      </w:hyperlink>
      <w:r w:rsidR="00D2134A">
        <w:rPr>
          <w:rFonts w:eastAsia="Calibri" w:cs="Times New Roman"/>
          <w:i/>
          <w:noProof/>
          <w:color w:val="000000"/>
        </w:rPr>
        <w:t xml:space="preserve">, </w:t>
      </w:r>
      <w:hyperlink w:anchor="_ENREF_82" w:tooltip="Sidney, 1989 #92" w:history="1">
        <w:r w:rsidR="00A234A9">
          <w:rPr>
            <w:rFonts w:eastAsia="Calibri" w:cs="Times New Roman"/>
            <w:i/>
            <w:noProof/>
            <w:color w:val="000000"/>
          </w:rPr>
          <w:t>82</w:t>
        </w:r>
      </w:hyperlink>
      <w:r w:rsidR="00D2134A">
        <w:rPr>
          <w:rFonts w:eastAsia="Calibri" w:cs="Times New Roman"/>
          <w:i/>
          <w:noProof/>
          <w:color w:val="000000"/>
        </w:rPr>
        <w:t>)</w:t>
      </w:r>
      <w:r w:rsidR="00D2134A">
        <w:rPr>
          <w:rFonts w:eastAsia="Calibri" w:cs="Times New Roman"/>
          <w:i/>
          <w:color w:val="000000"/>
        </w:rPr>
        <w:fldChar w:fldCharType="end"/>
      </w:r>
      <w:r w:rsidRPr="00A0218A">
        <w:rPr>
          <w:rFonts w:eastAsia="Calibri" w:cs="Times New Roman"/>
          <w:i/>
          <w:color w:val="000000"/>
        </w:rPr>
        <w:t>. One study found that menthol smokers were significantly more likely than non-menthol smokers to increase frequency of smoking</w:t>
      </w:r>
      <w:r w:rsidR="00F1369C">
        <w:rPr>
          <w:rFonts w:eastAsia="Calibri" w:cs="Times New Roman"/>
          <w:i/>
          <w:color w:val="000000"/>
        </w:rPr>
        <w:t xml:space="preserve"> </w:t>
      </w:r>
      <w:r w:rsidR="00D2134A">
        <w:rPr>
          <w:rFonts w:eastAsia="Calibri" w:cs="Times New Roman"/>
          <w:i/>
          <w:color w:val="000000"/>
        </w:rPr>
        <w:fldChar w:fldCharType="begin">
          <w:fldData xml:space="preserve">PEVuZE5vdGU+PENpdGU+PEF1dGhvcj5EZWxuZXZvPC9BdXRob3I+PFllYXI+MjAxNTwvWWVhcj48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PEVuZE5vdGU+PENpdGU+PEF1dGhvcj5EZWxuZXZvPC9BdXRob3I+PFllYXI+MjAxNTwvWWVhcj48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53" w:tooltip="Delnevo, 2015 #1" w:history="1">
        <w:r w:rsidR="00A234A9">
          <w:rPr>
            <w:rFonts w:eastAsia="Calibri" w:cs="Times New Roman"/>
            <w:i/>
            <w:noProof/>
            <w:color w:val="000000"/>
          </w:rPr>
          <w:t>53</w:t>
        </w:r>
      </w:hyperlink>
      <w:r w:rsidR="00D2134A">
        <w:rPr>
          <w:rFonts w:eastAsia="Calibri" w:cs="Times New Roman"/>
          <w:i/>
          <w:noProof/>
          <w:color w:val="000000"/>
        </w:rPr>
        <w:t>)</w:t>
      </w:r>
      <w:r w:rsidR="00D2134A">
        <w:rPr>
          <w:rFonts w:eastAsia="Calibri" w:cs="Times New Roman"/>
          <w:i/>
          <w:color w:val="000000"/>
        </w:rPr>
        <w:fldChar w:fldCharType="end"/>
      </w:r>
      <w:r w:rsidRPr="00A0218A">
        <w:rPr>
          <w:rFonts w:eastAsia="Calibri" w:cs="Times New Roman"/>
          <w:i/>
          <w:color w:val="000000"/>
        </w:rPr>
        <w:t xml:space="preserve">. </w:t>
      </w:r>
      <w:r>
        <w:rPr>
          <w:rFonts w:eastAsia="Calibri" w:cs="Times New Roman"/>
          <w:i/>
          <w:color w:val="000000"/>
        </w:rPr>
        <w:t>The remaining two sets</w:t>
      </w:r>
      <w:r w:rsidRPr="00A0218A">
        <w:rPr>
          <w:rFonts w:eastAsia="Calibri" w:cs="Times New Roman"/>
          <w:i/>
          <w:color w:val="000000"/>
        </w:rPr>
        <w:t xml:space="preserve"> of findings were related to switching between menthol and non-menthol cigarettes and were inconsistent</w:t>
      </w:r>
      <w:r w:rsidR="00F1369C">
        <w:rPr>
          <w:rFonts w:eastAsia="Calibri" w:cs="Times New Roman"/>
          <w:i/>
          <w:color w:val="000000"/>
        </w:rPr>
        <w:t xml:space="preserve"> </w:t>
      </w:r>
      <w:r w:rsidR="00D2134A">
        <w:rPr>
          <w:rFonts w:eastAsia="Calibri" w:cs="Times New Roman"/>
          <w:i/>
          <w:color w:val="000000"/>
        </w:rPr>
        <w:fldChar w:fldCharType="begin">
          <w:fldData xml:space="preserve">PEVuZE5vdGU+PENpdGU+PEF1dGhvcj5LYXN6YTwvQXV0aG9yPjxZZWFyPjIwMTQ8L1llYXI+PFJl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PEVuZE5vdGU+PENpdGU+PEF1dGhvcj5LYXN6YTwvQXV0aG9yPjxZZWFyPjIwMTQ8L1llYXI+PFJl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69" w:tooltip="Kasza, 2014 #16" w:history="1">
        <w:r w:rsidR="00A234A9">
          <w:rPr>
            <w:rFonts w:eastAsia="Calibri" w:cs="Times New Roman"/>
            <w:i/>
            <w:noProof/>
            <w:color w:val="000000"/>
          </w:rPr>
          <w:t>69</w:t>
        </w:r>
      </w:hyperlink>
      <w:r w:rsidR="00D2134A">
        <w:rPr>
          <w:rFonts w:eastAsia="Calibri" w:cs="Times New Roman"/>
          <w:i/>
          <w:noProof/>
          <w:color w:val="000000"/>
        </w:rPr>
        <w:t xml:space="preserve">, </w:t>
      </w:r>
      <w:hyperlink w:anchor="_ENREF_82" w:tooltip="Sidney, 1989 #92" w:history="1">
        <w:r w:rsidR="00A234A9">
          <w:rPr>
            <w:rFonts w:eastAsia="Calibri" w:cs="Times New Roman"/>
            <w:i/>
            <w:noProof/>
            <w:color w:val="000000"/>
          </w:rPr>
          <w:t>82</w:t>
        </w:r>
      </w:hyperlink>
      <w:r w:rsidR="00D2134A">
        <w:rPr>
          <w:rFonts w:eastAsia="Calibri" w:cs="Times New Roman"/>
          <w:i/>
          <w:noProof/>
          <w:color w:val="000000"/>
        </w:rPr>
        <w:t>)</w:t>
      </w:r>
      <w:r w:rsidR="00D2134A">
        <w:rPr>
          <w:rFonts w:eastAsia="Calibri" w:cs="Times New Roman"/>
          <w:i/>
          <w:color w:val="000000"/>
        </w:rPr>
        <w:fldChar w:fldCharType="end"/>
      </w:r>
      <w:r w:rsidR="00A20AE4">
        <w:rPr>
          <w:rFonts w:eastAsia="Calibri" w:cs="Times New Roman"/>
          <w:i/>
          <w:color w:val="000000"/>
        </w:rPr>
        <w:t>.</w:t>
      </w:r>
    </w:p>
    <w:p w14:paraId="321F990B" w14:textId="570E3F13" w:rsidR="00D04C52" w:rsidRPr="00A0218A" w:rsidRDefault="00D04C52" w:rsidP="00B46744">
      <w:pPr>
        <w:spacing w:after="120" w:line="240" w:lineRule="auto"/>
        <w:jc w:val="both"/>
        <w:rPr>
          <w:rFonts w:eastAsia="Calibri" w:cs="Times New Roman"/>
          <w:color w:val="000000"/>
        </w:rPr>
      </w:pPr>
      <w:r>
        <w:rPr>
          <w:rFonts w:eastAsia="Calibri" w:cs="Times New Roman"/>
          <w:color w:val="000000"/>
        </w:rPr>
        <w:t xml:space="preserve">Delnevo et al. </w:t>
      </w:r>
      <w:r w:rsidR="00D2134A">
        <w:rPr>
          <w:rFonts w:eastAsia="Calibri" w:cs="Times New Roman"/>
          <w:color w:val="000000"/>
        </w:rPr>
        <w:fldChar w:fldCharType="begin">
          <w:fldData xml:space="preserve">PEVuZE5vdGU+PENpdGU+PEF1dGhvcj5EZWxuZXZvPC9BdXRob3I+PFllYXI+MjAxNTwvWWVhcj48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PEVuZE5vdGU+PENpdGU+PEF1dGhvcj5EZWxuZXZvPC9BdXRob3I+PFllYXI+MjAxNTwvWWVhcj48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53" w:tooltip="Delnevo, 2015 #1" w:history="1">
        <w:r w:rsidR="00A234A9">
          <w:rPr>
            <w:rFonts w:eastAsia="Calibri" w:cs="Times New Roman"/>
            <w:noProof/>
            <w:color w:val="000000"/>
          </w:rPr>
          <w:t>53</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conducted a secondary analysis of National Young Adult Health Survey (NYAHS) data from young adults age 18 to 34. The multivariate logistic model adjusted for age, gender, and race/ethnicity. Among lifetime smokers, current menthol cigarette use was significantly associated with 87 percent higher odds of increased smoking behavior over one year, from smoking on some days to smoking daily, compared with non-menthol smokers (OR=1.87, 95% CI: 1.06 to 3.30).</w:t>
      </w:r>
    </w:p>
    <w:p w14:paraId="013F0F38" w14:textId="794A8713" w:rsidR="00A20AE4" w:rsidRDefault="00D04C52" w:rsidP="00B46744">
      <w:pPr>
        <w:spacing w:after="120" w:line="240" w:lineRule="auto"/>
        <w:jc w:val="both"/>
        <w:rPr>
          <w:rFonts w:eastAsia="Calibri" w:cs="Times New Roman"/>
          <w:color w:val="000000"/>
        </w:rPr>
      </w:pPr>
      <w:r>
        <w:rPr>
          <w:rFonts w:eastAsia="Calibri" w:cs="Times New Roman"/>
          <w:color w:val="000000"/>
        </w:rPr>
        <w:t xml:space="preserve">Kasza et al. </w:t>
      </w:r>
      <w:r w:rsidR="00D2134A">
        <w:rPr>
          <w:rFonts w:eastAsia="Calibri" w:cs="Times New Roman"/>
          <w:color w:val="000000"/>
        </w:rPr>
        <w:fldChar w:fldCharType="begin">
          <w:fldData xml:space="preserve">PEVuZE5vdGU+PENpdGU+PEF1dGhvcj5LYXN6YTwvQXV0aG9yPjxZZWFyPjIwMTQ8L1llYXI+PFJl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PEVuZE5vdGU+PENpdGU+PEF1dGhvcj5LYXN6YTwvQXV0aG9yPjxZZWFyPjIwMTQ8L1llYXI+PFJl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69" w:tooltip="Kasza, 2014 #16" w:history="1">
        <w:r w:rsidR="00A234A9">
          <w:rPr>
            <w:rFonts w:eastAsia="Calibri" w:cs="Times New Roman"/>
            <w:noProof/>
            <w:color w:val="000000"/>
          </w:rPr>
          <w:t>69</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examined switching between menthol and non-menthol cigarettes in a cohort of adult smokers in the United States who were interviewed during at least two waves of the International Tobacco Control Four Country Survey (ITC-4). The authors found that </w:t>
      </w:r>
      <w:r w:rsidR="00C94011">
        <w:rPr>
          <w:rFonts w:eastAsia="Calibri" w:cs="Times New Roman"/>
          <w:color w:val="000000"/>
        </w:rPr>
        <w:t xml:space="preserve">menthol </w:t>
      </w:r>
      <w:r w:rsidRPr="00A0218A">
        <w:rPr>
          <w:rFonts w:eastAsia="Calibri" w:cs="Times New Roman"/>
          <w:color w:val="000000"/>
        </w:rPr>
        <w:t xml:space="preserve">smokers </w:t>
      </w:r>
      <w:r w:rsidR="00C94011">
        <w:rPr>
          <w:rFonts w:eastAsia="Calibri" w:cs="Times New Roman"/>
          <w:color w:val="000000"/>
        </w:rPr>
        <w:t xml:space="preserve">between the </w:t>
      </w:r>
      <w:r w:rsidRPr="00A0218A">
        <w:rPr>
          <w:rFonts w:eastAsia="Calibri" w:cs="Times New Roman"/>
          <w:color w:val="000000"/>
        </w:rPr>
        <w:t>age</w:t>
      </w:r>
      <w:r w:rsidR="00C94011">
        <w:rPr>
          <w:rFonts w:eastAsia="Calibri" w:cs="Times New Roman"/>
          <w:color w:val="000000"/>
        </w:rPr>
        <w:t>s</w:t>
      </w:r>
      <w:r w:rsidRPr="00A0218A">
        <w:rPr>
          <w:rFonts w:eastAsia="Calibri" w:cs="Times New Roman"/>
          <w:color w:val="000000"/>
        </w:rPr>
        <w:t xml:space="preserve"> </w:t>
      </w:r>
      <w:r w:rsidR="00C94011">
        <w:rPr>
          <w:rFonts w:eastAsia="Calibri" w:cs="Times New Roman"/>
          <w:color w:val="000000"/>
        </w:rPr>
        <w:t xml:space="preserve">of </w:t>
      </w:r>
      <w:r w:rsidRPr="00A0218A">
        <w:rPr>
          <w:rFonts w:eastAsia="Calibri" w:cs="Times New Roman"/>
          <w:color w:val="000000"/>
        </w:rPr>
        <w:t xml:space="preserve">25 </w:t>
      </w:r>
      <w:r w:rsidR="00C94011">
        <w:rPr>
          <w:rFonts w:eastAsia="Calibri" w:cs="Times New Roman"/>
          <w:color w:val="000000"/>
        </w:rPr>
        <w:t>and</w:t>
      </w:r>
      <w:r w:rsidR="00C94011" w:rsidRPr="00A0218A">
        <w:rPr>
          <w:rFonts w:eastAsia="Calibri" w:cs="Times New Roman"/>
          <w:color w:val="000000"/>
        </w:rPr>
        <w:t xml:space="preserve"> </w:t>
      </w:r>
      <w:r w:rsidRPr="00A0218A">
        <w:rPr>
          <w:rFonts w:eastAsia="Calibri" w:cs="Times New Roman"/>
          <w:color w:val="000000"/>
        </w:rPr>
        <w:t xml:space="preserve">39 </w:t>
      </w:r>
      <w:r w:rsidR="00C94011">
        <w:rPr>
          <w:rFonts w:eastAsia="Calibri" w:cs="Times New Roman"/>
          <w:color w:val="000000"/>
        </w:rPr>
        <w:t xml:space="preserve">were no different in the </w:t>
      </w:r>
      <w:r w:rsidRPr="00A0218A">
        <w:rPr>
          <w:rFonts w:eastAsia="Calibri" w:cs="Times New Roman"/>
          <w:color w:val="000000"/>
        </w:rPr>
        <w:t xml:space="preserve">odds of switching to non-menthol compared with </w:t>
      </w:r>
      <w:r w:rsidR="00C94011">
        <w:rPr>
          <w:rFonts w:eastAsia="Calibri" w:cs="Times New Roman"/>
          <w:color w:val="000000"/>
        </w:rPr>
        <w:t xml:space="preserve">menthol </w:t>
      </w:r>
      <w:r w:rsidRPr="00A0218A">
        <w:rPr>
          <w:rFonts w:eastAsia="Calibri" w:cs="Times New Roman"/>
          <w:color w:val="000000"/>
        </w:rPr>
        <w:t xml:space="preserve">smokers age 18 to 24 years (OR=1.19, 95% CI: 0.54 to 2.60). Conversely, non-menthol smokers age 25 to 39 had significantly lower odds of switching to menthol cigarettes than smokers </w:t>
      </w:r>
      <w:r>
        <w:rPr>
          <w:rFonts w:eastAsia="Calibri" w:cs="Times New Roman"/>
          <w:color w:val="000000"/>
        </w:rPr>
        <w:t xml:space="preserve">between the ages of </w:t>
      </w:r>
      <w:r w:rsidRPr="00A0218A">
        <w:rPr>
          <w:rFonts w:eastAsia="Calibri" w:cs="Times New Roman"/>
          <w:color w:val="000000"/>
        </w:rPr>
        <w:t xml:space="preserve">18 </w:t>
      </w:r>
      <w:r>
        <w:rPr>
          <w:rFonts w:eastAsia="Calibri" w:cs="Times New Roman"/>
          <w:color w:val="000000"/>
        </w:rPr>
        <w:t>and</w:t>
      </w:r>
      <w:r w:rsidRPr="00A0218A">
        <w:rPr>
          <w:rFonts w:eastAsia="Calibri" w:cs="Times New Roman"/>
          <w:color w:val="000000"/>
        </w:rPr>
        <w:t xml:space="preserve"> 24 </w:t>
      </w:r>
      <w:r>
        <w:rPr>
          <w:rFonts w:eastAsia="Calibri" w:cs="Times New Roman"/>
          <w:color w:val="000000"/>
        </w:rPr>
        <w:t xml:space="preserve">years old </w:t>
      </w:r>
      <w:r w:rsidRPr="00A0218A">
        <w:rPr>
          <w:rFonts w:eastAsia="Calibri" w:cs="Times New Roman"/>
          <w:color w:val="000000"/>
        </w:rPr>
        <w:t>(OR=0.28, 95% CI: 0.13 to 0.59)</w:t>
      </w:r>
      <w:r w:rsidR="00A20AE4">
        <w:rPr>
          <w:rFonts w:eastAsia="Calibri" w:cs="Times New Roman"/>
          <w:color w:val="000000"/>
        </w:rPr>
        <w:t>.</w:t>
      </w:r>
    </w:p>
    <w:p w14:paraId="6B37911C" w14:textId="3135834A" w:rsidR="00D04C52" w:rsidRPr="00A0218A" w:rsidRDefault="00D04C52" w:rsidP="00B46744">
      <w:pPr>
        <w:spacing w:after="240" w:line="240" w:lineRule="auto"/>
        <w:jc w:val="both"/>
        <w:rPr>
          <w:rFonts w:eastAsia="Calibri" w:cs="Times New Roman"/>
          <w:i/>
          <w:u w:val="single"/>
        </w:rPr>
      </w:pPr>
      <w:r>
        <w:rPr>
          <w:rFonts w:eastAsia="Calibri" w:cs="Times New Roman"/>
          <w:color w:val="000000"/>
        </w:rPr>
        <w:t xml:space="preserve">Sidney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&lt;EndNote&gt;&lt;Cite&gt;&lt;Author&gt;Sidney&lt;/Author&gt;&lt;Year&gt;1989&lt;/Year&gt;&lt;RecNum&gt;92&lt;/RecNum&gt;&lt;DisplayText&gt;(82)&lt;/DisplayText&gt;&lt;record&gt;&lt;rec-number&gt;92&lt;/rec-number&gt;&lt;foreign-keys&gt;&lt;key app="EN" db-id="a2vz2dfp8xrad6exes75zwpiw5rxwa0vwapv" timestamp="0"&gt;92&lt;/key&gt;&lt;/foreign-keys&gt;&lt;ref-type name="Journal Article"&gt;17&lt;/ref-type&gt;&lt;contributors&gt;&lt;authors&gt;&lt;author&gt;Sidney, S.&lt;/author&gt;&lt;author&gt;Tekawa, I. S.&lt;/author&gt;&lt;author&gt;Friedman, G. D.&lt;/author&gt;&lt;/authors&gt;&lt;/contributors&gt;&lt;titles&gt;&lt;title&gt;Mentholated cigarette use among multiphasic examinees, 1979-86&lt;/title&gt;&lt;secondary-title&gt;Am J Public Health&lt;/secondary-title&gt;&lt;/titles&gt;&lt;periodical&gt;&lt;full-title&gt;Am J Public Health&lt;/full-title&gt;&lt;/periodical&gt;&lt;pages&gt;1415-1416&lt;/pages&gt;&lt;volume&gt;79&lt;/volume&gt;&lt;section&gt;1415&lt;/section&gt;&lt;dates&gt;&lt;year&gt;1989&lt;/year&gt;&lt;/dates&gt;&lt;urls&gt;&lt;/urls&gt;&lt;research-notes&gt;#505&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82" w:tooltip="Sidney, 1989 #92" w:history="1">
        <w:r w:rsidR="00A234A9">
          <w:rPr>
            <w:rFonts w:eastAsia="Calibri" w:cs="Times New Roman"/>
            <w:noProof/>
            <w:color w:val="000000"/>
          </w:rPr>
          <w:t>82</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analyzed switching data reported by 1,688 </w:t>
      </w:r>
      <w:r w:rsidR="00E1156E">
        <w:rPr>
          <w:rFonts w:eastAsia="Calibri" w:cs="Times New Roman"/>
          <w:color w:val="000000"/>
        </w:rPr>
        <w:t>Black</w:t>
      </w:r>
      <w:r w:rsidRPr="00A0218A">
        <w:rPr>
          <w:rFonts w:eastAsia="Calibri" w:cs="Times New Roman"/>
          <w:color w:val="000000"/>
        </w:rPr>
        <w:t xml:space="preserve"> smokers under the age of 40 enrolled in a single health maintenance organization. The authors adjusted for age, gender, and duration of follow up (mean=4.5 years) and found that the odds of </w:t>
      </w:r>
      <w:r w:rsidR="00E1156E">
        <w:rPr>
          <w:rFonts w:eastAsia="Calibri" w:cs="Times New Roman"/>
          <w:color w:val="000000"/>
        </w:rPr>
        <w:t>Black</w:t>
      </w:r>
      <w:r w:rsidRPr="00A0218A">
        <w:rPr>
          <w:rFonts w:eastAsia="Calibri" w:cs="Times New Roman"/>
          <w:color w:val="000000"/>
        </w:rPr>
        <w:t xml:space="preserve"> non-menthol cigarette smokers switching to menthol cigarettes were significantly higher than the odds of </w:t>
      </w:r>
      <w:r w:rsidR="00E1156E">
        <w:rPr>
          <w:rFonts w:eastAsia="Calibri" w:cs="Times New Roman"/>
          <w:color w:val="000000"/>
        </w:rPr>
        <w:t>Black</w:t>
      </w:r>
      <w:r w:rsidRPr="00A0218A">
        <w:rPr>
          <w:rFonts w:eastAsia="Calibri" w:cs="Times New Roman"/>
          <w:color w:val="000000"/>
        </w:rPr>
        <w:t xml:space="preserve"> menthol smokers switching to non-menthol (hazard ratio=4.2, 95% CI: 2.8 to 6.4).</w:t>
      </w:r>
    </w:p>
    <w:p w14:paraId="4DC6E119" w14:textId="77777777" w:rsidR="008D255E" w:rsidRPr="001D44FA" w:rsidRDefault="008D255E" w:rsidP="00B8342F">
      <w:pPr>
        <w:spacing w:after="120" w:line="240" w:lineRule="auto"/>
        <w:jc w:val="both"/>
        <w:outlineLvl w:val="1"/>
        <w:rPr>
          <w:rFonts w:eastAsia="Calibri" w:cs="Times New Roman"/>
          <w:i/>
          <w:color w:val="000000"/>
          <w:u w:val="single"/>
        </w:rPr>
      </w:pPr>
      <w:r w:rsidRPr="001D44FA">
        <w:rPr>
          <w:rFonts w:eastAsia="Calibri" w:cs="Times New Roman"/>
          <w:i/>
          <w:color w:val="000000"/>
          <w:u w:val="single"/>
        </w:rPr>
        <w:t xml:space="preserve">Adjusted Results: </w:t>
      </w:r>
      <w:r>
        <w:rPr>
          <w:rFonts w:eastAsia="Calibri" w:cs="Times New Roman"/>
          <w:bCs/>
          <w:i/>
          <w:color w:val="000000"/>
          <w:u w:val="single"/>
        </w:rPr>
        <w:t>I</w:t>
      </w:r>
      <w:r w:rsidRPr="00EE32FF">
        <w:rPr>
          <w:rFonts w:eastAsia="Calibri" w:cs="Times New Roman"/>
          <w:bCs/>
          <w:i/>
          <w:color w:val="000000"/>
          <w:u w:val="single"/>
        </w:rPr>
        <w:t xml:space="preserve">nitiation and </w:t>
      </w:r>
      <w:r>
        <w:rPr>
          <w:rFonts w:eastAsia="Calibri" w:cs="Times New Roman"/>
          <w:bCs/>
          <w:i/>
          <w:color w:val="000000"/>
          <w:u w:val="single"/>
        </w:rPr>
        <w:t>P</w:t>
      </w:r>
      <w:r w:rsidRPr="00EE32FF">
        <w:rPr>
          <w:rFonts w:eastAsia="Calibri" w:cs="Times New Roman"/>
          <w:bCs/>
          <w:i/>
          <w:color w:val="000000"/>
          <w:u w:val="single"/>
        </w:rPr>
        <w:t xml:space="preserve">rogression to </w:t>
      </w:r>
      <w:r>
        <w:rPr>
          <w:rFonts w:eastAsia="Calibri" w:cs="Times New Roman"/>
          <w:bCs/>
          <w:i/>
          <w:color w:val="000000"/>
          <w:u w:val="single"/>
        </w:rPr>
        <w:t>R</w:t>
      </w:r>
      <w:r w:rsidRPr="00EE32FF">
        <w:rPr>
          <w:rFonts w:eastAsia="Calibri" w:cs="Times New Roman"/>
          <w:bCs/>
          <w:i/>
          <w:color w:val="000000"/>
          <w:u w:val="single"/>
        </w:rPr>
        <w:t xml:space="preserve">egular </w:t>
      </w:r>
      <w:r>
        <w:rPr>
          <w:rFonts w:eastAsia="Calibri" w:cs="Times New Roman"/>
          <w:bCs/>
          <w:i/>
          <w:color w:val="000000"/>
          <w:u w:val="single"/>
        </w:rPr>
        <w:t>S</w:t>
      </w:r>
      <w:r w:rsidRPr="00EE32FF">
        <w:rPr>
          <w:rFonts w:eastAsia="Calibri" w:cs="Times New Roman"/>
          <w:bCs/>
          <w:i/>
          <w:color w:val="000000"/>
          <w:u w:val="single"/>
        </w:rPr>
        <w:t>moking</w:t>
      </w:r>
      <w:r w:rsidRPr="001D44FA">
        <w:rPr>
          <w:rFonts w:eastAsia="Calibri" w:cs="Times New Roman"/>
          <w:i/>
          <w:color w:val="000000"/>
          <w:u w:val="single"/>
        </w:rPr>
        <w:t xml:space="preserve"> by </w:t>
      </w:r>
      <w:r w:rsidR="00B8342F">
        <w:rPr>
          <w:rFonts w:eastAsia="Calibri" w:cs="Times New Roman"/>
          <w:i/>
          <w:color w:val="000000"/>
          <w:u w:val="single"/>
        </w:rPr>
        <w:t>Gender</w:t>
      </w:r>
    </w:p>
    <w:p w14:paraId="61B6601C" w14:textId="77777777" w:rsidR="00D04C52" w:rsidRPr="00B8342F" w:rsidRDefault="00D04C52" w:rsidP="00B8342F">
      <w:pPr>
        <w:spacing w:after="120" w:line="240" w:lineRule="auto"/>
        <w:jc w:val="both"/>
        <w:outlineLvl w:val="2"/>
        <w:rPr>
          <w:rFonts w:eastAsia="Calibri" w:cs="Times New Roman"/>
          <w:b/>
          <w:bCs/>
          <w:color w:val="000000"/>
        </w:rPr>
      </w:pPr>
      <w:r w:rsidRPr="00B8342F">
        <w:rPr>
          <w:rFonts w:eastAsia="Calibri" w:cs="Times New Roman"/>
          <w:b/>
          <w:bCs/>
          <w:color w:val="000000"/>
        </w:rPr>
        <w:t>Women</w:t>
      </w:r>
    </w:p>
    <w:p w14:paraId="2C91FED2" w14:textId="508EAA4F" w:rsidR="00A20AE4" w:rsidRDefault="00D04C52" w:rsidP="00B46744">
      <w:pPr>
        <w:spacing w:after="120" w:line="240" w:lineRule="auto"/>
        <w:jc w:val="both"/>
        <w:rPr>
          <w:rFonts w:eastAsia="Calibri" w:cs="Times New Roman"/>
          <w:i/>
          <w:color w:val="000000"/>
        </w:rPr>
      </w:pPr>
      <w:r>
        <w:rPr>
          <w:rFonts w:eastAsia="Calibri" w:cs="Times New Roman"/>
          <w:i/>
          <w:color w:val="000000"/>
        </w:rPr>
        <w:t xml:space="preserve">Among a total of </w:t>
      </w:r>
      <w:r w:rsidR="00253CDB">
        <w:rPr>
          <w:rFonts w:eastAsia="Calibri" w:cs="Times New Roman"/>
          <w:i/>
          <w:color w:val="000000"/>
        </w:rPr>
        <w:t xml:space="preserve">three </w:t>
      </w:r>
      <w:r>
        <w:rPr>
          <w:rFonts w:eastAsia="Calibri" w:cs="Times New Roman"/>
          <w:i/>
          <w:color w:val="000000"/>
        </w:rPr>
        <w:t>studies</w:t>
      </w:r>
      <w:r w:rsidR="0097175E">
        <w:rPr>
          <w:rFonts w:eastAsia="Calibri" w:cs="Times New Roman"/>
          <w:i/>
          <w:color w:val="000000"/>
        </w:rPr>
        <w:t xml:space="preserve"> </w:t>
      </w:r>
      <w:r w:rsidR="00D2134A">
        <w:rPr>
          <w:rFonts w:eastAsia="Calibri" w:cs="Times New Roman"/>
          <w:i/>
          <w:color w:val="000000"/>
        </w:rPr>
        <w:fldChar w:fldCharType="begin">
          <w:fldData xml:space="preserve">PEVuZE5vdGU+PENpdGU+PEF1dGhvcj5DdWJiaW48L0F1dGhvcj48WWVhcj4yMDEwPC9ZZWFyPjxS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PEVuZE5vdGU+PENpdGU+PEF1dGhvcj5DdWJiaW48L0F1dGhvcj48WWVhcj4yMDEwPC9ZZWFyPjxS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50" w:tooltip="Cubbin, 2010 #53" w:history="1">
        <w:r w:rsidR="00A234A9">
          <w:rPr>
            <w:rFonts w:eastAsia="Calibri" w:cs="Times New Roman"/>
            <w:i/>
            <w:noProof/>
            <w:color w:val="000000"/>
          </w:rPr>
          <w:t>50</w:t>
        </w:r>
      </w:hyperlink>
      <w:r w:rsidR="00D2134A">
        <w:rPr>
          <w:rFonts w:eastAsia="Calibri" w:cs="Times New Roman"/>
          <w:i/>
          <w:noProof/>
          <w:color w:val="000000"/>
        </w:rPr>
        <w:t xml:space="preserve">, </w:t>
      </w:r>
      <w:hyperlink w:anchor="_ENREF_69" w:tooltip="Kasza, 2014 #16" w:history="1">
        <w:r w:rsidR="00A234A9">
          <w:rPr>
            <w:rFonts w:eastAsia="Calibri" w:cs="Times New Roman"/>
            <w:i/>
            <w:noProof/>
            <w:color w:val="000000"/>
          </w:rPr>
          <w:t>69</w:t>
        </w:r>
      </w:hyperlink>
      <w:r w:rsidR="00D2134A">
        <w:rPr>
          <w:rFonts w:eastAsia="Calibri" w:cs="Times New Roman"/>
          <w:i/>
          <w:noProof/>
          <w:color w:val="000000"/>
        </w:rPr>
        <w:t xml:space="preserve">, </w:t>
      </w:r>
      <w:hyperlink w:anchor="_ENREF_70" w:tooltip="Lawrence, 2010 #52" w:history="1">
        <w:r w:rsidR="00A234A9">
          <w:rPr>
            <w:rFonts w:eastAsia="Calibri" w:cs="Times New Roman"/>
            <w:i/>
            <w:noProof/>
            <w:color w:val="000000"/>
          </w:rPr>
          <w:t>70</w:t>
        </w:r>
      </w:hyperlink>
      <w:r w:rsidR="00D2134A">
        <w:rPr>
          <w:rFonts w:eastAsia="Calibri" w:cs="Times New Roman"/>
          <w:i/>
          <w:noProof/>
          <w:color w:val="000000"/>
        </w:rPr>
        <w:t>)</w:t>
      </w:r>
      <w:r w:rsidR="00D2134A">
        <w:rPr>
          <w:rFonts w:eastAsia="Calibri" w:cs="Times New Roman"/>
          <w:i/>
          <w:color w:val="000000"/>
        </w:rPr>
        <w:fldChar w:fldCharType="end"/>
      </w:r>
      <w:r>
        <w:rPr>
          <w:rFonts w:eastAsia="Calibri" w:cs="Times New Roman"/>
          <w:i/>
          <w:color w:val="000000"/>
        </w:rPr>
        <w:t>, o</w:t>
      </w:r>
      <w:r w:rsidRPr="00A0218A">
        <w:rPr>
          <w:rFonts w:eastAsia="Calibri" w:cs="Times New Roman"/>
          <w:i/>
          <w:color w:val="000000"/>
        </w:rPr>
        <w:t>ne study found that women who began smoking before age 18 were less likely to be menthol smokers than women who started regularly smoking in adulthood</w:t>
      </w:r>
      <w:r w:rsidR="00654A89">
        <w:rPr>
          <w:rFonts w:eastAsia="Calibri" w:cs="Times New Roman"/>
          <w:i/>
          <w:color w:val="000000"/>
        </w:rPr>
        <w:t xml:space="preserve"> </w:t>
      </w:r>
      <w:r w:rsidR="00D2134A">
        <w:rPr>
          <w:rFonts w:eastAsia="Calibri" w:cs="Times New Roman"/>
          <w:i/>
          <w:color w:val="000000"/>
        </w:rPr>
        <w:fldChar w:fldCharType="begin">
          <w:fldData xml:space="preserve">PEVuZE5vdGU+PENpdGU+PEF1dGhvcj5MYXdyZW5jZTwvQXV0aG9yPjxZZWFyPjIwMTA8L1llYXI+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PEVuZE5vdGU+PENpdGU+PEF1dGhvcj5MYXdyZW5jZTwvQXV0aG9yPjxZZWFyPjIwMTA8L1llYXI+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0" w:tooltip="Lawrence, 2010 #52" w:history="1">
        <w:r w:rsidR="00A234A9">
          <w:rPr>
            <w:rFonts w:eastAsia="Calibri" w:cs="Times New Roman"/>
            <w:i/>
            <w:noProof/>
            <w:color w:val="000000"/>
          </w:rPr>
          <w:t>70</w:t>
        </w:r>
      </w:hyperlink>
      <w:r w:rsidR="00D2134A">
        <w:rPr>
          <w:rFonts w:eastAsia="Calibri" w:cs="Times New Roman"/>
          <w:i/>
          <w:noProof/>
          <w:color w:val="000000"/>
        </w:rPr>
        <w:t>)</w:t>
      </w:r>
      <w:r w:rsidR="00D2134A">
        <w:rPr>
          <w:rFonts w:eastAsia="Calibri" w:cs="Times New Roman"/>
          <w:i/>
          <w:color w:val="000000"/>
        </w:rPr>
        <w:fldChar w:fldCharType="end"/>
      </w:r>
      <w:r w:rsidRPr="00A0218A">
        <w:rPr>
          <w:rFonts w:eastAsia="Calibri" w:cs="Times New Roman"/>
          <w:i/>
          <w:color w:val="000000"/>
        </w:rPr>
        <w:t xml:space="preserve">; that finding was significant when initiation at </w:t>
      </w:r>
      <w:r w:rsidR="000C2ADF" w:rsidRPr="00A0218A">
        <w:rPr>
          <w:rFonts w:eastAsia="Calibri" w:cs="Times New Roman"/>
          <w:i/>
          <w:color w:val="000000"/>
        </w:rPr>
        <w:t>age 15, 16, or 17</w:t>
      </w:r>
      <w:r w:rsidR="000C2ADF">
        <w:rPr>
          <w:rFonts w:eastAsia="Calibri" w:cs="Times New Roman"/>
          <w:i/>
          <w:color w:val="000000"/>
        </w:rPr>
        <w:t xml:space="preserve"> </w:t>
      </w:r>
      <w:r w:rsidR="000C2ADF" w:rsidRPr="00A0218A">
        <w:rPr>
          <w:rFonts w:eastAsia="Calibri" w:cs="Times New Roman"/>
          <w:i/>
          <w:color w:val="000000"/>
        </w:rPr>
        <w:t xml:space="preserve">was compared with initiation </w:t>
      </w:r>
      <w:r w:rsidR="000C2ADF">
        <w:rPr>
          <w:rFonts w:eastAsia="Calibri" w:cs="Times New Roman"/>
          <w:i/>
          <w:color w:val="000000"/>
        </w:rPr>
        <w:t xml:space="preserve">at </w:t>
      </w:r>
      <w:r w:rsidRPr="00A0218A">
        <w:rPr>
          <w:rFonts w:eastAsia="Calibri" w:cs="Times New Roman"/>
          <w:i/>
          <w:color w:val="000000"/>
        </w:rPr>
        <w:t xml:space="preserve">or after age 18. </w:t>
      </w:r>
      <w:r w:rsidR="00823D6B">
        <w:rPr>
          <w:rFonts w:eastAsia="Calibri" w:cs="Times New Roman"/>
          <w:i/>
          <w:color w:val="000000"/>
        </w:rPr>
        <w:t xml:space="preserve">The same study also observed </w:t>
      </w:r>
      <w:r w:rsidR="00823D6B">
        <w:rPr>
          <w:rFonts w:eastAsia="Calibri" w:cs="Times New Roman"/>
          <w:i/>
          <w:noProof/>
          <w:color w:val="000000"/>
        </w:rPr>
        <w:t xml:space="preserve">no significant difference on odds of being a daily smoker between female menthol and non-menthol smokers </w:t>
      </w:r>
      <w:r w:rsidR="00D2134A">
        <w:rPr>
          <w:rFonts w:eastAsia="Calibri" w:cs="Times New Roman"/>
          <w:i/>
          <w:color w:val="000000"/>
        </w:rPr>
        <w:fldChar w:fldCharType="begin">
          <w:fldData xml:space="preserve">PEVuZE5vdGU+PENpdGU+PEF1dGhvcj5MYXdyZW5jZTwvQXV0aG9yPjxZZWFyPjIwMTA8L1llYXI+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PEVuZE5vdGU+PENpdGU+PEF1dGhvcj5MYXdyZW5jZTwvQXV0aG9yPjxZZWFyPjIwMTA8L1llYXI+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0" w:tooltip="Lawrence, 2010 #52" w:history="1">
        <w:r w:rsidR="00A234A9">
          <w:rPr>
            <w:rFonts w:eastAsia="Calibri" w:cs="Times New Roman"/>
            <w:i/>
            <w:noProof/>
            <w:color w:val="000000"/>
          </w:rPr>
          <w:t>70</w:t>
        </w:r>
      </w:hyperlink>
      <w:r w:rsidR="00D2134A">
        <w:rPr>
          <w:rFonts w:eastAsia="Calibri" w:cs="Times New Roman"/>
          <w:i/>
          <w:noProof/>
          <w:color w:val="000000"/>
        </w:rPr>
        <w:t>)</w:t>
      </w:r>
      <w:r w:rsidR="00D2134A">
        <w:rPr>
          <w:rFonts w:eastAsia="Calibri" w:cs="Times New Roman"/>
          <w:i/>
          <w:color w:val="000000"/>
        </w:rPr>
        <w:fldChar w:fldCharType="end"/>
      </w:r>
      <w:r w:rsidR="00823D6B">
        <w:rPr>
          <w:rFonts w:eastAsia="Calibri" w:cs="Times New Roman"/>
          <w:i/>
          <w:noProof/>
          <w:color w:val="000000"/>
        </w:rPr>
        <w:t xml:space="preserve">. </w:t>
      </w:r>
      <w:r w:rsidRPr="00A0218A">
        <w:rPr>
          <w:rFonts w:eastAsia="Calibri" w:cs="Times New Roman"/>
          <w:i/>
          <w:color w:val="000000"/>
        </w:rPr>
        <w:t>An analysis of female smokers by race</w:t>
      </w:r>
      <w:r w:rsidR="00BF13A5">
        <w:rPr>
          <w:rFonts w:eastAsia="Calibri" w:cs="Times New Roman"/>
          <w:i/>
          <w:color w:val="000000"/>
        </w:rPr>
        <w:t>/ethnicity</w:t>
      </w:r>
      <w:r w:rsidRPr="00A0218A">
        <w:rPr>
          <w:rFonts w:eastAsia="Calibri" w:cs="Times New Roman"/>
          <w:i/>
          <w:color w:val="000000"/>
        </w:rPr>
        <w:t xml:space="preserve"> found </w:t>
      </w:r>
      <w:r w:rsidRPr="00A0218A">
        <w:rPr>
          <w:rFonts w:eastAsia="Calibri" w:cs="Times New Roman"/>
          <w:i/>
          <w:color w:val="000000"/>
        </w:rPr>
        <w:lastRenderedPageBreak/>
        <w:t xml:space="preserve">that </w:t>
      </w:r>
      <w:r w:rsidR="00E1156E">
        <w:rPr>
          <w:rFonts w:eastAsia="Calibri" w:cs="Times New Roman"/>
          <w:i/>
          <w:color w:val="000000"/>
        </w:rPr>
        <w:t>White</w:t>
      </w:r>
      <w:r w:rsidRPr="00A0218A">
        <w:rPr>
          <w:rFonts w:eastAsia="Calibri" w:cs="Times New Roman"/>
          <w:i/>
          <w:color w:val="000000"/>
        </w:rPr>
        <w:t xml:space="preserve"> and </w:t>
      </w:r>
      <w:r w:rsidR="00E1156E">
        <w:rPr>
          <w:rFonts w:eastAsia="Calibri" w:cs="Times New Roman"/>
          <w:i/>
          <w:color w:val="000000"/>
        </w:rPr>
        <w:t>Black</w:t>
      </w:r>
      <w:r w:rsidRPr="00A0218A">
        <w:rPr>
          <w:rFonts w:eastAsia="Calibri" w:cs="Times New Roman"/>
          <w:i/>
          <w:color w:val="000000"/>
        </w:rPr>
        <w:t xml:space="preserve"> menthol smokers reported a slightly older mean age at initiation compared with non-menthol smokers</w:t>
      </w:r>
      <w:r w:rsidR="00654A89">
        <w:rPr>
          <w:rFonts w:eastAsia="Calibri" w:cs="Times New Roman"/>
          <w:i/>
          <w:color w:val="000000"/>
        </w:rPr>
        <w:t xml:space="preserve"> </w:t>
      </w:r>
      <w:r w:rsidR="00D2134A">
        <w:rPr>
          <w:rFonts w:eastAsia="Calibri" w:cs="Times New Roman"/>
          <w:i/>
          <w:color w:val="000000"/>
        </w:rPr>
        <w:fldChar w:fldCharType="begin"/>
      </w:r>
      <w:r w:rsidR="00D2134A">
        <w:rPr>
          <w:rFonts w:eastAsia="Calibri" w:cs="Times New Roman"/>
          <w:i/>
          <w:color w:val="000000"/>
        </w:rPr>
        <w:instrText xml:space="preserve"> ADDIN EN.CITE &lt;EndNote&gt;&lt;Cite&gt;&lt;Author&gt;Cubbin&lt;/Author&gt;&lt;Year&gt;2010&lt;/Year&gt;&lt;RecNum&gt;53&lt;/RecNum&gt;&lt;DisplayText&gt;(50)&lt;/DisplayText&gt;&lt;record&gt;&lt;rec-number&gt;53&lt;/rec-number&gt;&lt;foreign-keys&gt;&lt;key app="EN" db-id="a2vz2dfp8xrad6exes75zwpiw5rxwa0vwapv" timestamp="0"&gt;53&lt;/key&gt;&lt;/foreign-keys&gt;&lt;ref-type name="Journal Article"&gt;17&lt;/ref-type&gt;&lt;contributors&gt;&lt;authors&gt;&lt;author&gt;Cubbin, C.&lt;/author&gt;&lt;author&gt;Soobader, M. J.&lt;/author&gt;&lt;author&gt;LeClere, F. B.&lt;/author&gt;&lt;/authors&gt;&lt;/contributors&gt;&lt;auth-address&gt;School of Social Work, University of Texas at Austin, Austin, TX 78712-0358, USA. ccubbin@austin.utexas.edu&lt;/auth-address&gt;&lt;titles&gt;&lt;title&gt;The intersection of gender and race/ethnicity in smoking behaviors among menthol and non-menthol smokers in the United States&lt;/title&gt;&lt;secondary-title&gt;Addiction&lt;/secondary-title&gt;&lt;/titles&gt;&lt;periodical&gt;&lt;full-title&gt;Addiction&lt;/full-title&gt;&lt;/periodical&gt;&lt;pages&gt;32-8&lt;/pages&gt;&lt;volume&gt;105 Suppl 1&lt;/volume&gt;&lt;keywords&gt;&lt;keyword&gt;Adult&lt;/keyword&gt;&lt;keyword&gt;African Americans/statistics &amp;amp; numerical data&lt;/keyword&gt;&lt;keyword&gt;Age of Onset&lt;/keyword&gt;&lt;keyword&gt;Cross-Sectional Studies&lt;/keyword&gt;&lt;keyword&gt;European Continental Ancestry Group/statistics &amp;amp; numerical data&lt;/keyword&gt;&lt;keyword&gt;Female&lt;/keyword&gt;&lt;keyword&gt;Hispanic Americans/statistics &amp;amp; numerical data&lt;/keyword&gt;&lt;keyword&gt;Humans&lt;/keyword&gt;&lt;keyword&gt;Male&lt;/keyword&gt;&lt;keyword&gt;*Menthol&lt;/keyword&gt;&lt;keyword&gt;Middle Aged&lt;/keyword&gt;&lt;keyword&gt;*Population Surveillance&lt;/keyword&gt;&lt;keyword&gt;Sex Factors&lt;/keyword&gt;&lt;keyword&gt;Smoking/*epidemiology/ethnology&lt;/keyword&gt;&lt;keyword&gt;Smoking Cessation/ethnology/statistics &amp;amp; numerical data&lt;/keyword&gt;&lt;keyword&gt;Socioeconomic Factors&lt;/keyword&gt;&lt;keyword&gt;United States/epidemiology&lt;/keyword&gt;&lt;/keywords&gt;&lt;dates&gt;&lt;year&gt;2010&lt;/year&gt;&lt;pub-dates&gt;&lt;date&gt;Dec&lt;/date&gt;&lt;/pub-dates&gt;&lt;/dates&gt;&lt;isbn&gt;1360-0443 (Electronic)&amp;#xD;0965-2140 (Linking)&lt;/isbn&gt;&lt;accession-num&gt;21059134&lt;/accession-num&gt;&lt;urls&gt;&lt;related-urls&gt;&lt;url&gt;http://www.ncbi.nlm.nih.gov/pubmed/21059134&lt;/url&gt;&lt;/related-urls&gt;&lt;/urls&gt;&lt;electronic-resource-num&gt;10.1111/j.1360-0443.2010.03191.x&lt;/electronic-resource-num&gt;&lt;research-notes&gt;#281&lt;/research-notes&gt;&lt;/record&gt;&lt;/Cite&gt;&lt;/EndNote&gt;</w:instrText>
      </w:r>
      <w:r w:rsidR="00D2134A">
        <w:rPr>
          <w:rFonts w:eastAsia="Calibri" w:cs="Times New Roman"/>
          <w:i/>
          <w:color w:val="000000"/>
        </w:rPr>
        <w:fldChar w:fldCharType="separate"/>
      </w:r>
      <w:r w:rsidR="00D2134A">
        <w:rPr>
          <w:rFonts w:eastAsia="Calibri" w:cs="Times New Roman"/>
          <w:i/>
          <w:noProof/>
          <w:color w:val="000000"/>
        </w:rPr>
        <w:t>(</w:t>
      </w:r>
      <w:hyperlink w:anchor="_ENREF_50" w:tooltip="Cubbin, 2010 #53" w:history="1">
        <w:r w:rsidR="00A234A9">
          <w:rPr>
            <w:rFonts w:eastAsia="Calibri" w:cs="Times New Roman"/>
            <w:i/>
            <w:noProof/>
            <w:color w:val="000000"/>
          </w:rPr>
          <w:t>50</w:t>
        </w:r>
      </w:hyperlink>
      <w:r w:rsidR="00D2134A">
        <w:rPr>
          <w:rFonts w:eastAsia="Calibri" w:cs="Times New Roman"/>
          <w:i/>
          <w:noProof/>
          <w:color w:val="000000"/>
        </w:rPr>
        <w:t>)</w:t>
      </w:r>
      <w:r w:rsidR="00D2134A">
        <w:rPr>
          <w:rFonts w:eastAsia="Calibri" w:cs="Times New Roman"/>
          <w:i/>
          <w:color w:val="000000"/>
        </w:rPr>
        <w:fldChar w:fldCharType="end"/>
      </w:r>
      <w:r w:rsidRPr="00A0218A">
        <w:rPr>
          <w:rFonts w:eastAsia="Calibri" w:cs="Times New Roman"/>
          <w:i/>
          <w:color w:val="000000"/>
        </w:rPr>
        <w:t xml:space="preserve">; there was no difference among Hispanic women. Another study found that women were </w:t>
      </w:r>
      <w:r w:rsidR="000C2ADF">
        <w:rPr>
          <w:rFonts w:eastAsia="Calibri" w:cs="Times New Roman"/>
          <w:i/>
          <w:color w:val="000000"/>
        </w:rPr>
        <w:t>no different from</w:t>
      </w:r>
      <w:r w:rsidRPr="00A0218A">
        <w:rPr>
          <w:rFonts w:eastAsia="Calibri" w:cs="Times New Roman"/>
          <w:i/>
          <w:color w:val="000000"/>
        </w:rPr>
        <w:t xml:space="preserve"> men </w:t>
      </w:r>
      <w:r w:rsidR="000C2ADF">
        <w:rPr>
          <w:rFonts w:eastAsia="Calibri" w:cs="Times New Roman"/>
          <w:i/>
          <w:color w:val="000000"/>
        </w:rPr>
        <w:t>in the likelihood of</w:t>
      </w:r>
      <w:r w:rsidR="000C2ADF" w:rsidRPr="00A0218A">
        <w:rPr>
          <w:rFonts w:eastAsia="Calibri" w:cs="Times New Roman"/>
          <w:i/>
          <w:color w:val="000000"/>
        </w:rPr>
        <w:t xml:space="preserve"> </w:t>
      </w:r>
      <w:r w:rsidRPr="00A0218A">
        <w:rPr>
          <w:rFonts w:eastAsia="Calibri" w:cs="Times New Roman"/>
          <w:i/>
          <w:color w:val="000000"/>
        </w:rPr>
        <w:t>switch</w:t>
      </w:r>
      <w:r w:rsidR="000C2ADF">
        <w:rPr>
          <w:rFonts w:eastAsia="Calibri" w:cs="Times New Roman"/>
          <w:i/>
          <w:color w:val="000000"/>
        </w:rPr>
        <w:t>ing</w:t>
      </w:r>
      <w:r w:rsidRPr="00A0218A">
        <w:rPr>
          <w:rFonts w:eastAsia="Calibri" w:cs="Times New Roman"/>
          <w:i/>
          <w:color w:val="000000"/>
        </w:rPr>
        <w:t xml:space="preserve"> from non-menthol to menthol cigarettes</w:t>
      </w:r>
      <w:r w:rsidR="000C2ADF">
        <w:rPr>
          <w:rFonts w:eastAsia="Calibri" w:cs="Times New Roman"/>
          <w:i/>
          <w:color w:val="000000"/>
        </w:rPr>
        <w:t xml:space="preserve"> </w:t>
      </w:r>
      <w:r w:rsidR="00D2134A">
        <w:rPr>
          <w:rFonts w:eastAsia="Calibri" w:cs="Times New Roman"/>
          <w:i/>
          <w:color w:val="000000"/>
        </w:rPr>
        <w:fldChar w:fldCharType="begin">
          <w:fldData xml:space="preserve">PEVuZE5vdGU+PENpdGU+PEF1dGhvcj5LYXN6YTwvQXV0aG9yPjxZZWFyPjIwMTQ8L1llYXI+PFJl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PEVuZE5vdGU+PENpdGU+PEF1dGhvcj5LYXN6YTwvQXV0aG9yPjxZZWFyPjIwMTQ8L1llYXI+PFJl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69" w:tooltip="Kasza, 2014 #16" w:history="1">
        <w:r w:rsidR="00A234A9">
          <w:rPr>
            <w:rFonts w:eastAsia="Calibri" w:cs="Times New Roman"/>
            <w:i/>
            <w:noProof/>
            <w:color w:val="000000"/>
          </w:rPr>
          <w:t>69</w:t>
        </w:r>
      </w:hyperlink>
      <w:r w:rsidR="00D2134A">
        <w:rPr>
          <w:rFonts w:eastAsia="Calibri" w:cs="Times New Roman"/>
          <w:i/>
          <w:noProof/>
          <w:color w:val="000000"/>
        </w:rPr>
        <w:t>)</w:t>
      </w:r>
      <w:r w:rsidR="00D2134A">
        <w:rPr>
          <w:rFonts w:eastAsia="Calibri" w:cs="Times New Roman"/>
          <w:i/>
          <w:color w:val="000000"/>
        </w:rPr>
        <w:fldChar w:fldCharType="end"/>
      </w:r>
      <w:r w:rsidR="00A20AE4">
        <w:rPr>
          <w:rFonts w:eastAsia="Calibri" w:cs="Times New Roman"/>
          <w:i/>
          <w:color w:val="000000"/>
        </w:rPr>
        <w:t>.</w:t>
      </w:r>
    </w:p>
    <w:p w14:paraId="77E9804C" w14:textId="7099A0DA" w:rsidR="00D04C52" w:rsidRPr="00A0218A" w:rsidRDefault="00D04C52" w:rsidP="00B46744">
      <w:pPr>
        <w:spacing w:after="120" w:line="240" w:lineRule="auto"/>
        <w:jc w:val="both"/>
        <w:rPr>
          <w:rFonts w:eastAsia="Calibri" w:cs="Times New Roman"/>
          <w:color w:val="000000"/>
        </w:rPr>
      </w:pPr>
      <w:r>
        <w:rPr>
          <w:rFonts w:eastAsia="Calibri" w:cs="Times New Roman"/>
          <w:color w:val="000000"/>
        </w:rPr>
        <w:t xml:space="preserve">Kasza et al. </w:t>
      </w:r>
      <w:r w:rsidR="00D2134A">
        <w:rPr>
          <w:rFonts w:eastAsia="Calibri" w:cs="Times New Roman"/>
          <w:color w:val="000000"/>
        </w:rPr>
        <w:fldChar w:fldCharType="begin">
          <w:fldData xml:space="preserve">PEVuZE5vdGU+PENpdGU+PEF1dGhvcj5LYXN6YTwvQXV0aG9yPjxZZWFyPjIwMTQ8L1llYXI+PFJl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PEVuZE5vdGU+PENpdGU+PEF1dGhvcj5LYXN6YTwvQXV0aG9yPjxZZWFyPjIwMTQ8L1llYXI+PFJl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69" w:tooltip="Kasza, 2014 #16" w:history="1">
        <w:r w:rsidR="00A234A9">
          <w:rPr>
            <w:rFonts w:eastAsia="Calibri" w:cs="Times New Roman"/>
            <w:noProof/>
            <w:color w:val="000000"/>
          </w:rPr>
          <w:t>69</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w:t>
      </w:r>
      <w:r>
        <w:rPr>
          <w:rFonts w:eastAsia="Calibri" w:cs="Times New Roman"/>
          <w:color w:val="000000"/>
        </w:rPr>
        <w:t>reported that</w:t>
      </w:r>
      <w:r w:rsidRPr="00A0218A">
        <w:rPr>
          <w:rFonts w:eastAsia="Calibri" w:cs="Times New Roman"/>
          <w:color w:val="000000"/>
        </w:rPr>
        <w:t xml:space="preserve"> </w:t>
      </w:r>
      <w:r>
        <w:rPr>
          <w:rFonts w:eastAsia="Calibri" w:cs="Times New Roman"/>
          <w:color w:val="000000"/>
        </w:rPr>
        <w:t>a</w:t>
      </w:r>
      <w:r w:rsidRPr="00A0218A">
        <w:rPr>
          <w:rFonts w:eastAsia="Calibri" w:cs="Times New Roman"/>
          <w:color w:val="000000"/>
        </w:rPr>
        <w:t>mong participants who initially reported smoking menthol cigarettes, men were slightly more likely to switch to non-menthol cigarettes than women</w:t>
      </w:r>
      <w:r w:rsidR="00F57E9E">
        <w:rPr>
          <w:rFonts w:eastAsia="Calibri" w:cs="Times New Roman"/>
          <w:color w:val="000000"/>
        </w:rPr>
        <w:t xml:space="preserve"> but not sig</w:t>
      </w:r>
      <w:r w:rsidR="00B54B65">
        <w:rPr>
          <w:rFonts w:eastAsia="Calibri" w:cs="Times New Roman"/>
          <w:color w:val="000000"/>
        </w:rPr>
        <w:t>ni</w:t>
      </w:r>
      <w:r w:rsidR="00F57E9E">
        <w:rPr>
          <w:rFonts w:eastAsia="Calibri" w:cs="Times New Roman"/>
          <w:color w:val="000000"/>
        </w:rPr>
        <w:t>ficantly</w:t>
      </w:r>
      <w:r w:rsidRPr="00A0218A">
        <w:rPr>
          <w:rFonts w:eastAsia="Calibri" w:cs="Times New Roman"/>
          <w:color w:val="000000"/>
        </w:rPr>
        <w:t xml:space="preserve"> (OR=1.11, 95% CI: 0.74 to 1.67). Among participants who initially reported smoking non-menthol cigarettes, men were </w:t>
      </w:r>
      <w:r w:rsidR="000C2ADF">
        <w:rPr>
          <w:rFonts w:eastAsia="Calibri" w:cs="Times New Roman"/>
          <w:color w:val="000000"/>
        </w:rPr>
        <w:t>no different than</w:t>
      </w:r>
      <w:r w:rsidRPr="00A0218A">
        <w:rPr>
          <w:rFonts w:eastAsia="Calibri" w:cs="Times New Roman"/>
          <w:color w:val="000000"/>
        </w:rPr>
        <w:t xml:space="preserve"> women </w:t>
      </w:r>
      <w:r w:rsidR="000C2ADF">
        <w:rPr>
          <w:rFonts w:eastAsia="Calibri" w:cs="Times New Roman"/>
          <w:color w:val="000000"/>
        </w:rPr>
        <w:t>in the likelihood of</w:t>
      </w:r>
      <w:r w:rsidR="000C2ADF" w:rsidRPr="00A0218A">
        <w:rPr>
          <w:rFonts w:eastAsia="Calibri" w:cs="Times New Roman"/>
          <w:color w:val="000000"/>
        </w:rPr>
        <w:t xml:space="preserve"> </w:t>
      </w:r>
      <w:r w:rsidRPr="00A0218A">
        <w:rPr>
          <w:rFonts w:eastAsia="Calibri" w:cs="Times New Roman"/>
          <w:color w:val="000000"/>
        </w:rPr>
        <w:t>switch</w:t>
      </w:r>
      <w:r w:rsidR="000C2ADF">
        <w:rPr>
          <w:rFonts w:eastAsia="Calibri" w:cs="Times New Roman"/>
          <w:color w:val="000000"/>
        </w:rPr>
        <w:t>ing</w:t>
      </w:r>
      <w:r w:rsidRPr="00A0218A">
        <w:rPr>
          <w:rFonts w:eastAsia="Calibri" w:cs="Times New Roman"/>
          <w:color w:val="000000"/>
        </w:rPr>
        <w:t xml:space="preserve"> from non-menthol to menthol (OR=0.88, 95% CI: 0.59 to 1.32).</w:t>
      </w:r>
    </w:p>
    <w:p w14:paraId="53EBE4C9" w14:textId="2B014833" w:rsidR="00D04C52" w:rsidRPr="00A0218A" w:rsidRDefault="00D04C52" w:rsidP="00B8342F">
      <w:pPr>
        <w:spacing w:after="240" w:line="240" w:lineRule="auto"/>
        <w:jc w:val="both"/>
        <w:rPr>
          <w:rFonts w:eastAsia="Calibri" w:cs="Times New Roman"/>
          <w:color w:val="000000"/>
        </w:rPr>
      </w:pPr>
      <w:r w:rsidRPr="00A0218A">
        <w:rPr>
          <w:rFonts w:eastAsia="Calibri" w:cs="Times New Roman"/>
          <w:color w:val="000000"/>
        </w:rPr>
        <w:t xml:space="preserve">Lawrence et al. </w:t>
      </w:r>
      <w:r w:rsidR="00D2134A">
        <w:rPr>
          <w:rFonts w:eastAsia="Calibri" w:cs="Times New Roman"/>
          <w:color w:val="000000"/>
        </w:rPr>
        <w:fldChar w:fldCharType="begin">
          <w:fldData xml:space="preserve">PEVuZE5vdGU+PENpdGU+PEF1dGhvcj5MYXdyZW5jZTwvQXV0aG9yPjxZZWFyPjIwMTA8L1llYXI+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PEVuZE5vdGU+PENpdGU+PEF1dGhvcj5MYXdyZW5jZTwvQXV0aG9yPjxZZWFyPjIwMTA8L1llYXI+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70" w:tooltip="Lawrence, 2010 #52" w:history="1">
        <w:r w:rsidR="00A234A9">
          <w:rPr>
            <w:rFonts w:eastAsia="Calibri" w:cs="Times New Roman"/>
            <w:noProof/>
            <w:color w:val="000000"/>
          </w:rPr>
          <w:t>70</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analyzed data from the 2003 and 2006/07 TUS-CPS and found that women who began smoking regularly before age 18 had lower odds of being menthol smokers. Compared with women who began smoking at or after age 18, women who began before age 15 were </w:t>
      </w:r>
      <w:r w:rsidR="000C2ADF">
        <w:rPr>
          <w:rFonts w:eastAsia="Calibri" w:cs="Times New Roman"/>
          <w:color w:val="000000"/>
        </w:rPr>
        <w:t>no different in their likelihood</w:t>
      </w:r>
      <w:r w:rsidRPr="00A0218A">
        <w:rPr>
          <w:rFonts w:eastAsia="Calibri" w:cs="Times New Roman"/>
          <w:color w:val="000000"/>
        </w:rPr>
        <w:t xml:space="preserve"> to be menthol smokers (OR=0.89. 95% CI: 0.79 to 1.01). Women who began smoking at age 15, 16, or 17 were significantly less likely to be menthol users, compared with older initiators (OR=0.90, 95% CI: 0.82 to 0.99).</w:t>
      </w:r>
      <w:r w:rsidR="00823D6B">
        <w:rPr>
          <w:rFonts w:eastAsia="Calibri" w:cs="Times New Roman"/>
          <w:color w:val="000000"/>
        </w:rPr>
        <w:t xml:space="preserve"> </w:t>
      </w:r>
      <w:r w:rsidR="00B8342F">
        <w:rPr>
          <w:rFonts w:eastAsia="Calibri"/>
          <w:color w:val="000000"/>
        </w:rPr>
        <w:t>I</w:t>
      </w:r>
      <w:r w:rsidR="00801E52">
        <w:rPr>
          <w:rFonts w:eastAsia="Calibri"/>
          <w:color w:val="000000"/>
        </w:rPr>
        <w:t xml:space="preserve">n </w:t>
      </w:r>
      <w:r w:rsidR="00B8342F">
        <w:rPr>
          <w:rFonts w:eastAsia="Calibri"/>
          <w:color w:val="000000"/>
        </w:rPr>
        <w:t xml:space="preserve">an </w:t>
      </w:r>
      <w:r w:rsidR="00801E52">
        <w:rPr>
          <w:rFonts w:eastAsia="Calibri"/>
          <w:color w:val="000000"/>
        </w:rPr>
        <w:t xml:space="preserve">analysis </w:t>
      </w:r>
      <w:r w:rsidR="00B8342F">
        <w:rPr>
          <w:rFonts w:eastAsia="Calibri"/>
          <w:iCs/>
          <w:noProof/>
          <w:color w:val="000000"/>
        </w:rPr>
        <w:t>investigating</w:t>
      </w:r>
      <w:r w:rsidR="00801E52" w:rsidRPr="00B8342F">
        <w:rPr>
          <w:rFonts w:eastAsia="Calibri"/>
          <w:iCs/>
          <w:noProof/>
          <w:color w:val="000000"/>
        </w:rPr>
        <w:t xml:space="preserve"> </w:t>
      </w:r>
      <w:r w:rsidR="00801E52" w:rsidRPr="00B8342F">
        <w:rPr>
          <w:rFonts w:eastAsia="Calibri"/>
          <w:bCs/>
          <w:iCs/>
          <w:noProof/>
          <w:color w:val="000000"/>
        </w:rPr>
        <w:t>initiation and progression to regular smoking/increase in smoking over time,</w:t>
      </w:r>
      <w:r w:rsidR="00801E52" w:rsidRPr="00B8342F">
        <w:rPr>
          <w:iCs/>
          <w:color w:val="000000"/>
        </w:rPr>
        <w:t xml:space="preserve"> </w:t>
      </w:r>
      <w:r w:rsidR="00823D6B" w:rsidRPr="00801E52">
        <w:rPr>
          <w:rFonts w:eastAsia="Calibri" w:cs="Times New Roman"/>
          <w:iCs/>
          <w:color w:val="000000"/>
        </w:rPr>
        <w:t>daily smokers had</w:t>
      </w:r>
      <w:r w:rsidR="00823D6B" w:rsidRPr="00A76B60">
        <w:rPr>
          <w:rFonts w:eastAsia="Calibri" w:cs="Times New Roman"/>
          <w:color w:val="000000"/>
        </w:rPr>
        <w:t xml:space="preserve"> </w:t>
      </w:r>
      <w:r w:rsidR="00B8342F">
        <w:rPr>
          <w:rFonts w:eastAsia="Calibri" w:cs="Times New Roman"/>
          <w:color w:val="000000"/>
        </w:rPr>
        <w:t>the same</w:t>
      </w:r>
      <w:r w:rsidR="00823D6B" w:rsidRPr="00A76B60">
        <w:rPr>
          <w:rFonts w:eastAsia="Calibri" w:cs="Times New Roman"/>
          <w:color w:val="000000"/>
        </w:rPr>
        <w:t xml:space="preserve"> odds of being a menthol smoker (vs. a non-menthol smoker), compared with non-daily smokers (</w:t>
      </w:r>
      <w:r w:rsidR="00823D6B">
        <w:rPr>
          <w:rFonts w:eastAsia="Calibri" w:cs="Times New Roman"/>
          <w:color w:val="000000"/>
        </w:rPr>
        <w:t>OR=1.09, 95% CI: 0.93 to 1.29).</w:t>
      </w:r>
    </w:p>
    <w:p w14:paraId="1BB4D28E" w14:textId="7F0BD1DA" w:rsidR="00823D6B" w:rsidRDefault="00D04C52" w:rsidP="00B46744">
      <w:pPr>
        <w:spacing w:after="240" w:line="240" w:lineRule="auto"/>
        <w:jc w:val="both"/>
        <w:rPr>
          <w:rFonts w:eastAsia="Times New Roman" w:cs="Times New Roman"/>
          <w:color w:val="000000"/>
        </w:rPr>
      </w:pPr>
      <w:r>
        <w:rPr>
          <w:rFonts w:eastAsia="Times New Roman" w:cs="Times New Roman"/>
          <w:color w:val="000000"/>
        </w:rPr>
        <w:t>According to the investigation by</w:t>
      </w:r>
      <w:r w:rsidRPr="00A0218A">
        <w:rPr>
          <w:rFonts w:eastAsia="Times New Roman" w:cs="Times New Roman"/>
          <w:color w:val="000000"/>
        </w:rPr>
        <w:t xml:space="preserve"> Cubbin et al</w:t>
      </w:r>
      <w:r w:rsidR="008E0F07">
        <w:rPr>
          <w:rFonts w:eastAsia="Times New Roman" w:cs="Times New Roman"/>
          <w:color w:val="000000"/>
        </w:rPr>
        <w:t xml:space="preserve">. </w:t>
      </w:r>
      <w:r w:rsidR="00D2134A">
        <w:rPr>
          <w:rFonts w:eastAsia="Times New Roman" w:cs="Times New Roman"/>
          <w:color w:val="000000"/>
        </w:rPr>
        <w:fldChar w:fldCharType="begin">
          <w:fldData xml:space="preserve">PEVuZE5vdGU+PENpdGUgRXhjbHVkZUF1dGg9IjEiIEV4Y2x1ZGVZZWFyPSIxIj48QXV0aG9yPkN1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</w:fldData>
        </w:fldChar>
      </w:r>
      <w:r w:rsidR="00D2134A">
        <w:rPr>
          <w:rFonts w:eastAsia="Times New Roman" w:cs="Times New Roman"/>
          <w:color w:val="000000"/>
        </w:rPr>
        <w:instrText xml:space="preserve"> ADDIN EN.CITE </w:instrText>
      </w:r>
      <w:r w:rsidR="00D2134A">
        <w:rPr>
          <w:rFonts w:eastAsia="Times New Roman" w:cs="Times New Roman"/>
          <w:color w:val="000000"/>
        </w:rPr>
        <w:fldChar w:fldCharType="begin">
          <w:fldData xml:space="preserve">PEVuZE5vdGU+PENpdGUgRXhjbHVkZUF1dGg9IjEiIEV4Y2x1ZGVZZWFyPSIxIj48QXV0aG9yPkN1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</w:fldData>
        </w:fldChar>
      </w:r>
      <w:r w:rsidR="00D2134A">
        <w:rPr>
          <w:rFonts w:eastAsia="Times New Roman" w:cs="Times New Roman"/>
          <w:color w:val="000000"/>
        </w:rPr>
        <w:instrText xml:space="preserve"> ADDIN EN.CITE.DATA </w:instrText>
      </w:r>
      <w:r w:rsidR="00D2134A">
        <w:rPr>
          <w:rFonts w:eastAsia="Times New Roman" w:cs="Times New Roman"/>
          <w:color w:val="000000"/>
        </w:rPr>
      </w:r>
      <w:r w:rsidR="00D2134A">
        <w:rPr>
          <w:rFonts w:eastAsia="Times New Roman" w:cs="Times New Roman"/>
          <w:color w:val="000000"/>
        </w:rPr>
        <w:fldChar w:fldCharType="end"/>
      </w:r>
      <w:r w:rsidR="00D2134A">
        <w:rPr>
          <w:rFonts w:eastAsia="Times New Roman" w:cs="Times New Roman"/>
          <w:color w:val="000000"/>
        </w:rPr>
        <w:fldChar w:fldCharType="separate"/>
      </w:r>
      <w:r w:rsidR="00D2134A">
        <w:rPr>
          <w:rFonts w:eastAsia="Times New Roman" w:cs="Times New Roman"/>
          <w:noProof/>
          <w:color w:val="000000"/>
        </w:rPr>
        <w:t>(</w:t>
      </w:r>
      <w:hyperlink w:anchor="_ENREF_50" w:tooltip="Cubbin, 2010 #53" w:history="1">
        <w:r w:rsidR="00A234A9">
          <w:rPr>
            <w:rFonts w:eastAsia="Times New Roman" w:cs="Times New Roman"/>
            <w:noProof/>
            <w:color w:val="000000"/>
          </w:rPr>
          <w:t>50</w:t>
        </w:r>
      </w:hyperlink>
      <w:r w:rsidR="00D2134A">
        <w:rPr>
          <w:rFonts w:eastAsia="Times New Roman" w:cs="Times New Roman"/>
          <w:color w:val="000000"/>
        </w:rPr>
        <w:fldChar w:fldCharType="end"/>
      </w:r>
      <w:r w:rsidR="008E0F07">
        <w:rPr>
          <w:rFonts w:eastAsia="Times New Roman" w:cs="Times New Roman"/>
          <w:color w:val="000000"/>
        </w:rPr>
        <w:t>)</w:t>
      </w:r>
      <w:r w:rsidR="00EA4065">
        <w:rPr>
          <w:rFonts w:eastAsia="Times New Roman" w:cs="Times New Roman"/>
          <w:color w:val="000000"/>
        </w:rPr>
        <w:t xml:space="preserve"> </w:t>
      </w:r>
      <w:r>
        <w:rPr>
          <w:rFonts w:eastAsia="Times New Roman" w:cs="Times New Roman"/>
          <w:color w:val="000000"/>
        </w:rPr>
        <w:t>suggest</w:t>
      </w:r>
      <w:r w:rsidR="008B4742">
        <w:rPr>
          <w:rFonts w:eastAsia="Times New Roman" w:cs="Times New Roman"/>
          <w:color w:val="000000"/>
        </w:rPr>
        <w:t>s</w:t>
      </w:r>
      <w:r>
        <w:rPr>
          <w:rFonts w:eastAsia="Times New Roman" w:cs="Times New Roman"/>
          <w:color w:val="000000"/>
        </w:rPr>
        <w:t xml:space="preserve"> that</w:t>
      </w:r>
      <w:r w:rsidRPr="00A0218A">
        <w:rPr>
          <w:rFonts w:eastAsia="Times New Roman" w:cs="Times New Roman"/>
          <w:color w:val="000000"/>
        </w:rPr>
        <w:t xml:space="preserve"> the predicted mean age at initiation </w:t>
      </w:r>
      <w:r>
        <w:rPr>
          <w:rFonts w:eastAsia="Times New Roman" w:cs="Times New Roman"/>
          <w:color w:val="000000"/>
        </w:rPr>
        <w:t xml:space="preserve">for </w:t>
      </w:r>
      <w:r w:rsidR="00E1156E">
        <w:rPr>
          <w:rFonts w:eastAsia="Times New Roman" w:cs="Times New Roman"/>
          <w:color w:val="000000"/>
        </w:rPr>
        <w:t>White</w:t>
      </w:r>
      <w:r>
        <w:rPr>
          <w:rFonts w:eastAsia="Times New Roman" w:cs="Times New Roman"/>
          <w:color w:val="000000"/>
        </w:rPr>
        <w:t xml:space="preserve"> women </w:t>
      </w:r>
      <w:r w:rsidRPr="00A0218A">
        <w:rPr>
          <w:rFonts w:eastAsia="Times New Roman" w:cs="Times New Roman"/>
          <w:color w:val="000000"/>
        </w:rPr>
        <w:t xml:space="preserve">was </w:t>
      </w:r>
      <w:r w:rsidR="00F57E9E">
        <w:rPr>
          <w:rFonts w:eastAsia="Times New Roman" w:cs="Times New Roman"/>
          <w:color w:val="000000"/>
        </w:rPr>
        <w:t xml:space="preserve">no different from between menthol and non-menthol smokers </w:t>
      </w:r>
      <w:r w:rsidRPr="00A0218A">
        <w:rPr>
          <w:rFonts w:eastAsia="Times New Roman" w:cs="Times New Roman"/>
          <w:color w:val="000000"/>
        </w:rPr>
        <w:t>(17.7 years, 99% CI: 17.0 to 18.5</w:t>
      </w:r>
      <w:r w:rsidR="00F57E9E">
        <w:rPr>
          <w:rFonts w:eastAsia="Times New Roman" w:cs="Times New Roman"/>
          <w:color w:val="000000"/>
        </w:rPr>
        <w:t xml:space="preserve"> for menthol versus </w:t>
      </w:r>
      <w:r w:rsidRPr="00A0218A">
        <w:rPr>
          <w:rFonts w:eastAsia="Times New Roman" w:cs="Times New Roman"/>
          <w:color w:val="000000"/>
        </w:rPr>
        <w:t>17.5 years, 99% CI: 17.1 to 17.8</w:t>
      </w:r>
      <w:r w:rsidR="00F57E9E">
        <w:rPr>
          <w:rFonts w:eastAsia="Times New Roman" w:cs="Times New Roman"/>
          <w:color w:val="000000"/>
        </w:rPr>
        <w:t xml:space="preserve"> for non-menthol</w:t>
      </w:r>
      <w:r w:rsidRPr="00A0218A">
        <w:rPr>
          <w:rFonts w:eastAsia="Times New Roman" w:cs="Times New Roman"/>
          <w:color w:val="000000"/>
        </w:rPr>
        <w:t xml:space="preserve">). Among </w:t>
      </w:r>
      <w:r w:rsidR="00E1156E">
        <w:rPr>
          <w:rFonts w:eastAsia="Times New Roman" w:cs="Times New Roman"/>
          <w:color w:val="000000"/>
        </w:rPr>
        <w:t>Black</w:t>
      </w:r>
      <w:r w:rsidRPr="00A0218A">
        <w:rPr>
          <w:rFonts w:eastAsia="Times New Roman" w:cs="Times New Roman"/>
          <w:color w:val="000000"/>
        </w:rPr>
        <w:t xml:space="preserve"> women, the predicted mean age was also older among menthol smokers (19.8 years, 99% CI: 18.9 to 20.8) compared with non-menthol smokers (19.2 years, 99% CI: 17.4 to 20.9). The predicted mean age of initiation was identical for Hispanic women (19.9 years)</w:t>
      </w:r>
      <w:r w:rsidR="00A20AE4">
        <w:rPr>
          <w:rFonts w:eastAsia="Times New Roman" w:cs="Times New Roman"/>
          <w:color w:val="000000"/>
        </w:rPr>
        <w:t>.</w:t>
      </w:r>
    </w:p>
    <w:p w14:paraId="02FE5BC5" w14:textId="77777777" w:rsidR="00D04C52" w:rsidRPr="00B8342F" w:rsidRDefault="00D04C52" w:rsidP="00B8342F">
      <w:pPr>
        <w:spacing w:after="120" w:line="240" w:lineRule="auto"/>
        <w:jc w:val="both"/>
        <w:outlineLvl w:val="2"/>
        <w:rPr>
          <w:rFonts w:eastAsia="Calibri" w:cs="Times New Roman"/>
          <w:b/>
          <w:bCs/>
          <w:i/>
          <w:color w:val="000000"/>
        </w:rPr>
      </w:pPr>
      <w:r w:rsidRPr="00B8342F">
        <w:rPr>
          <w:rFonts w:eastAsia="Calibri" w:cs="Times New Roman"/>
          <w:b/>
          <w:bCs/>
          <w:color w:val="000000"/>
        </w:rPr>
        <w:t>Men</w:t>
      </w:r>
    </w:p>
    <w:p w14:paraId="7313414C" w14:textId="39B84024" w:rsidR="00A20AE4" w:rsidRDefault="00D04C52" w:rsidP="00B46744">
      <w:pPr>
        <w:spacing w:after="120" w:line="240" w:lineRule="auto"/>
        <w:jc w:val="both"/>
        <w:rPr>
          <w:rFonts w:eastAsia="Calibri" w:cs="Times New Roman"/>
          <w:i/>
          <w:color w:val="000000"/>
        </w:rPr>
      </w:pPr>
      <w:r>
        <w:rPr>
          <w:rFonts w:eastAsia="Calibri" w:cs="Times New Roman"/>
          <w:i/>
          <w:color w:val="000000"/>
        </w:rPr>
        <w:t>Among a total of three studies</w:t>
      </w:r>
      <w:r w:rsidR="00F57E9E">
        <w:rPr>
          <w:rFonts w:eastAsia="Calibri" w:cs="Times New Roman"/>
          <w:i/>
          <w:color w:val="000000"/>
        </w:rPr>
        <w:t xml:space="preserve"> </w:t>
      </w:r>
      <w:r w:rsidR="00D2134A">
        <w:rPr>
          <w:rFonts w:eastAsia="Calibri" w:cs="Times New Roman"/>
          <w:i/>
          <w:color w:val="000000"/>
        </w:rPr>
        <w:fldChar w:fldCharType="begin">
          <w:fldData xml:space="preserve">PEVuZE5vdGU+PENpdGU+PEF1dGhvcj5DdWJiaW48L0F1dGhvcj48WWVhcj4yMDEwPC9ZZWFyPjxS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PEVuZE5vdGU+PENpdGU+PEF1dGhvcj5DdWJiaW48L0F1dGhvcj48WWVhcj4yMDEwPC9ZZWFyPjxS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50" w:tooltip="Cubbin, 2010 #53" w:history="1">
        <w:r w:rsidR="00A234A9">
          <w:rPr>
            <w:rFonts w:eastAsia="Calibri" w:cs="Times New Roman"/>
            <w:i/>
            <w:noProof/>
            <w:color w:val="000000"/>
          </w:rPr>
          <w:t>50</w:t>
        </w:r>
      </w:hyperlink>
      <w:r w:rsidR="00D2134A">
        <w:rPr>
          <w:rFonts w:eastAsia="Calibri" w:cs="Times New Roman"/>
          <w:i/>
          <w:noProof/>
          <w:color w:val="000000"/>
        </w:rPr>
        <w:t xml:space="preserve">, </w:t>
      </w:r>
      <w:hyperlink w:anchor="_ENREF_69" w:tooltip="Kasza, 2014 #16" w:history="1">
        <w:r w:rsidR="00A234A9">
          <w:rPr>
            <w:rFonts w:eastAsia="Calibri" w:cs="Times New Roman"/>
            <w:i/>
            <w:noProof/>
            <w:color w:val="000000"/>
          </w:rPr>
          <w:t>69</w:t>
        </w:r>
      </w:hyperlink>
      <w:r w:rsidR="00D2134A">
        <w:rPr>
          <w:rFonts w:eastAsia="Calibri" w:cs="Times New Roman"/>
          <w:i/>
          <w:noProof/>
          <w:color w:val="000000"/>
        </w:rPr>
        <w:t xml:space="preserve">, </w:t>
      </w:r>
      <w:hyperlink w:anchor="_ENREF_70" w:tooltip="Lawrence, 2010 #52" w:history="1">
        <w:r w:rsidR="00A234A9">
          <w:rPr>
            <w:rFonts w:eastAsia="Calibri" w:cs="Times New Roman"/>
            <w:i/>
            <w:noProof/>
            <w:color w:val="000000"/>
          </w:rPr>
          <w:t>70</w:t>
        </w:r>
      </w:hyperlink>
      <w:r w:rsidR="00D2134A">
        <w:rPr>
          <w:rFonts w:eastAsia="Calibri" w:cs="Times New Roman"/>
          <w:i/>
          <w:noProof/>
          <w:color w:val="000000"/>
        </w:rPr>
        <w:t>)</w:t>
      </w:r>
      <w:r w:rsidR="00D2134A">
        <w:rPr>
          <w:rFonts w:eastAsia="Calibri" w:cs="Times New Roman"/>
          <w:i/>
          <w:color w:val="000000"/>
        </w:rPr>
        <w:fldChar w:fldCharType="end"/>
      </w:r>
      <w:r>
        <w:rPr>
          <w:rFonts w:eastAsia="Calibri" w:cs="Times New Roman"/>
          <w:i/>
          <w:color w:val="000000"/>
        </w:rPr>
        <w:t xml:space="preserve">, </w:t>
      </w:r>
      <w:r w:rsidR="00F57E9E">
        <w:rPr>
          <w:rFonts w:eastAsia="Calibri" w:cs="Times New Roman"/>
          <w:i/>
          <w:color w:val="000000"/>
        </w:rPr>
        <w:t>no significant differences were detected among male menthol and non-menthol smokers in terms of age at initiation.</w:t>
      </w:r>
      <w:r w:rsidR="008D255E">
        <w:rPr>
          <w:rFonts w:eastAsia="Calibri" w:cs="Times New Roman"/>
          <w:i/>
          <w:color w:val="000000"/>
        </w:rPr>
        <w:t xml:space="preserve"> Further, one of the three </w:t>
      </w:r>
      <w:r w:rsidR="00801E52">
        <w:rPr>
          <w:rFonts w:eastAsia="Calibri"/>
          <w:i/>
          <w:color w:val="000000"/>
        </w:rPr>
        <w:t>studies</w:t>
      </w:r>
      <w:r w:rsidR="00801E52">
        <w:rPr>
          <w:rFonts w:eastAsia="Calibri"/>
          <w:i/>
          <w:noProof/>
          <w:color w:val="000000"/>
        </w:rPr>
        <w:t xml:space="preserve"> on </w:t>
      </w:r>
      <w:r w:rsidR="00801E52" w:rsidRPr="003D5229">
        <w:rPr>
          <w:rFonts w:eastAsia="Calibri"/>
          <w:bCs/>
          <w:i/>
          <w:noProof/>
          <w:color w:val="000000"/>
        </w:rPr>
        <w:t xml:space="preserve">initiation and progression to regular smoking/increase in </w:t>
      </w:r>
      <w:r w:rsidR="00801E52">
        <w:rPr>
          <w:rFonts w:eastAsia="Calibri"/>
          <w:bCs/>
          <w:i/>
          <w:noProof/>
          <w:color w:val="000000"/>
        </w:rPr>
        <w:t>s</w:t>
      </w:r>
      <w:r w:rsidR="00801E52" w:rsidRPr="003D5229">
        <w:rPr>
          <w:rFonts w:eastAsia="Calibri"/>
          <w:bCs/>
          <w:i/>
          <w:noProof/>
          <w:color w:val="000000"/>
        </w:rPr>
        <w:t>moking over time</w:t>
      </w:r>
      <w:r w:rsidR="00801E52">
        <w:rPr>
          <w:rFonts w:eastAsia="Calibri"/>
          <w:i/>
          <w:color w:val="000000"/>
        </w:rPr>
        <w:t xml:space="preserve"> also found </w:t>
      </w:r>
      <w:r w:rsidR="00801E52">
        <w:rPr>
          <w:rFonts w:eastAsia="Calibri"/>
          <w:i/>
          <w:noProof/>
          <w:color w:val="000000"/>
        </w:rPr>
        <w:t xml:space="preserve">no significant </w:t>
      </w:r>
      <w:r w:rsidR="00823D6B">
        <w:rPr>
          <w:rFonts w:eastAsia="Calibri" w:cs="Times New Roman"/>
          <w:i/>
          <w:noProof/>
          <w:color w:val="000000"/>
        </w:rPr>
        <w:t xml:space="preserve">difference on odds of being a daily smoker between male menthol and non-menthol smokers </w:t>
      </w:r>
      <w:r w:rsidR="00D2134A">
        <w:rPr>
          <w:rFonts w:eastAsia="Calibri" w:cs="Times New Roman"/>
          <w:i/>
          <w:color w:val="000000"/>
        </w:rPr>
        <w:fldChar w:fldCharType="begin">
          <w:fldData xml:space="preserve">PEVuZE5vdGU+PENpdGU+PEF1dGhvcj5MYXdyZW5jZTwvQXV0aG9yPjxZZWFyPjIwMTA8L1llYXI+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PEVuZE5vdGU+PENpdGU+PEF1dGhvcj5MYXdyZW5jZTwvQXV0aG9yPjxZZWFyPjIwMTA8L1llYXI+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0" w:tooltip="Lawrence, 2010 #52" w:history="1">
        <w:r w:rsidR="00A234A9">
          <w:rPr>
            <w:rFonts w:eastAsia="Calibri" w:cs="Times New Roman"/>
            <w:i/>
            <w:noProof/>
            <w:color w:val="000000"/>
          </w:rPr>
          <w:t>70</w:t>
        </w:r>
      </w:hyperlink>
      <w:r w:rsidR="00D2134A">
        <w:rPr>
          <w:rFonts w:eastAsia="Calibri" w:cs="Times New Roman"/>
          <w:i/>
          <w:noProof/>
          <w:color w:val="000000"/>
        </w:rPr>
        <w:t>)</w:t>
      </w:r>
      <w:r w:rsidR="00D2134A">
        <w:rPr>
          <w:rFonts w:eastAsia="Calibri" w:cs="Times New Roman"/>
          <w:i/>
          <w:color w:val="000000"/>
        </w:rPr>
        <w:fldChar w:fldCharType="end"/>
      </w:r>
      <w:r w:rsidR="00823D6B">
        <w:rPr>
          <w:rFonts w:eastAsia="Calibri" w:cs="Times New Roman"/>
          <w:i/>
          <w:noProof/>
          <w:color w:val="000000"/>
        </w:rPr>
        <w:t>.</w:t>
      </w:r>
      <w:r w:rsidR="00823D6B">
        <w:rPr>
          <w:rFonts w:eastAsia="Calibri" w:cs="Times New Roman"/>
          <w:i/>
          <w:color w:val="000000"/>
        </w:rPr>
        <w:t xml:space="preserve"> The same</w:t>
      </w:r>
      <w:r w:rsidR="00823D6B" w:rsidRPr="00A0218A">
        <w:rPr>
          <w:rFonts w:eastAsia="Calibri" w:cs="Times New Roman"/>
          <w:i/>
          <w:color w:val="000000"/>
        </w:rPr>
        <w:t xml:space="preserve"> </w:t>
      </w:r>
      <w:r w:rsidRPr="00A0218A">
        <w:rPr>
          <w:rFonts w:eastAsia="Calibri" w:cs="Times New Roman"/>
          <w:i/>
          <w:color w:val="000000"/>
        </w:rPr>
        <w:t>study found that men who began smoking regularly before age 18 had slightly higher odds of being menthol smokers, compared with men who started smoking regularly in adulthood</w:t>
      </w:r>
      <w:r w:rsidR="00F57E9E">
        <w:rPr>
          <w:rFonts w:eastAsia="Calibri" w:cs="Times New Roman"/>
          <w:i/>
          <w:color w:val="000000"/>
        </w:rPr>
        <w:t xml:space="preserve"> </w:t>
      </w:r>
      <w:r w:rsidR="00D2134A">
        <w:rPr>
          <w:rFonts w:eastAsia="Calibri" w:cs="Times New Roman"/>
          <w:i/>
          <w:color w:val="000000"/>
        </w:rPr>
        <w:fldChar w:fldCharType="begin">
          <w:fldData xml:space="preserve">PEVuZE5vdGU+PENpdGU+PEF1dGhvcj5MYXdyZW5jZTwvQXV0aG9yPjxZZWFyPjIwMTA8L1llYXI+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PEVuZE5vdGU+PENpdGU+PEF1dGhvcj5MYXdyZW5jZTwvQXV0aG9yPjxZZWFyPjIwMTA8L1llYXI+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0" w:tooltip="Lawrence, 2010 #52" w:history="1">
        <w:r w:rsidR="00A234A9">
          <w:rPr>
            <w:rFonts w:eastAsia="Calibri" w:cs="Times New Roman"/>
            <w:i/>
            <w:noProof/>
            <w:color w:val="000000"/>
          </w:rPr>
          <w:t>70</w:t>
        </w:r>
      </w:hyperlink>
      <w:r w:rsidR="00D2134A">
        <w:rPr>
          <w:rFonts w:eastAsia="Calibri" w:cs="Times New Roman"/>
          <w:i/>
          <w:noProof/>
          <w:color w:val="000000"/>
        </w:rPr>
        <w:t>)</w:t>
      </w:r>
      <w:r w:rsidR="00D2134A">
        <w:rPr>
          <w:rFonts w:eastAsia="Calibri" w:cs="Times New Roman"/>
          <w:i/>
          <w:color w:val="000000"/>
        </w:rPr>
        <w:fldChar w:fldCharType="end"/>
      </w:r>
      <w:r w:rsidRPr="00A0218A">
        <w:rPr>
          <w:rFonts w:eastAsia="Calibri" w:cs="Times New Roman"/>
          <w:i/>
          <w:color w:val="000000"/>
        </w:rPr>
        <w:t xml:space="preserve">. An analysis of male smokers by race/ethnicity found that </w:t>
      </w:r>
      <w:r w:rsidR="00E1156E">
        <w:rPr>
          <w:rFonts w:eastAsia="Calibri" w:cs="Times New Roman"/>
          <w:i/>
          <w:color w:val="000000"/>
        </w:rPr>
        <w:t>Black</w:t>
      </w:r>
      <w:r w:rsidRPr="00A0218A">
        <w:rPr>
          <w:rFonts w:eastAsia="Calibri" w:cs="Times New Roman"/>
          <w:i/>
          <w:color w:val="000000"/>
        </w:rPr>
        <w:t xml:space="preserve"> and Hispanic menthol smokers were approximately one and two years older than non-menthol smokers at initiation, respectively; there was essentially no difference among </w:t>
      </w:r>
      <w:r w:rsidR="00E1156E">
        <w:rPr>
          <w:rFonts w:eastAsia="Calibri" w:cs="Times New Roman"/>
          <w:i/>
          <w:color w:val="000000"/>
        </w:rPr>
        <w:t>White</w:t>
      </w:r>
      <w:r w:rsidRPr="00A0218A">
        <w:rPr>
          <w:rFonts w:eastAsia="Calibri" w:cs="Times New Roman"/>
          <w:i/>
          <w:color w:val="000000"/>
        </w:rPr>
        <w:t xml:space="preserve"> men</w:t>
      </w:r>
      <w:r w:rsidR="00F57E9E">
        <w:rPr>
          <w:rFonts w:eastAsia="Calibri" w:cs="Times New Roman"/>
          <w:i/>
          <w:color w:val="000000"/>
        </w:rPr>
        <w:t xml:space="preserve"> </w:t>
      </w:r>
      <w:r w:rsidR="00D2134A">
        <w:rPr>
          <w:rFonts w:eastAsia="Calibri" w:cs="Times New Roman"/>
          <w:i/>
          <w:color w:val="000000"/>
        </w:rPr>
        <w:fldChar w:fldCharType="begin"/>
      </w:r>
      <w:r w:rsidR="00D2134A">
        <w:rPr>
          <w:rFonts w:eastAsia="Calibri" w:cs="Times New Roman"/>
          <w:i/>
          <w:color w:val="000000"/>
        </w:rPr>
        <w:instrText xml:space="preserve"> ADDIN EN.CITE &lt;EndNote&gt;&lt;Cite&gt;&lt;Author&gt;Cubbin&lt;/Author&gt;&lt;Year&gt;2010&lt;/Year&gt;&lt;RecNum&gt;53&lt;/RecNum&gt;&lt;DisplayText&gt;(50)&lt;/DisplayText&gt;&lt;record&gt;&lt;rec-number&gt;53&lt;/rec-number&gt;&lt;foreign-keys&gt;&lt;key app="EN" db-id="a2vz2dfp8xrad6exes75zwpiw5rxwa0vwapv" timestamp="0"&gt;53&lt;/key&gt;&lt;/foreign-keys&gt;&lt;ref-type name="Journal Article"&gt;17&lt;/ref-type&gt;&lt;contributors&gt;&lt;authors&gt;&lt;author&gt;Cubbin, C.&lt;/author&gt;&lt;author&gt;Soobader, M. J.&lt;/author&gt;&lt;author&gt;LeClere, F. B.&lt;/author&gt;&lt;/authors&gt;&lt;/contributors&gt;&lt;auth-address&gt;School of Social Work, University of Texas at Austin, Austin, TX 78712-0358, USA. ccubbin@austin.utexas.edu&lt;/auth-address&gt;&lt;titles&gt;&lt;title&gt;The intersection of gender and race/ethnicity in smoking behaviors among menthol and non-menthol smokers in the United States&lt;/title&gt;&lt;secondary-title&gt;Addiction&lt;/secondary-title&gt;&lt;/titles&gt;&lt;periodical&gt;&lt;full-title&gt;Addiction&lt;/full-title&gt;&lt;/periodical&gt;&lt;pages&gt;32-8&lt;/pages&gt;&lt;volume&gt;105 Suppl 1&lt;/volume&gt;&lt;keywords&gt;&lt;keyword&gt;Adult&lt;/keyword&gt;&lt;keyword&gt;African Americans/statistics &amp;amp; numerical data&lt;/keyword&gt;&lt;keyword&gt;Age of Onset&lt;/keyword&gt;&lt;keyword&gt;Cross-Sectional Studies&lt;/keyword&gt;&lt;keyword&gt;European Continental Ancestry Group/statistics &amp;amp; numerical data&lt;/keyword&gt;&lt;keyword&gt;Female&lt;/keyword&gt;&lt;keyword&gt;Hispanic Americans/statistics &amp;amp; numerical data&lt;/keyword&gt;&lt;keyword&gt;Humans&lt;/keyword&gt;&lt;keyword&gt;Male&lt;/keyword&gt;&lt;keyword&gt;*Menthol&lt;/keyword&gt;&lt;keyword&gt;Middle Aged&lt;/keyword&gt;&lt;keyword&gt;*Population Surveillance&lt;/keyword&gt;&lt;keyword&gt;Sex Factors&lt;/keyword&gt;&lt;keyword&gt;Smoking/*epidemiology/ethnology&lt;/keyword&gt;&lt;keyword&gt;Smoking Cessation/ethnology/statistics &amp;amp; numerical data&lt;/keyword&gt;&lt;keyword&gt;Socioeconomic Factors&lt;/keyword&gt;&lt;keyword&gt;United States/epidemiology&lt;/keyword&gt;&lt;/keywords&gt;&lt;dates&gt;&lt;year&gt;2010&lt;/year&gt;&lt;pub-dates&gt;&lt;date&gt;Dec&lt;/date&gt;&lt;/pub-dates&gt;&lt;/dates&gt;&lt;isbn&gt;1360-0443 (Electronic)&amp;#xD;0965-2140 (Linking)&lt;/isbn&gt;&lt;accession-num&gt;21059134&lt;/accession-num&gt;&lt;urls&gt;&lt;related-urls&gt;&lt;url&gt;http://www.ncbi.nlm.nih.gov/pubmed/21059134&lt;/url&gt;&lt;/related-urls&gt;&lt;/urls&gt;&lt;electronic-resource-num&gt;10.1111/j.1360-0443.2010.03191.x&lt;/electronic-resource-num&gt;&lt;research-notes&gt;#281&lt;/research-notes&gt;&lt;/record&gt;&lt;/Cite&gt;&lt;/EndNote&gt;</w:instrText>
      </w:r>
      <w:r w:rsidR="00D2134A">
        <w:rPr>
          <w:rFonts w:eastAsia="Calibri" w:cs="Times New Roman"/>
          <w:i/>
          <w:color w:val="000000"/>
        </w:rPr>
        <w:fldChar w:fldCharType="separate"/>
      </w:r>
      <w:r w:rsidR="00D2134A">
        <w:rPr>
          <w:rFonts w:eastAsia="Calibri" w:cs="Times New Roman"/>
          <w:i/>
          <w:noProof/>
          <w:color w:val="000000"/>
        </w:rPr>
        <w:t>(</w:t>
      </w:r>
      <w:hyperlink w:anchor="_ENREF_50" w:tooltip="Cubbin, 2010 #53" w:history="1">
        <w:r w:rsidR="00A234A9">
          <w:rPr>
            <w:rFonts w:eastAsia="Calibri" w:cs="Times New Roman"/>
            <w:i/>
            <w:noProof/>
            <w:color w:val="000000"/>
          </w:rPr>
          <w:t>50</w:t>
        </w:r>
      </w:hyperlink>
      <w:r w:rsidR="00D2134A">
        <w:rPr>
          <w:rFonts w:eastAsia="Calibri" w:cs="Times New Roman"/>
          <w:i/>
          <w:noProof/>
          <w:color w:val="000000"/>
        </w:rPr>
        <w:t>)</w:t>
      </w:r>
      <w:r w:rsidR="00D2134A">
        <w:rPr>
          <w:rFonts w:eastAsia="Calibri" w:cs="Times New Roman"/>
          <w:i/>
          <w:color w:val="000000"/>
        </w:rPr>
        <w:fldChar w:fldCharType="end"/>
      </w:r>
      <w:r w:rsidRPr="00A0218A">
        <w:rPr>
          <w:rFonts w:eastAsia="Calibri" w:cs="Times New Roman"/>
          <w:i/>
          <w:color w:val="000000"/>
        </w:rPr>
        <w:t>. An analysis of smoking patterns revealed that men were more likely than women to switch from menthol to non-menthol cigarettes</w:t>
      </w:r>
      <w:r w:rsidR="00F57E9E">
        <w:rPr>
          <w:rFonts w:eastAsia="Calibri" w:cs="Times New Roman"/>
          <w:i/>
          <w:color w:val="000000"/>
        </w:rPr>
        <w:t xml:space="preserve"> </w:t>
      </w:r>
      <w:r w:rsidR="00D2134A">
        <w:rPr>
          <w:rFonts w:eastAsia="Calibri" w:cs="Times New Roman"/>
          <w:i/>
          <w:color w:val="000000"/>
        </w:rPr>
        <w:fldChar w:fldCharType="begin">
          <w:fldData xml:space="preserve">PEVuZE5vdGU+PENpdGU+PEF1dGhvcj5LYXN6YTwvQXV0aG9yPjxZZWFyPjIwMTQ8L1llYXI+PFJl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PEVuZE5vdGU+PENpdGU+PEF1dGhvcj5LYXN6YTwvQXV0aG9yPjxZZWFyPjIwMTQ8L1llYXI+PFJl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69" w:tooltip="Kasza, 2014 #16" w:history="1">
        <w:r w:rsidR="00A234A9">
          <w:rPr>
            <w:rFonts w:eastAsia="Calibri" w:cs="Times New Roman"/>
            <w:i/>
            <w:noProof/>
            <w:color w:val="000000"/>
          </w:rPr>
          <w:t>69</w:t>
        </w:r>
      </w:hyperlink>
      <w:r w:rsidR="00D2134A">
        <w:rPr>
          <w:rFonts w:eastAsia="Calibri" w:cs="Times New Roman"/>
          <w:i/>
          <w:noProof/>
          <w:color w:val="000000"/>
        </w:rPr>
        <w:t>)</w:t>
      </w:r>
      <w:r w:rsidR="00D2134A">
        <w:rPr>
          <w:rFonts w:eastAsia="Calibri" w:cs="Times New Roman"/>
          <w:i/>
          <w:color w:val="000000"/>
        </w:rPr>
        <w:fldChar w:fldCharType="end"/>
      </w:r>
      <w:r w:rsidR="00A20AE4">
        <w:rPr>
          <w:rFonts w:eastAsia="Calibri" w:cs="Times New Roman"/>
          <w:i/>
          <w:color w:val="000000"/>
        </w:rPr>
        <w:t>.</w:t>
      </w:r>
    </w:p>
    <w:p w14:paraId="44BCEB4F" w14:textId="79C656BE" w:rsidR="00D04C52" w:rsidRPr="00A0218A" w:rsidRDefault="00D04C52" w:rsidP="00B46744">
      <w:pPr>
        <w:spacing w:after="120" w:line="240" w:lineRule="auto"/>
        <w:jc w:val="both"/>
        <w:rPr>
          <w:rFonts w:eastAsia="Calibri" w:cs="Times New Roman"/>
          <w:color w:val="000000"/>
        </w:rPr>
      </w:pPr>
      <w:r w:rsidRPr="00A0218A">
        <w:rPr>
          <w:rFonts w:eastAsia="Calibri" w:cs="Times New Roman"/>
          <w:color w:val="000000"/>
        </w:rPr>
        <w:t>As</w:t>
      </w:r>
      <w:r>
        <w:rPr>
          <w:rFonts w:eastAsia="Calibri" w:cs="Times New Roman"/>
          <w:color w:val="000000"/>
        </w:rPr>
        <w:t xml:space="preserve"> described above, Kasza et al. </w:t>
      </w:r>
      <w:r w:rsidR="00D2134A">
        <w:rPr>
          <w:rFonts w:eastAsia="Calibri" w:cs="Times New Roman"/>
          <w:color w:val="000000"/>
        </w:rPr>
        <w:fldChar w:fldCharType="begin">
          <w:fldData xml:space="preserve">PEVuZE5vdGU+PENpdGU+PEF1dGhvcj5LYXN6YTwvQXV0aG9yPjxZZWFyPjIwMTQ8L1llYXI+PFJl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PEVuZE5vdGU+PENpdGU+PEF1dGhvcj5LYXN6YTwvQXV0aG9yPjxZZWFyPjIwMTQ8L1llYXI+PFJl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69" w:tooltip="Kasza, 2014 #16" w:history="1">
        <w:r w:rsidR="00A234A9">
          <w:rPr>
            <w:rFonts w:eastAsia="Calibri" w:cs="Times New Roman"/>
            <w:noProof/>
            <w:color w:val="000000"/>
          </w:rPr>
          <w:t>69</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reported that men were slightly more likely to switch from menthol to non-menthol cigarettes than women and slightly less likely than women to switch from non-menthol to menthol.</w:t>
      </w:r>
      <w:r w:rsidR="00F57E9E">
        <w:rPr>
          <w:rFonts w:eastAsia="Calibri" w:cs="Times New Roman"/>
          <w:color w:val="000000"/>
        </w:rPr>
        <w:t xml:space="preserve"> The findings were non-significant.</w:t>
      </w:r>
    </w:p>
    <w:p w14:paraId="1E9C196E" w14:textId="7D606B4F" w:rsidR="00D04C52" w:rsidRPr="00A0218A" w:rsidRDefault="00D04C52" w:rsidP="00B8342F">
      <w:pPr>
        <w:spacing w:after="240" w:line="240" w:lineRule="auto"/>
        <w:jc w:val="both"/>
        <w:rPr>
          <w:rFonts w:eastAsia="Calibri" w:cs="Times New Roman"/>
          <w:color w:val="000000"/>
        </w:rPr>
      </w:pPr>
      <w:r>
        <w:rPr>
          <w:rFonts w:eastAsia="Calibri" w:cs="Times New Roman"/>
          <w:color w:val="000000"/>
        </w:rPr>
        <w:t xml:space="preserve">Lawrence et al. </w:t>
      </w:r>
      <w:r w:rsidR="00D2134A">
        <w:rPr>
          <w:rFonts w:eastAsia="Calibri" w:cs="Times New Roman"/>
          <w:color w:val="000000"/>
        </w:rPr>
        <w:fldChar w:fldCharType="begin">
          <w:fldData xml:space="preserve">PEVuZE5vdGU+PENpdGU+PEF1dGhvcj5MYXdyZW5jZTwvQXV0aG9yPjxZZWFyPjIwMTA8L1llYXI+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PEVuZE5vdGU+PENpdGU+PEF1dGhvcj5MYXdyZW5jZTwvQXV0aG9yPjxZZWFyPjIwMTA8L1llYXI+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70" w:tooltip="Lawrence, 2010 #52" w:history="1">
        <w:r w:rsidR="00A234A9">
          <w:rPr>
            <w:rFonts w:eastAsia="Calibri" w:cs="Times New Roman"/>
            <w:noProof/>
            <w:color w:val="000000"/>
          </w:rPr>
          <w:t>70</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found that men who began smoking regularly before age 18 </w:t>
      </w:r>
      <w:r w:rsidR="00122C7C">
        <w:rPr>
          <w:rFonts w:eastAsia="Calibri" w:cs="Times New Roman"/>
          <w:color w:val="000000"/>
        </w:rPr>
        <w:t>were no different from</w:t>
      </w:r>
      <w:r w:rsidRPr="00A0218A">
        <w:rPr>
          <w:rFonts w:eastAsia="Calibri" w:cs="Times New Roman"/>
          <w:color w:val="000000"/>
        </w:rPr>
        <w:t xml:space="preserve"> men who began smoking at or after age 18 (OR=1.10, 95% CI: 0.95 to 1.28)</w:t>
      </w:r>
      <w:r w:rsidR="00122C7C">
        <w:rPr>
          <w:rFonts w:eastAsia="Calibri" w:cs="Times New Roman"/>
          <w:color w:val="000000"/>
        </w:rPr>
        <w:t xml:space="preserve">. Additionally, no difference was found for men </w:t>
      </w:r>
      <w:r w:rsidRPr="00A0218A">
        <w:rPr>
          <w:rFonts w:eastAsia="Calibri" w:cs="Times New Roman"/>
          <w:color w:val="000000"/>
        </w:rPr>
        <w:t xml:space="preserve">who began at age 15, 16, or 17 </w:t>
      </w:r>
      <w:r w:rsidR="00122C7C">
        <w:rPr>
          <w:rFonts w:eastAsia="Calibri" w:cs="Times New Roman"/>
          <w:color w:val="000000"/>
        </w:rPr>
        <w:t xml:space="preserve">compared to one or after age 18 in their likelihood </w:t>
      </w:r>
      <w:r w:rsidRPr="00A0218A">
        <w:rPr>
          <w:rFonts w:eastAsia="Calibri" w:cs="Times New Roman"/>
          <w:color w:val="000000"/>
        </w:rPr>
        <w:t>to be menthol smokers (OR=1.01, 95% CI: 0.91 to 1.12).</w:t>
      </w:r>
      <w:r w:rsidR="00823D6B">
        <w:rPr>
          <w:rFonts w:eastAsia="Calibri" w:cs="Times New Roman"/>
          <w:color w:val="000000"/>
        </w:rPr>
        <w:t xml:space="preserve"> Regarding daily versus non-daily smoking, the same study found that</w:t>
      </w:r>
      <w:r w:rsidR="00823D6B" w:rsidRPr="00A76B60">
        <w:rPr>
          <w:rFonts w:eastAsia="Calibri" w:cs="Times New Roman"/>
          <w:color w:val="000000"/>
        </w:rPr>
        <w:t xml:space="preserve"> </w:t>
      </w:r>
      <w:r w:rsidR="00B8342F">
        <w:rPr>
          <w:rFonts w:eastAsia="Calibri" w:cs="Times New Roman"/>
          <w:color w:val="000000"/>
        </w:rPr>
        <w:t xml:space="preserve">male </w:t>
      </w:r>
      <w:r w:rsidR="00823D6B" w:rsidRPr="00A76B60">
        <w:rPr>
          <w:rFonts w:eastAsia="Calibri" w:cs="Times New Roman"/>
          <w:color w:val="000000"/>
        </w:rPr>
        <w:t xml:space="preserve">daily smokers had </w:t>
      </w:r>
      <w:r w:rsidR="00B8342F">
        <w:rPr>
          <w:rFonts w:eastAsia="Calibri" w:cs="Times New Roman"/>
          <w:color w:val="000000"/>
        </w:rPr>
        <w:t>the same</w:t>
      </w:r>
      <w:r w:rsidR="00823D6B" w:rsidRPr="00A76B60">
        <w:rPr>
          <w:rFonts w:eastAsia="Calibri" w:cs="Times New Roman"/>
          <w:color w:val="000000"/>
        </w:rPr>
        <w:t xml:space="preserve"> odds of being a menthol smoker (vs. a non-menthol smoker), compared with </w:t>
      </w:r>
      <w:r w:rsidR="00B8342F">
        <w:rPr>
          <w:rFonts w:eastAsia="Calibri" w:cs="Times New Roman"/>
          <w:color w:val="000000"/>
        </w:rPr>
        <w:t xml:space="preserve">male </w:t>
      </w:r>
      <w:r w:rsidR="00823D6B" w:rsidRPr="00A76B60">
        <w:rPr>
          <w:rFonts w:eastAsia="Calibri" w:cs="Times New Roman"/>
          <w:color w:val="000000"/>
        </w:rPr>
        <w:t>non-daily smokers (</w:t>
      </w:r>
      <w:r w:rsidR="00823D6B">
        <w:rPr>
          <w:rFonts w:eastAsia="Calibri" w:cs="Times New Roman"/>
          <w:color w:val="000000"/>
        </w:rPr>
        <w:t>OR=1.03, 95% CI: 0.85 to 1.24).</w:t>
      </w:r>
    </w:p>
    <w:p w14:paraId="658861BB" w14:textId="67094EFB" w:rsidR="003A090E" w:rsidRPr="004F3FD7" w:rsidRDefault="00D04C52" w:rsidP="00B46744">
      <w:pPr>
        <w:spacing w:after="240" w:line="240" w:lineRule="auto"/>
        <w:jc w:val="both"/>
        <w:rPr>
          <w:rFonts w:eastAsia="Times New Roman" w:cs="Times New Roman"/>
        </w:rPr>
      </w:pPr>
      <w:r>
        <w:rPr>
          <w:rFonts w:eastAsia="Times New Roman" w:cs="Times New Roman"/>
          <w:color w:val="000000"/>
        </w:rPr>
        <w:lastRenderedPageBreak/>
        <w:t>Finally,</w:t>
      </w:r>
      <w:r w:rsidRPr="00A0218A">
        <w:rPr>
          <w:rFonts w:eastAsia="Times New Roman" w:cs="Times New Roman"/>
          <w:color w:val="000000"/>
        </w:rPr>
        <w:t xml:space="preserve"> Cubbin et al.</w:t>
      </w:r>
      <w:r>
        <w:rPr>
          <w:rFonts w:eastAsia="Times New Roman" w:cs="Times New Roman"/>
          <w:color w:val="000000"/>
        </w:rPr>
        <w:t xml:space="preserve"> </w:t>
      </w:r>
      <w:r w:rsidR="00D2134A">
        <w:rPr>
          <w:rFonts w:eastAsia="Times New Roman" w:cs="Times New Roman"/>
          <w:color w:val="000000"/>
        </w:rPr>
        <w:fldChar w:fldCharType="begin"/>
      </w:r>
      <w:r w:rsidR="00D2134A">
        <w:rPr>
          <w:rFonts w:eastAsia="Times New Roman" w:cs="Times New Roman"/>
          <w:color w:val="000000"/>
        </w:rPr>
        <w:instrText xml:space="preserve"> ADDIN EN.CITE &lt;EndNote&gt;&lt;Cite&gt;&lt;Author&gt;Cubbin&lt;/Author&gt;&lt;Year&gt;2010&lt;/Year&gt;&lt;RecNum&gt;53&lt;/RecNum&gt;&lt;DisplayText&gt;(50)&lt;/DisplayText&gt;&lt;record&gt;&lt;rec-number&gt;53&lt;/rec-number&gt;&lt;foreign-keys&gt;&lt;key app="EN" db-id="a2vz2dfp8xrad6exes75zwpiw5rxwa0vwapv" timestamp="0"&gt;53&lt;/key&gt;&lt;/foreign-keys&gt;&lt;ref-type name="Journal Article"&gt;17&lt;/ref-type&gt;&lt;contributors&gt;&lt;authors&gt;&lt;author&gt;Cubbin, C.&lt;/author&gt;&lt;author&gt;Soobader, M. J.&lt;/author&gt;&lt;author&gt;LeClere, F. B.&lt;/author&gt;&lt;/authors&gt;&lt;/contributors&gt;&lt;auth-address&gt;School of Social Work, University of Texas at Austin, Austin, TX 78712-0358, USA. ccubbin@austin.utexas.edu&lt;/auth-address&gt;&lt;titles&gt;&lt;title&gt;The intersection of gender and race/ethnicity in smoking behaviors among menthol and non-menthol smokers in the United States&lt;/title&gt;&lt;secondary-title&gt;Addiction&lt;/secondary-title&gt;&lt;/titles&gt;&lt;periodical&gt;&lt;full-title&gt;Addiction&lt;/full-title&gt;&lt;/periodical&gt;&lt;pages&gt;32-8&lt;/pages&gt;&lt;volume&gt;105 Suppl 1&lt;/volume&gt;&lt;keywords&gt;&lt;keyword&gt;Adult&lt;/keyword&gt;&lt;keyword&gt;African Americans/statistics &amp;amp; numerical data&lt;/keyword&gt;&lt;keyword&gt;Age of Onset&lt;/keyword&gt;&lt;keyword&gt;Cross-Sectional Studies&lt;/keyword&gt;&lt;keyword&gt;European Continental Ancestry Group/statistics &amp;amp; numerical data&lt;/keyword&gt;&lt;keyword&gt;Female&lt;/keyword&gt;&lt;keyword&gt;Hispanic Americans/statistics &amp;amp; numerical data&lt;/keyword&gt;&lt;keyword&gt;Humans&lt;/keyword&gt;&lt;keyword&gt;Male&lt;/keyword&gt;&lt;keyword&gt;*Menthol&lt;/keyword&gt;&lt;keyword&gt;Middle Aged&lt;/keyword&gt;&lt;keyword&gt;*Population Surveillance&lt;/keyword&gt;&lt;keyword&gt;Sex Factors&lt;/keyword&gt;&lt;keyword&gt;Smoking/*epidemiology/ethnology&lt;/keyword&gt;&lt;keyword&gt;Smoking Cessation/ethnology/statistics &amp;amp; numerical data&lt;/keyword&gt;&lt;keyword&gt;Socioeconomic Factors&lt;/keyword&gt;&lt;keyword&gt;United States/epidemiology&lt;/keyword&gt;&lt;/keywords&gt;&lt;dates&gt;&lt;year&gt;2010&lt;/year&gt;&lt;pub-dates&gt;&lt;date&gt;Dec&lt;/date&gt;&lt;/pub-dates&gt;&lt;/dates&gt;&lt;isbn&gt;1360-0443 (Electronic)&amp;#xD;0965-2140 (Linking)&lt;/isbn&gt;&lt;accession-num&gt;21059134&lt;/accession-num&gt;&lt;urls&gt;&lt;related-urls&gt;&lt;url&gt;http://www.ncbi.nlm.nih.gov/pubmed/21059134&lt;/url&gt;&lt;/related-urls&gt;&lt;/urls&gt;&lt;electronic-resource-num&gt;10.1111/j.1360-0443.2010.03191.x&lt;/electronic-resource-num&gt;&lt;research-notes&gt;#281&lt;/research-notes&gt;&lt;/record&gt;&lt;/Cite&gt;&lt;/EndNote&gt;</w:instrText>
      </w:r>
      <w:r w:rsidR="00D2134A">
        <w:rPr>
          <w:rFonts w:eastAsia="Times New Roman" w:cs="Times New Roman"/>
          <w:color w:val="000000"/>
        </w:rPr>
        <w:fldChar w:fldCharType="separate"/>
      </w:r>
      <w:r w:rsidR="00D2134A">
        <w:rPr>
          <w:rFonts w:eastAsia="Times New Roman" w:cs="Times New Roman"/>
          <w:noProof/>
          <w:color w:val="000000"/>
        </w:rPr>
        <w:t>(</w:t>
      </w:r>
      <w:hyperlink w:anchor="_ENREF_50" w:tooltip="Cubbin, 2010 #53" w:history="1">
        <w:r w:rsidR="00A234A9">
          <w:rPr>
            <w:rFonts w:eastAsia="Times New Roman" w:cs="Times New Roman"/>
            <w:noProof/>
            <w:color w:val="000000"/>
          </w:rPr>
          <w:t>50</w:t>
        </w:r>
      </w:hyperlink>
      <w:r w:rsidR="00D2134A">
        <w:rPr>
          <w:rFonts w:eastAsia="Times New Roman" w:cs="Times New Roman"/>
          <w:noProof/>
          <w:color w:val="000000"/>
        </w:rPr>
        <w:t>)</w:t>
      </w:r>
      <w:r w:rsidR="00D2134A">
        <w:rPr>
          <w:rFonts w:eastAsia="Times New Roman" w:cs="Times New Roman"/>
          <w:color w:val="000000"/>
        </w:rPr>
        <w:fldChar w:fldCharType="end"/>
      </w:r>
      <w:r w:rsidRPr="00A0218A">
        <w:rPr>
          <w:rFonts w:eastAsia="Times New Roman" w:cs="Times New Roman"/>
          <w:color w:val="000000"/>
        </w:rPr>
        <w:t xml:space="preserve"> </w:t>
      </w:r>
      <w:r>
        <w:rPr>
          <w:rFonts w:eastAsia="Times New Roman" w:cs="Times New Roman"/>
          <w:color w:val="000000"/>
        </w:rPr>
        <w:t>concluded that f</w:t>
      </w:r>
      <w:r w:rsidRPr="00A0218A">
        <w:rPr>
          <w:rFonts w:eastAsia="Times New Roman" w:cs="Times New Roman"/>
          <w:color w:val="000000"/>
        </w:rPr>
        <w:t xml:space="preserve">or </w:t>
      </w:r>
      <w:r w:rsidR="00E1156E">
        <w:rPr>
          <w:rFonts w:eastAsia="Times New Roman" w:cs="Times New Roman"/>
          <w:color w:val="000000"/>
        </w:rPr>
        <w:t>White</w:t>
      </w:r>
      <w:r w:rsidRPr="00A0218A">
        <w:rPr>
          <w:rFonts w:eastAsia="Times New Roman" w:cs="Times New Roman"/>
          <w:color w:val="000000"/>
        </w:rPr>
        <w:t xml:space="preserve"> men, the predicted mean age at initiation was approximately the same for menthol smokers (17.2 years, 99% CI: 16.3 to 18.1) </w:t>
      </w:r>
      <w:r w:rsidR="00122C7C">
        <w:rPr>
          <w:rFonts w:eastAsia="Times New Roman" w:cs="Times New Roman"/>
          <w:color w:val="000000"/>
        </w:rPr>
        <w:t xml:space="preserve">and </w:t>
      </w:r>
      <w:r w:rsidRPr="00A0218A">
        <w:rPr>
          <w:rFonts w:eastAsia="Times New Roman" w:cs="Times New Roman"/>
          <w:color w:val="000000"/>
        </w:rPr>
        <w:t>non-menthol smokers (17.1 years, 99% CI: 16.7 to 17.5)</w:t>
      </w:r>
      <w:r w:rsidR="00122C7C">
        <w:rPr>
          <w:rFonts w:eastAsia="Times New Roman" w:cs="Times New Roman"/>
          <w:color w:val="000000"/>
        </w:rPr>
        <w:t xml:space="preserve"> but not</w:t>
      </w:r>
      <w:r w:rsidR="00801E52">
        <w:rPr>
          <w:rFonts w:eastAsia="Times New Roman" w:cs="Times New Roman"/>
          <w:color w:val="000000"/>
        </w:rPr>
        <w:t xml:space="preserve"> </w:t>
      </w:r>
      <w:r w:rsidR="00122C7C">
        <w:rPr>
          <w:rFonts w:eastAsia="Times New Roman" w:cs="Times New Roman"/>
          <w:color w:val="000000"/>
        </w:rPr>
        <w:t>significantly</w:t>
      </w:r>
      <w:r w:rsidRPr="00A0218A">
        <w:rPr>
          <w:rFonts w:eastAsia="Times New Roman" w:cs="Times New Roman"/>
          <w:color w:val="000000"/>
        </w:rPr>
        <w:t xml:space="preserve">. Among </w:t>
      </w:r>
      <w:r w:rsidR="00E1156E">
        <w:rPr>
          <w:rFonts w:eastAsia="Times New Roman" w:cs="Times New Roman"/>
          <w:color w:val="000000"/>
        </w:rPr>
        <w:t>Black</w:t>
      </w:r>
      <w:r w:rsidRPr="00A0218A">
        <w:rPr>
          <w:rFonts w:eastAsia="Times New Roman" w:cs="Times New Roman"/>
          <w:color w:val="000000"/>
        </w:rPr>
        <w:t xml:space="preserve"> men, the predicted mean age was more than one year older among menthol smokers (18.6 years, 99% CI: 17.8 to 19.5) compared with non-menthol smokers (17.5 years, 99% CI: 16.0 to 19.1)</w:t>
      </w:r>
      <w:r w:rsidR="00122C7C">
        <w:rPr>
          <w:rFonts w:eastAsia="Times New Roman" w:cs="Times New Roman"/>
          <w:color w:val="000000"/>
        </w:rPr>
        <w:t xml:space="preserve"> but again, not significantly</w:t>
      </w:r>
      <w:r w:rsidRPr="00A0218A">
        <w:rPr>
          <w:rFonts w:eastAsia="Times New Roman" w:cs="Times New Roman"/>
          <w:color w:val="000000"/>
        </w:rPr>
        <w:t xml:space="preserve">. The predicted mean age of initiation was almost two years older for male Hispanic menthol smokers (20.5 years, 99% CI: 17.6 to 23.5) compared with male Hispanic non-menthol smokers (18.6 </w:t>
      </w:r>
      <w:r w:rsidR="005C6607">
        <w:rPr>
          <w:rFonts w:eastAsia="Times New Roman" w:cs="Times New Roman"/>
        </w:rPr>
        <w:t>years, 99% CI: 17.8 t</w:t>
      </w:r>
      <w:r w:rsidRPr="004F3FD7">
        <w:rPr>
          <w:rFonts w:eastAsia="Times New Roman" w:cs="Times New Roman"/>
        </w:rPr>
        <w:t>o 19.7)</w:t>
      </w:r>
      <w:r w:rsidR="00122C7C">
        <w:rPr>
          <w:rFonts w:eastAsia="Times New Roman" w:cs="Times New Roman"/>
        </w:rPr>
        <w:t xml:space="preserve"> and again, not significantly</w:t>
      </w:r>
      <w:r w:rsidRPr="004F3FD7">
        <w:rPr>
          <w:rFonts w:eastAsia="Times New Roman" w:cs="Times New Roman"/>
        </w:rPr>
        <w:t>.</w:t>
      </w:r>
    </w:p>
    <w:p w14:paraId="5574B40F" w14:textId="58989814" w:rsidR="00B11C45" w:rsidRDefault="00D04C52" w:rsidP="00B11C45">
      <w:pPr>
        <w:jc w:val="center"/>
      </w:pPr>
      <w:r>
        <w:br w:type="page"/>
      </w:r>
    </w:p>
    <w:p w14:paraId="289701B7" w14:textId="2CBC0F46" w:rsidR="00D04C52" w:rsidRPr="009B6DFE" w:rsidRDefault="00D04C52" w:rsidP="00B11C45">
      <w:pPr>
        <w:pStyle w:val="EndNoteBibliography"/>
        <w:spacing w:after="240"/>
        <w:jc w:val="both"/>
        <w:rPr>
          <w:rFonts w:eastAsia="Times New Roman" w:cs="Times New Roman"/>
          <w:b/>
          <w:bCs/>
        </w:rPr>
      </w:pPr>
      <w:r w:rsidRPr="00C82C02">
        <w:rPr>
          <w:rFonts w:eastAsia="Times New Roman" w:cs="Times New Roman"/>
          <w:b/>
          <w:bCs/>
        </w:rPr>
        <w:lastRenderedPageBreak/>
        <w:t xml:space="preserve">SUPPLEMENTAL SECTION </w:t>
      </w:r>
      <w:r w:rsidR="00B44564" w:rsidRPr="00C82C02">
        <w:rPr>
          <w:rFonts w:eastAsia="Times New Roman" w:cs="Times New Roman"/>
          <w:b/>
          <w:bCs/>
        </w:rPr>
        <w:t>1</w:t>
      </w:r>
      <w:r w:rsidR="00C82C02" w:rsidRPr="00C82C02">
        <w:rPr>
          <w:rFonts w:eastAsia="Times New Roman" w:cs="Times New Roman"/>
          <w:b/>
          <w:bCs/>
        </w:rPr>
        <w:t>5</w:t>
      </w:r>
      <w:r w:rsidRPr="00C82C02">
        <w:rPr>
          <w:rFonts w:eastAsia="Times New Roman" w:cs="Times New Roman"/>
          <w:b/>
          <w:bCs/>
        </w:rPr>
        <w:t>: UNADJUSTED ANALYSES</w:t>
      </w:r>
    </w:p>
    <w:p w14:paraId="44299B9A" w14:textId="77777777" w:rsidR="00D04C52" w:rsidRPr="00A0218A" w:rsidRDefault="00D04C52" w:rsidP="00B8342F">
      <w:pPr>
        <w:keepNext/>
        <w:spacing w:before="240" w:after="240" w:line="240" w:lineRule="auto"/>
        <w:jc w:val="both"/>
        <w:rPr>
          <w:rFonts w:eastAsia="Calibri" w:cs="Times New Roman"/>
        </w:rPr>
      </w:pPr>
      <w:r w:rsidRPr="00A0218A">
        <w:rPr>
          <w:rFonts w:eastAsia="Times New Roman" w:cs="Times New Roman"/>
          <w:b/>
          <w:bCs/>
        </w:rPr>
        <w:t>Unadjusted Analyses (Descriptive Statistics and/or Simple Results)</w:t>
      </w:r>
    </w:p>
    <w:p w14:paraId="0B433FC9" w14:textId="77777777" w:rsidR="00D04C52" w:rsidRPr="00A0218A" w:rsidRDefault="00D04C52" w:rsidP="00B46744">
      <w:pPr>
        <w:spacing w:after="240" w:line="240" w:lineRule="auto"/>
        <w:jc w:val="both"/>
        <w:rPr>
          <w:rFonts w:eastAsia="Calibri" w:cs="Times New Roman"/>
          <w:b/>
          <w:i/>
        </w:rPr>
      </w:pPr>
      <w:r w:rsidRPr="00A0218A">
        <w:rPr>
          <w:rFonts w:eastAsia="Calibri" w:cs="Times New Roman"/>
        </w:rPr>
        <w:t xml:space="preserve">Results presented in this section are from statistical analyses that did not address or account for the three key confounding factors, and they should be interpreted with caution. Some associations observed may be due to factors for which analyses were not adjusted, while other associations that actually exist may be masked by these factors. Unadjusted results are presented here for the sake of completeness, but they should be considered </w:t>
      </w:r>
      <w:r w:rsidRPr="00A0218A">
        <w:rPr>
          <w:rFonts w:eastAsia="Calibri" w:cs="Times New Roman"/>
          <w:i/>
        </w:rPr>
        <w:t>only</w:t>
      </w:r>
      <w:r w:rsidRPr="00A0218A">
        <w:rPr>
          <w:rFonts w:eastAsia="Calibri" w:cs="Times New Roman"/>
        </w:rPr>
        <w:t xml:space="preserve"> in the absence or paucity of adjusted analyses. Results are presented </w:t>
      </w:r>
      <w:r w:rsidRPr="00A0218A">
        <w:rPr>
          <w:rFonts w:eastAsia="Calibri" w:cs="Times New Roman"/>
          <w:i/>
        </w:rPr>
        <w:t>only</w:t>
      </w:r>
      <w:r w:rsidRPr="00A0218A">
        <w:rPr>
          <w:rFonts w:eastAsia="Calibri" w:cs="Times New Roman"/>
        </w:rPr>
        <w:t xml:space="preserve"> for studies or measures within a study </w:t>
      </w:r>
      <w:r w:rsidRPr="00A0218A">
        <w:rPr>
          <w:rFonts w:eastAsia="Calibri" w:cs="Times New Roman"/>
          <w:i/>
        </w:rPr>
        <w:t xml:space="preserve">that did not also report </w:t>
      </w:r>
      <w:r w:rsidRPr="00A0218A">
        <w:rPr>
          <w:rFonts w:eastAsia="Calibri" w:cs="Times New Roman"/>
        </w:rPr>
        <w:t>adjusted results.</w:t>
      </w:r>
    </w:p>
    <w:p w14:paraId="2DF2B785" w14:textId="77777777" w:rsidR="00D04C52" w:rsidRPr="00A0218A" w:rsidRDefault="00D04C52" w:rsidP="00B8342F">
      <w:pPr>
        <w:spacing w:after="120" w:line="240" w:lineRule="auto"/>
        <w:jc w:val="both"/>
        <w:outlineLvl w:val="1"/>
        <w:rPr>
          <w:rFonts w:eastAsia="Calibri" w:cs="Times New Roman"/>
          <w:i/>
          <w:color w:val="000000"/>
          <w:u w:val="single"/>
        </w:rPr>
      </w:pPr>
      <w:r w:rsidRPr="00D13E2F">
        <w:rPr>
          <w:rFonts w:eastAsia="Calibri" w:cs="Times New Roman"/>
          <w:i/>
          <w:color w:val="000000"/>
          <w:u w:val="single"/>
        </w:rPr>
        <w:t>Unadjusted Results: Age at Initiation</w:t>
      </w:r>
    </w:p>
    <w:p w14:paraId="53773751" w14:textId="24780975" w:rsidR="00D04C52" w:rsidRPr="00A0218A" w:rsidRDefault="00253CDB" w:rsidP="00B46744">
      <w:pPr>
        <w:spacing w:after="120" w:line="240" w:lineRule="auto"/>
        <w:jc w:val="both"/>
        <w:rPr>
          <w:rFonts w:eastAsia="Calibri" w:cs="Times New Roman"/>
          <w:i/>
          <w:color w:val="000000"/>
        </w:rPr>
      </w:pPr>
      <w:r>
        <w:rPr>
          <w:rFonts w:eastAsia="Calibri" w:cs="Times New Roman"/>
          <w:i/>
          <w:color w:val="000000"/>
        </w:rPr>
        <w:t>Sixteen</w:t>
      </w:r>
      <w:r w:rsidRPr="00A0218A">
        <w:rPr>
          <w:rFonts w:eastAsia="Calibri" w:cs="Times New Roman"/>
          <w:i/>
          <w:color w:val="000000"/>
        </w:rPr>
        <w:t xml:space="preserve"> </w:t>
      </w:r>
      <w:r w:rsidR="00D04C52" w:rsidRPr="00A0218A">
        <w:rPr>
          <w:rFonts w:eastAsia="Calibri" w:cs="Times New Roman"/>
          <w:i/>
          <w:color w:val="000000"/>
        </w:rPr>
        <w:t>stu</w:t>
      </w:r>
      <w:r w:rsidR="00D14B2D">
        <w:rPr>
          <w:rFonts w:eastAsia="Calibri" w:cs="Times New Roman"/>
          <w:i/>
          <w:color w:val="000000"/>
        </w:rPr>
        <w:t>dies (that yielded 1</w:t>
      </w:r>
      <w:r>
        <w:rPr>
          <w:rFonts w:eastAsia="Calibri" w:cs="Times New Roman"/>
          <w:i/>
          <w:color w:val="000000"/>
        </w:rPr>
        <w:t>7</w:t>
      </w:r>
      <w:r w:rsidR="00D14B2D">
        <w:rPr>
          <w:rFonts w:eastAsia="Calibri" w:cs="Times New Roman"/>
          <w:i/>
          <w:color w:val="000000"/>
        </w:rPr>
        <w:t xml:space="preserve"> analyses) </w:t>
      </w:r>
      <w:r w:rsidR="00D04C52" w:rsidRPr="00A0218A">
        <w:rPr>
          <w:rFonts w:eastAsia="Calibri" w:cs="Times New Roman"/>
          <w:i/>
          <w:color w:val="000000"/>
        </w:rPr>
        <w:t>reported only an unadjusted measure of age at smoking initiation</w:t>
      </w:r>
      <w:r w:rsidR="00D14B2D">
        <w:rPr>
          <w:rFonts w:eastAsia="Calibri" w:cs="Times New Roman"/>
          <w:i/>
          <w:color w:val="000000"/>
        </w:rPr>
        <w:t xml:space="preserve"> </w:t>
      </w:r>
      <w:r w:rsidR="00D2134A">
        <w:rPr>
          <w:rFonts w:eastAsia="Calibri" w:cs="Times New Roman"/>
          <w:i/>
          <w:color w:val="000000"/>
        </w:rPr>
        <w:fldChar w:fldCharType="begin">
          <w:fldData xml:space="preserve">PjI1MDE3MzYxPC9hY2Nlc3Npb24tbnVtPjx1cmxzPjxyZWxhdGVkLXVybHM+PHVybD5odHRwOi8v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==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PEVuZE5vdGU+PENpdGU+PEF1dGhvcj5CZW5vd2l0ejwvQXV0aG9yPjxZZWFyPjIwMDQ8L1llYXI+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==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begin">
          <w:fldData xml:space="preserve">PjI1MDE3MzYxPC9hY2Nlc3Npb24tbnVtPjx1cmxzPjxyZWxhdGVkLXVybHM+PHVybD5odHRwOi8v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==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51" w:tooltip="Curtin, 2014 #13" w:history="1">
        <w:r w:rsidR="00A234A9">
          <w:rPr>
            <w:rFonts w:eastAsia="Calibri" w:cs="Times New Roman"/>
            <w:i/>
            <w:noProof/>
            <w:color w:val="000000"/>
          </w:rPr>
          <w:t>51</w:t>
        </w:r>
      </w:hyperlink>
      <w:r w:rsidR="00D2134A">
        <w:rPr>
          <w:rFonts w:eastAsia="Calibri" w:cs="Times New Roman"/>
          <w:i/>
          <w:noProof/>
          <w:color w:val="000000"/>
        </w:rPr>
        <w:t xml:space="preserve">, </w:t>
      </w:r>
      <w:hyperlink w:anchor="_ENREF_55" w:tooltip="Fagan, 2015 #5" w:history="1">
        <w:r w:rsidR="00A234A9">
          <w:rPr>
            <w:rFonts w:eastAsia="Calibri" w:cs="Times New Roman"/>
            <w:i/>
            <w:noProof/>
            <w:color w:val="000000"/>
          </w:rPr>
          <w:t>55</w:t>
        </w:r>
      </w:hyperlink>
      <w:r w:rsidR="00D2134A">
        <w:rPr>
          <w:rFonts w:eastAsia="Calibri" w:cs="Times New Roman"/>
          <w:i/>
          <w:noProof/>
          <w:color w:val="000000"/>
        </w:rPr>
        <w:t xml:space="preserve">, </w:t>
      </w:r>
      <w:hyperlink w:anchor="_ENREF_57" w:tooltip="Fagan, 2010 #56" w:history="1">
        <w:r w:rsidR="00A234A9">
          <w:rPr>
            <w:rFonts w:eastAsia="Calibri" w:cs="Times New Roman"/>
            <w:i/>
            <w:noProof/>
            <w:color w:val="000000"/>
          </w:rPr>
          <w:t>57</w:t>
        </w:r>
      </w:hyperlink>
      <w:r w:rsidR="00D2134A">
        <w:rPr>
          <w:rFonts w:eastAsia="Calibri" w:cs="Times New Roman"/>
          <w:i/>
          <w:noProof/>
          <w:color w:val="000000"/>
        </w:rPr>
        <w:t xml:space="preserve">, </w:t>
      </w:r>
      <w:hyperlink w:anchor="_ENREF_58" w:tooltip="Faseru, 2011 #40" w:history="1">
        <w:r w:rsidR="00A234A9">
          <w:rPr>
            <w:rFonts w:eastAsia="Calibri" w:cs="Times New Roman"/>
            <w:i/>
            <w:noProof/>
            <w:color w:val="000000"/>
          </w:rPr>
          <w:t>58</w:t>
        </w:r>
      </w:hyperlink>
      <w:r w:rsidR="00D2134A">
        <w:rPr>
          <w:rFonts w:eastAsia="Calibri" w:cs="Times New Roman"/>
          <w:i/>
          <w:noProof/>
          <w:color w:val="000000"/>
        </w:rPr>
        <w:t xml:space="preserve">, </w:t>
      </w:r>
      <w:hyperlink w:anchor="_ENREF_61" w:tooltip="Gandhi, 2009 #67" w:history="1">
        <w:r w:rsidR="00A234A9">
          <w:rPr>
            <w:rFonts w:eastAsia="Calibri" w:cs="Times New Roman"/>
            <w:i/>
            <w:noProof/>
            <w:color w:val="000000"/>
          </w:rPr>
          <w:t>61</w:t>
        </w:r>
      </w:hyperlink>
      <w:r w:rsidR="00D2134A">
        <w:rPr>
          <w:rFonts w:eastAsia="Calibri" w:cs="Times New Roman"/>
          <w:i/>
          <w:noProof/>
          <w:color w:val="000000"/>
        </w:rPr>
        <w:t xml:space="preserve">, </w:t>
      </w:r>
      <w:hyperlink w:anchor="_ENREF_67" w:tooltip="Jain, 2014 #21" w:history="1">
        <w:r w:rsidR="00A234A9">
          <w:rPr>
            <w:rFonts w:eastAsia="Calibri" w:cs="Times New Roman"/>
            <w:i/>
            <w:noProof/>
            <w:color w:val="000000"/>
          </w:rPr>
          <w:t>67</w:t>
        </w:r>
      </w:hyperlink>
      <w:r w:rsidR="00D2134A">
        <w:rPr>
          <w:rFonts w:eastAsia="Calibri" w:cs="Times New Roman"/>
          <w:i/>
          <w:noProof/>
          <w:color w:val="000000"/>
        </w:rPr>
        <w:t xml:space="preserve">, </w:t>
      </w:r>
      <w:hyperlink w:anchor="_ENREF_68" w:tooltip="Jones, 2013 #30" w:history="1">
        <w:r w:rsidR="00A234A9">
          <w:rPr>
            <w:rFonts w:eastAsia="Calibri" w:cs="Times New Roman"/>
            <w:i/>
            <w:noProof/>
            <w:color w:val="000000"/>
          </w:rPr>
          <w:t>68</w:t>
        </w:r>
      </w:hyperlink>
      <w:r w:rsidR="00D2134A">
        <w:rPr>
          <w:rFonts w:eastAsia="Calibri" w:cs="Times New Roman"/>
          <w:i/>
          <w:noProof/>
          <w:color w:val="000000"/>
        </w:rPr>
        <w:t xml:space="preserve">, </w:t>
      </w:r>
      <w:hyperlink w:anchor="_ENREF_74" w:tooltip="Okuyemi, 2007 #74" w:history="1">
        <w:r w:rsidR="00A234A9">
          <w:rPr>
            <w:rFonts w:eastAsia="Calibri" w:cs="Times New Roman"/>
            <w:i/>
            <w:noProof/>
            <w:color w:val="000000"/>
          </w:rPr>
          <w:t>74-78</w:t>
        </w:r>
      </w:hyperlink>
      <w:r w:rsidR="00D2134A">
        <w:rPr>
          <w:rFonts w:eastAsia="Calibri" w:cs="Times New Roman"/>
          <w:i/>
          <w:noProof/>
          <w:color w:val="000000"/>
        </w:rPr>
        <w:t xml:space="preserve">, </w:t>
      </w:r>
      <w:hyperlink w:anchor="_ENREF_81" w:tooltip="Rosenbloom, 2012 #32" w:history="1">
        <w:r w:rsidR="00A234A9">
          <w:rPr>
            <w:rFonts w:eastAsia="Calibri" w:cs="Times New Roman"/>
            <w:i/>
            <w:noProof/>
            <w:color w:val="000000"/>
          </w:rPr>
          <w:t>81</w:t>
        </w:r>
      </w:hyperlink>
      <w:r w:rsidR="00D2134A">
        <w:rPr>
          <w:rFonts w:eastAsia="Calibri" w:cs="Times New Roman"/>
          <w:i/>
          <w:noProof/>
          <w:color w:val="000000"/>
        </w:rPr>
        <w:t xml:space="preserve">, </w:t>
      </w:r>
      <w:hyperlink w:anchor="_ENREF_83" w:tooltip="Smith, 2014 #11" w:history="1">
        <w:r w:rsidR="00A234A9">
          <w:rPr>
            <w:rFonts w:eastAsia="Calibri" w:cs="Times New Roman"/>
            <w:i/>
            <w:noProof/>
            <w:color w:val="000000"/>
          </w:rPr>
          <w:t>83-85</w:t>
        </w:r>
      </w:hyperlink>
      <w:r w:rsidR="00D2134A">
        <w:rPr>
          <w:rFonts w:eastAsia="Calibri" w:cs="Times New Roman"/>
          <w:i/>
          <w:noProof/>
          <w:color w:val="000000"/>
        </w:rPr>
        <w:t xml:space="preserve">, </w:t>
      </w:r>
      <w:hyperlink w:anchor="_ENREF_90" w:tooltip="Benowitz, 2004 #96" w:history="1">
        <w:r w:rsidR="00A234A9">
          <w:rPr>
            <w:rFonts w:eastAsia="Calibri" w:cs="Times New Roman"/>
            <w:i/>
            <w:noProof/>
            <w:color w:val="000000"/>
          </w:rPr>
          <w:t>90</w:t>
        </w:r>
      </w:hyperlink>
      <w:r w:rsidR="00D2134A">
        <w:rPr>
          <w:rFonts w:eastAsia="Calibri" w:cs="Times New Roman"/>
          <w:i/>
          <w:noProof/>
          <w:color w:val="000000"/>
        </w:rPr>
        <w:t>)</w:t>
      </w:r>
      <w:r w:rsidR="00D2134A">
        <w:rPr>
          <w:rFonts w:eastAsia="Calibri" w:cs="Times New Roman"/>
          <w:i/>
          <w:color w:val="000000"/>
        </w:rPr>
        <w:fldChar w:fldCharType="end"/>
      </w:r>
      <w:r w:rsidR="00D04C52" w:rsidRPr="00A0218A">
        <w:rPr>
          <w:rFonts w:eastAsia="Calibri" w:cs="Times New Roman"/>
          <w:i/>
          <w:color w:val="000000"/>
        </w:rPr>
        <w:t>. Five of the studies (six analyses) analyzed data from one of the national surveys</w:t>
      </w:r>
      <w:r w:rsidR="00BD3A5F">
        <w:rPr>
          <w:rFonts w:eastAsia="Calibri" w:cs="Times New Roman"/>
          <w:i/>
          <w:color w:val="000000"/>
        </w:rPr>
        <w:t xml:space="preserve"> </w:t>
      </w:r>
      <w:r w:rsidR="00BD3A5F" w:rsidRPr="00BD3A5F">
        <w:rPr>
          <w:rFonts w:eastAsia="Calibri" w:cs="Times New Roman"/>
          <w:i/>
          <w:lang w:val="en"/>
        </w:rPr>
        <w:t>Tobacco Use Supplement to the Current Population Survey</w:t>
      </w:r>
      <w:r w:rsidR="00EF0A6E">
        <w:rPr>
          <w:rFonts w:eastAsia="Calibri" w:cs="Times New Roman"/>
          <w:i/>
          <w:color w:val="000000"/>
        </w:rPr>
        <w:t xml:space="preserve"> (TUS-CPS)</w:t>
      </w:r>
      <w:r w:rsidR="00D04C52" w:rsidRPr="00A0218A">
        <w:rPr>
          <w:rFonts w:eastAsia="Calibri" w:cs="Times New Roman"/>
          <w:i/>
          <w:color w:val="000000"/>
        </w:rPr>
        <w:t>, some of which have overlapping samples</w:t>
      </w:r>
      <w:r w:rsidR="00603E86">
        <w:rPr>
          <w:rFonts w:eastAsia="Calibri" w:cs="Times New Roman"/>
          <w:i/>
          <w:color w:val="000000"/>
        </w:rPr>
        <w:t xml:space="preserve"> </w:t>
      </w:r>
      <w:r w:rsidR="00D2134A">
        <w:rPr>
          <w:rFonts w:eastAsia="Calibri" w:cs="Times New Roman"/>
          <w:i/>
          <w:color w:val="000000"/>
        </w:rPr>
        <w:fldChar w:fldCharType="begin">
          <w:fldData xml:space="preserve">PEVuZE5vdGU+PENpdGU+PEF1dGhvcj5DdXJ0aW48L0F1dGhvcj48WWVhcj4yMDE0PC9ZZWFyPjxS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PEVuZE5vdGU+PENpdGU+PEF1dGhvcj5DdXJ0aW48L0F1dGhvcj48WWVhcj4yMDE0PC9ZZWFyPjxS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51" w:tooltip="Curtin, 2014 #13" w:history="1">
        <w:r w:rsidR="00A234A9">
          <w:rPr>
            <w:rFonts w:eastAsia="Calibri" w:cs="Times New Roman"/>
            <w:i/>
            <w:noProof/>
            <w:color w:val="000000"/>
          </w:rPr>
          <w:t>51</w:t>
        </w:r>
      </w:hyperlink>
      <w:r w:rsidR="00D2134A">
        <w:rPr>
          <w:rFonts w:eastAsia="Calibri" w:cs="Times New Roman"/>
          <w:i/>
          <w:noProof/>
          <w:color w:val="000000"/>
        </w:rPr>
        <w:t xml:space="preserve">, </w:t>
      </w:r>
      <w:hyperlink w:anchor="_ENREF_57" w:tooltip="Fagan, 2010 #56" w:history="1">
        <w:r w:rsidR="00A234A9">
          <w:rPr>
            <w:rFonts w:eastAsia="Calibri" w:cs="Times New Roman"/>
            <w:i/>
            <w:noProof/>
            <w:color w:val="000000"/>
          </w:rPr>
          <w:t>57</w:t>
        </w:r>
      </w:hyperlink>
      <w:r w:rsidR="00D2134A">
        <w:rPr>
          <w:rFonts w:eastAsia="Calibri" w:cs="Times New Roman"/>
          <w:i/>
          <w:noProof/>
          <w:color w:val="000000"/>
        </w:rPr>
        <w:t xml:space="preserve">, </w:t>
      </w:r>
      <w:hyperlink w:anchor="_ENREF_60" w:tooltip="Fernander, 2010 #54" w:history="1">
        <w:r w:rsidR="00A234A9">
          <w:rPr>
            <w:rFonts w:eastAsia="Calibri" w:cs="Times New Roman"/>
            <w:i/>
            <w:noProof/>
            <w:color w:val="000000"/>
          </w:rPr>
          <w:t>60</w:t>
        </w:r>
      </w:hyperlink>
      <w:r w:rsidR="00D2134A">
        <w:rPr>
          <w:rFonts w:eastAsia="Calibri" w:cs="Times New Roman"/>
          <w:i/>
          <w:noProof/>
          <w:color w:val="000000"/>
        </w:rPr>
        <w:t xml:space="preserve">, </w:t>
      </w:r>
      <w:hyperlink w:anchor="_ENREF_70" w:tooltip="Lawrence, 2010 #52" w:history="1">
        <w:r w:rsidR="00A234A9">
          <w:rPr>
            <w:rFonts w:eastAsia="Calibri" w:cs="Times New Roman"/>
            <w:i/>
            <w:noProof/>
            <w:color w:val="000000"/>
          </w:rPr>
          <w:t>70</w:t>
        </w:r>
      </w:hyperlink>
      <w:r w:rsidR="00D2134A">
        <w:rPr>
          <w:rFonts w:eastAsia="Calibri" w:cs="Times New Roman"/>
          <w:i/>
          <w:noProof/>
          <w:color w:val="000000"/>
        </w:rPr>
        <w:t xml:space="preserve">, </w:t>
      </w:r>
      <w:hyperlink w:anchor="_ENREF_85" w:tooltip="Sulsky, 2014 #15" w:history="1">
        <w:r w:rsidR="00A234A9">
          <w:rPr>
            <w:rFonts w:eastAsia="Calibri" w:cs="Times New Roman"/>
            <w:i/>
            <w:noProof/>
            <w:color w:val="000000"/>
          </w:rPr>
          <w:t>85</w:t>
        </w:r>
      </w:hyperlink>
      <w:r w:rsidR="00D2134A">
        <w:rPr>
          <w:rFonts w:eastAsia="Calibri" w:cs="Times New Roman"/>
          <w:i/>
          <w:noProof/>
          <w:color w:val="000000"/>
        </w:rPr>
        <w:t>)</w:t>
      </w:r>
      <w:r w:rsidR="00D2134A">
        <w:rPr>
          <w:rFonts w:eastAsia="Calibri" w:cs="Times New Roman"/>
          <w:i/>
          <w:color w:val="000000"/>
        </w:rPr>
        <w:fldChar w:fldCharType="end"/>
      </w:r>
      <w:r w:rsidR="00D04C52" w:rsidRPr="00A0218A">
        <w:rPr>
          <w:rFonts w:eastAsia="Calibri" w:cs="Times New Roman"/>
          <w:i/>
          <w:color w:val="000000"/>
        </w:rPr>
        <w:t>. Overall, two studies enrolled only young adults</w:t>
      </w:r>
      <w:r w:rsidR="00EF0A6E">
        <w:rPr>
          <w:rFonts w:eastAsia="Calibri" w:cs="Times New Roman"/>
          <w:i/>
          <w:color w:val="000000"/>
        </w:rPr>
        <w:t xml:space="preserve"> </w:t>
      </w:r>
      <w:r w:rsidR="00D2134A">
        <w:rPr>
          <w:rFonts w:eastAsia="Calibri" w:cs="Times New Roman"/>
          <w:i/>
          <w:color w:val="000000"/>
        </w:rPr>
        <w:fldChar w:fldCharType="begin">
          <w:fldData xml:space="preserve">PEVuZE5vdGU+PENpdGU+PEF1dGhvcj5GYWdhbjwvQXV0aG9yPjxZZWFyPjIwMTU8L1llYXI+PFJl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PEVuZE5vdGU+PENpdGU+PEF1dGhvcj5GYWdhbjwvQXV0aG9yPjxZZWFyPjIwMTU8L1llYXI+PFJl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55" w:tooltip="Fagan, 2015 #5" w:history="1">
        <w:r w:rsidR="00A234A9">
          <w:rPr>
            <w:rFonts w:eastAsia="Calibri" w:cs="Times New Roman"/>
            <w:i/>
            <w:noProof/>
            <w:color w:val="000000"/>
          </w:rPr>
          <w:t>55</w:t>
        </w:r>
      </w:hyperlink>
      <w:r w:rsidR="00D2134A">
        <w:rPr>
          <w:rFonts w:eastAsia="Calibri" w:cs="Times New Roman"/>
          <w:i/>
          <w:noProof/>
          <w:color w:val="000000"/>
        </w:rPr>
        <w:t xml:space="preserve">, </w:t>
      </w:r>
      <w:hyperlink w:anchor="_ENREF_78" w:tooltip="Pletcher, 2006 #78" w:history="1">
        <w:r w:rsidR="00A234A9">
          <w:rPr>
            <w:rFonts w:eastAsia="Calibri" w:cs="Times New Roman"/>
            <w:i/>
            <w:noProof/>
            <w:color w:val="000000"/>
          </w:rPr>
          <w:t>78</w:t>
        </w:r>
      </w:hyperlink>
      <w:r w:rsidR="00D2134A">
        <w:rPr>
          <w:rFonts w:eastAsia="Calibri" w:cs="Times New Roman"/>
          <w:i/>
          <w:noProof/>
          <w:color w:val="000000"/>
        </w:rPr>
        <w:t>)</w:t>
      </w:r>
      <w:r w:rsidR="00D2134A">
        <w:rPr>
          <w:rFonts w:eastAsia="Calibri" w:cs="Times New Roman"/>
          <w:i/>
          <w:color w:val="000000"/>
        </w:rPr>
        <w:fldChar w:fldCharType="end"/>
      </w:r>
      <w:r w:rsidR="00D04C52" w:rsidRPr="00A0218A">
        <w:rPr>
          <w:rFonts w:eastAsia="Calibri" w:cs="Times New Roman"/>
          <w:i/>
          <w:color w:val="000000"/>
        </w:rPr>
        <w:t xml:space="preserve">, </w:t>
      </w:r>
      <w:r>
        <w:rPr>
          <w:rFonts w:eastAsia="Calibri" w:cs="Times New Roman"/>
          <w:i/>
          <w:color w:val="000000"/>
        </w:rPr>
        <w:t>two</w:t>
      </w:r>
      <w:r w:rsidRPr="00A0218A">
        <w:rPr>
          <w:rFonts w:eastAsia="Calibri" w:cs="Times New Roman"/>
          <w:i/>
          <w:color w:val="000000"/>
        </w:rPr>
        <w:t xml:space="preserve"> </w:t>
      </w:r>
      <w:r w:rsidR="00D04C52" w:rsidRPr="00A0218A">
        <w:rPr>
          <w:rFonts w:eastAsia="Calibri" w:cs="Times New Roman"/>
          <w:i/>
          <w:color w:val="000000"/>
        </w:rPr>
        <w:t>enrolled only women</w:t>
      </w:r>
      <w:r w:rsidR="00EF0A6E">
        <w:rPr>
          <w:rFonts w:eastAsia="Calibri" w:cs="Times New Roman"/>
          <w:i/>
          <w:color w:val="000000"/>
        </w:rPr>
        <w:t xml:space="preserve"> </w:t>
      </w:r>
      <w:r w:rsidR="00D2134A">
        <w:rPr>
          <w:rFonts w:eastAsia="Calibri" w:cs="Times New Roman"/>
          <w:i/>
          <w:color w:val="000000"/>
        </w:rPr>
        <w:fldChar w:fldCharType="begin">
          <w:fldData xml:space="preserve">PEVuZE5vdGU+PENpdGU+PEF1dGhvcj5Sb3NlbmJsb29tPC9BdXRob3I+PFllYXI+MjAxMjwvWWVh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PEVuZE5vdGU+PENpdGU+PEF1dGhvcj5Sb3NlbmJsb29tPC9BdXRob3I+PFllYXI+MjAxMjwvWWVh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6" w:tooltip="Oncken, 2015 #6" w:history="1">
        <w:r w:rsidR="00A234A9">
          <w:rPr>
            <w:rFonts w:eastAsia="Calibri" w:cs="Times New Roman"/>
            <w:i/>
            <w:noProof/>
            <w:color w:val="000000"/>
          </w:rPr>
          <w:t>76</w:t>
        </w:r>
      </w:hyperlink>
      <w:r w:rsidR="00D2134A">
        <w:rPr>
          <w:rFonts w:eastAsia="Calibri" w:cs="Times New Roman"/>
          <w:i/>
          <w:noProof/>
          <w:color w:val="000000"/>
        </w:rPr>
        <w:t xml:space="preserve">, </w:t>
      </w:r>
      <w:hyperlink w:anchor="_ENREF_81" w:tooltip="Rosenbloom, 2012 #32" w:history="1">
        <w:r w:rsidR="00A234A9">
          <w:rPr>
            <w:rFonts w:eastAsia="Calibri" w:cs="Times New Roman"/>
            <w:i/>
            <w:noProof/>
            <w:color w:val="000000"/>
          </w:rPr>
          <w:t>81</w:t>
        </w:r>
      </w:hyperlink>
      <w:r w:rsidR="00D2134A">
        <w:rPr>
          <w:rFonts w:eastAsia="Calibri" w:cs="Times New Roman"/>
          <w:i/>
          <w:noProof/>
          <w:color w:val="000000"/>
        </w:rPr>
        <w:t>)</w:t>
      </w:r>
      <w:r w:rsidR="00D2134A">
        <w:rPr>
          <w:rFonts w:eastAsia="Calibri" w:cs="Times New Roman"/>
          <w:i/>
          <w:color w:val="000000"/>
        </w:rPr>
        <w:fldChar w:fldCharType="end"/>
      </w:r>
      <w:r w:rsidR="00D04C52" w:rsidRPr="00A0218A">
        <w:rPr>
          <w:rFonts w:eastAsia="Calibri" w:cs="Times New Roman"/>
          <w:i/>
          <w:color w:val="000000"/>
        </w:rPr>
        <w:t xml:space="preserve">, and three enrolled only </w:t>
      </w:r>
      <w:r w:rsidR="00E1156E">
        <w:rPr>
          <w:rFonts w:eastAsia="Calibri" w:cs="Times New Roman"/>
          <w:i/>
          <w:color w:val="000000"/>
        </w:rPr>
        <w:t>Black</w:t>
      </w:r>
      <w:r w:rsidR="00D04C52" w:rsidRPr="00A0218A">
        <w:rPr>
          <w:rFonts w:eastAsia="Calibri" w:cs="Times New Roman"/>
          <w:i/>
          <w:color w:val="000000"/>
        </w:rPr>
        <w:t xml:space="preserve"> smokers</w:t>
      </w:r>
      <w:r w:rsidR="00D54CD2">
        <w:rPr>
          <w:rFonts w:eastAsia="Calibri" w:cs="Times New Roman"/>
          <w:i/>
          <w:color w:val="000000"/>
        </w:rPr>
        <w:t xml:space="preserve"> </w:t>
      </w:r>
      <w:r w:rsidR="00D2134A">
        <w:rPr>
          <w:rFonts w:eastAsia="Calibri" w:cs="Times New Roman"/>
          <w:i/>
          <w:color w:val="000000"/>
        </w:rPr>
        <w:fldChar w:fldCharType="begin">
          <w:fldData xml:space="preserve">PEVuZE5vdGU+PENpdGU+PEF1dGhvcj5Pa3V5ZW1pPC9BdXRob3I+PFllYXI+MjAwNzwvWWVhcj48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PEVuZE5vdGU+PENpdGU+PEF1dGhvcj5Pa3V5ZW1pPC9BdXRob3I+PFllYXI+MjAwNzwvWWVhcj48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4" w:tooltip="Okuyemi, 2007 #74" w:history="1">
        <w:r w:rsidR="00A234A9">
          <w:rPr>
            <w:rFonts w:eastAsia="Calibri" w:cs="Times New Roman"/>
            <w:i/>
            <w:noProof/>
            <w:color w:val="000000"/>
          </w:rPr>
          <w:t>74</w:t>
        </w:r>
      </w:hyperlink>
      <w:r w:rsidR="00D2134A">
        <w:rPr>
          <w:rFonts w:eastAsia="Calibri" w:cs="Times New Roman"/>
          <w:i/>
          <w:noProof/>
          <w:color w:val="000000"/>
        </w:rPr>
        <w:t xml:space="preserve">, </w:t>
      </w:r>
      <w:hyperlink w:anchor="_ENREF_77" w:tooltip="Park, 2015 #9" w:history="1">
        <w:r w:rsidR="00A234A9">
          <w:rPr>
            <w:rFonts w:eastAsia="Calibri" w:cs="Times New Roman"/>
            <w:i/>
            <w:noProof/>
            <w:color w:val="000000"/>
          </w:rPr>
          <w:t>77</w:t>
        </w:r>
      </w:hyperlink>
      <w:r w:rsidR="00D2134A">
        <w:rPr>
          <w:rFonts w:eastAsia="Calibri" w:cs="Times New Roman"/>
          <w:i/>
          <w:noProof/>
          <w:color w:val="000000"/>
        </w:rPr>
        <w:t xml:space="preserve">, </w:t>
      </w:r>
      <w:hyperlink w:anchor="_ENREF_78" w:tooltip="Pletcher, 2006 #78" w:history="1">
        <w:r w:rsidR="00A234A9">
          <w:rPr>
            <w:rFonts w:eastAsia="Calibri" w:cs="Times New Roman"/>
            <w:i/>
            <w:noProof/>
            <w:color w:val="000000"/>
          </w:rPr>
          <w:t>78</w:t>
        </w:r>
      </w:hyperlink>
      <w:r w:rsidR="00D2134A">
        <w:rPr>
          <w:rFonts w:eastAsia="Calibri" w:cs="Times New Roman"/>
          <w:i/>
          <w:noProof/>
          <w:color w:val="000000"/>
        </w:rPr>
        <w:t>)</w:t>
      </w:r>
      <w:r w:rsidR="00D2134A">
        <w:rPr>
          <w:rFonts w:eastAsia="Calibri" w:cs="Times New Roman"/>
          <w:i/>
          <w:color w:val="000000"/>
        </w:rPr>
        <w:fldChar w:fldCharType="end"/>
      </w:r>
      <w:r w:rsidR="00D04C52" w:rsidRPr="00A0218A">
        <w:rPr>
          <w:rFonts w:eastAsia="Calibri" w:cs="Times New Roman"/>
          <w:i/>
          <w:color w:val="000000"/>
        </w:rPr>
        <w:t>. Sample sizes ranged from 127 to 45,315 participants. Specific definitions for initiation of smoking and progression to regular smoking var</w:t>
      </w:r>
      <w:r w:rsidR="00D04C52">
        <w:rPr>
          <w:rFonts w:eastAsia="Calibri" w:cs="Times New Roman"/>
          <w:i/>
          <w:color w:val="000000"/>
        </w:rPr>
        <w:t>ied somewhat among the studies</w:t>
      </w:r>
      <w:r w:rsidR="00D04C52" w:rsidRPr="00A0218A">
        <w:rPr>
          <w:rFonts w:eastAsia="Calibri" w:cs="Times New Roman"/>
          <w:i/>
          <w:color w:val="000000"/>
        </w:rPr>
        <w:t xml:space="preserve">, and a few studies did not report a definition. Six studies were rated “good” quality, and </w:t>
      </w:r>
      <w:r>
        <w:rPr>
          <w:rFonts w:eastAsia="Calibri" w:cs="Times New Roman"/>
          <w:i/>
          <w:color w:val="000000"/>
        </w:rPr>
        <w:t>ten</w:t>
      </w:r>
      <w:r w:rsidRPr="00A0218A">
        <w:rPr>
          <w:rFonts w:eastAsia="Calibri" w:cs="Times New Roman"/>
          <w:i/>
          <w:color w:val="000000"/>
        </w:rPr>
        <w:t xml:space="preserve"> </w:t>
      </w:r>
      <w:r w:rsidR="00D04C52" w:rsidRPr="00A0218A">
        <w:rPr>
          <w:rFonts w:eastAsia="Calibri" w:cs="Times New Roman"/>
          <w:i/>
          <w:color w:val="000000"/>
        </w:rPr>
        <w:t xml:space="preserve">were rated “fair.” </w:t>
      </w:r>
    </w:p>
    <w:p w14:paraId="1F91FBA4" w14:textId="77777777" w:rsidR="00D04C52" w:rsidRPr="00A0218A" w:rsidRDefault="00D04C52" w:rsidP="00B46744">
      <w:pPr>
        <w:spacing w:after="120" w:line="240" w:lineRule="auto"/>
        <w:jc w:val="both"/>
        <w:rPr>
          <w:rFonts w:eastAsia="Calibri" w:cs="Times New Roman"/>
          <w:i/>
          <w:color w:val="000000"/>
        </w:rPr>
      </w:pPr>
      <w:r w:rsidRPr="00A0218A">
        <w:rPr>
          <w:rFonts w:eastAsia="Calibri" w:cs="Times New Roman"/>
          <w:i/>
          <w:color w:val="000000"/>
        </w:rPr>
        <w:t>The reported age at initiation of smoking varied among populations and studies, ranging from approximately 14 to 21 in both menthol and non-menthol smokers. Some studies presented the proportions of menthol and non-menthol smokers who started smoking at various ages while others presented the unadjusted mean age of initiation in years.</w:t>
      </w:r>
    </w:p>
    <w:p w14:paraId="3E6F748E" w14:textId="724845A1" w:rsidR="00D04C52" w:rsidRPr="00A0218A" w:rsidRDefault="001A6A02" w:rsidP="00B46744">
      <w:pPr>
        <w:spacing w:after="120" w:line="240" w:lineRule="auto"/>
        <w:jc w:val="both"/>
        <w:rPr>
          <w:rFonts w:eastAsia="Calibri" w:cs="Times New Roman"/>
          <w:i/>
          <w:color w:val="000000"/>
        </w:rPr>
      </w:pPr>
      <w:r>
        <w:rPr>
          <w:rFonts w:eastAsia="Calibri" w:cs="Times New Roman"/>
          <w:i/>
          <w:color w:val="000000"/>
        </w:rPr>
        <w:t>Fifteen</w:t>
      </w:r>
      <w:r w:rsidRPr="00A0218A">
        <w:rPr>
          <w:rFonts w:eastAsia="Calibri" w:cs="Times New Roman"/>
          <w:i/>
          <w:color w:val="000000"/>
        </w:rPr>
        <w:t xml:space="preserve"> </w:t>
      </w:r>
      <w:r w:rsidR="00D04C52" w:rsidRPr="00A0218A">
        <w:rPr>
          <w:rFonts w:eastAsia="Calibri" w:cs="Times New Roman"/>
          <w:i/>
          <w:color w:val="000000"/>
        </w:rPr>
        <w:t xml:space="preserve">of the </w:t>
      </w:r>
      <w:r>
        <w:rPr>
          <w:rFonts w:eastAsia="Calibri" w:cs="Times New Roman"/>
          <w:i/>
          <w:color w:val="000000"/>
        </w:rPr>
        <w:t>seventeen</w:t>
      </w:r>
      <w:r w:rsidRPr="00A0218A">
        <w:rPr>
          <w:rFonts w:eastAsia="Calibri" w:cs="Times New Roman"/>
          <w:i/>
          <w:color w:val="000000"/>
        </w:rPr>
        <w:t xml:space="preserve"> </w:t>
      </w:r>
      <w:r w:rsidR="00D04C52" w:rsidRPr="00A0218A">
        <w:rPr>
          <w:rFonts w:eastAsia="Calibri" w:cs="Times New Roman"/>
          <w:i/>
          <w:color w:val="000000"/>
        </w:rPr>
        <w:t xml:space="preserve">analyses found </w:t>
      </w:r>
      <w:r w:rsidR="003C5B9E">
        <w:rPr>
          <w:rFonts w:eastAsia="Calibri" w:cs="Times New Roman"/>
          <w:i/>
          <w:color w:val="000000"/>
        </w:rPr>
        <w:t xml:space="preserve">either </w:t>
      </w:r>
      <w:r w:rsidR="00D04C52" w:rsidRPr="00A0218A">
        <w:rPr>
          <w:rFonts w:eastAsia="Calibri" w:cs="Times New Roman"/>
          <w:i/>
          <w:color w:val="000000"/>
        </w:rPr>
        <w:t xml:space="preserve">no significant difference </w:t>
      </w:r>
      <w:r w:rsidR="003C5B9E">
        <w:rPr>
          <w:rFonts w:eastAsia="Calibri" w:cs="Times New Roman"/>
          <w:i/>
          <w:color w:val="000000"/>
        </w:rPr>
        <w:t xml:space="preserve">or did not report significance testing </w:t>
      </w:r>
      <w:r w:rsidR="00D04C52" w:rsidRPr="00A0218A">
        <w:rPr>
          <w:rFonts w:eastAsia="Calibri" w:cs="Times New Roman"/>
          <w:i/>
          <w:color w:val="000000"/>
        </w:rPr>
        <w:t>in age at initiation between menthol and non-menthol smokers</w:t>
      </w:r>
      <w:r w:rsidR="00721292">
        <w:rPr>
          <w:rFonts w:eastAsia="Calibri" w:cs="Times New Roman"/>
          <w:i/>
          <w:color w:val="000000"/>
        </w:rPr>
        <w:t xml:space="preserve"> </w:t>
      </w:r>
      <w:r w:rsidR="00D2134A">
        <w:rPr>
          <w:rFonts w:eastAsia="Calibri" w:cs="Times New Roman"/>
          <w:i/>
          <w:color w:val="000000"/>
        </w:rPr>
        <w:fldChar w:fldCharType="begin">
          <w:fldData xml:space="preserve">dWxuZXJhYmlsaXR5IHRvIE1lbnRob2wgQ2lnYXJldHRlIFByZWZlcmVuY2UgaW4gV29tZW48L3Rp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PEVuZE5vdGU+PENpdGU+PEF1dGhvcj5CZW5vd2l0ejwvQXV0aG9yPjxZZWFyPjIwMTA8L1llYXI+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==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begin">
          <w:fldData xml:space="preserve">dWxuZXJhYmlsaXR5IHRvIE1lbnRob2wgQ2lnYXJldHRlIFByZWZlcmVuY2UgaW4gV29tZW48L3Rp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48" w:tooltip="Benowitz, 2010 #286" w:history="1">
        <w:r w:rsidR="00A234A9">
          <w:rPr>
            <w:rFonts w:eastAsia="Calibri" w:cs="Times New Roman"/>
            <w:i/>
            <w:noProof/>
            <w:color w:val="000000"/>
          </w:rPr>
          <w:t>48</w:t>
        </w:r>
      </w:hyperlink>
      <w:r w:rsidR="00D2134A">
        <w:rPr>
          <w:rFonts w:eastAsia="Calibri" w:cs="Times New Roman"/>
          <w:i/>
          <w:noProof/>
          <w:color w:val="000000"/>
        </w:rPr>
        <w:t xml:space="preserve">, </w:t>
      </w:r>
      <w:hyperlink w:anchor="_ENREF_51" w:tooltip="Curtin, 2014 #13" w:history="1">
        <w:r w:rsidR="00A234A9">
          <w:rPr>
            <w:rFonts w:eastAsia="Calibri" w:cs="Times New Roman"/>
            <w:i/>
            <w:noProof/>
            <w:color w:val="000000"/>
          </w:rPr>
          <w:t>51</w:t>
        </w:r>
      </w:hyperlink>
      <w:r w:rsidR="00D2134A">
        <w:rPr>
          <w:rFonts w:eastAsia="Calibri" w:cs="Times New Roman"/>
          <w:i/>
          <w:noProof/>
          <w:color w:val="000000"/>
        </w:rPr>
        <w:t xml:space="preserve">, </w:t>
      </w:r>
      <w:hyperlink w:anchor="_ENREF_55" w:tooltip="Fagan, 2015 #5" w:history="1">
        <w:r w:rsidR="00A234A9">
          <w:rPr>
            <w:rFonts w:eastAsia="Calibri" w:cs="Times New Roman"/>
            <w:i/>
            <w:noProof/>
            <w:color w:val="000000"/>
          </w:rPr>
          <w:t>55</w:t>
        </w:r>
      </w:hyperlink>
      <w:r w:rsidR="00D2134A">
        <w:rPr>
          <w:rFonts w:eastAsia="Calibri" w:cs="Times New Roman"/>
          <w:i/>
          <w:noProof/>
          <w:color w:val="000000"/>
        </w:rPr>
        <w:t xml:space="preserve">, </w:t>
      </w:r>
      <w:hyperlink w:anchor="_ENREF_58" w:tooltip="Faseru, 2011 #40" w:history="1">
        <w:r w:rsidR="00A234A9">
          <w:rPr>
            <w:rFonts w:eastAsia="Calibri" w:cs="Times New Roman"/>
            <w:i/>
            <w:noProof/>
            <w:color w:val="000000"/>
          </w:rPr>
          <w:t>58</w:t>
        </w:r>
      </w:hyperlink>
      <w:r w:rsidR="00D2134A">
        <w:rPr>
          <w:rFonts w:eastAsia="Calibri" w:cs="Times New Roman"/>
          <w:i/>
          <w:noProof/>
          <w:color w:val="000000"/>
        </w:rPr>
        <w:t xml:space="preserve">, </w:t>
      </w:r>
      <w:hyperlink w:anchor="_ENREF_61" w:tooltip="Gandhi, 2009 #67" w:history="1">
        <w:r w:rsidR="00A234A9">
          <w:rPr>
            <w:rFonts w:eastAsia="Calibri" w:cs="Times New Roman"/>
            <w:i/>
            <w:noProof/>
            <w:color w:val="000000"/>
          </w:rPr>
          <w:t>61</w:t>
        </w:r>
      </w:hyperlink>
      <w:r w:rsidR="00D2134A">
        <w:rPr>
          <w:rFonts w:eastAsia="Calibri" w:cs="Times New Roman"/>
          <w:i/>
          <w:noProof/>
          <w:color w:val="000000"/>
        </w:rPr>
        <w:t xml:space="preserve">, </w:t>
      </w:r>
      <w:hyperlink w:anchor="_ENREF_67" w:tooltip="Jain, 2014 #21" w:history="1">
        <w:r w:rsidR="00A234A9">
          <w:rPr>
            <w:rFonts w:eastAsia="Calibri" w:cs="Times New Roman"/>
            <w:i/>
            <w:noProof/>
            <w:color w:val="000000"/>
          </w:rPr>
          <w:t>67</w:t>
        </w:r>
      </w:hyperlink>
      <w:r w:rsidR="00D2134A">
        <w:rPr>
          <w:rFonts w:eastAsia="Calibri" w:cs="Times New Roman"/>
          <w:i/>
          <w:noProof/>
          <w:color w:val="000000"/>
        </w:rPr>
        <w:t xml:space="preserve">, </w:t>
      </w:r>
      <w:hyperlink w:anchor="_ENREF_68" w:tooltip="Jones, 2013 #30" w:history="1">
        <w:r w:rsidR="00A234A9">
          <w:rPr>
            <w:rFonts w:eastAsia="Calibri" w:cs="Times New Roman"/>
            <w:i/>
            <w:noProof/>
            <w:color w:val="000000"/>
          </w:rPr>
          <w:t>68</w:t>
        </w:r>
      </w:hyperlink>
      <w:r w:rsidR="00D2134A">
        <w:rPr>
          <w:rFonts w:eastAsia="Calibri" w:cs="Times New Roman"/>
          <w:i/>
          <w:noProof/>
          <w:color w:val="000000"/>
        </w:rPr>
        <w:t xml:space="preserve">, </w:t>
      </w:r>
      <w:hyperlink w:anchor="_ENREF_74" w:tooltip="Okuyemi, 2007 #74" w:history="1">
        <w:r w:rsidR="00A234A9">
          <w:rPr>
            <w:rFonts w:eastAsia="Calibri" w:cs="Times New Roman"/>
            <w:i/>
            <w:noProof/>
            <w:color w:val="000000"/>
          </w:rPr>
          <w:t>74-78</w:t>
        </w:r>
      </w:hyperlink>
      <w:r w:rsidR="00D2134A">
        <w:rPr>
          <w:rFonts w:eastAsia="Calibri" w:cs="Times New Roman"/>
          <w:i/>
          <w:noProof/>
          <w:color w:val="000000"/>
        </w:rPr>
        <w:t xml:space="preserve">, </w:t>
      </w:r>
      <w:hyperlink w:anchor="_ENREF_81" w:tooltip="Rosenbloom, 2012 #32" w:history="1">
        <w:r w:rsidR="00A234A9">
          <w:rPr>
            <w:rFonts w:eastAsia="Calibri" w:cs="Times New Roman"/>
            <w:i/>
            <w:noProof/>
            <w:color w:val="000000"/>
          </w:rPr>
          <w:t>81</w:t>
        </w:r>
      </w:hyperlink>
      <w:r w:rsidR="00D2134A">
        <w:rPr>
          <w:rFonts w:eastAsia="Calibri" w:cs="Times New Roman"/>
          <w:i/>
          <w:noProof/>
          <w:color w:val="000000"/>
        </w:rPr>
        <w:t xml:space="preserve">, </w:t>
      </w:r>
      <w:hyperlink w:anchor="_ENREF_83" w:tooltip="Smith, 2014 #11" w:history="1">
        <w:r w:rsidR="00A234A9">
          <w:rPr>
            <w:rFonts w:eastAsia="Calibri" w:cs="Times New Roman"/>
            <w:i/>
            <w:noProof/>
            <w:color w:val="000000"/>
          </w:rPr>
          <w:t>83-85</w:t>
        </w:r>
      </w:hyperlink>
      <w:r w:rsidR="00D2134A">
        <w:rPr>
          <w:rFonts w:eastAsia="Calibri" w:cs="Times New Roman"/>
          <w:i/>
          <w:noProof/>
          <w:color w:val="000000"/>
        </w:rPr>
        <w:t>)</w:t>
      </w:r>
      <w:r w:rsidR="00D2134A">
        <w:rPr>
          <w:rFonts w:eastAsia="Calibri" w:cs="Times New Roman"/>
          <w:i/>
          <w:color w:val="000000"/>
        </w:rPr>
        <w:fldChar w:fldCharType="end"/>
      </w:r>
      <w:r w:rsidR="00D04C52" w:rsidRPr="00A0218A">
        <w:rPr>
          <w:rFonts w:eastAsia="Calibri" w:cs="Times New Roman"/>
          <w:i/>
          <w:color w:val="000000"/>
        </w:rPr>
        <w:t>. One analysis found that menthol smokers had a significantly older age of initiation compared with non-menthol smokers</w:t>
      </w:r>
      <w:r w:rsidR="00572A5D">
        <w:rPr>
          <w:rFonts w:eastAsia="Calibri" w:cs="Times New Roman"/>
          <w:i/>
          <w:color w:val="000000"/>
        </w:rPr>
        <w:t xml:space="preserve"> </w:t>
      </w:r>
      <w:r w:rsidR="00D2134A">
        <w:rPr>
          <w:rFonts w:eastAsia="Calibri" w:cs="Times New Roman"/>
          <w:i/>
          <w:color w:val="000000"/>
        </w:rPr>
        <w:fldChar w:fldCharType="begin">
          <w:fldData xml:space="preserve">PEVuZE5vdGU+PENpdGU+PEF1dGhvcj5GYWdhbjwvQXV0aG9yPjxZZWFyPjIwMTA8L1llYXI+PFJl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PEVuZE5vdGU+PENpdGU+PEF1dGhvcj5GYWdhbjwvQXV0aG9yPjxZZWFyPjIwMTA8L1llYXI+PFJl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57" w:tooltip="Fagan, 2010 #56" w:history="1">
        <w:r w:rsidR="00A234A9">
          <w:rPr>
            <w:rFonts w:eastAsia="Calibri" w:cs="Times New Roman"/>
            <w:i/>
            <w:noProof/>
            <w:color w:val="000000"/>
          </w:rPr>
          <w:t>57</w:t>
        </w:r>
      </w:hyperlink>
      <w:r w:rsidR="00D2134A">
        <w:rPr>
          <w:rFonts w:eastAsia="Calibri" w:cs="Times New Roman"/>
          <w:i/>
          <w:noProof/>
          <w:color w:val="000000"/>
        </w:rPr>
        <w:t>)</w:t>
      </w:r>
      <w:r w:rsidR="00D2134A">
        <w:rPr>
          <w:rFonts w:eastAsia="Calibri" w:cs="Times New Roman"/>
          <w:i/>
          <w:color w:val="000000"/>
        </w:rPr>
        <w:fldChar w:fldCharType="end"/>
      </w:r>
      <w:r w:rsidR="00D04C52" w:rsidRPr="00A0218A">
        <w:rPr>
          <w:rFonts w:eastAsia="Calibri" w:cs="Times New Roman"/>
          <w:i/>
          <w:color w:val="000000"/>
        </w:rPr>
        <w:t>, and one found that menthol smokers had a significantly younger age of initiation</w:t>
      </w:r>
      <w:r w:rsidR="00572A5D">
        <w:rPr>
          <w:rFonts w:eastAsia="Calibri" w:cs="Times New Roman"/>
          <w:i/>
          <w:color w:val="000000"/>
        </w:rPr>
        <w:t xml:space="preserve"> </w:t>
      </w:r>
      <w:r w:rsidR="00D2134A">
        <w:rPr>
          <w:rFonts w:eastAsia="Calibri" w:cs="Times New Roman"/>
          <w:i/>
          <w:color w:val="000000"/>
        </w:rPr>
        <w:fldChar w:fldCharType="begin">
          <w:fldData xml:space="preserve">PEVuZE5vdGU+PENpdGU+PEF1dGhvcj5QYXJrPC9BdXRob3I+PFllYXI+MjAxNTwvWWVhcj48UmVj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PEVuZE5vdGU+PENpdGU+PEF1dGhvcj5QYXJrPC9BdXRob3I+PFllYXI+MjAxNTwvWWVhcj48UmVj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7" w:tooltip="Park, 2015 #9" w:history="1">
        <w:r w:rsidR="00A234A9">
          <w:rPr>
            <w:rFonts w:eastAsia="Calibri" w:cs="Times New Roman"/>
            <w:i/>
            <w:noProof/>
            <w:color w:val="000000"/>
          </w:rPr>
          <w:t>77</w:t>
        </w:r>
      </w:hyperlink>
      <w:r w:rsidR="00D2134A">
        <w:rPr>
          <w:rFonts w:eastAsia="Calibri" w:cs="Times New Roman"/>
          <w:i/>
          <w:noProof/>
          <w:color w:val="000000"/>
        </w:rPr>
        <w:t>)</w:t>
      </w:r>
      <w:r w:rsidR="00D2134A">
        <w:rPr>
          <w:rFonts w:eastAsia="Calibri" w:cs="Times New Roman"/>
          <w:i/>
          <w:color w:val="000000"/>
        </w:rPr>
        <w:fldChar w:fldCharType="end"/>
      </w:r>
      <w:r w:rsidR="00D04C52" w:rsidRPr="00A0218A">
        <w:rPr>
          <w:rFonts w:eastAsia="Calibri" w:cs="Times New Roman"/>
          <w:i/>
          <w:color w:val="000000"/>
        </w:rPr>
        <w:t xml:space="preserve">. Among the fourteen analyses that found no significant difference, five reported a trend towards menthol smokers having an older age at initiation </w:t>
      </w:r>
      <w:r w:rsidR="00D2134A">
        <w:rPr>
          <w:rFonts w:eastAsia="Calibri" w:cs="Times New Roman"/>
          <w:i/>
          <w:color w:val="000000"/>
        </w:rPr>
        <w:fldChar w:fldCharType="begin">
          <w:fldData xml:space="preserve">PEVuZE5vdGU+PENpdGU+PEF1dGhvcj5DdXJ0aW48L0F1dGhvcj48WWVhcj4yMDE0PC9ZZWFyPjxS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PEVuZE5vdGU+PENpdGU+PEF1dGhvcj5DdXJ0aW48L0F1dGhvcj48WWVhcj4yMDE0PC9ZZWFyPjxS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51" w:tooltip="Curtin, 2014 #13" w:history="1">
        <w:r w:rsidR="00A234A9">
          <w:rPr>
            <w:rFonts w:eastAsia="Calibri" w:cs="Times New Roman"/>
            <w:i/>
            <w:noProof/>
            <w:color w:val="000000"/>
          </w:rPr>
          <w:t>51</w:t>
        </w:r>
      </w:hyperlink>
      <w:r w:rsidR="00D2134A">
        <w:rPr>
          <w:rFonts w:eastAsia="Calibri" w:cs="Times New Roman"/>
          <w:i/>
          <w:noProof/>
          <w:color w:val="000000"/>
        </w:rPr>
        <w:t xml:space="preserve">, </w:t>
      </w:r>
      <w:hyperlink w:anchor="_ENREF_67" w:tooltip="Jain, 2014 #21" w:history="1">
        <w:r w:rsidR="00A234A9">
          <w:rPr>
            <w:rFonts w:eastAsia="Calibri" w:cs="Times New Roman"/>
            <w:i/>
            <w:noProof/>
            <w:color w:val="000000"/>
          </w:rPr>
          <w:t>67</w:t>
        </w:r>
      </w:hyperlink>
      <w:r w:rsidR="00D2134A">
        <w:rPr>
          <w:rFonts w:eastAsia="Calibri" w:cs="Times New Roman"/>
          <w:i/>
          <w:noProof/>
          <w:color w:val="000000"/>
        </w:rPr>
        <w:t xml:space="preserve">, </w:t>
      </w:r>
      <w:hyperlink w:anchor="_ENREF_68" w:tooltip="Jones, 2013 #30" w:history="1">
        <w:r w:rsidR="00A234A9">
          <w:rPr>
            <w:rFonts w:eastAsia="Calibri" w:cs="Times New Roman"/>
            <w:i/>
            <w:noProof/>
            <w:color w:val="000000"/>
          </w:rPr>
          <w:t>68</w:t>
        </w:r>
      </w:hyperlink>
      <w:r w:rsidR="00D2134A">
        <w:rPr>
          <w:rFonts w:eastAsia="Calibri" w:cs="Times New Roman"/>
          <w:i/>
          <w:noProof/>
          <w:color w:val="000000"/>
        </w:rPr>
        <w:t xml:space="preserve">, </w:t>
      </w:r>
      <w:hyperlink w:anchor="_ENREF_81" w:tooltip="Rosenbloom, 2012 #32" w:history="1">
        <w:r w:rsidR="00A234A9">
          <w:rPr>
            <w:rFonts w:eastAsia="Calibri" w:cs="Times New Roman"/>
            <w:i/>
            <w:noProof/>
            <w:color w:val="000000"/>
          </w:rPr>
          <w:t>81</w:t>
        </w:r>
      </w:hyperlink>
      <w:r w:rsidR="00D2134A">
        <w:rPr>
          <w:rFonts w:eastAsia="Calibri" w:cs="Times New Roman"/>
          <w:i/>
          <w:noProof/>
          <w:color w:val="000000"/>
        </w:rPr>
        <w:t xml:space="preserve">, </w:t>
      </w:r>
      <w:hyperlink w:anchor="_ENREF_83" w:tooltip="Smith, 2014 #11" w:history="1">
        <w:r w:rsidR="00A234A9">
          <w:rPr>
            <w:rFonts w:eastAsia="Calibri" w:cs="Times New Roman"/>
            <w:i/>
            <w:noProof/>
            <w:color w:val="000000"/>
          </w:rPr>
          <w:t>83</w:t>
        </w:r>
      </w:hyperlink>
      <w:r w:rsidR="00D2134A">
        <w:rPr>
          <w:rFonts w:eastAsia="Calibri" w:cs="Times New Roman"/>
          <w:i/>
          <w:noProof/>
          <w:color w:val="000000"/>
        </w:rPr>
        <w:t>)</w:t>
      </w:r>
      <w:r w:rsidR="00D2134A">
        <w:rPr>
          <w:rFonts w:eastAsia="Calibri" w:cs="Times New Roman"/>
          <w:i/>
          <w:color w:val="000000"/>
        </w:rPr>
        <w:fldChar w:fldCharType="end"/>
      </w:r>
      <w:r w:rsidR="00EB489C">
        <w:rPr>
          <w:rFonts w:eastAsia="Calibri" w:cs="Times New Roman"/>
          <w:i/>
          <w:color w:val="000000"/>
        </w:rPr>
        <w:t xml:space="preserve"> with </w:t>
      </w:r>
      <w:r w:rsidR="00D04C52" w:rsidRPr="00A0218A">
        <w:rPr>
          <w:rFonts w:eastAsia="Calibri" w:cs="Times New Roman"/>
          <w:i/>
          <w:color w:val="000000"/>
        </w:rPr>
        <w:t>three of the five us</w:t>
      </w:r>
      <w:r w:rsidR="00EB489C">
        <w:rPr>
          <w:rFonts w:eastAsia="Calibri" w:cs="Times New Roman"/>
          <w:i/>
          <w:color w:val="000000"/>
        </w:rPr>
        <w:t>ing</w:t>
      </w:r>
      <w:r w:rsidR="00D04C52" w:rsidRPr="00A0218A">
        <w:rPr>
          <w:rFonts w:eastAsia="Calibri" w:cs="Times New Roman"/>
          <w:i/>
          <w:color w:val="000000"/>
        </w:rPr>
        <w:t xml:space="preserve"> the same data set</w:t>
      </w:r>
      <w:r w:rsidR="00EB489C">
        <w:rPr>
          <w:rFonts w:eastAsia="Calibri" w:cs="Times New Roman"/>
          <w:i/>
          <w:color w:val="000000"/>
        </w:rPr>
        <w:t xml:space="preserve"> </w:t>
      </w:r>
      <w:r w:rsidR="00D2134A">
        <w:rPr>
          <w:rFonts w:eastAsia="Calibri" w:cs="Times New Roman"/>
          <w:i/>
          <w:color w:val="000000"/>
        </w:rPr>
        <w:fldChar w:fldCharType="begin">
          <w:fldData xml:space="preserve">PEVuZE5vdGU+PENpdGU+PEF1dGhvcj5DdXJ0aW48L0F1dGhvcj48WWVhcj4yMDE0PC9ZZWFyPjxS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PEVuZE5vdGU+PENpdGU+PEF1dGhvcj5DdXJ0aW48L0F1dGhvcj48WWVhcj4yMDE0PC9ZZWFyPjxS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51" w:tooltip="Curtin, 2014 #13" w:history="1">
        <w:r w:rsidR="00A234A9">
          <w:rPr>
            <w:rFonts w:eastAsia="Calibri" w:cs="Times New Roman"/>
            <w:i/>
            <w:noProof/>
            <w:color w:val="000000"/>
          </w:rPr>
          <w:t>51</w:t>
        </w:r>
      </w:hyperlink>
      <w:r w:rsidR="00D2134A">
        <w:rPr>
          <w:rFonts w:eastAsia="Calibri" w:cs="Times New Roman"/>
          <w:i/>
          <w:noProof/>
          <w:color w:val="000000"/>
        </w:rPr>
        <w:t xml:space="preserve">, </w:t>
      </w:r>
      <w:hyperlink w:anchor="_ENREF_67" w:tooltip="Jain, 2014 #21" w:history="1">
        <w:r w:rsidR="00A234A9">
          <w:rPr>
            <w:rFonts w:eastAsia="Calibri" w:cs="Times New Roman"/>
            <w:i/>
            <w:noProof/>
            <w:color w:val="000000"/>
          </w:rPr>
          <w:t>67</w:t>
        </w:r>
      </w:hyperlink>
      <w:r w:rsidR="00D2134A">
        <w:rPr>
          <w:rFonts w:eastAsia="Calibri" w:cs="Times New Roman"/>
          <w:i/>
          <w:noProof/>
          <w:color w:val="000000"/>
        </w:rPr>
        <w:t xml:space="preserve">, </w:t>
      </w:r>
      <w:hyperlink w:anchor="_ENREF_68" w:tooltip="Jones, 2013 #30" w:history="1">
        <w:r w:rsidR="00A234A9">
          <w:rPr>
            <w:rFonts w:eastAsia="Calibri" w:cs="Times New Roman"/>
            <w:i/>
            <w:noProof/>
            <w:color w:val="000000"/>
          </w:rPr>
          <w:t>68</w:t>
        </w:r>
      </w:hyperlink>
      <w:r w:rsidR="00D2134A">
        <w:rPr>
          <w:rFonts w:eastAsia="Calibri" w:cs="Times New Roman"/>
          <w:i/>
          <w:noProof/>
          <w:color w:val="000000"/>
        </w:rPr>
        <w:t>)</w:t>
      </w:r>
      <w:r w:rsidR="00D2134A">
        <w:rPr>
          <w:rFonts w:eastAsia="Calibri" w:cs="Times New Roman"/>
          <w:i/>
          <w:color w:val="000000"/>
        </w:rPr>
        <w:fldChar w:fldCharType="end"/>
      </w:r>
      <w:r w:rsidR="00D04C52" w:rsidRPr="00A0218A">
        <w:rPr>
          <w:rFonts w:eastAsia="Calibri" w:cs="Times New Roman"/>
          <w:i/>
          <w:color w:val="000000"/>
        </w:rPr>
        <w:t>, four reported that menthol smokers had a younger age at initiation</w:t>
      </w:r>
      <w:r w:rsidR="00572A5D">
        <w:rPr>
          <w:rFonts w:eastAsia="Calibri" w:cs="Times New Roman"/>
          <w:i/>
          <w:color w:val="000000"/>
        </w:rPr>
        <w:t xml:space="preserve"> </w:t>
      </w:r>
      <w:r w:rsidR="00D2134A">
        <w:rPr>
          <w:rFonts w:eastAsia="Calibri" w:cs="Times New Roman"/>
          <w:i/>
          <w:color w:val="000000"/>
        </w:rPr>
        <w:fldChar w:fldCharType="begin">
          <w:fldData xml:space="preserve">PEVuZE5vdGU+PENpdGU+PEF1dGhvcj5CZW5vd2l0ejwvQXV0aG9yPjxZZWFyPjIwMTA8L1llYXI+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PEVuZE5vdGU+PENpdGU+PEF1dGhvcj5CZW5vd2l0ejwvQXV0aG9yPjxZZWFyPjIwMTA8L1llYXI+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48" w:tooltip="Benowitz, 2010 #286" w:history="1">
        <w:r w:rsidR="00A234A9">
          <w:rPr>
            <w:rFonts w:eastAsia="Calibri" w:cs="Times New Roman"/>
            <w:i/>
            <w:noProof/>
            <w:color w:val="000000"/>
          </w:rPr>
          <w:t>48</w:t>
        </w:r>
      </w:hyperlink>
      <w:r w:rsidR="00D2134A">
        <w:rPr>
          <w:rFonts w:eastAsia="Calibri" w:cs="Times New Roman"/>
          <w:i/>
          <w:noProof/>
          <w:color w:val="000000"/>
        </w:rPr>
        <w:t xml:space="preserve">, </w:t>
      </w:r>
      <w:hyperlink w:anchor="_ENREF_55" w:tooltip="Fagan, 2015 #5" w:history="1">
        <w:r w:rsidR="00A234A9">
          <w:rPr>
            <w:rFonts w:eastAsia="Calibri" w:cs="Times New Roman"/>
            <w:i/>
            <w:noProof/>
            <w:color w:val="000000"/>
          </w:rPr>
          <w:t>55</w:t>
        </w:r>
      </w:hyperlink>
      <w:r w:rsidR="00D2134A">
        <w:rPr>
          <w:rFonts w:eastAsia="Calibri" w:cs="Times New Roman"/>
          <w:i/>
          <w:noProof/>
          <w:color w:val="000000"/>
        </w:rPr>
        <w:t xml:space="preserve">, </w:t>
      </w:r>
      <w:hyperlink w:anchor="_ENREF_58" w:tooltip="Faseru, 2011 #40" w:history="1">
        <w:r w:rsidR="00A234A9">
          <w:rPr>
            <w:rFonts w:eastAsia="Calibri" w:cs="Times New Roman"/>
            <w:i/>
            <w:noProof/>
            <w:color w:val="000000"/>
          </w:rPr>
          <w:t>58</w:t>
        </w:r>
      </w:hyperlink>
      <w:r w:rsidR="00D2134A">
        <w:rPr>
          <w:rFonts w:eastAsia="Calibri" w:cs="Times New Roman"/>
          <w:i/>
          <w:noProof/>
          <w:color w:val="000000"/>
        </w:rPr>
        <w:t xml:space="preserve">, </w:t>
      </w:r>
      <w:hyperlink w:anchor="_ENREF_61" w:tooltip="Gandhi, 2009 #67" w:history="1">
        <w:r w:rsidR="00A234A9">
          <w:rPr>
            <w:rFonts w:eastAsia="Calibri" w:cs="Times New Roman"/>
            <w:i/>
            <w:noProof/>
            <w:color w:val="000000"/>
          </w:rPr>
          <w:t>61</w:t>
        </w:r>
      </w:hyperlink>
      <w:r w:rsidR="00D2134A">
        <w:rPr>
          <w:rFonts w:eastAsia="Calibri" w:cs="Times New Roman"/>
          <w:i/>
          <w:noProof/>
          <w:color w:val="000000"/>
        </w:rPr>
        <w:t>)</w:t>
      </w:r>
      <w:r w:rsidR="00D2134A">
        <w:rPr>
          <w:rFonts w:eastAsia="Calibri" w:cs="Times New Roman"/>
          <w:i/>
          <w:color w:val="000000"/>
        </w:rPr>
        <w:fldChar w:fldCharType="end"/>
      </w:r>
      <w:r w:rsidR="00D04C52" w:rsidRPr="00A0218A">
        <w:rPr>
          <w:rFonts w:eastAsia="Calibri" w:cs="Times New Roman"/>
          <w:i/>
          <w:color w:val="000000"/>
        </w:rPr>
        <w:t>, and five found essentially or exactly no difference</w:t>
      </w:r>
      <w:r w:rsidR="00572A5D">
        <w:rPr>
          <w:rFonts w:eastAsia="Calibri" w:cs="Times New Roman"/>
          <w:i/>
          <w:color w:val="000000"/>
        </w:rPr>
        <w:t xml:space="preserve"> </w:t>
      </w:r>
      <w:r w:rsidR="00D2134A">
        <w:rPr>
          <w:rFonts w:eastAsia="Calibri" w:cs="Times New Roman"/>
          <w:i/>
          <w:color w:val="000000"/>
        </w:rPr>
        <w:fldChar w:fldCharType="begin">
          <w:fldData xml:space="preserve">PEVuZE5vdGU+PENpdGU+PEF1dGhvcj5Pa3V5ZW1pPC9BdXRob3I+PFllYXI+MjAwNDwvWWVhcj48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PEVuZE5vdGU+PENpdGU+PEF1dGhvcj5Pa3V5ZW1pPC9BdXRob3I+PFllYXI+MjAwNDwvWWVhcj48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4" w:tooltip="Okuyemi, 2007 #74" w:history="1">
        <w:r w:rsidR="00A234A9">
          <w:rPr>
            <w:rFonts w:eastAsia="Calibri" w:cs="Times New Roman"/>
            <w:i/>
            <w:noProof/>
            <w:color w:val="000000"/>
          </w:rPr>
          <w:t>74-76</w:t>
        </w:r>
      </w:hyperlink>
      <w:r w:rsidR="00D2134A">
        <w:rPr>
          <w:rFonts w:eastAsia="Calibri" w:cs="Times New Roman"/>
          <w:i/>
          <w:noProof/>
          <w:color w:val="000000"/>
        </w:rPr>
        <w:t xml:space="preserve">, </w:t>
      </w:r>
      <w:hyperlink w:anchor="_ENREF_78" w:tooltip="Pletcher, 2006 #78" w:history="1">
        <w:r w:rsidR="00A234A9">
          <w:rPr>
            <w:rFonts w:eastAsia="Calibri" w:cs="Times New Roman"/>
            <w:i/>
            <w:noProof/>
            <w:color w:val="000000"/>
          </w:rPr>
          <w:t>78</w:t>
        </w:r>
      </w:hyperlink>
      <w:r w:rsidR="00D2134A">
        <w:rPr>
          <w:rFonts w:eastAsia="Calibri" w:cs="Times New Roman"/>
          <w:i/>
          <w:noProof/>
          <w:color w:val="000000"/>
        </w:rPr>
        <w:t xml:space="preserve">, </w:t>
      </w:r>
      <w:hyperlink w:anchor="_ENREF_84" w:tooltip="Stahre, 2010 #57" w:history="1">
        <w:r w:rsidR="00A234A9">
          <w:rPr>
            <w:rFonts w:eastAsia="Calibri" w:cs="Times New Roman"/>
            <w:i/>
            <w:noProof/>
            <w:color w:val="000000"/>
          </w:rPr>
          <w:t>84</w:t>
        </w:r>
      </w:hyperlink>
      <w:r w:rsidR="00D2134A">
        <w:rPr>
          <w:rFonts w:eastAsia="Calibri" w:cs="Times New Roman"/>
          <w:i/>
          <w:noProof/>
          <w:color w:val="000000"/>
        </w:rPr>
        <w:t xml:space="preserve">, </w:t>
      </w:r>
      <w:hyperlink w:anchor="_ENREF_85" w:tooltip="Sulsky, 2014 #15" w:history="1">
        <w:r w:rsidR="00A234A9">
          <w:rPr>
            <w:rFonts w:eastAsia="Calibri" w:cs="Times New Roman"/>
            <w:i/>
            <w:noProof/>
            <w:color w:val="000000"/>
          </w:rPr>
          <w:t>85</w:t>
        </w:r>
      </w:hyperlink>
      <w:r w:rsidR="00D2134A">
        <w:rPr>
          <w:rFonts w:eastAsia="Calibri" w:cs="Times New Roman"/>
          <w:i/>
          <w:noProof/>
          <w:color w:val="000000"/>
        </w:rPr>
        <w:t>)</w:t>
      </w:r>
      <w:r w:rsidR="00D2134A">
        <w:rPr>
          <w:rFonts w:eastAsia="Calibri" w:cs="Times New Roman"/>
          <w:i/>
          <w:color w:val="000000"/>
        </w:rPr>
        <w:fldChar w:fldCharType="end"/>
      </w:r>
      <w:r w:rsidR="00D04C52" w:rsidRPr="00A0218A">
        <w:rPr>
          <w:rFonts w:eastAsia="Calibri" w:cs="Times New Roman"/>
          <w:i/>
          <w:color w:val="000000"/>
        </w:rPr>
        <w:t>.</w:t>
      </w:r>
    </w:p>
    <w:p w14:paraId="54D74B58" w14:textId="7FCA3968" w:rsidR="00D04C52" w:rsidRPr="00A0218A" w:rsidRDefault="00D04C52" w:rsidP="00B46744">
      <w:pPr>
        <w:spacing w:after="120" w:line="240" w:lineRule="auto"/>
        <w:jc w:val="both"/>
        <w:rPr>
          <w:rFonts w:eastAsia="Calibri" w:cs="Times New Roman"/>
          <w:i/>
          <w:color w:val="000000"/>
        </w:rPr>
      </w:pPr>
      <w:r w:rsidRPr="00A0218A">
        <w:rPr>
          <w:rFonts w:eastAsia="Calibri" w:cs="Times New Roman"/>
          <w:i/>
          <w:color w:val="000000"/>
        </w:rPr>
        <w:t>No studies reported age at initiation for youth only; one study reported results from young adults and found that menthol smokers initiated smoking at a slightly younger age than non-menthol smokers</w:t>
      </w:r>
      <w:r w:rsidR="00DA7C42">
        <w:rPr>
          <w:rFonts w:eastAsia="Calibri" w:cs="Times New Roman"/>
          <w:i/>
          <w:color w:val="000000"/>
        </w:rPr>
        <w:t xml:space="preserve"> </w:t>
      </w:r>
      <w:r w:rsidR="00D2134A">
        <w:rPr>
          <w:rFonts w:eastAsia="Calibri" w:cs="Times New Roman"/>
          <w:i/>
          <w:color w:val="000000"/>
        </w:rPr>
        <w:fldChar w:fldCharType="begin"/>
      </w:r>
      <w:r w:rsidR="00D2134A">
        <w:rPr>
          <w:rFonts w:eastAsia="Calibri" w:cs="Times New Roman"/>
          <w:i/>
          <w:color w:val="000000"/>
        </w:rPr>
        <w:instrText xml:space="preserve"> ADDIN EN.CITE &lt;EndNote&gt;&lt;Cite&gt;&lt;Author&gt;Pletcher&lt;/Author&gt;&lt;Year&gt;2006&lt;/Year&gt;&lt;RecNum&gt;78&lt;/RecNum&gt;&lt;DisplayText&gt;(78)&lt;/DisplayText&gt;&lt;record&gt;&lt;rec-number&gt;78&lt;/rec-number&gt;&lt;foreign-keys&gt;&lt;key app="EN" db-id="a2vz2dfp8xrad6exes75zwpiw5rxwa0vwapv" timestamp="0"&gt;78&lt;/key&gt;&lt;/foreign-keys&gt;&lt;ref-type name="Journal Article"&gt;17&lt;/ref-type&gt;&lt;contributors&gt;&lt;authors&gt;&lt;author&gt;Pletcher, M. J. &lt;/author&gt;&lt;author&gt;Hulley, B. J.&lt;/author&gt;&lt;author&gt;Houston, T.&lt;/author&gt;&lt;author&gt;Kiefe, C. I.&lt;/author&gt;&lt;author&gt;Benowitz, N. &lt;/author&gt;&lt;author&gt;Sidney, S.&lt;/author&gt;&lt;/authors&gt;&lt;/contributors&gt;&lt;titles&gt;&lt;title&gt;Menthol cigarettes, smoking cessation, atherosclerosis, and pulmonary function&lt;/title&gt;&lt;secondary-title&gt;Arch Intern Med&lt;/secondary-title&gt;&lt;/titles&gt;&lt;pages&gt;1915-1922&lt;/pages&gt;&lt;volume&gt;166&lt;/volume&gt;&lt;section&gt;1915&lt;/section&gt;&lt;dates&gt;&lt;year&gt;2006&lt;/year&gt;&lt;/dates&gt;&lt;urls&gt;&lt;/urls&gt;&lt;research-notes&gt;#385&lt;/research-notes&gt;&lt;/record&gt;&lt;/Cite&gt;&lt;/EndNote&gt;</w:instrText>
      </w:r>
      <w:r w:rsidR="00D2134A">
        <w:rPr>
          <w:rFonts w:eastAsia="Calibri" w:cs="Times New Roman"/>
          <w:i/>
          <w:color w:val="000000"/>
        </w:rPr>
        <w:fldChar w:fldCharType="separate"/>
      </w:r>
      <w:r w:rsidR="00D2134A">
        <w:rPr>
          <w:rFonts w:eastAsia="Calibri" w:cs="Times New Roman"/>
          <w:i/>
          <w:noProof/>
          <w:color w:val="000000"/>
        </w:rPr>
        <w:t>(</w:t>
      </w:r>
      <w:hyperlink w:anchor="_ENREF_78" w:tooltip="Pletcher, 2006 #78" w:history="1">
        <w:r w:rsidR="00A234A9">
          <w:rPr>
            <w:rFonts w:eastAsia="Calibri" w:cs="Times New Roman"/>
            <w:i/>
            <w:noProof/>
            <w:color w:val="000000"/>
          </w:rPr>
          <w:t>78</w:t>
        </w:r>
      </w:hyperlink>
      <w:r w:rsidR="00D2134A">
        <w:rPr>
          <w:rFonts w:eastAsia="Calibri" w:cs="Times New Roman"/>
          <w:i/>
          <w:noProof/>
          <w:color w:val="000000"/>
        </w:rPr>
        <w:t>)</w:t>
      </w:r>
      <w:r w:rsidR="00D2134A">
        <w:rPr>
          <w:rFonts w:eastAsia="Calibri" w:cs="Times New Roman"/>
          <w:i/>
          <w:color w:val="000000"/>
        </w:rPr>
        <w:fldChar w:fldCharType="end"/>
      </w:r>
      <w:r w:rsidRPr="00A0218A">
        <w:rPr>
          <w:rFonts w:eastAsia="Calibri" w:cs="Times New Roman"/>
          <w:i/>
          <w:color w:val="000000"/>
        </w:rPr>
        <w:t>. One study reported that female menthol smokers initiated at a slightly older age than non-menthol smokers</w:t>
      </w:r>
      <w:r w:rsidR="00DA7C42">
        <w:rPr>
          <w:rFonts w:eastAsia="Calibri" w:cs="Times New Roman"/>
          <w:i/>
          <w:color w:val="000000"/>
        </w:rPr>
        <w:t xml:space="preserve"> </w:t>
      </w:r>
      <w:r w:rsidR="00D2134A">
        <w:rPr>
          <w:rFonts w:eastAsia="Calibri" w:cs="Times New Roman"/>
          <w:i/>
          <w:color w:val="000000"/>
        </w:rPr>
        <w:fldChar w:fldCharType="begin"/>
      </w:r>
      <w:r w:rsidR="00D2134A">
        <w:rPr>
          <w:rFonts w:eastAsia="Calibri" w:cs="Times New Roman"/>
          <w:i/>
          <w:color w:val="000000"/>
        </w:rPr>
        <w:instrText xml:space="preserve"> ADDIN EN.CITE &lt;EndNote&gt;&lt;Cite&gt;&lt;Author&gt;Rosenbloom&lt;/Author&gt;&lt;Year&gt;2012&lt;/Year&gt;&lt;RecNum&gt;32&lt;/RecNum&gt;&lt;DisplayText&gt;(81)&lt;/DisplayText&gt;&lt;record&gt;&lt;rec-number&gt;32&lt;/rec-number&gt;&lt;foreign-keys&gt;&lt;key app="EN" db-id="a2vz2dfp8xrad6exes75zwpiw5rxwa0vwapv" timestamp="0"&gt;32&lt;/key&gt;&lt;/foreign-keys&gt;&lt;ref-type name="Journal Article"&gt;17&lt;/ref-type&gt;&lt;contributors&gt;&lt;authors&gt;&lt;author&gt;Rosenbloom, J.&lt;/author&gt;&lt;author&gt; Rees, V. W.&lt;/author&gt;&lt;author&gt;Reid, K.&lt;/author&gt;&lt;author&gt;Wong, J.&lt;/author&gt;&lt;author&gt;Kinnunen, T.&lt;/author&gt;&lt;/authors&gt;&lt;/contributors&gt;&lt;titles&gt;&lt;title&gt;A cross-sectional study on tobacco use and dependence among women: Does menthol matter?&lt;/title&gt;&lt;secondary-title&gt;Tob Induc Dis&lt;/secondary-title&gt;&lt;/titles&gt;&lt;periodical&gt;&lt;full-title&gt;Tob Induc Dis&lt;/full-title&gt;&lt;/periodical&gt;&lt;pages&gt;1-6&lt;/pages&gt;&lt;volume&gt;10&lt;/volume&gt;&lt;number&gt;19&lt;/number&gt;&lt;section&gt;1&lt;/section&gt;&lt;keywords&gt;&lt;keyword&gt;Cigarette smoking, Menthol cigarettes, Tobacco use, Tobacco dependence, Race/Ethnicity, Female Sex/&lt;/keyword&gt;&lt;keyword&gt;Gender&lt;/keyword&gt;&lt;/keywords&gt;&lt;dates&gt;&lt;year&gt;2012&lt;/year&gt;&lt;/dates&gt;&lt;urls&gt;&lt;/urls&gt;&lt;electronic-resource-num&gt;10.1186/1617-9625-10-19&lt;/electronic-resource-num&gt;&lt;research-notes&gt;#173&lt;/research-notes&gt;&lt;/record&gt;&lt;/Cite&gt;&lt;/EndNote&gt;</w:instrText>
      </w:r>
      <w:r w:rsidR="00D2134A">
        <w:rPr>
          <w:rFonts w:eastAsia="Calibri" w:cs="Times New Roman"/>
          <w:i/>
          <w:color w:val="000000"/>
        </w:rPr>
        <w:fldChar w:fldCharType="separate"/>
      </w:r>
      <w:r w:rsidR="00D2134A">
        <w:rPr>
          <w:rFonts w:eastAsia="Calibri" w:cs="Times New Roman"/>
          <w:i/>
          <w:noProof/>
          <w:color w:val="000000"/>
        </w:rPr>
        <w:t>(</w:t>
      </w:r>
      <w:hyperlink w:anchor="_ENREF_81" w:tooltip="Rosenbloom, 2012 #32" w:history="1">
        <w:r w:rsidR="00A234A9">
          <w:rPr>
            <w:rFonts w:eastAsia="Calibri" w:cs="Times New Roman"/>
            <w:i/>
            <w:noProof/>
            <w:color w:val="000000"/>
          </w:rPr>
          <w:t>81</w:t>
        </w:r>
      </w:hyperlink>
      <w:r w:rsidR="00D2134A">
        <w:rPr>
          <w:rFonts w:eastAsia="Calibri" w:cs="Times New Roman"/>
          <w:i/>
          <w:noProof/>
          <w:color w:val="000000"/>
        </w:rPr>
        <w:t>)</w:t>
      </w:r>
      <w:r w:rsidR="00D2134A">
        <w:rPr>
          <w:rFonts w:eastAsia="Calibri" w:cs="Times New Roman"/>
          <w:i/>
          <w:color w:val="000000"/>
        </w:rPr>
        <w:fldChar w:fldCharType="end"/>
      </w:r>
      <w:r w:rsidR="0098426E" w:rsidRPr="0098426E">
        <w:rPr>
          <w:rFonts w:eastAsia="Calibri" w:cs="Times New Roman"/>
          <w:i/>
          <w:color w:val="000000"/>
        </w:rPr>
        <w:t xml:space="preserve"> </w:t>
      </w:r>
      <w:r w:rsidR="0098426E">
        <w:rPr>
          <w:rFonts w:eastAsia="Calibri" w:cs="Times New Roman"/>
          <w:i/>
          <w:color w:val="000000"/>
        </w:rPr>
        <w:t>, while another study of pregnant White women reported no significant difference in initiation age between m</w:t>
      </w:r>
      <w:r w:rsidR="00E957AD">
        <w:rPr>
          <w:rFonts w:eastAsia="Calibri" w:cs="Times New Roman"/>
          <w:i/>
          <w:color w:val="000000"/>
        </w:rPr>
        <w:t xml:space="preserve">enthol and non-menthol smokers </w:t>
      </w:r>
      <w:r w:rsidR="00D2134A">
        <w:rPr>
          <w:rFonts w:eastAsia="Calibri" w:cs="Times New Roman"/>
          <w:i/>
          <w:color w:val="000000"/>
        </w:rPr>
        <w:fldChar w:fldCharType="begin">
          <w:fldData xml:space="preserve">PEVuZE5vdGU+PENpdGU+PEF1dGhvcj5PbmNrZW48L0F1dGhvcj48WWVhcj4yMDE1PC9ZZWFyPjxS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PEVuZE5vdGU+PENpdGU+PEF1dGhvcj5PbmNrZW48L0F1dGhvcj48WWVhcj4yMDE1PC9ZZWFyPjxS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6" w:tooltip="Oncken, 2015 #6" w:history="1">
        <w:r w:rsidR="00A234A9">
          <w:rPr>
            <w:rFonts w:eastAsia="Calibri" w:cs="Times New Roman"/>
            <w:i/>
            <w:noProof/>
            <w:color w:val="000000"/>
          </w:rPr>
          <w:t>76</w:t>
        </w:r>
      </w:hyperlink>
      <w:r w:rsidR="00D2134A">
        <w:rPr>
          <w:rFonts w:eastAsia="Calibri" w:cs="Times New Roman"/>
          <w:i/>
          <w:noProof/>
          <w:color w:val="000000"/>
        </w:rPr>
        <w:t>)</w:t>
      </w:r>
      <w:r w:rsidR="00D2134A">
        <w:rPr>
          <w:rFonts w:eastAsia="Calibri" w:cs="Times New Roman"/>
          <w:i/>
          <w:color w:val="000000"/>
        </w:rPr>
        <w:fldChar w:fldCharType="end"/>
      </w:r>
      <w:r w:rsidR="0098426E">
        <w:rPr>
          <w:rFonts w:eastAsia="Calibri" w:cs="Times New Roman"/>
          <w:i/>
          <w:noProof/>
        </w:rPr>
        <w:t>.</w:t>
      </w:r>
    </w:p>
    <w:p w14:paraId="62724E0D" w14:textId="0D92F7F1" w:rsidR="00D04C52" w:rsidRPr="00A0218A" w:rsidRDefault="00D04C52" w:rsidP="00B46744">
      <w:pPr>
        <w:spacing w:after="120" w:line="240" w:lineRule="auto"/>
        <w:jc w:val="both"/>
        <w:rPr>
          <w:rFonts w:eastAsia="Times New Roman" w:cs="Times New Roman"/>
          <w:color w:val="000000"/>
        </w:rPr>
      </w:pPr>
      <w:r w:rsidRPr="00A0218A">
        <w:rPr>
          <w:rFonts w:eastAsia="Times New Roman" w:cs="Times New Roman"/>
          <w:color w:val="000000"/>
        </w:rPr>
        <w:t>In 2015, Fagan et al.</w:t>
      </w:r>
      <w:r>
        <w:rPr>
          <w:rFonts w:eastAsia="Times New Roman" w:cs="Times New Roman"/>
          <w:color w:val="000000"/>
        </w:rPr>
        <w:t xml:space="preserve"> </w:t>
      </w:r>
      <w:r w:rsidR="00D2134A">
        <w:rPr>
          <w:rFonts w:eastAsia="Times New Roman" w:cs="Times New Roman"/>
          <w:color w:val="000000"/>
        </w:rPr>
        <w:fldChar w:fldCharType="begin">
          <w:fldData xml:space="preserve">PEVuZE5vdGU+PENpdGU+PEF1dGhvcj5GYWdhbjwvQXV0aG9yPjxZZWFyPjIwMTU8L1llYXI+PFJl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</w:fldData>
        </w:fldChar>
      </w:r>
      <w:r w:rsidR="00D2134A">
        <w:rPr>
          <w:rFonts w:eastAsia="Times New Roman" w:cs="Times New Roman"/>
          <w:color w:val="000000"/>
        </w:rPr>
        <w:instrText xml:space="preserve"> ADDIN EN.CITE </w:instrText>
      </w:r>
      <w:r w:rsidR="00D2134A">
        <w:rPr>
          <w:rFonts w:eastAsia="Times New Roman" w:cs="Times New Roman"/>
          <w:color w:val="000000"/>
        </w:rPr>
        <w:fldChar w:fldCharType="begin">
          <w:fldData xml:space="preserve">PEVuZE5vdGU+PENpdGU+PEF1dGhvcj5GYWdhbjwvQXV0aG9yPjxZZWFyPjIwMTU8L1llYXI+PFJl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</w:fldData>
        </w:fldChar>
      </w:r>
      <w:r w:rsidR="00D2134A">
        <w:rPr>
          <w:rFonts w:eastAsia="Times New Roman" w:cs="Times New Roman"/>
          <w:color w:val="000000"/>
        </w:rPr>
        <w:instrText xml:space="preserve"> ADDIN EN.CITE.DATA </w:instrText>
      </w:r>
      <w:r w:rsidR="00D2134A">
        <w:rPr>
          <w:rFonts w:eastAsia="Times New Roman" w:cs="Times New Roman"/>
          <w:color w:val="000000"/>
        </w:rPr>
      </w:r>
      <w:r w:rsidR="00D2134A">
        <w:rPr>
          <w:rFonts w:eastAsia="Times New Roman" w:cs="Times New Roman"/>
          <w:color w:val="000000"/>
        </w:rPr>
        <w:fldChar w:fldCharType="end"/>
      </w:r>
      <w:r w:rsidR="00D2134A">
        <w:rPr>
          <w:rFonts w:eastAsia="Times New Roman" w:cs="Times New Roman"/>
          <w:color w:val="000000"/>
        </w:rPr>
        <w:fldChar w:fldCharType="separate"/>
      </w:r>
      <w:r w:rsidR="00D2134A">
        <w:rPr>
          <w:rFonts w:eastAsia="Times New Roman" w:cs="Times New Roman"/>
          <w:noProof/>
          <w:color w:val="000000"/>
        </w:rPr>
        <w:t>(</w:t>
      </w:r>
      <w:hyperlink w:anchor="_ENREF_55" w:tooltip="Fagan, 2015 #5" w:history="1">
        <w:r w:rsidR="00A234A9">
          <w:rPr>
            <w:rFonts w:eastAsia="Times New Roman" w:cs="Times New Roman"/>
            <w:noProof/>
            <w:color w:val="000000"/>
          </w:rPr>
          <w:t>55</w:t>
        </w:r>
      </w:hyperlink>
      <w:r w:rsidR="00D2134A">
        <w:rPr>
          <w:rFonts w:eastAsia="Times New Roman" w:cs="Times New Roman"/>
          <w:noProof/>
          <w:color w:val="000000"/>
        </w:rPr>
        <w:t>)</w:t>
      </w:r>
      <w:r w:rsidR="00D2134A">
        <w:rPr>
          <w:rFonts w:eastAsia="Times New Roman" w:cs="Times New Roman"/>
          <w:color w:val="000000"/>
        </w:rPr>
        <w:fldChar w:fldCharType="end"/>
      </w:r>
      <w:r w:rsidRPr="00A0218A">
        <w:rPr>
          <w:rFonts w:eastAsia="Times New Roman" w:cs="Times New Roman"/>
          <w:color w:val="000000"/>
        </w:rPr>
        <w:t xml:space="preserve"> reported results from a cross-sectional study that enrolled 186 Native Hawaiians, Filipinos and </w:t>
      </w:r>
      <w:r w:rsidR="00E1156E">
        <w:rPr>
          <w:rFonts w:eastAsia="Times New Roman" w:cs="Times New Roman"/>
          <w:color w:val="000000"/>
        </w:rPr>
        <w:t>White</w:t>
      </w:r>
      <w:r w:rsidRPr="00A0218A">
        <w:rPr>
          <w:rFonts w:eastAsia="Times New Roman" w:cs="Times New Roman"/>
          <w:color w:val="000000"/>
        </w:rPr>
        <w:t xml:space="preserve"> young adults ages 18 to 35. Among daily smokers, menthol use started at a slightly youn</w:t>
      </w:r>
      <w:r>
        <w:rPr>
          <w:rFonts w:eastAsia="Times New Roman" w:cs="Times New Roman"/>
          <w:color w:val="000000"/>
        </w:rPr>
        <w:t>ger</w:t>
      </w:r>
      <w:r w:rsidR="00721292">
        <w:rPr>
          <w:rFonts w:eastAsia="Times New Roman" w:cs="Times New Roman"/>
          <w:color w:val="000000"/>
        </w:rPr>
        <w:t xml:space="preserve"> age, but not significantly different,</w:t>
      </w:r>
      <w:r>
        <w:rPr>
          <w:rFonts w:eastAsia="Times New Roman" w:cs="Times New Roman"/>
          <w:color w:val="000000"/>
        </w:rPr>
        <w:t xml:space="preserve"> than non-menthol use</w:t>
      </w:r>
      <w:r w:rsidR="00721292">
        <w:rPr>
          <w:rFonts w:eastAsia="Times New Roman" w:cs="Times New Roman"/>
          <w:color w:val="000000"/>
        </w:rPr>
        <w:t xml:space="preserve"> (16.7</w:t>
      </w:r>
      <w:r w:rsidRPr="00A0218A">
        <w:rPr>
          <w:rFonts w:eastAsia="Times New Roman" w:cs="Times New Roman"/>
          <w:color w:val="000000"/>
        </w:rPr>
        <w:t xml:space="preserve">±3.3 </w:t>
      </w:r>
      <w:r>
        <w:rPr>
          <w:rFonts w:eastAsia="Times New Roman" w:cs="Times New Roman"/>
          <w:color w:val="000000"/>
        </w:rPr>
        <w:t>versus</w:t>
      </w:r>
      <w:r w:rsidRPr="00A0218A">
        <w:rPr>
          <w:rFonts w:eastAsia="Times New Roman" w:cs="Times New Roman"/>
          <w:color w:val="000000"/>
        </w:rPr>
        <w:t xml:space="preserve"> 17.2</w:t>
      </w:r>
      <w:r w:rsidR="00721292">
        <w:rPr>
          <w:rFonts w:eastAsia="Times New Roman" w:cs="Times New Roman"/>
          <w:color w:val="000000"/>
        </w:rPr>
        <w:t>±3.6 years, respectively; p=0.41</w:t>
      </w:r>
      <w:r w:rsidRPr="00A0218A">
        <w:rPr>
          <w:rFonts w:eastAsia="Times New Roman" w:cs="Times New Roman"/>
          <w:color w:val="000000"/>
        </w:rPr>
        <w:t>).</w:t>
      </w:r>
    </w:p>
    <w:p w14:paraId="562935D1" w14:textId="29A91ED5" w:rsidR="00A20AE4" w:rsidRDefault="00D04C52" w:rsidP="00B46744">
      <w:pPr>
        <w:spacing w:after="120" w:line="240" w:lineRule="auto"/>
        <w:jc w:val="both"/>
        <w:rPr>
          <w:rFonts w:eastAsia="Calibri" w:cs="Times New Roman"/>
          <w:color w:val="000000"/>
        </w:rPr>
      </w:pPr>
      <w:r>
        <w:rPr>
          <w:rFonts w:eastAsia="Calibri" w:cs="Times New Roman"/>
          <w:color w:val="000000"/>
        </w:rPr>
        <w:t xml:space="preserve">Park et al. </w:t>
      </w:r>
      <w:r w:rsidR="00D2134A">
        <w:rPr>
          <w:rFonts w:eastAsia="Calibri" w:cs="Times New Roman"/>
          <w:color w:val="000000"/>
        </w:rPr>
        <w:fldChar w:fldCharType="begin">
          <w:fldData xml:space="preserve">PEVuZE5vdGU+PENpdGU+PEF1dGhvcj5QYXJrPC9BdXRob3I+PFllYXI+MjAxNTwvWWVhcj48UmVj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PEVuZE5vdGU+PENpdGU+PEF1dGhvcj5QYXJrPC9BdXRob3I+PFllYXI+MjAxNTwvWWVhcj48UmVj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77" w:tooltip="Park, 2015 #9" w:history="1">
        <w:r w:rsidR="00A234A9">
          <w:rPr>
            <w:rFonts w:eastAsia="Calibri" w:cs="Times New Roman"/>
            <w:noProof/>
            <w:color w:val="000000"/>
          </w:rPr>
          <w:t>77</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reported data from 5,699 current </w:t>
      </w:r>
      <w:r w:rsidR="00E1156E">
        <w:rPr>
          <w:rFonts w:eastAsia="Calibri" w:cs="Times New Roman"/>
          <w:color w:val="000000"/>
        </w:rPr>
        <w:t>White</w:t>
      </w:r>
      <w:r w:rsidRPr="00A0218A">
        <w:rPr>
          <w:rFonts w:eastAsia="Calibri" w:cs="Times New Roman"/>
          <w:color w:val="000000"/>
        </w:rPr>
        <w:t xml:space="preserve"> and </w:t>
      </w:r>
      <w:r w:rsidR="00E1156E">
        <w:rPr>
          <w:rFonts w:eastAsia="Calibri" w:cs="Times New Roman"/>
          <w:color w:val="000000"/>
        </w:rPr>
        <w:t>Black</w:t>
      </w:r>
      <w:r w:rsidRPr="00A0218A">
        <w:rPr>
          <w:rFonts w:eastAsia="Calibri" w:cs="Times New Roman"/>
          <w:color w:val="000000"/>
        </w:rPr>
        <w:t xml:space="preserve"> smokers in the</w:t>
      </w:r>
      <w:r w:rsidR="00AE6DB3" w:rsidRPr="00AE6DB3">
        <w:t xml:space="preserve"> </w:t>
      </w:r>
      <w:r w:rsidR="00AE6DB3" w:rsidRPr="00AE6DB3">
        <w:rPr>
          <w:rFonts w:eastAsia="Calibri" w:cs="Times New Roman"/>
          <w:color w:val="000000"/>
        </w:rPr>
        <w:t>Chronic Obstructive Pulmonary Disease</w:t>
      </w:r>
      <w:r w:rsidRPr="00A0218A">
        <w:rPr>
          <w:rFonts w:eastAsia="Calibri" w:cs="Times New Roman"/>
          <w:color w:val="000000"/>
        </w:rPr>
        <w:t xml:space="preserve"> </w:t>
      </w:r>
      <w:r w:rsidR="00AE6DB3">
        <w:rPr>
          <w:rFonts w:eastAsia="Calibri" w:cs="Times New Roman"/>
          <w:color w:val="000000"/>
        </w:rPr>
        <w:t>(</w:t>
      </w:r>
      <w:r w:rsidRPr="00A0218A">
        <w:rPr>
          <w:rFonts w:eastAsia="Calibri" w:cs="Times New Roman"/>
          <w:color w:val="000000"/>
        </w:rPr>
        <w:t>COPD</w:t>
      </w:r>
      <w:r w:rsidR="00AE6DB3">
        <w:rPr>
          <w:rFonts w:eastAsia="Calibri" w:cs="Times New Roman"/>
          <w:color w:val="000000"/>
        </w:rPr>
        <w:t xml:space="preserve">) </w:t>
      </w:r>
      <w:r w:rsidRPr="00A0218A">
        <w:rPr>
          <w:rFonts w:eastAsia="Calibri" w:cs="Times New Roman"/>
          <w:color w:val="000000"/>
        </w:rPr>
        <w:t xml:space="preserve">Gene study. The authors found that </w:t>
      </w:r>
      <w:r>
        <w:rPr>
          <w:rFonts w:eastAsia="Calibri" w:cs="Times New Roman"/>
          <w:color w:val="000000"/>
        </w:rPr>
        <w:t xml:space="preserve">the </w:t>
      </w:r>
      <w:r w:rsidRPr="00A0218A">
        <w:rPr>
          <w:rFonts w:eastAsia="Calibri" w:cs="Times New Roman"/>
          <w:color w:val="000000"/>
        </w:rPr>
        <w:t xml:space="preserve">mean age at first cigarette smoked was significantly younger among menthol smokers compared </w:t>
      </w:r>
      <w:r>
        <w:rPr>
          <w:rFonts w:eastAsia="Calibri" w:cs="Times New Roman"/>
          <w:color w:val="000000"/>
        </w:rPr>
        <w:t>to</w:t>
      </w:r>
      <w:r w:rsidRPr="00A0218A">
        <w:rPr>
          <w:rFonts w:eastAsia="Calibri" w:cs="Times New Roman"/>
          <w:color w:val="000000"/>
        </w:rPr>
        <w:t xml:space="preserve"> non-menthol smokers (16.7±5.2 years and 17.0±4.9 years, respectively, p&lt;0.001)</w:t>
      </w:r>
      <w:r w:rsidR="00A20AE4">
        <w:rPr>
          <w:rFonts w:eastAsia="Calibri" w:cs="Times New Roman"/>
          <w:color w:val="000000"/>
        </w:rPr>
        <w:t>.</w:t>
      </w:r>
    </w:p>
    <w:p w14:paraId="06027EC0" w14:textId="060A494B" w:rsidR="00A20AE4" w:rsidRDefault="00D04C52" w:rsidP="00B46744">
      <w:pPr>
        <w:spacing w:after="120" w:line="240" w:lineRule="auto"/>
        <w:jc w:val="both"/>
        <w:rPr>
          <w:rFonts w:eastAsia="Calibri" w:cs="Times New Roman"/>
          <w:color w:val="000000"/>
        </w:rPr>
      </w:pPr>
      <w:r w:rsidRPr="00A0218A">
        <w:rPr>
          <w:rFonts w:eastAsia="Calibri" w:cs="Times New Roman"/>
          <w:color w:val="000000"/>
        </w:rPr>
        <w:lastRenderedPageBreak/>
        <w:t>In 2014, Smith et al</w:t>
      </w:r>
      <w:r w:rsidR="008B4742">
        <w:rPr>
          <w:rFonts w:eastAsia="Calibri" w:cs="Times New Roman"/>
          <w:color w:val="000000"/>
        </w:rPr>
        <w:t xml:space="preserve">.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&lt;EndNote&gt;&lt;Cite&gt;&lt;Author&gt;Smith&lt;/Author&gt;&lt;Year&gt;2014&lt;/Year&gt;&lt;RecNum&gt;11&lt;/RecNum&gt;&lt;DisplayText&gt;(83)&lt;/DisplayText&gt;&lt;record&gt;&lt;rec-number&gt;11&lt;/rec-number&gt;&lt;foreign-keys&gt;&lt;key app="EN" db-id="a2vz2dfp8xrad6exes75zwpiw5rxwa0vwapv" timestamp="0"&gt;11&lt;/key&gt;&lt;/foreign-keys&gt;&lt;ref-type name="Journal Article"&gt;17&lt;/ref-type&gt;&lt;contributors&gt;&lt;authors&gt;&lt;author&gt;Smith, S. S.&lt;/author&gt;&lt;author&gt;Fiore, M. C.&lt;/author&gt;&lt;author&gt;Baker, T. B.&lt;/author&gt;&lt;/authors&gt;&lt;/contributors&gt;&lt;auth-address&gt;Department of Medicine, University of Wisconsin School of Medicine and Public Health (UWSMPH), Madison, WI, USA; Center for Tobacco Research and Intervention, UWSMPH, Madison, WI, USA.&lt;/auth-address&gt;&lt;titles&gt;&lt;title&gt;Smoking cessation in smokers who smoke menthol and non-menthol cigarettes&lt;/title&gt;&lt;secondary-title&gt;Addiction&lt;/secondary-title&gt;&lt;/titles&gt;&lt;periodical&gt;&lt;full-title&gt;Addiction&lt;/full-title&gt;&lt;/periodical&gt;&lt;pages&gt;2107-17&lt;/pages&gt;&lt;volume&gt;109&lt;/volume&gt;&lt;number&gt;12&lt;/number&gt;&lt;keywords&gt;&lt;keyword&gt;Clinical trial&lt;/keyword&gt;&lt;keyword&gt;gender&lt;/keyword&gt;&lt;keyword&gt;generalized estimating equations&lt;/keyword&gt;&lt;keyword&gt;longitudinal&lt;/keyword&gt;&lt;keyword&gt;menthol&lt;/keyword&gt;&lt;keyword&gt;race/ethnicity&lt;/keyword&gt;&lt;keyword&gt;smoking cessation&lt;/keyword&gt;&lt;keyword&gt;tobacco&lt;/keyword&gt;&lt;/keywords&gt;&lt;dates&gt;&lt;year&gt;2014&lt;/year&gt;&lt;pub-dates&gt;&lt;date&gt;Dec&lt;/date&gt;&lt;/pub-dates&gt;&lt;/dates&gt;&lt;isbn&gt;1360-0443 (Electronic)&amp;#xD;0965-2140 (Linking)&lt;/isbn&gt;&lt;accession-num&gt;24938369&lt;/accession-num&gt;&lt;urls&gt;&lt;related-urls&gt;&lt;url&gt;http://www.ncbi.nlm.nih.gov/pubmed/24938369&lt;/url&gt;&lt;/related-urls&gt;&lt;/urls&gt;&lt;custom2&gt;PMC4443703&lt;/custom2&gt;&lt;electronic-resource-num&gt;10.1111/add.12661&lt;/electronic-resource-num&gt;&lt;research-notes&gt;#060&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83" w:tooltip="Smith, 2014 #11" w:history="1">
        <w:r w:rsidR="00A234A9">
          <w:rPr>
            <w:rFonts w:eastAsia="Calibri" w:cs="Times New Roman"/>
            <w:noProof/>
            <w:color w:val="000000"/>
          </w:rPr>
          <w:t>83</w:t>
        </w:r>
      </w:hyperlink>
      <w:r w:rsidR="00D2134A">
        <w:rPr>
          <w:rFonts w:eastAsia="Calibri" w:cs="Times New Roman"/>
          <w:noProof/>
          <w:color w:val="000000"/>
        </w:rPr>
        <w:t>)</w:t>
      </w:r>
      <w:r w:rsidR="00D2134A">
        <w:rPr>
          <w:rFonts w:eastAsia="Calibri" w:cs="Times New Roman"/>
          <w:color w:val="000000"/>
        </w:rPr>
        <w:fldChar w:fldCharType="end"/>
      </w:r>
      <w:r w:rsidR="008B4742">
        <w:rPr>
          <w:rFonts w:eastAsia="Calibri" w:cs="Times New Roman"/>
          <w:color w:val="000000"/>
        </w:rPr>
        <w:t xml:space="preserve"> r</w:t>
      </w:r>
      <w:r w:rsidRPr="00A0218A">
        <w:rPr>
          <w:rFonts w:eastAsia="Calibri" w:cs="Times New Roman"/>
          <w:color w:val="000000"/>
        </w:rPr>
        <w:t xml:space="preserve">eported results from the Wisconsin Smokers Health Study—a trial of several cessation aids among 1,439 adults who smoked at least ten cigarettes per day and who had failed at least one prior quit attempt. There was </w:t>
      </w:r>
      <w:r w:rsidR="000D1782">
        <w:rPr>
          <w:rFonts w:eastAsia="Calibri" w:cs="Times New Roman"/>
          <w:color w:val="000000"/>
        </w:rPr>
        <w:t>nearly</w:t>
      </w:r>
      <w:r w:rsidR="000D1782" w:rsidRPr="00A0218A">
        <w:rPr>
          <w:rFonts w:eastAsia="Calibri" w:cs="Times New Roman"/>
          <w:color w:val="000000"/>
        </w:rPr>
        <w:t xml:space="preserve"> </w:t>
      </w:r>
      <w:r w:rsidRPr="00A0218A">
        <w:rPr>
          <w:rFonts w:eastAsia="Calibri" w:cs="Times New Roman"/>
          <w:color w:val="000000"/>
        </w:rPr>
        <w:t>no difference in the age at first cigarette smoked between menthol and non-menthol smokers (14.6±4.1 years and 14.5±3.6 years, respectively, p=0.62)</w:t>
      </w:r>
      <w:r w:rsidR="00A20AE4">
        <w:rPr>
          <w:rFonts w:eastAsia="Calibri" w:cs="Times New Roman"/>
          <w:color w:val="000000"/>
        </w:rPr>
        <w:t>.</w:t>
      </w:r>
    </w:p>
    <w:p w14:paraId="28C54DD7" w14:textId="7734EBFB" w:rsidR="00A20AE4" w:rsidRDefault="00D04C52" w:rsidP="00B46744">
      <w:pPr>
        <w:spacing w:after="120" w:line="240" w:lineRule="auto"/>
        <w:jc w:val="both"/>
        <w:rPr>
          <w:rFonts w:eastAsia="Calibri" w:cs="Times New Roman"/>
          <w:color w:val="000000"/>
        </w:rPr>
      </w:pPr>
      <w:r>
        <w:rPr>
          <w:rFonts w:eastAsia="Calibri" w:cs="Times New Roman"/>
          <w:color w:val="000000"/>
        </w:rPr>
        <w:t xml:space="preserve">Sulsky et al. </w:t>
      </w:r>
      <w:r w:rsidR="00D2134A">
        <w:rPr>
          <w:rFonts w:eastAsia="Calibri" w:cs="Times New Roman"/>
          <w:color w:val="000000"/>
        </w:rPr>
        <w:fldChar w:fldCharType="begin">
          <w:fldData xml:space="preserve">PEVuZE5vdGU+PENpdGU+PEF1dGhvcj5TdWxza3k8L0F1dGhvcj48WWVhcj4yMDE0PC9ZZWFyPjxS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PEVuZE5vdGU+PENpdGU+PEF1dGhvcj5TdWxza3k8L0F1dGhvcj48WWVhcj4yMDE0PC9ZZWFyPjxS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85" w:tooltip="Sulsky, 2014 #15" w:history="1">
        <w:r w:rsidR="00A234A9">
          <w:rPr>
            <w:rFonts w:eastAsia="Calibri" w:cs="Times New Roman"/>
            <w:noProof/>
            <w:color w:val="000000"/>
          </w:rPr>
          <w:t>85</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analyzed weighted data from current and former smokers who participated in the 2005 or 2010 </w:t>
      </w:r>
      <w:r w:rsidR="009822A0">
        <w:rPr>
          <w:rFonts w:eastAsia="Calibri" w:cs="Times New Roman"/>
          <w:color w:val="000000"/>
        </w:rPr>
        <w:t>National Health Interview Survey (</w:t>
      </w:r>
      <w:r w:rsidRPr="00A0218A">
        <w:rPr>
          <w:rFonts w:eastAsia="Calibri" w:cs="Times New Roman"/>
          <w:color w:val="000000"/>
        </w:rPr>
        <w:t>NHIS</w:t>
      </w:r>
      <w:r w:rsidR="009822A0">
        <w:rPr>
          <w:rFonts w:eastAsia="Calibri" w:cs="Times New Roman"/>
          <w:color w:val="000000"/>
        </w:rPr>
        <w:t>)</w:t>
      </w:r>
      <w:r w:rsidRPr="00A0218A">
        <w:rPr>
          <w:rFonts w:eastAsia="Calibri" w:cs="Times New Roman"/>
          <w:color w:val="000000"/>
        </w:rPr>
        <w:t xml:space="preserve"> or the 2010/11 TUS-CPS and reported age at the start of “fairly regular”</w:t>
      </w:r>
      <w:r>
        <w:rPr>
          <w:rFonts w:eastAsia="Calibri" w:cs="Times New Roman"/>
          <w:color w:val="000000"/>
        </w:rPr>
        <w:t xml:space="preserve"> </w:t>
      </w:r>
      <w:r w:rsidRPr="00A0218A">
        <w:rPr>
          <w:rFonts w:eastAsia="Calibri" w:cs="Times New Roman"/>
          <w:color w:val="000000"/>
        </w:rPr>
        <w:t xml:space="preserve">smoking. In the combined NHIS analysis, fewer menthol than non-menthol users were in the age categories before age ten (1.0% </w:t>
      </w:r>
      <w:r>
        <w:rPr>
          <w:rFonts w:eastAsia="Calibri" w:cs="Times New Roman"/>
          <w:color w:val="000000"/>
        </w:rPr>
        <w:t>versus</w:t>
      </w:r>
      <w:r w:rsidRPr="00A0218A">
        <w:rPr>
          <w:rFonts w:eastAsia="Calibri" w:cs="Times New Roman"/>
          <w:color w:val="000000"/>
        </w:rPr>
        <w:t xml:space="preserve"> 1.5%), age ten to 14 (16.6% </w:t>
      </w:r>
      <w:r>
        <w:rPr>
          <w:rFonts w:eastAsia="Calibri" w:cs="Times New Roman"/>
          <w:color w:val="000000"/>
        </w:rPr>
        <w:t>versus</w:t>
      </w:r>
      <w:r w:rsidRPr="00A0218A">
        <w:rPr>
          <w:rFonts w:eastAsia="Calibri" w:cs="Times New Roman"/>
          <w:color w:val="000000"/>
        </w:rPr>
        <w:t xml:space="preserve"> 16.9%), and age 15 to 19 (53.6% </w:t>
      </w:r>
      <w:r>
        <w:rPr>
          <w:rFonts w:eastAsia="Calibri" w:cs="Times New Roman"/>
          <w:color w:val="000000"/>
        </w:rPr>
        <w:t>versus</w:t>
      </w:r>
      <w:r w:rsidRPr="00A0218A">
        <w:rPr>
          <w:rFonts w:eastAsia="Calibri" w:cs="Times New Roman"/>
          <w:color w:val="000000"/>
        </w:rPr>
        <w:t xml:space="preserve"> 57.2%). A greater proportion of menthol users than non-menthol users began smoking fairly regularly between age 25 and 39 (8.3% </w:t>
      </w:r>
      <w:r>
        <w:rPr>
          <w:rFonts w:eastAsia="Calibri" w:cs="Times New Roman"/>
          <w:color w:val="000000"/>
        </w:rPr>
        <w:t>versus</w:t>
      </w:r>
      <w:r w:rsidRPr="00A0218A">
        <w:rPr>
          <w:rFonts w:eastAsia="Calibri" w:cs="Times New Roman"/>
          <w:color w:val="000000"/>
        </w:rPr>
        <w:t xml:space="preserve"> 5.8%), and the proportions who began at age 40 and older were nearly identical. </w:t>
      </w:r>
      <w:r w:rsidR="003C5B9E">
        <w:rPr>
          <w:rFonts w:eastAsia="Calibri" w:cs="Times New Roman"/>
          <w:color w:val="000000"/>
        </w:rPr>
        <w:t xml:space="preserve">Tests of </w:t>
      </w:r>
      <w:r w:rsidR="0072753E">
        <w:rPr>
          <w:rFonts w:eastAsia="Calibri" w:cs="Times New Roman"/>
          <w:color w:val="000000"/>
        </w:rPr>
        <w:t>statistically</w:t>
      </w:r>
      <w:r w:rsidR="007B6ECB">
        <w:rPr>
          <w:rFonts w:eastAsia="Calibri" w:cs="Times New Roman"/>
          <w:color w:val="000000"/>
        </w:rPr>
        <w:t xml:space="preserve"> </w:t>
      </w:r>
      <w:r w:rsidR="003C5B9E">
        <w:rPr>
          <w:rFonts w:eastAsia="Calibri" w:cs="Times New Roman"/>
          <w:color w:val="000000"/>
        </w:rPr>
        <w:t xml:space="preserve">significant difference were not reported. </w:t>
      </w:r>
      <w:r w:rsidRPr="00A0218A">
        <w:rPr>
          <w:rFonts w:eastAsia="Calibri" w:cs="Times New Roman"/>
          <w:color w:val="000000"/>
        </w:rPr>
        <w:t xml:space="preserve">The findings were consistent with those reported in the </w:t>
      </w:r>
      <w:r>
        <w:rPr>
          <w:rFonts w:eastAsia="Calibri" w:cs="Times New Roman"/>
          <w:color w:val="000000"/>
        </w:rPr>
        <w:t xml:space="preserve">adjusted </w:t>
      </w:r>
      <w:r w:rsidRPr="00A0218A">
        <w:rPr>
          <w:rFonts w:eastAsia="Calibri" w:cs="Times New Roman"/>
          <w:color w:val="000000"/>
        </w:rPr>
        <w:t>analyses o</w:t>
      </w:r>
      <w:r>
        <w:rPr>
          <w:rFonts w:eastAsia="Calibri" w:cs="Times New Roman"/>
          <w:color w:val="000000"/>
        </w:rPr>
        <w:t>f the same data by Curtin et al</w:t>
      </w:r>
      <w:r w:rsidRPr="00A0218A">
        <w:rPr>
          <w:rFonts w:eastAsia="Calibri" w:cs="Times New Roman"/>
          <w:color w:val="000000"/>
        </w:rPr>
        <w:t>.</w:t>
      </w:r>
      <w:r w:rsidR="00D14B2D">
        <w:rPr>
          <w:rFonts w:eastAsia="Calibri" w:cs="Times New Roman"/>
          <w:color w:val="000000"/>
        </w:rPr>
        <w:t xml:space="preserve"> </w:t>
      </w:r>
      <w:r w:rsidR="00D2134A">
        <w:rPr>
          <w:rFonts w:eastAsia="Calibri" w:cs="Times New Roman"/>
          <w:color w:val="000000"/>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51" w:tooltip="Curtin, 2014 #13" w:history="1">
        <w:r w:rsidR="00A234A9">
          <w:rPr>
            <w:rFonts w:eastAsia="Calibri" w:cs="Times New Roman"/>
            <w:noProof/>
            <w:color w:val="000000"/>
          </w:rPr>
          <w:t>51</w:t>
        </w:r>
      </w:hyperlink>
      <w:r w:rsidR="00D2134A">
        <w:rPr>
          <w:rFonts w:eastAsia="Calibri" w:cs="Times New Roman"/>
          <w:noProof/>
          <w:color w:val="000000"/>
        </w:rPr>
        <w:t>)</w:t>
      </w:r>
      <w:r w:rsidR="00D2134A">
        <w:rPr>
          <w:rFonts w:eastAsia="Calibri" w:cs="Times New Roman"/>
          <w:color w:val="000000"/>
        </w:rPr>
        <w:fldChar w:fldCharType="end"/>
      </w:r>
      <w:r w:rsidR="00A20AE4">
        <w:rPr>
          <w:rFonts w:eastAsia="Calibri" w:cs="Times New Roman"/>
          <w:color w:val="000000"/>
        </w:rPr>
        <w:t>.</w:t>
      </w:r>
    </w:p>
    <w:p w14:paraId="3447EC86" w14:textId="2BB9C9EE" w:rsidR="00A20AE4" w:rsidRDefault="00D04C52" w:rsidP="00B46744">
      <w:pPr>
        <w:spacing w:after="120" w:line="240" w:lineRule="auto"/>
        <w:jc w:val="both"/>
        <w:rPr>
          <w:rFonts w:eastAsia="Calibri" w:cs="Times New Roman"/>
          <w:color w:val="000000"/>
        </w:rPr>
      </w:pPr>
      <w:r w:rsidRPr="00A0218A">
        <w:rPr>
          <w:rFonts w:eastAsia="Calibri" w:cs="Times New Roman"/>
          <w:color w:val="000000"/>
        </w:rPr>
        <w:t>In the data from the TUS-CPS</w:t>
      </w:r>
      <w:r w:rsidR="00721292">
        <w:rPr>
          <w:rFonts w:eastAsia="Calibri" w:cs="Times New Roman"/>
          <w:color w:val="000000"/>
        </w:rPr>
        <w:t xml:space="preserve"> reported by Sulsky et al. </w:t>
      </w:r>
      <w:r w:rsidR="00D2134A">
        <w:rPr>
          <w:rFonts w:eastAsia="Calibri" w:cs="Times New Roman"/>
          <w:color w:val="000000"/>
        </w:rPr>
        <w:fldChar w:fldCharType="begin">
          <w:fldData xml:space="preserve">PEVuZE5vdGU+PENpdGU+PEF1dGhvcj5TdWxza3k8L0F1dGhvcj48WWVhcj4yMDE0PC9ZZWFyPjxS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PEVuZE5vdGU+PENpdGU+PEF1dGhvcj5TdWxza3k8L0F1dGhvcj48WWVhcj4yMDE0PC9ZZWFyPjxS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85" w:tooltip="Sulsky, 2014 #15" w:history="1">
        <w:r w:rsidR="00A234A9">
          <w:rPr>
            <w:rFonts w:eastAsia="Calibri" w:cs="Times New Roman"/>
            <w:noProof/>
            <w:color w:val="000000"/>
          </w:rPr>
          <w:t>85</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findings were nearly the same: fewer menthol than non-menthol users were in the age categories before age ten (0.9% </w:t>
      </w:r>
      <w:r>
        <w:rPr>
          <w:rFonts w:eastAsia="Calibri" w:cs="Times New Roman"/>
          <w:color w:val="000000"/>
        </w:rPr>
        <w:t>versus</w:t>
      </w:r>
      <w:r w:rsidRPr="00A0218A">
        <w:rPr>
          <w:rFonts w:eastAsia="Calibri" w:cs="Times New Roman"/>
          <w:color w:val="000000"/>
        </w:rPr>
        <w:t xml:space="preserve"> 1.2%), age ten to 14 (13.7% </w:t>
      </w:r>
      <w:r>
        <w:rPr>
          <w:rFonts w:eastAsia="Calibri" w:cs="Times New Roman"/>
          <w:color w:val="000000"/>
        </w:rPr>
        <w:t>versus</w:t>
      </w:r>
      <w:r w:rsidRPr="00A0218A">
        <w:rPr>
          <w:rFonts w:eastAsia="Calibri" w:cs="Times New Roman"/>
          <w:color w:val="000000"/>
        </w:rPr>
        <w:t xml:space="preserve"> 15.0%), and age 15 to 19 (55.9% </w:t>
      </w:r>
      <w:r>
        <w:rPr>
          <w:rFonts w:eastAsia="Calibri" w:cs="Times New Roman"/>
          <w:color w:val="000000"/>
        </w:rPr>
        <w:t>versus</w:t>
      </w:r>
      <w:r w:rsidRPr="00A0218A">
        <w:rPr>
          <w:rFonts w:eastAsia="Calibri" w:cs="Times New Roman"/>
          <w:color w:val="000000"/>
        </w:rPr>
        <w:t xml:space="preserve"> 58.1%). Again, a greater proportion of menthol users than non-menthol users began smoking fairly regularly </w:t>
      </w:r>
      <w:r w:rsidR="00B014DB" w:rsidRPr="00A0218A">
        <w:rPr>
          <w:rFonts w:eastAsia="Calibri" w:cs="Times New Roman"/>
          <w:color w:val="000000"/>
        </w:rPr>
        <w:t xml:space="preserve">between age </w:t>
      </w:r>
      <w:r w:rsidR="00B014DB">
        <w:rPr>
          <w:rFonts w:eastAsia="Calibri" w:cs="Times New Roman"/>
          <w:color w:val="000000"/>
        </w:rPr>
        <w:t>20</w:t>
      </w:r>
      <w:r w:rsidR="00B014DB" w:rsidRPr="00A0218A">
        <w:rPr>
          <w:rFonts w:eastAsia="Calibri" w:cs="Times New Roman"/>
          <w:color w:val="000000"/>
        </w:rPr>
        <w:t xml:space="preserve"> and </w:t>
      </w:r>
      <w:r w:rsidR="00B014DB">
        <w:rPr>
          <w:rFonts w:eastAsia="Calibri" w:cs="Times New Roman"/>
          <w:color w:val="000000"/>
        </w:rPr>
        <w:t>24</w:t>
      </w:r>
      <w:r w:rsidR="00B014DB" w:rsidRPr="00A0218A">
        <w:rPr>
          <w:rFonts w:eastAsia="Calibri" w:cs="Times New Roman"/>
          <w:color w:val="000000"/>
        </w:rPr>
        <w:t xml:space="preserve"> (</w:t>
      </w:r>
      <w:r w:rsidR="00B014DB">
        <w:rPr>
          <w:rFonts w:eastAsia="Calibri" w:cs="Times New Roman"/>
          <w:color w:val="000000"/>
        </w:rPr>
        <w:t>18.2</w:t>
      </w:r>
      <w:r w:rsidR="00B014DB" w:rsidRPr="00A0218A">
        <w:rPr>
          <w:rFonts w:eastAsia="Calibri" w:cs="Times New Roman"/>
          <w:color w:val="000000"/>
        </w:rPr>
        <w:t xml:space="preserve">% </w:t>
      </w:r>
      <w:r w:rsidR="00B014DB">
        <w:rPr>
          <w:rFonts w:eastAsia="Calibri" w:cs="Times New Roman"/>
          <w:color w:val="000000"/>
        </w:rPr>
        <w:t>versus</w:t>
      </w:r>
      <w:r w:rsidR="00B014DB" w:rsidRPr="00A0218A">
        <w:rPr>
          <w:rFonts w:eastAsia="Calibri" w:cs="Times New Roman"/>
          <w:color w:val="000000"/>
        </w:rPr>
        <w:t xml:space="preserve"> </w:t>
      </w:r>
      <w:r w:rsidR="00B014DB">
        <w:rPr>
          <w:rFonts w:eastAsia="Calibri" w:cs="Times New Roman"/>
          <w:color w:val="000000"/>
        </w:rPr>
        <w:t>16.5</w:t>
      </w:r>
      <w:r w:rsidR="00B014DB" w:rsidRPr="00A0218A">
        <w:rPr>
          <w:rFonts w:eastAsia="Calibri" w:cs="Times New Roman"/>
          <w:color w:val="000000"/>
        </w:rPr>
        <w:t>%)</w:t>
      </w:r>
      <w:r w:rsidR="00B014DB">
        <w:rPr>
          <w:rFonts w:eastAsia="Calibri" w:cs="Times New Roman"/>
          <w:color w:val="000000"/>
        </w:rPr>
        <w:t xml:space="preserve"> and </w:t>
      </w:r>
      <w:r w:rsidRPr="00A0218A">
        <w:rPr>
          <w:rFonts w:eastAsia="Calibri" w:cs="Times New Roman"/>
          <w:color w:val="000000"/>
        </w:rPr>
        <w:t>between age 25 and 39 (</w:t>
      </w:r>
      <w:r w:rsidR="00B014DB">
        <w:rPr>
          <w:rFonts w:eastAsia="Calibri" w:cs="Times New Roman"/>
          <w:color w:val="000000"/>
        </w:rPr>
        <w:t>7.9</w:t>
      </w:r>
      <w:r w:rsidRPr="00A0218A">
        <w:rPr>
          <w:rFonts w:eastAsia="Calibri" w:cs="Times New Roman"/>
          <w:color w:val="000000"/>
        </w:rPr>
        <w:t xml:space="preserve">% </w:t>
      </w:r>
      <w:r>
        <w:rPr>
          <w:rFonts w:eastAsia="Calibri" w:cs="Times New Roman"/>
          <w:color w:val="000000"/>
        </w:rPr>
        <w:t>versus</w:t>
      </w:r>
      <w:r w:rsidRPr="00A0218A">
        <w:rPr>
          <w:rFonts w:eastAsia="Calibri" w:cs="Times New Roman"/>
          <w:color w:val="000000"/>
        </w:rPr>
        <w:t xml:space="preserve"> </w:t>
      </w:r>
      <w:r w:rsidR="00B014DB">
        <w:rPr>
          <w:rFonts w:eastAsia="Calibri" w:cs="Times New Roman"/>
          <w:color w:val="000000"/>
        </w:rPr>
        <w:t>5.6</w:t>
      </w:r>
      <w:r w:rsidRPr="00A0218A">
        <w:rPr>
          <w:rFonts w:eastAsia="Calibri" w:cs="Times New Roman"/>
          <w:color w:val="000000"/>
        </w:rPr>
        <w:t>%), and the proportions who began at age 40 and older were nearly identical.</w:t>
      </w:r>
      <w:r w:rsidR="003C5B9E">
        <w:rPr>
          <w:rFonts w:eastAsia="Calibri" w:cs="Times New Roman"/>
          <w:color w:val="000000"/>
        </w:rPr>
        <w:t xml:space="preserve"> Again, tests of significant difference were not reported</w:t>
      </w:r>
      <w:r w:rsidR="00A20AE4">
        <w:rPr>
          <w:rFonts w:eastAsia="Calibri" w:cs="Times New Roman"/>
          <w:color w:val="000000"/>
        </w:rPr>
        <w:t>.</w:t>
      </w:r>
    </w:p>
    <w:p w14:paraId="4649AC18" w14:textId="575ED118" w:rsidR="00A20AE4" w:rsidRDefault="00D04C52" w:rsidP="00B46744">
      <w:pPr>
        <w:spacing w:after="120" w:line="240" w:lineRule="auto"/>
        <w:jc w:val="both"/>
        <w:rPr>
          <w:rFonts w:eastAsia="Calibri" w:cs="Times New Roman"/>
          <w:color w:val="000000"/>
        </w:rPr>
      </w:pPr>
      <w:r w:rsidRPr="00A0218A">
        <w:rPr>
          <w:rFonts w:eastAsia="Calibri" w:cs="Times New Roman"/>
          <w:color w:val="000000"/>
        </w:rPr>
        <w:t>In 2014, Jain</w:t>
      </w:r>
      <w:r>
        <w:rPr>
          <w:rFonts w:eastAsia="Calibri" w:cs="Times New Roman"/>
          <w:color w:val="000000"/>
        </w:rPr>
        <w:t xml:space="preserve">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&lt;EndNote&gt;&lt;Cite&gt;&lt;Author&gt;Jain&lt;/Author&gt;&lt;Year&gt;2014&lt;/Year&gt;&lt;RecNum&gt;21&lt;/RecNum&gt;&lt;DisplayText&gt;(67)&lt;/DisplayText&gt;&lt;record&gt;&lt;rec-number&gt;21&lt;/rec-number&gt;&lt;foreign-keys&gt;&lt;key app="EN" db-id="a2vz2dfp8xrad6exes75zwpiw5rxwa0vwapv" timestamp="0"&gt;21&lt;/key&gt;&lt;/foreign-keys&gt;&lt;ref-type name="Journal Article"&gt;17&lt;/ref-type&gt;&lt;contributors&gt;&lt;authors&gt;&lt;author&gt;Jain, R. B.&lt;/author&gt;&lt;/authors&gt;&lt;/contributors&gt;&lt;auth-address&gt;Lawrenceville, GA 30044, United States. Electronic address: Jain.ram.b@gmail.com.&lt;/auth-address&gt;&lt;titles&gt;&lt;title&gt;Trends in serum cotinine concentrations among daily cigarette smokers: data from NHANES 1999-2010&lt;/title&gt;&lt;secondary-title&gt;Sci Total Environ&lt;/secondary-title&gt;&lt;/titles&gt;&lt;pages&gt;72-7&lt;/pages&gt;&lt;volume&gt;472&lt;/volume&gt;&lt;keywords&gt;&lt;keyword&gt;Adult&lt;/keyword&gt;&lt;keyword&gt;Cotinine/*blood&lt;/keyword&gt;&lt;keyword&gt;Female&lt;/keyword&gt;&lt;keyword&gt;Humans&lt;/keyword&gt;&lt;keyword&gt;Male&lt;/keyword&gt;&lt;keyword&gt;*Nutrition Surveys&lt;/keyword&gt;&lt;keyword&gt;Smoking/*blood/epidemiology&lt;/keyword&gt;&lt;keyword&gt;Tobacco Smoke Pollution/statistics &amp;amp; numerical data&lt;/keyword&gt;&lt;keyword&gt;Nicotine&lt;/keyword&gt;&lt;keyword&gt;Serum cotinine&lt;/keyword&gt;&lt;keyword&gt;Smoking&lt;/keyword&gt;&lt;/keywords&gt;&lt;dates&gt;&lt;year&gt;2014&lt;/year&gt;&lt;pub-dates&gt;&lt;date&gt;Feb 15&lt;/date&gt;&lt;/pub-dates&gt;&lt;/dates&gt;&lt;isbn&gt;1879-1026 (Electronic)&amp;#xD;0048-9697 (Linking)&lt;/isbn&gt;&lt;accession-num&gt;24291557&lt;/accession-num&gt;&lt;urls&gt;&lt;related-urls&gt;&lt;url&gt;http://www.ncbi.nlm.nih.gov/pubmed/24291557&lt;/url&gt;&lt;/related-urls&gt;&lt;/urls&gt;&lt;electronic-resource-num&gt;10.1016/j.scitotenv.2013.11.002&lt;/electronic-resource-num&gt;&lt;research-notes&gt;#110&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67" w:tooltip="Jain, 2014 #21" w:history="1">
        <w:r w:rsidR="00A234A9">
          <w:rPr>
            <w:rFonts w:eastAsia="Calibri" w:cs="Times New Roman"/>
            <w:noProof/>
            <w:color w:val="000000"/>
          </w:rPr>
          <w:t>67</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analyzed NHANES data from 1999-2010 to assess a difference in the age at which smokers started smoking regularly at their current smoking levels. The analytic sample included 4,482 daily smokers age 20 and older. Based on unadjusted geometric means, the age at which regular smoking started was approximately 6 months older for menthol smokers (17.8 years, 95% CI: 17.4 to 18.1) than for non-menthol smokers (17.2 years, 95% CI: 17.0 to 17.5)</w:t>
      </w:r>
      <w:r w:rsidR="008A061C">
        <w:rPr>
          <w:rFonts w:eastAsia="Calibri" w:cs="Times New Roman"/>
          <w:color w:val="000000"/>
        </w:rPr>
        <w:t>, though not significantly different</w:t>
      </w:r>
      <w:r w:rsidRPr="00A0218A">
        <w:rPr>
          <w:rFonts w:eastAsia="Calibri" w:cs="Times New Roman"/>
          <w:color w:val="000000"/>
        </w:rPr>
        <w:t xml:space="preserve">. The findings were consistent with those reported in the </w:t>
      </w:r>
      <w:r>
        <w:rPr>
          <w:rFonts w:eastAsia="Calibri" w:cs="Times New Roman"/>
          <w:color w:val="000000"/>
        </w:rPr>
        <w:t xml:space="preserve">adjusted </w:t>
      </w:r>
      <w:r w:rsidRPr="00A0218A">
        <w:rPr>
          <w:rFonts w:eastAsia="Calibri" w:cs="Times New Roman"/>
          <w:color w:val="000000"/>
        </w:rPr>
        <w:t>analyses o</w:t>
      </w:r>
      <w:r>
        <w:rPr>
          <w:rFonts w:eastAsia="Calibri" w:cs="Times New Roman"/>
          <w:color w:val="000000"/>
        </w:rPr>
        <w:t>f the same data by Curtin et al</w:t>
      </w:r>
      <w:r w:rsidRPr="00A0218A">
        <w:rPr>
          <w:rFonts w:eastAsia="Calibri" w:cs="Times New Roman"/>
          <w:color w:val="000000"/>
        </w:rPr>
        <w:t>.</w:t>
      </w:r>
      <w:r w:rsidR="003C5B9E">
        <w:rPr>
          <w:rFonts w:eastAsia="Calibri" w:cs="Times New Roman"/>
          <w:color w:val="000000"/>
        </w:rPr>
        <w:t xml:space="preserve"> </w:t>
      </w:r>
      <w:r w:rsidR="00D2134A">
        <w:rPr>
          <w:rFonts w:eastAsia="Calibri" w:cs="Times New Roman"/>
          <w:color w:val="000000"/>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51" w:tooltip="Curtin, 2014 #13" w:history="1">
        <w:r w:rsidR="00A234A9">
          <w:rPr>
            <w:rFonts w:eastAsia="Calibri" w:cs="Times New Roman"/>
            <w:noProof/>
            <w:color w:val="000000"/>
          </w:rPr>
          <w:t>51</w:t>
        </w:r>
      </w:hyperlink>
      <w:r w:rsidR="00D2134A">
        <w:rPr>
          <w:rFonts w:eastAsia="Calibri" w:cs="Times New Roman"/>
          <w:noProof/>
          <w:color w:val="000000"/>
        </w:rPr>
        <w:t>)</w:t>
      </w:r>
      <w:r w:rsidR="00D2134A">
        <w:rPr>
          <w:rFonts w:eastAsia="Calibri" w:cs="Times New Roman"/>
          <w:color w:val="000000"/>
        </w:rPr>
        <w:fldChar w:fldCharType="end"/>
      </w:r>
      <w:r w:rsidR="00A20AE4">
        <w:rPr>
          <w:rFonts w:eastAsia="Calibri" w:cs="Times New Roman"/>
          <w:color w:val="000000"/>
        </w:rPr>
        <w:t>.</w:t>
      </w:r>
    </w:p>
    <w:p w14:paraId="135BDF47" w14:textId="0CACCD96" w:rsidR="00D04C52" w:rsidRPr="00A0218A" w:rsidRDefault="00D04C52" w:rsidP="00B46744">
      <w:pPr>
        <w:spacing w:after="120" w:line="240" w:lineRule="auto"/>
        <w:jc w:val="both"/>
        <w:rPr>
          <w:rFonts w:eastAsia="Calibri" w:cs="Times New Roman"/>
          <w:color w:val="000000"/>
        </w:rPr>
      </w:pPr>
      <w:r w:rsidRPr="00A32DC8">
        <w:rPr>
          <w:rFonts w:eastAsia="Calibri" w:cs="Times New Roman"/>
          <w:color w:val="000000"/>
        </w:rPr>
        <w:t xml:space="preserve">Jones et al. </w:t>
      </w:r>
      <w:r w:rsidR="00D2134A">
        <w:rPr>
          <w:rFonts w:eastAsia="Calibri" w:cs="Times New Roman"/>
          <w:color w:val="000000"/>
        </w:rPr>
        <w:fldChar w:fldCharType="begin">
          <w:fldData xml:space="preserve">PEVuZE5vdGU+PENpdGU+PEF1dGhvcj5Kb25lczwvQXV0aG9yPjxZZWFyPjIwMTM8L1llYXI+PFJl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PEVuZE5vdGU+PENpdGU+PEF1dGhvcj5Kb25lczwvQXV0aG9yPjxZZWFyPjIwMTM8L1llYXI+PFJl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68" w:tooltip="Jones, 2013 #30" w:history="1">
        <w:r w:rsidR="00A234A9">
          <w:rPr>
            <w:rFonts w:eastAsia="Calibri" w:cs="Times New Roman"/>
            <w:noProof/>
            <w:color w:val="000000"/>
          </w:rPr>
          <w:t>68</w:t>
        </w:r>
      </w:hyperlink>
      <w:r w:rsidR="00D2134A">
        <w:rPr>
          <w:rFonts w:eastAsia="Calibri" w:cs="Times New Roman"/>
          <w:noProof/>
          <w:color w:val="000000"/>
        </w:rPr>
        <w:t>)</w:t>
      </w:r>
      <w:r w:rsidR="00D2134A">
        <w:rPr>
          <w:rFonts w:eastAsia="Calibri" w:cs="Times New Roman"/>
          <w:color w:val="000000"/>
        </w:rPr>
        <w:fldChar w:fldCharType="end"/>
      </w:r>
      <w:r w:rsidRPr="00A32DC8">
        <w:rPr>
          <w:rFonts w:eastAsia="Calibri" w:cs="Times New Roman"/>
          <w:color w:val="000000"/>
        </w:rPr>
        <w:t xml:space="preserve"> also analyzed NHANES data from 1999-2010. Their analytic sample contained 4,603 current smokers, and age at initiation was analyzed categorically. The authors reported that there was no significant difference overall between menthol and non-menthol smokers (p=0.09), but a higher percentage of menthol smokers started after age 16, compared with non-menthol smokers (55.8% versus 50%, respectively).</w:t>
      </w:r>
      <w:r w:rsidRPr="00A0218A">
        <w:rPr>
          <w:rFonts w:eastAsia="Calibri" w:cs="Times New Roman"/>
          <w:color w:val="000000"/>
        </w:rPr>
        <w:t xml:space="preserve"> Again, the findings were consistent with those reported in the analyses of the same data by Curtin et al. that adjusted for confounders</w:t>
      </w:r>
      <w:r w:rsidR="008A061C">
        <w:rPr>
          <w:rFonts w:eastAsia="Calibri" w:cs="Times New Roman"/>
          <w:color w:val="000000"/>
        </w:rPr>
        <w:t xml:space="preserve"> </w:t>
      </w:r>
      <w:r w:rsidR="00D2134A">
        <w:rPr>
          <w:rFonts w:eastAsia="Calibri" w:cs="Times New Roman"/>
          <w:color w:val="000000"/>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51" w:tooltip="Curtin, 2014 #13" w:history="1">
        <w:r w:rsidR="00A234A9">
          <w:rPr>
            <w:rFonts w:eastAsia="Calibri" w:cs="Times New Roman"/>
            <w:noProof/>
            <w:color w:val="000000"/>
          </w:rPr>
          <w:t>51</w:t>
        </w:r>
      </w:hyperlink>
      <w:r w:rsidR="00D2134A">
        <w:rPr>
          <w:rFonts w:eastAsia="Calibri" w:cs="Times New Roman"/>
          <w:noProof/>
          <w:color w:val="000000"/>
        </w:rPr>
        <w:t>)</w:t>
      </w:r>
      <w:r w:rsidR="00D2134A">
        <w:rPr>
          <w:rFonts w:eastAsia="Calibri" w:cs="Times New Roman"/>
          <w:color w:val="000000"/>
        </w:rPr>
        <w:fldChar w:fldCharType="end"/>
      </w:r>
      <w:r w:rsidR="008A061C">
        <w:rPr>
          <w:rFonts w:eastAsia="Calibri" w:cs="Times New Roman"/>
          <w:color w:val="000000"/>
        </w:rPr>
        <w:t>.</w:t>
      </w:r>
    </w:p>
    <w:p w14:paraId="46915001" w14:textId="240D9715" w:rsidR="00D04C52" w:rsidRDefault="00D04C52" w:rsidP="00B46744">
      <w:pPr>
        <w:spacing w:after="120" w:line="240" w:lineRule="auto"/>
        <w:jc w:val="both"/>
        <w:rPr>
          <w:rFonts w:eastAsia="Calibri" w:cs="Times New Roman"/>
          <w:color w:val="000000"/>
        </w:rPr>
      </w:pPr>
      <w:r w:rsidRPr="00A0218A">
        <w:rPr>
          <w:rFonts w:eastAsia="Calibri" w:cs="Times New Roman"/>
          <w:color w:val="000000"/>
        </w:rPr>
        <w:t>In a cross-sectional study that enrolled 928 women seeking tobacco dependenc</w:t>
      </w:r>
      <w:r>
        <w:rPr>
          <w:rFonts w:eastAsia="Calibri" w:cs="Times New Roman"/>
          <w:color w:val="000000"/>
        </w:rPr>
        <w:t xml:space="preserve">e treatment, Rosenbloom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&lt;EndNote&gt;&lt;Cite&gt;&lt;Author&gt;Rosenbloom&lt;/Author&gt;&lt;Year&gt;2012&lt;/Year&gt;&lt;RecNum&gt;32&lt;/RecNum&gt;&lt;DisplayText&gt;(81)&lt;/DisplayText&gt;&lt;record&gt;&lt;rec-number&gt;32&lt;/rec-number&gt;&lt;foreign-keys&gt;&lt;key app="EN" db-id="a2vz2dfp8xrad6exes75zwpiw5rxwa0vwapv" timestamp="0"&gt;32&lt;/key&gt;&lt;/foreign-keys&gt;&lt;ref-type name="Journal Article"&gt;17&lt;/ref-type&gt;&lt;contributors&gt;&lt;authors&gt;&lt;author&gt;Rosenbloom, J.&lt;/author&gt;&lt;author&gt; Rees, V. W.&lt;/author&gt;&lt;author&gt;Reid, K.&lt;/author&gt;&lt;author&gt;Wong, J.&lt;/author&gt;&lt;author&gt;Kinnunen, T.&lt;/author&gt;&lt;/authors&gt;&lt;/contributors&gt;&lt;titles&gt;&lt;title&gt;A cross-sectional study on tobacco use and dependence among women: Does menthol matter?&lt;/title&gt;&lt;secondary-title&gt;Tob Induc Dis&lt;/secondary-title&gt;&lt;/titles&gt;&lt;periodical&gt;&lt;full-title&gt;Tob Induc Dis&lt;/full-title&gt;&lt;/periodical&gt;&lt;pages&gt;1-6&lt;/pages&gt;&lt;volume&gt;10&lt;/volume&gt;&lt;number&gt;19&lt;/number&gt;&lt;section&gt;1&lt;/section&gt;&lt;keywords&gt;&lt;keyword&gt;Cigarette smoking, Menthol cigarettes, Tobacco use, Tobacco dependence, Race/Ethnicity, Female Sex/&lt;/keyword&gt;&lt;keyword&gt;Gender&lt;/keyword&gt;&lt;/keywords&gt;&lt;dates&gt;&lt;year&gt;2012&lt;/year&gt;&lt;/dates&gt;&lt;urls&gt;&lt;/urls&gt;&lt;electronic-resource-num&gt;10.1186/1617-9625-10-19&lt;/electronic-resource-num&gt;&lt;research-notes&gt;#173&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81" w:tooltip="Rosenbloom, 2012 #32" w:history="1">
        <w:r w:rsidR="00A234A9">
          <w:rPr>
            <w:rFonts w:eastAsia="Calibri" w:cs="Times New Roman"/>
            <w:noProof/>
            <w:color w:val="000000"/>
          </w:rPr>
          <w:t>81</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found that menthol smokers started smoking at an older age than non-menthol smokers</w:t>
      </w:r>
      <w:r w:rsidRPr="00A0218A" w:rsidDel="00D66E4C">
        <w:rPr>
          <w:rFonts w:eastAsia="Calibri" w:cs="Times New Roman"/>
          <w:color w:val="000000"/>
        </w:rPr>
        <w:t xml:space="preserve"> </w:t>
      </w:r>
      <w:r w:rsidRPr="00A0218A">
        <w:rPr>
          <w:rFonts w:eastAsia="Calibri" w:cs="Times New Roman"/>
          <w:color w:val="000000"/>
        </w:rPr>
        <w:t xml:space="preserve">(16.7±5.8 </w:t>
      </w:r>
      <w:r>
        <w:rPr>
          <w:rFonts w:eastAsia="Calibri" w:cs="Times New Roman"/>
          <w:color w:val="000000"/>
        </w:rPr>
        <w:t>versus</w:t>
      </w:r>
      <w:r w:rsidRPr="00A0218A">
        <w:rPr>
          <w:rFonts w:eastAsia="Calibri" w:cs="Times New Roman"/>
          <w:color w:val="000000"/>
        </w:rPr>
        <w:t xml:space="preserve"> 16.1±4.1 years, p=0.76).</w:t>
      </w:r>
      <w:r w:rsidR="008A061C">
        <w:rPr>
          <w:rFonts w:eastAsia="Calibri" w:cs="Times New Roman"/>
          <w:color w:val="000000"/>
        </w:rPr>
        <w:t xml:space="preserve"> The difference was not </w:t>
      </w:r>
      <w:r w:rsidR="004A5DCD">
        <w:rPr>
          <w:rFonts w:eastAsia="Calibri" w:cs="Times New Roman"/>
          <w:color w:val="000000"/>
        </w:rPr>
        <w:t xml:space="preserve">statistically </w:t>
      </w:r>
      <w:r w:rsidR="008A061C">
        <w:rPr>
          <w:rFonts w:eastAsia="Calibri" w:cs="Times New Roman"/>
          <w:color w:val="000000"/>
        </w:rPr>
        <w:t>significant.</w:t>
      </w:r>
    </w:p>
    <w:p w14:paraId="4FB70C75" w14:textId="36FA4E68" w:rsidR="0098426E" w:rsidRDefault="0098426E" w:rsidP="0098426E">
      <w:pPr>
        <w:spacing w:after="240" w:line="240" w:lineRule="auto"/>
        <w:jc w:val="both"/>
        <w:rPr>
          <w:rFonts w:eastAsia="Calibri" w:cs="Times New Roman"/>
          <w:color w:val="000000"/>
        </w:rPr>
      </w:pPr>
      <w:r w:rsidRPr="00A0218A">
        <w:rPr>
          <w:rFonts w:eastAsia="Calibri" w:cs="Times New Roman"/>
          <w:color w:val="000000"/>
        </w:rPr>
        <w:t xml:space="preserve">In a cross-sectional study that enrolled </w:t>
      </w:r>
      <w:r>
        <w:rPr>
          <w:rFonts w:eastAsia="Calibri" w:cs="Times New Roman"/>
          <w:color w:val="000000"/>
        </w:rPr>
        <w:t>323</w:t>
      </w:r>
      <w:r w:rsidRPr="00A0218A">
        <w:rPr>
          <w:rFonts w:eastAsia="Calibri" w:cs="Times New Roman"/>
          <w:color w:val="000000"/>
        </w:rPr>
        <w:t xml:space="preserve"> </w:t>
      </w:r>
      <w:r>
        <w:rPr>
          <w:rFonts w:eastAsia="Calibri" w:cs="Times New Roman"/>
          <w:color w:val="000000"/>
        </w:rPr>
        <w:t>p</w:t>
      </w:r>
      <w:r w:rsidRPr="000D6704">
        <w:rPr>
          <w:rFonts w:eastAsia="Calibri" w:cs="Times New Roman"/>
          <w:color w:val="000000"/>
        </w:rPr>
        <w:t xml:space="preserve">regnant White women age </w:t>
      </w:r>
      <w:r>
        <w:rPr>
          <w:rFonts w:eastAsia="Calibri" w:cs="Times New Roman"/>
          <w:color w:val="000000"/>
        </w:rPr>
        <w:t xml:space="preserve">16 years or older, </w:t>
      </w:r>
      <w:r w:rsidRPr="00B627BA">
        <w:rPr>
          <w:rFonts w:eastAsia="Calibri" w:cs="Times New Roman"/>
          <w:lang w:val="en-GB"/>
        </w:rPr>
        <w:t xml:space="preserve">Oncken et al. </w:t>
      </w:r>
      <w:r w:rsidR="00D2134A">
        <w:rPr>
          <w:rFonts w:eastAsia="Calibri" w:cs="Times New Roman"/>
        </w:rPr>
        <w:fldChar w:fldCharType="begin">
          <w:fldData xml:space="preserve">PEVuZE5vdGU+PENpdGU+PEF1dGhvcj5PbmNrZW48L0F1dGhvcj48WWVhcj4yMDE1PC9ZZWFyPjxS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</w:fldData>
        </w:fldChar>
      </w:r>
      <w:r w:rsidR="00D2134A">
        <w:rPr>
          <w:rFonts w:eastAsia="Calibri" w:cs="Times New Roman"/>
        </w:rPr>
        <w:instrText xml:space="preserve"> ADDIN EN.CITE </w:instrText>
      </w:r>
      <w:r w:rsidR="00D2134A">
        <w:rPr>
          <w:rFonts w:eastAsia="Calibri" w:cs="Times New Roman"/>
        </w:rPr>
        <w:fldChar w:fldCharType="begin">
          <w:fldData xml:space="preserve">PEVuZE5vdGU+PENpdGU+PEF1dGhvcj5PbmNrZW48L0F1dGhvcj48WWVhcj4yMDE1PC9ZZWFyPjxS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</w:fldData>
        </w:fldChar>
      </w:r>
      <w:r w:rsidR="00D2134A">
        <w:rPr>
          <w:rFonts w:eastAsia="Calibri" w:cs="Times New Roman"/>
        </w:rPr>
        <w:instrText xml:space="preserve"> ADDIN EN.CITE.DATA </w:instrText>
      </w:r>
      <w:r w:rsidR="00D2134A">
        <w:rPr>
          <w:rFonts w:eastAsia="Calibri" w:cs="Times New Roman"/>
        </w:rPr>
      </w:r>
      <w:r w:rsidR="00D2134A">
        <w:rPr>
          <w:rFonts w:eastAsia="Calibri" w:cs="Times New Roman"/>
        </w:rPr>
        <w:fldChar w:fldCharType="end"/>
      </w:r>
      <w:r w:rsidR="00D2134A">
        <w:rPr>
          <w:rFonts w:eastAsia="Calibri" w:cs="Times New Roman"/>
        </w:rPr>
        <w:fldChar w:fldCharType="separate"/>
      </w:r>
      <w:r w:rsidR="00D2134A">
        <w:rPr>
          <w:rFonts w:eastAsia="Calibri" w:cs="Times New Roman"/>
          <w:noProof/>
        </w:rPr>
        <w:t>(</w:t>
      </w:r>
      <w:hyperlink w:anchor="_ENREF_76" w:tooltip="Oncken, 2015 #6" w:history="1">
        <w:r w:rsidR="00A234A9">
          <w:rPr>
            <w:rFonts w:eastAsia="Calibri" w:cs="Times New Roman"/>
            <w:noProof/>
          </w:rPr>
          <w:t>76</w:t>
        </w:r>
      </w:hyperlink>
      <w:r w:rsidR="00D2134A">
        <w:rPr>
          <w:rFonts w:eastAsia="Calibri" w:cs="Times New Roman"/>
          <w:noProof/>
        </w:rPr>
        <w:t>)</w:t>
      </w:r>
      <w:r w:rsidR="00D2134A">
        <w:rPr>
          <w:rFonts w:eastAsia="Calibri" w:cs="Times New Roman"/>
        </w:rPr>
        <w:fldChar w:fldCharType="end"/>
      </w:r>
      <w:r w:rsidRPr="00414E32">
        <w:rPr>
          <w:rFonts w:eastAsia="Calibri" w:cs="Times New Roman"/>
        </w:rPr>
        <w:t xml:space="preserve"> found that there was no difference in age at initiation among pregnant Hispanic and pregnant non-Hispanic White women</w:t>
      </w:r>
      <w:r>
        <w:rPr>
          <w:rFonts w:eastAsia="Calibri" w:cs="Times New Roman"/>
        </w:rPr>
        <w:t>.</w:t>
      </w:r>
    </w:p>
    <w:p w14:paraId="3C65B308" w14:textId="3ED06061" w:rsidR="00A20AE4" w:rsidRDefault="00D04C52" w:rsidP="0098426E">
      <w:pPr>
        <w:spacing w:after="240" w:line="240" w:lineRule="auto"/>
        <w:jc w:val="both"/>
        <w:rPr>
          <w:rFonts w:eastAsia="Calibri" w:cs="Times New Roman"/>
          <w:color w:val="000000"/>
        </w:rPr>
      </w:pPr>
      <w:r>
        <w:rPr>
          <w:rFonts w:eastAsia="Calibri" w:cs="Times New Roman"/>
          <w:color w:val="000000"/>
        </w:rPr>
        <w:t>Faseru et al</w:t>
      </w:r>
      <w:r w:rsidR="008B4742">
        <w:rPr>
          <w:rFonts w:eastAsia="Calibri" w:cs="Times New Roman"/>
          <w:color w:val="000000"/>
        </w:rPr>
        <w:t xml:space="preserve">. </w:t>
      </w:r>
      <w:r w:rsidR="00D2134A">
        <w:rPr>
          <w:rFonts w:eastAsia="Calibri" w:cs="Times New Roman"/>
          <w:color w:val="000000"/>
        </w:rPr>
        <w:fldChar w:fldCharType="begin">
          <w:fldData xml:space="preserve">PEVuZE5vdGU+PENpdGU+PEF1dGhvcj5GYXNlcnU8L0F1dGhvcj48WWVhcj4yMDExPC9ZZWFyPjxS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PEVuZE5vdGU+PENpdGU+PEF1dGhvcj5GYXNlcnU8L0F1dGhvcj48WWVhcj4yMDExPC9ZZWFyPjxS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58" w:tooltip="Faseru, 2011 #40" w:history="1">
        <w:r w:rsidR="00A234A9">
          <w:rPr>
            <w:rFonts w:eastAsia="Calibri" w:cs="Times New Roman"/>
            <w:noProof/>
            <w:color w:val="000000"/>
          </w:rPr>
          <w:t>58</w:t>
        </w:r>
      </w:hyperlink>
      <w:r w:rsidR="00D2134A">
        <w:rPr>
          <w:rFonts w:eastAsia="Calibri" w:cs="Times New Roman"/>
          <w:noProof/>
          <w:color w:val="000000"/>
        </w:rPr>
        <w:t>)</w:t>
      </w:r>
      <w:r w:rsidR="00D2134A">
        <w:rPr>
          <w:rFonts w:eastAsia="Calibri" w:cs="Times New Roman"/>
          <w:color w:val="000000"/>
        </w:rPr>
        <w:fldChar w:fldCharType="end"/>
      </w:r>
      <w:r w:rsidR="008B4742">
        <w:rPr>
          <w:rFonts w:eastAsia="Calibri" w:cs="Times New Roman"/>
          <w:color w:val="000000"/>
        </w:rPr>
        <w:t xml:space="preserve"> e</w:t>
      </w:r>
      <w:r w:rsidRPr="00A0218A">
        <w:rPr>
          <w:rFonts w:eastAsia="Calibri" w:cs="Times New Roman"/>
          <w:color w:val="000000"/>
        </w:rPr>
        <w:t xml:space="preserve">xamined baseline data from 540 participants in a smoking cessation trial </w:t>
      </w:r>
      <w:r>
        <w:rPr>
          <w:rFonts w:eastAsia="Calibri" w:cs="Times New Roman"/>
          <w:color w:val="000000"/>
        </w:rPr>
        <w:t>of</w:t>
      </w:r>
      <w:r w:rsidRPr="00A0218A">
        <w:rPr>
          <w:rFonts w:eastAsia="Calibri" w:cs="Times New Roman"/>
          <w:color w:val="000000"/>
        </w:rPr>
        <w:t xml:space="preserve"> only </w:t>
      </w:r>
      <w:r w:rsidR="00E1156E">
        <w:rPr>
          <w:rFonts w:eastAsia="Calibri" w:cs="Times New Roman"/>
          <w:color w:val="000000"/>
        </w:rPr>
        <w:t>Black</w:t>
      </w:r>
      <w:r w:rsidRPr="00A0218A">
        <w:rPr>
          <w:rFonts w:eastAsia="Calibri" w:cs="Times New Roman"/>
          <w:color w:val="000000"/>
        </w:rPr>
        <w:t xml:space="preserve"> smokers who smoked ten or fewer cigarettes per day (“light smokers”). The authors found that menthol smokers were slightly younger than non-menthol smokers at both age at first cigarette (17.7±6.8 </w:t>
      </w:r>
      <w:r>
        <w:rPr>
          <w:rFonts w:eastAsia="Calibri" w:cs="Times New Roman"/>
          <w:color w:val="000000"/>
        </w:rPr>
        <w:t>versus</w:t>
      </w:r>
      <w:r w:rsidRPr="00A0218A">
        <w:rPr>
          <w:rFonts w:eastAsia="Calibri" w:cs="Times New Roman"/>
          <w:color w:val="000000"/>
        </w:rPr>
        <w:t xml:space="preserve"> 17.9±5.8 years, p=0.67) and age at the start of regular smoking (21.2±7.7 </w:t>
      </w:r>
      <w:r>
        <w:rPr>
          <w:rFonts w:eastAsia="Calibri" w:cs="Times New Roman"/>
          <w:color w:val="000000"/>
        </w:rPr>
        <w:t>versus</w:t>
      </w:r>
      <w:r w:rsidRPr="00A0218A">
        <w:rPr>
          <w:rFonts w:eastAsia="Calibri" w:cs="Times New Roman"/>
          <w:color w:val="000000"/>
        </w:rPr>
        <w:t xml:space="preserve"> 21.7±6.8 years, p=0.38).</w:t>
      </w:r>
      <w:r w:rsidR="008A061C">
        <w:rPr>
          <w:rFonts w:eastAsia="Calibri" w:cs="Times New Roman"/>
          <w:color w:val="000000"/>
        </w:rPr>
        <w:t xml:space="preserve"> The difference was not </w:t>
      </w:r>
      <w:r w:rsidR="004A5DCD">
        <w:rPr>
          <w:rFonts w:eastAsia="Calibri" w:cs="Times New Roman"/>
          <w:color w:val="000000"/>
        </w:rPr>
        <w:t xml:space="preserve">statistically </w:t>
      </w:r>
      <w:r w:rsidR="008A061C">
        <w:rPr>
          <w:rFonts w:eastAsia="Calibri" w:cs="Times New Roman"/>
          <w:color w:val="000000"/>
        </w:rPr>
        <w:t>significant</w:t>
      </w:r>
      <w:r w:rsidR="00A20AE4">
        <w:rPr>
          <w:rFonts w:eastAsia="Calibri" w:cs="Times New Roman"/>
          <w:color w:val="000000"/>
        </w:rPr>
        <w:t>.</w:t>
      </w:r>
    </w:p>
    <w:p w14:paraId="2491FB2C" w14:textId="7FD331B9" w:rsidR="00A20AE4" w:rsidRDefault="00D04C52" w:rsidP="00B46744">
      <w:pPr>
        <w:spacing w:after="120" w:line="240" w:lineRule="auto"/>
        <w:jc w:val="both"/>
        <w:rPr>
          <w:rFonts w:eastAsia="Calibri" w:cs="Times New Roman"/>
          <w:color w:val="000000"/>
        </w:rPr>
      </w:pPr>
      <w:r>
        <w:rPr>
          <w:rFonts w:eastAsia="Calibri" w:cs="Times New Roman"/>
          <w:color w:val="000000"/>
        </w:rPr>
        <w:t xml:space="preserve">Benowitz et al. </w:t>
      </w:r>
      <w:r w:rsidR="00D2134A">
        <w:rPr>
          <w:rFonts w:eastAsia="Calibri" w:cs="Times New Roman"/>
          <w:color w:val="000000"/>
        </w:rPr>
        <w:fldChar w:fldCharType="begin">
          <w:fldData xml:space="preserve">PEVuZE5vdGU+PENpdGU+PEF1dGhvcj5CZW5vd2l0ejwvQXV0aG9yPjxZZWFyPjIwMTA8L1llYXI+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PEVuZE5vdGU+PENpdGU+PEF1dGhvcj5CZW5vd2l0ejwvQXV0aG9yPjxZZWFyPjIwMTA8L1llYXI+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48" w:tooltip="Benowitz, 2010 #286" w:history="1">
        <w:r w:rsidR="00A234A9">
          <w:rPr>
            <w:rFonts w:eastAsia="Calibri" w:cs="Times New Roman"/>
            <w:noProof/>
            <w:color w:val="000000"/>
          </w:rPr>
          <w:t>48</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reported descriptive statistics from 127 adults who smoked an average of at least ten cigarettes per day for the past year or longer. Participants were also required to self-identify as non-</w:t>
      </w:r>
      <w:r w:rsidRPr="00A0218A">
        <w:rPr>
          <w:rFonts w:eastAsia="Calibri" w:cs="Times New Roman"/>
          <w:color w:val="000000"/>
        </w:rPr>
        <w:lastRenderedPageBreak/>
        <w:t xml:space="preserve">Hispanic </w:t>
      </w:r>
      <w:r w:rsidR="00E1156E">
        <w:rPr>
          <w:rFonts w:eastAsia="Calibri" w:cs="Times New Roman"/>
          <w:color w:val="000000"/>
        </w:rPr>
        <w:t>White</w:t>
      </w:r>
      <w:r w:rsidRPr="00A0218A">
        <w:rPr>
          <w:rFonts w:eastAsia="Calibri" w:cs="Times New Roman"/>
          <w:color w:val="000000"/>
        </w:rPr>
        <w:t xml:space="preserve"> or </w:t>
      </w:r>
      <w:r w:rsidR="00E1156E">
        <w:rPr>
          <w:rFonts w:eastAsia="Calibri" w:cs="Times New Roman"/>
          <w:color w:val="000000"/>
        </w:rPr>
        <w:t>Black</w:t>
      </w:r>
      <w:r w:rsidRPr="00A0218A">
        <w:rPr>
          <w:rFonts w:eastAsia="Calibri" w:cs="Times New Roman"/>
          <w:color w:val="000000"/>
        </w:rPr>
        <w:t>. The “age of smoking start” was 15.9 years (interquartile range: 13 to 18) for menthol smokers and 16.8 years (interquartile range: 14 to 18) for non-menthol smokers (p=0.25).</w:t>
      </w:r>
      <w:r w:rsidR="008A061C">
        <w:rPr>
          <w:rFonts w:eastAsia="Calibri" w:cs="Times New Roman"/>
          <w:color w:val="000000"/>
        </w:rPr>
        <w:t xml:space="preserve"> The difference was not </w:t>
      </w:r>
      <w:r w:rsidR="004A5DCD">
        <w:rPr>
          <w:rFonts w:eastAsia="Calibri" w:cs="Times New Roman"/>
          <w:color w:val="000000"/>
        </w:rPr>
        <w:t xml:space="preserve">statistically </w:t>
      </w:r>
      <w:r w:rsidR="008A061C">
        <w:rPr>
          <w:rFonts w:eastAsia="Calibri" w:cs="Times New Roman"/>
          <w:color w:val="000000"/>
        </w:rPr>
        <w:t>significant</w:t>
      </w:r>
      <w:r w:rsidR="00A20AE4">
        <w:rPr>
          <w:rFonts w:eastAsia="Calibri" w:cs="Times New Roman"/>
          <w:color w:val="000000"/>
        </w:rPr>
        <w:t>.</w:t>
      </w:r>
    </w:p>
    <w:p w14:paraId="0F5D827B" w14:textId="75A642E2" w:rsidR="00D04C52" w:rsidRPr="00A0218A" w:rsidRDefault="00D04C52" w:rsidP="00B46744">
      <w:pPr>
        <w:spacing w:after="120" w:line="240" w:lineRule="auto"/>
        <w:jc w:val="both"/>
        <w:rPr>
          <w:rFonts w:eastAsia="Calibri" w:cs="Times New Roman"/>
          <w:color w:val="000000"/>
        </w:rPr>
      </w:pPr>
      <w:r w:rsidRPr="00A0218A">
        <w:rPr>
          <w:rFonts w:eastAsia="Calibri" w:cs="Times New Roman"/>
          <w:color w:val="000000"/>
        </w:rPr>
        <w:t>Using data from more than 45,000 adult participants in the 2003 and</w:t>
      </w:r>
      <w:r>
        <w:rPr>
          <w:rFonts w:eastAsia="Calibri" w:cs="Times New Roman"/>
          <w:color w:val="000000"/>
        </w:rPr>
        <w:t xml:space="preserve"> 2006/07 TUS-CPS, Fagan et al. </w:t>
      </w:r>
      <w:r w:rsidR="00D2134A">
        <w:rPr>
          <w:rFonts w:eastAsia="Calibri" w:cs="Times New Roman"/>
          <w:color w:val="000000"/>
        </w:rPr>
        <w:fldChar w:fldCharType="begin">
          <w:fldData xml:space="preserve">PEVuZE5vdGU+PENpdGU+PEF1dGhvcj5GYWdhbjwvQXV0aG9yPjxZZWFyPjIwMTA8L1llYXI+PFJl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PEVuZE5vdGU+PENpdGU+PEF1dGhvcj5GYWdhbjwvQXV0aG9yPjxZZWFyPjIwMTA8L1llYXI+PFJl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57" w:tooltip="Fagan, 2010 #56" w:history="1">
        <w:r w:rsidR="00A234A9">
          <w:rPr>
            <w:rFonts w:eastAsia="Calibri" w:cs="Times New Roman"/>
            <w:noProof/>
            <w:color w:val="000000"/>
          </w:rPr>
          <w:t>57</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analyzed the age at which smokers started smoking cigarettes fairly regularly. A significantly higher percentage of menthol smokers began regularly smoking at or after age 18 (44.2%, 95% CI: 43.1% to 45.2%), compared with non-menthol smokers (40.9%, 95% CI: 40.2% to 41.6%). A significantly lower percentage of menthol users started smoking before age 15 (17.9%, 95% CI: 17.0% to 18.9%), compared with non-menthol smokers (19.7%, 95% CI: 19.1% to 20.2%). The results were inconsistent with those reported in the </w:t>
      </w:r>
      <w:r>
        <w:rPr>
          <w:rFonts w:eastAsia="Calibri" w:cs="Times New Roman"/>
          <w:color w:val="000000"/>
        </w:rPr>
        <w:t xml:space="preserve">adjusted </w:t>
      </w:r>
      <w:r w:rsidRPr="00A0218A">
        <w:rPr>
          <w:rFonts w:eastAsia="Calibri" w:cs="Times New Roman"/>
          <w:color w:val="000000"/>
        </w:rPr>
        <w:t>analyses of the same categorical data by Fernander et al.</w:t>
      </w:r>
      <w:r w:rsidR="00BF13A5">
        <w:rPr>
          <w:rFonts w:eastAsia="Calibri" w:cs="Times New Roman"/>
          <w:color w:val="000000"/>
        </w:rPr>
        <w:t xml:space="preserve"> </w:t>
      </w:r>
      <w:r w:rsidR="00D2134A">
        <w:rPr>
          <w:rFonts w:eastAsia="Calibri" w:cs="Times New Roman"/>
          <w:color w:val="000000"/>
        </w:rPr>
        <w:fldChar w:fldCharType="begin">
          <w:fldData xml:space="preserve">PEVuZE5vdGU+PENpdGU+PEF1dGhvcj5GZXJuYW5kZXI8L0F1dGhvcj48WWVhcj4yMDEwPC9ZZWFy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PEVuZE5vdGU+PENpdGU+PEF1dGhvcj5GZXJuYW5kZXI8L0F1dGhvcj48WWVhcj4yMDEwPC9ZZWFy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60" w:tooltip="Fernander, 2010 #54" w:history="1">
        <w:r w:rsidR="00A234A9">
          <w:rPr>
            <w:rFonts w:eastAsia="Calibri" w:cs="Times New Roman"/>
            <w:noProof/>
            <w:color w:val="000000"/>
          </w:rPr>
          <w:t>60</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and Lawrence et al. </w:t>
      </w:r>
      <w:r w:rsidR="00D2134A">
        <w:rPr>
          <w:rFonts w:eastAsia="Calibri" w:cs="Times New Roman"/>
          <w:color w:val="000000"/>
        </w:rPr>
        <w:fldChar w:fldCharType="begin">
          <w:fldData xml:space="preserve">PEVuZE5vdGU+PENpdGU+PEF1dGhvcj5MYXdyZW5jZTwvQXV0aG9yPjxZZWFyPjIwMTA8L1llYXI+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PEVuZE5vdGU+PENpdGU+PEF1dGhvcj5MYXdyZW5jZTwvQXV0aG9yPjxZZWFyPjIwMTA8L1llYXI+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70" w:tooltip="Lawrence, 2010 #52" w:history="1">
        <w:r w:rsidR="00A234A9">
          <w:rPr>
            <w:rFonts w:eastAsia="Calibri" w:cs="Times New Roman"/>
            <w:noProof/>
            <w:color w:val="000000"/>
          </w:rPr>
          <w:t>70</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The latter two studies found approximately the same odds of being a current menthol smoker (</w:t>
      </w:r>
      <w:r>
        <w:rPr>
          <w:rFonts w:eastAsia="Calibri" w:cs="Times New Roman"/>
          <w:color w:val="000000"/>
        </w:rPr>
        <w:t>versus</w:t>
      </w:r>
      <w:r w:rsidRPr="00A0218A">
        <w:rPr>
          <w:rFonts w:eastAsia="Calibri" w:cs="Times New Roman"/>
          <w:color w:val="000000"/>
        </w:rPr>
        <w:t xml:space="preserve"> non-menthol smoker) based on age at initiation, suggesting that factors like current age, race/ethnicity, </w:t>
      </w:r>
      <w:r w:rsidR="00F9598B">
        <w:rPr>
          <w:rFonts w:eastAsia="Calibri" w:cs="Times New Roman"/>
          <w:color w:val="000000"/>
        </w:rPr>
        <w:t>gender</w:t>
      </w:r>
      <w:r w:rsidRPr="00A0218A">
        <w:rPr>
          <w:rFonts w:eastAsia="Calibri" w:cs="Times New Roman"/>
          <w:color w:val="000000"/>
        </w:rPr>
        <w:t>, education, and income mediate the association between menthol smoking and age at initiation. However, the results are consistent with the adjusted analysis of continuous data.</w:t>
      </w:r>
    </w:p>
    <w:p w14:paraId="116364B4" w14:textId="02B106D9" w:rsidR="00D04C52" w:rsidRPr="00A0218A" w:rsidRDefault="00D04C52" w:rsidP="00B46744">
      <w:pPr>
        <w:spacing w:after="120" w:line="240" w:lineRule="auto"/>
        <w:jc w:val="both"/>
        <w:rPr>
          <w:rFonts w:eastAsia="Calibri" w:cs="Times New Roman"/>
          <w:color w:val="000000"/>
        </w:rPr>
      </w:pPr>
      <w:r>
        <w:rPr>
          <w:rFonts w:eastAsia="Calibri" w:cs="Times New Roman"/>
          <w:color w:val="000000"/>
        </w:rPr>
        <w:t xml:space="preserve">Stahre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&lt;EndNote&gt;&lt;Cite&gt;&lt;Author&gt;Stahre&lt;/Author&gt;&lt;Year&gt;2010&lt;/Year&gt;&lt;RecNum&gt;57&lt;/RecNum&gt;&lt;DisplayText&gt;(84)&lt;/DisplayText&gt;&lt;record&gt;&lt;rec-number&gt;57&lt;/rec-number&gt;&lt;foreign-keys&gt;&lt;key app="EN" db-id="a2vz2dfp8xrad6exes75zwpiw5rxwa0vwapv" timestamp="0"&gt;57&lt;/key&gt;&lt;/foreign-keys&gt;&lt;ref-type name="Journal Article"&gt;17&lt;/ref-type&gt;&lt;contributors&gt;&lt;authors&gt;&lt;author&gt;Stahre, M.&lt;/author&gt;&lt;author&gt;Okuyemi, K. S.&lt;/author&gt;&lt;author&gt;Joseph, A. M.&lt;/author&gt;&lt;author&gt;Fu, S. S.&lt;/author&gt;&lt;/authors&gt;&lt;/contributors&gt;&lt;auth-address&gt;Department of Epidemiology, University of Minnesota, Memphis, USA.&lt;/auth-address&gt;&lt;titles&gt;&lt;title&gt;Racial/ethnic differences in menthol cigarette smoking, population quit ratios and utilization of evidence-based tobacco cessation treatments&lt;/title&gt;&lt;secondary-title&gt;Addiction&lt;/secondary-title&gt;&lt;/titles&gt;&lt;periodical&gt;&lt;full-title&gt;Addiction&lt;/full-title&gt;&lt;/periodical&gt;&lt;pages&gt;75-83&lt;/pages&gt;&lt;volume&gt;105 Suppl 1&lt;/volume&gt;&lt;keywords&gt;&lt;keyword&gt;Adolescent&lt;/keyword&gt;&lt;keyword&gt;Adult&lt;/keyword&gt;&lt;keyword&gt;Aged&lt;/keyword&gt;&lt;keyword&gt;Epidemiologic Methods&lt;/keyword&gt;&lt;keyword&gt;Ethnic Groups/*statistics &amp;amp; numerical data&lt;/keyword&gt;&lt;keyword&gt;European Continental Ancestry Group/statistics &amp;amp; numerical data&lt;/keyword&gt;&lt;keyword&gt;Female&lt;/keyword&gt;&lt;keyword&gt;Humans&lt;/keyword&gt;&lt;keyword&gt;Male&lt;/keyword&gt;&lt;keyword&gt;*Menthol&lt;/keyword&gt;&lt;keyword&gt;Middle Aged&lt;/keyword&gt;&lt;keyword&gt;Patient Acceptance of Health Care/*ethnology&lt;/keyword&gt;&lt;keyword&gt;Smoking/*ethnology/therapy&lt;/keyword&gt;&lt;keyword&gt;Smoking Cessation/ethnology/*statistics &amp;amp; numerical data&lt;/keyword&gt;&lt;keyword&gt;Socioeconomic Factors&lt;/keyword&gt;&lt;keyword&gt;United States/epidemiology&lt;/keyword&gt;&lt;keyword&gt;Young Adult&lt;/keyword&gt;&lt;/keywords&gt;&lt;dates&gt;&lt;year&gt;2010&lt;/year&gt;&lt;pub-dates&gt;&lt;date&gt;Dec&lt;/date&gt;&lt;/pub-dates&gt;&lt;/dates&gt;&lt;isbn&gt;1360-0443 (Electronic)&amp;#xD;0965-2140 (Linking)&lt;/isbn&gt;&lt;accession-num&gt;21059138&lt;/accession-num&gt;&lt;urls&gt;&lt;related-urls&gt;&lt;url&gt;http://www.ncbi.nlm.nih.gov/pubmed/21059138&lt;/url&gt;&lt;/related-urls&gt;&lt;/urls&gt;&lt;electronic-resource-num&gt;10.1111/j.1360-0443.2010.03200.x&lt;/electronic-resource-num&gt;&lt;research-notes&gt;#285&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84" w:tooltip="Stahre, 2010 #57" w:history="1">
        <w:r w:rsidR="00A234A9">
          <w:rPr>
            <w:rFonts w:eastAsia="Calibri" w:cs="Times New Roman"/>
            <w:noProof/>
            <w:color w:val="000000"/>
          </w:rPr>
          <w:t>84</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analyzed age at which participants first started smoking regularly among current and former smokers in the 2005 NHIS-</w:t>
      </w:r>
      <w:r w:rsidR="009822A0">
        <w:rPr>
          <w:rFonts w:eastAsia="Calibri" w:cs="Times New Roman"/>
          <w:color w:val="000000"/>
        </w:rPr>
        <w:t>Cancer Control Supplement (</w:t>
      </w:r>
      <w:r w:rsidRPr="00A0218A">
        <w:rPr>
          <w:rFonts w:eastAsia="Calibri" w:cs="Times New Roman"/>
          <w:color w:val="000000"/>
        </w:rPr>
        <w:t>CCS</w:t>
      </w:r>
      <w:r w:rsidR="009822A0">
        <w:rPr>
          <w:rFonts w:eastAsia="Calibri" w:cs="Times New Roman"/>
          <w:color w:val="000000"/>
        </w:rPr>
        <w:t>)</w:t>
      </w:r>
      <w:r w:rsidRPr="00A0218A">
        <w:rPr>
          <w:rFonts w:eastAsia="Calibri" w:cs="Times New Roman"/>
          <w:color w:val="000000"/>
        </w:rPr>
        <w:t xml:space="preserve">. Among 6,055 current smokers, menthol smokers were essentially the same age at start of regular smoking, compared with current non-menthol smokers (19.6 </w:t>
      </w:r>
      <w:r>
        <w:rPr>
          <w:rFonts w:eastAsia="Calibri" w:cs="Times New Roman"/>
          <w:color w:val="000000"/>
        </w:rPr>
        <w:t>versus</w:t>
      </w:r>
      <w:r w:rsidRPr="00A0218A">
        <w:rPr>
          <w:rFonts w:eastAsia="Calibri" w:cs="Times New Roman"/>
          <w:color w:val="000000"/>
        </w:rPr>
        <w:t xml:space="preserve"> 19.7 years, p=0.71). Among 5,949 former smokers, menthol smokers were slightly older at </w:t>
      </w:r>
      <w:r>
        <w:rPr>
          <w:rFonts w:eastAsia="Calibri" w:cs="Times New Roman"/>
          <w:color w:val="000000"/>
        </w:rPr>
        <w:t xml:space="preserve">the </w:t>
      </w:r>
      <w:r w:rsidRPr="00A0218A">
        <w:rPr>
          <w:rFonts w:eastAsia="Calibri" w:cs="Times New Roman"/>
          <w:color w:val="000000"/>
        </w:rPr>
        <w:t xml:space="preserve">start of regular smoking, compared with former non-menthol smokers (21.4 </w:t>
      </w:r>
      <w:r>
        <w:rPr>
          <w:rFonts w:eastAsia="Calibri" w:cs="Times New Roman"/>
          <w:color w:val="000000"/>
        </w:rPr>
        <w:t>versus</w:t>
      </w:r>
      <w:r w:rsidRPr="00A0218A">
        <w:rPr>
          <w:rFonts w:eastAsia="Calibri" w:cs="Times New Roman"/>
          <w:color w:val="000000"/>
        </w:rPr>
        <w:t xml:space="preserve"> 21.0 years, p=0.50).</w:t>
      </w:r>
      <w:r w:rsidR="008A061C">
        <w:rPr>
          <w:rFonts w:eastAsia="Calibri" w:cs="Times New Roman"/>
          <w:color w:val="000000"/>
        </w:rPr>
        <w:t xml:space="preserve"> The difference was not </w:t>
      </w:r>
      <w:r w:rsidR="004A5DCD">
        <w:rPr>
          <w:rFonts w:eastAsia="Calibri" w:cs="Times New Roman"/>
          <w:color w:val="000000"/>
        </w:rPr>
        <w:t xml:space="preserve">statistically </w:t>
      </w:r>
      <w:r w:rsidR="008A061C">
        <w:rPr>
          <w:rFonts w:eastAsia="Calibri" w:cs="Times New Roman"/>
          <w:color w:val="000000"/>
        </w:rPr>
        <w:t>significant.</w:t>
      </w:r>
    </w:p>
    <w:p w14:paraId="2D1B13D3" w14:textId="34CD7637" w:rsidR="00D04C52" w:rsidRPr="00A0218A" w:rsidRDefault="008B4742" w:rsidP="00B46744">
      <w:pPr>
        <w:spacing w:after="120" w:line="240" w:lineRule="auto"/>
        <w:jc w:val="both"/>
        <w:rPr>
          <w:rFonts w:eastAsia="Calibri" w:cs="Times New Roman"/>
          <w:color w:val="000000"/>
        </w:rPr>
      </w:pPr>
      <w:r>
        <w:rPr>
          <w:rFonts w:eastAsia="Calibri" w:cs="Times New Roman"/>
          <w:color w:val="000000"/>
        </w:rPr>
        <w:t xml:space="preserve">Gandhi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&lt;EndNote&gt;&lt;Cite&gt;&lt;Author&gt;Gandhi&lt;/Author&gt;&lt;Year&gt;2009&lt;/Year&gt;&lt;RecNum&gt;67&lt;/RecNum&gt;&lt;DisplayText&gt;(61)&lt;/DisplayText&gt;&lt;record&gt;&lt;rec-number&gt;67&lt;/rec-number&gt;&lt;foreign-keys&gt;&lt;key app="EN" db-id="a2vz2dfp8xrad6exes75zwpiw5rxwa0vwapv" timestamp="0"&gt;67&lt;/key&gt;&lt;/foreign-keys&gt;&lt;ref-type name="Journal Article"&gt;17&lt;/ref-type&gt;&lt;contributors&gt;&lt;authors&gt;&lt;author&gt;Gandhi, K. K.&lt;/author&gt;&lt;author&gt;Foulds, J.&lt;/author&gt;&lt;author&gt;Steinberg, M. B.&lt;/author&gt;&lt;author&gt;Lu, S. E.&lt;/author&gt;&lt;author&gt;Williams, J. M.&lt;/author&gt;&lt;/authors&gt;&lt;/contributors&gt;&lt;auth-address&gt;Division of Addiction Psychiatry, UMDNJ-Robert Wood Johnson Medical School, New Brunswick, NJ 08901, USA. kunal.gandhi@umdnj.edu&lt;/auth-address&gt;&lt;titles&gt;&lt;title&gt;Lower quit rates among African American and Latino menthol cigarette smokers at a tobacco treatment clinic&lt;/title&gt;&lt;secondary-title&gt;Int J Clin Pract&lt;/secondary-title&gt;&lt;/titles&gt;&lt;pages&gt;360-7&lt;/pages&gt;&lt;volume&gt;63&lt;/volume&gt;&lt;number&gt;3&lt;/number&gt;&lt;keywords&gt;&lt;keyword&gt;Adult&lt;/keyword&gt;&lt;keyword&gt;African Americans/*statistics &amp;amp; numerical data&lt;/keyword&gt;&lt;keyword&gt;Cohort Studies&lt;/keyword&gt;&lt;keyword&gt;Educational Status&lt;/keyword&gt;&lt;keyword&gt;European Continental Ancestry Group/statistics &amp;amp; numerical data&lt;/keyword&gt;&lt;keyword&gt;Female&lt;/keyword&gt;&lt;keyword&gt;Hispanic Americans/*statistics &amp;amp; numerical data&lt;/keyword&gt;&lt;keyword&gt;Humans&lt;/keyword&gt;&lt;keyword&gt;Male&lt;/keyword&gt;&lt;keyword&gt;Menthol&lt;/keyword&gt;&lt;keyword&gt;New Jersey&lt;/keyword&gt;&lt;keyword&gt;Retrospective Studies&lt;/keyword&gt;&lt;keyword&gt;Smoking/ethnology/*prevention &amp;amp; control&lt;/keyword&gt;&lt;keyword&gt;Smoking Cessation/*ethnology/statistics &amp;amp; numerical data&lt;/keyword&gt;&lt;keyword&gt;Socioeconomic Factors&lt;/keyword&gt;&lt;keyword&gt;Treatment Outcome&lt;/keyword&gt;&lt;/keywords&gt;&lt;dates&gt;&lt;year&gt;2009&lt;/year&gt;&lt;pub-dates&gt;&lt;date&gt;Mar&lt;/date&gt;&lt;/pub-dates&gt;&lt;/dates&gt;&lt;isbn&gt;1742-1241 (Electronic)&amp;#xD;1368-5031 (Linking)&lt;/isbn&gt;&lt;accession-num&gt;19222622&lt;/accession-num&gt;&lt;urls&gt;&lt;related-urls&gt;&lt;url&gt;http://www.ncbi.nlm.nih.gov/pubmed/19222622&lt;/url&gt;&lt;/related-urls&gt;&lt;/urls&gt;&lt;electronic-resource-num&gt;10.1111/j.1742-1241.2008.01969.x&lt;/electronic-resource-num&gt;&lt;research-notes&gt;#335&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61" w:tooltip="Gandhi, 2009 #67" w:history="1">
        <w:r w:rsidR="00A234A9">
          <w:rPr>
            <w:rFonts w:eastAsia="Calibri" w:cs="Times New Roman"/>
            <w:noProof/>
            <w:color w:val="000000"/>
          </w:rPr>
          <w:t>61</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w:t>
      </w:r>
      <w:r>
        <w:rPr>
          <w:rFonts w:eastAsia="Calibri" w:cs="Times New Roman"/>
          <w:color w:val="000000"/>
        </w:rPr>
        <w:t>a</w:t>
      </w:r>
      <w:r w:rsidR="00D04C52" w:rsidRPr="00A0218A">
        <w:rPr>
          <w:rFonts w:eastAsia="Calibri" w:cs="Times New Roman"/>
          <w:color w:val="000000"/>
        </w:rPr>
        <w:t>nalyzed baseline data from a cohort of 1,688 patients seeking treatment at an outpatient tobacco cessation clinic. Menthol smokers reported first using tobacco at a mean age of 14.9±4.0 years, which was slightly younger than non-menthol smokers (15.2±4.2 years, p=0.10)</w:t>
      </w:r>
      <w:r w:rsidR="008A061C">
        <w:rPr>
          <w:rFonts w:eastAsia="Calibri" w:cs="Times New Roman"/>
          <w:color w:val="000000"/>
        </w:rPr>
        <w:t xml:space="preserve">, but the difference was not </w:t>
      </w:r>
      <w:r w:rsidR="004A5DCD">
        <w:rPr>
          <w:rFonts w:eastAsia="Calibri" w:cs="Times New Roman"/>
          <w:color w:val="000000"/>
        </w:rPr>
        <w:t xml:space="preserve">statistically </w:t>
      </w:r>
      <w:r w:rsidR="008A061C">
        <w:rPr>
          <w:rFonts w:eastAsia="Calibri" w:cs="Times New Roman"/>
          <w:color w:val="000000"/>
        </w:rPr>
        <w:t>significant</w:t>
      </w:r>
      <w:r w:rsidR="00D04C52" w:rsidRPr="00A0218A">
        <w:rPr>
          <w:rFonts w:eastAsia="Calibri" w:cs="Times New Roman"/>
          <w:color w:val="000000"/>
        </w:rPr>
        <w:t>.</w:t>
      </w:r>
    </w:p>
    <w:p w14:paraId="02D4559B" w14:textId="472E4A66" w:rsidR="00D04C52" w:rsidRPr="00A0218A" w:rsidRDefault="00D04C52" w:rsidP="00B46744">
      <w:pPr>
        <w:spacing w:after="120" w:line="240" w:lineRule="auto"/>
        <w:jc w:val="both"/>
        <w:rPr>
          <w:rFonts w:eastAsia="Calibri" w:cs="Times New Roman"/>
          <w:color w:val="000000"/>
        </w:rPr>
      </w:pPr>
      <w:r>
        <w:rPr>
          <w:rFonts w:eastAsia="Calibri" w:cs="Times New Roman"/>
          <w:color w:val="000000"/>
        </w:rPr>
        <w:t xml:space="preserve">Okuyemi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&lt;EndNote&gt;&lt;Cite&gt;&lt;Author&gt;Okuyemi&lt;/Author&gt;&lt;Year&gt;2007&lt;/Year&gt;&lt;RecNum&gt;74&lt;/RecNum&gt;&lt;DisplayText&gt;(74)&lt;/DisplayText&gt;&lt;record&gt;&lt;rec-number&gt;74&lt;/rec-number&gt;&lt;foreign-keys&gt;&lt;key app="EN" db-id="a2vz2dfp8xrad6exes75zwpiw5rxwa0vwapv" timestamp="0"&gt;74&lt;/key&gt;&lt;/foreign-keys&gt;&lt;ref-type name="Journal Article"&gt;17&lt;/ref-type&gt;&lt;contributors&gt;&lt;authors&gt;&lt;author&gt;Okuyemi, K. S.&lt;/author&gt;&lt;author&gt;Faseru, B.&lt;/author&gt;&lt;author&gt;Sanderson Cox, L.&lt;/author&gt;&lt;author&gt;Bronars, C. A.&lt;/author&gt;&lt;author&gt;Ahluwalia, J. S.&lt;/author&gt;&lt;/authors&gt;&lt;/contributors&gt;&lt;auth-address&gt;Program in Health Disparities Research, University of Minnesota Medical School, Minneapolis, MN 55455, USA. kokuyemi@umn.edu&lt;/auth-address&gt;&lt;titles&gt;&lt;title&gt;Relationship between menthol cigarettes and smoking cessation among African American light smokers&lt;/title&gt;&lt;secondary-title&gt;Addiction&lt;/secondary-title&gt;&lt;/titles&gt;&lt;periodical&gt;&lt;full-title&gt;Addiction&lt;/full-title&gt;&lt;/periodical&gt;&lt;pages&gt;1979-86&lt;/pages&gt;&lt;volume&gt;102&lt;/volume&gt;&lt;number&gt;12&lt;/number&gt;&lt;keywords&gt;&lt;keyword&gt;Adult&lt;/keyword&gt;&lt;keyword&gt;African Americans/*ethnology/psychology&lt;/keyword&gt;&lt;keyword&gt;Age Factors&lt;/keyword&gt;&lt;keyword&gt;Female&lt;/keyword&gt;&lt;keyword&gt;Health Education&lt;/keyword&gt;&lt;keyword&gt;Humans&lt;/keyword&gt;&lt;keyword&gt;Male&lt;/keyword&gt;&lt;keyword&gt;*Menthol&lt;/keyword&gt;&lt;keyword&gt;Middle Aged&lt;/keyword&gt;&lt;keyword&gt;Regression Analysis&lt;/keyword&gt;&lt;keyword&gt;Smoking/*adverse effects&lt;/keyword&gt;&lt;keyword&gt;Smoking Cessation/*ethnology/psychology/statistics &amp;amp; numerical data&lt;/keyword&gt;&lt;keyword&gt;Tobacco/*adverse effects&lt;/keyword&gt;&lt;/keywords&gt;&lt;dates&gt;&lt;year&gt;2007&lt;/year&gt;&lt;pub-dates&gt;&lt;date&gt;Dec&lt;/date&gt;&lt;/pub-dates&gt;&lt;/dates&gt;&lt;isbn&gt;0965-2140 (Print)&amp;#xD;0965-2140 (Linking)&lt;/isbn&gt;&lt;accession-num&gt;17916223&lt;/accession-num&gt;&lt;urls&gt;&lt;related-urls&gt;&lt;url&gt;http://www.ncbi.nlm.nih.gov/pubmed/17916223&lt;/url&gt;&lt;/related-urls&gt;&lt;/urls&gt;&lt;electronic-resource-num&gt;10.1111/j.1360-0443.2007.02010.x&lt;/electronic-resource-num&gt;&lt;research-notes&gt;#367&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4" w:tooltip="Okuyemi, 2007 #74" w:history="1">
        <w:r w:rsidR="00A234A9">
          <w:rPr>
            <w:rFonts w:eastAsia="Calibri" w:cs="Times New Roman"/>
            <w:noProof/>
            <w:color w:val="000000"/>
          </w:rPr>
          <w:t>74</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reported baseline data from a smoking cessation trial that enrolled 755 </w:t>
      </w:r>
      <w:r w:rsidR="00E1156E">
        <w:rPr>
          <w:rFonts w:eastAsia="Calibri" w:cs="Times New Roman"/>
          <w:color w:val="000000"/>
        </w:rPr>
        <w:t>Black</w:t>
      </w:r>
      <w:r w:rsidRPr="00A0218A">
        <w:rPr>
          <w:rFonts w:eastAsia="Calibri" w:cs="Times New Roman"/>
          <w:color w:val="000000"/>
        </w:rPr>
        <w:t xml:space="preserve"> “light smokers” (&lt;10 cigarettes per day). Menthol smokers started smoking regularly at approximately the same age (21.2±6.8 years) as non-menthol smokers (21.1±7.3 years, p=0.97).</w:t>
      </w:r>
      <w:r w:rsidR="008A061C">
        <w:rPr>
          <w:rFonts w:eastAsia="Calibri" w:cs="Times New Roman"/>
          <w:color w:val="000000"/>
        </w:rPr>
        <w:t xml:space="preserve"> The difference was not </w:t>
      </w:r>
      <w:r w:rsidR="004A5DCD">
        <w:rPr>
          <w:rFonts w:eastAsia="Calibri" w:cs="Times New Roman"/>
          <w:color w:val="000000"/>
        </w:rPr>
        <w:t xml:space="preserve">statistically </w:t>
      </w:r>
      <w:r w:rsidR="008A061C">
        <w:rPr>
          <w:rFonts w:eastAsia="Calibri" w:cs="Times New Roman"/>
          <w:color w:val="000000"/>
        </w:rPr>
        <w:t>significant.</w:t>
      </w:r>
    </w:p>
    <w:p w14:paraId="26E4C785" w14:textId="29E24D1E" w:rsidR="00D04C52" w:rsidRPr="00A0218A" w:rsidRDefault="008B4742" w:rsidP="00B46744">
      <w:pPr>
        <w:tabs>
          <w:tab w:val="center" w:pos="4680"/>
        </w:tabs>
        <w:spacing w:after="120" w:line="240" w:lineRule="auto"/>
        <w:jc w:val="both"/>
        <w:rPr>
          <w:rFonts w:eastAsia="Calibri" w:cs="Times New Roman"/>
          <w:color w:val="000000"/>
        </w:rPr>
      </w:pPr>
      <w:r>
        <w:rPr>
          <w:rFonts w:eastAsia="Calibri" w:cs="Times New Roman"/>
          <w:color w:val="000000"/>
        </w:rPr>
        <w:t xml:space="preserve">Pletcher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&lt;EndNote&gt;&lt;Cite&gt;&lt;Author&gt;Pletcher&lt;/Author&gt;&lt;Year&gt;2006&lt;/Year&gt;&lt;RecNum&gt;78&lt;/RecNum&gt;&lt;DisplayText&gt;(78)&lt;/DisplayText&gt;&lt;record&gt;&lt;rec-number&gt;78&lt;/rec-number&gt;&lt;foreign-keys&gt;&lt;key app="EN" db-id="a2vz2dfp8xrad6exes75zwpiw5rxwa0vwapv" timestamp="0"&gt;78&lt;/key&gt;&lt;/foreign-keys&gt;&lt;ref-type name="Journal Article"&gt;17&lt;/ref-type&gt;&lt;contributors&gt;&lt;authors&gt;&lt;author&gt;Pletcher, M. J. &lt;/author&gt;&lt;author&gt;Hulley, B. J.&lt;/author&gt;&lt;author&gt;Houston, T.&lt;/author&gt;&lt;author&gt;Kiefe, C. I.&lt;/author&gt;&lt;author&gt;Benowitz, N. &lt;/author&gt;&lt;author&gt;Sidney, S.&lt;/author&gt;&lt;/authors&gt;&lt;/contributors&gt;&lt;titles&gt;&lt;title&gt;Menthol cigarettes, smoking cessation, atherosclerosis, and pulmonary function&lt;/title&gt;&lt;secondary-title&gt;Arch Intern Med&lt;/secondary-title&gt;&lt;/titles&gt;&lt;pages&gt;1915-1922&lt;/pages&gt;&lt;volume&gt;166&lt;/volume&gt;&lt;section&gt;1915&lt;/section&gt;&lt;dates&gt;&lt;year&gt;2006&lt;/year&gt;&lt;/dates&gt;&lt;urls&gt;&lt;/urls&gt;&lt;research-notes&gt;#385&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8" w:tooltip="Pletcher, 2006 #78" w:history="1">
        <w:r w:rsidR="00A234A9">
          <w:rPr>
            <w:rFonts w:eastAsia="Calibri" w:cs="Times New Roman"/>
            <w:noProof/>
            <w:color w:val="000000"/>
          </w:rPr>
          <w:t>78</w:t>
        </w:r>
      </w:hyperlink>
      <w:r w:rsidR="00D2134A">
        <w:rPr>
          <w:rFonts w:eastAsia="Calibri" w:cs="Times New Roman"/>
          <w:noProof/>
          <w:color w:val="000000"/>
        </w:rPr>
        <w:t>)</w:t>
      </w:r>
      <w:r w:rsidR="00D2134A">
        <w:rPr>
          <w:rFonts w:eastAsia="Calibri" w:cs="Times New Roman"/>
          <w:color w:val="000000"/>
        </w:rPr>
        <w:fldChar w:fldCharType="end"/>
      </w:r>
      <w:r>
        <w:rPr>
          <w:rFonts w:eastAsia="Calibri" w:cs="Times New Roman"/>
          <w:color w:val="000000"/>
        </w:rPr>
        <w:t xml:space="preserve"> r</w:t>
      </w:r>
      <w:r w:rsidR="00D04C52" w:rsidRPr="00A0218A">
        <w:rPr>
          <w:rFonts w:eastAsia="Calibri" w:cs="Times New Roman"/>
          <w:color w:val="000000"/>
        </w:rPr>
        <w:t xml:space="preserve">eported data from 1,535 young adult smokers who participated in the Coronary Artery Risk Development in Young Adults (CARDIA) study—a longitudinal study of risk factors for coronary artery disease in </w:t>
      </w:r>
      <w:r w:rsidR="00E1156E">
        <w:rPr>
          <w:rFonts w:eastAsia="Calibri" w:cs="Times New Roman"/>
          <w:color w:val="000000"/>
        </w:rPr>
        <w:t>Black</w:t>
      </w:r>
      <w:r w:rsidR="00D04C52" w:rsidRPr="00A0218A">
        <w:rPr>
          <w:rFonts w:eastAsia="Calibri" w:cs="Times New Roman"/>
          <w:color w:val="000000"/>
        </w:rPr>
        <w:t xml:space="preserve">s and </w:t>
      </w:r>
      <w:r w:rsidR="00E1156E">
        <w:rPr>
          <w:rFonts w:eastAsia="Calibri" w:cs="Times New Roman"/>
          <w:color w:val="000000"/>
        </w:rPr>
        <w:t>White</w:t>
      </w:r>
      <w:r w:rsidR="00D04C52" w:rsidRPr="00A0218A">
        <w:rPr>
          <w:rFonts w:eastAsia="Calibri" w:cs="Times New Roman"/>
          <w:color w:val="000000"/>
        </w:rPr>
        <w:t>s age 18 to 30 at baseline. Initiation was defined as the time when the participant smoked his or her first cigarette. Menthol smokers were reported to have initiated smoking at an average age of 16.7±3.2 years, while no</w:t>
      </w:r>
      <w:r w:rsidR="00D04C52">
        <w:rPr>
          <w:rFonts w:eastAsia="Calibri" w:cs="Times New Roman"/>
          <w:color w:val="000000"/>
        </w:rPr>
        <w:t>n-menthol smokers reported</w:t>
      </w:r>
      <w:r w:rsidR="00D04C52" w:rsidRPr="00A0218A">
        <w:rPr>
          <w:rFonts w:eastAsia="Calibri" w:cs="Times New Roman"/>
          <w:color w:val="000000"/>
        </w:rPr>
        <w:t xml:space="preserve"> smoking </w:t>
      </w:r>
      <w:r w:rsidR="00D04C52">
        <w:rPr>
          <w:rFonts w:eastAsia="Calibri" w:cs="Times New Roman"/>
          <w:color w:val="000000"/>
        </w:rPr>
        <w:t xml:space="preserve">initiation </w:t>
      </w:r>
      <w:r w:rsidR="00D04C52" w:rsidRPr="00A0218A">
        <w:rPr>
          <w:rFonts w:eastAsia="Calibri" w:cs="Times New Roman"/>
          <w:color w:val="000000"/>
        </w:rPr>
        <w:t>at 16.8±3.3 years old (p=0.61).</w:t>
      </w:r>
      <w:r w:rsidR="008A061C">
        <w:rPr>
          <w:rFonts w:eastAsia="Calibri" w:cs="Times New Roman"/>
          <w:color w:val="000000"/>
        </w:rPr>
        <w:t xml:space="preserve"> The difference was not </w:t>
      </w:r>
      <w:r w:rsidR="004A5DCD">
        <w:rPr>
          <w:rFonts w:eastAsia="Calibri" w:cs="Times New Roman"/>
          <w:color w:val="000000"/>
        </w:rPr>
        <w:t xml:space="preserve">statistically </w:t>
      </w:r>
      <w:r w:rsidR="008A061C">
        <w:rPr>
          <w:rFonts w:eastAsia="Calibri" w:cs="Times New Roman"/>
          <w:color w:val="000000"/>
        </w:rPr>
        <w:t>significant.</w:t>
      </w:r>
    </w:p>
    <w:p w14:paraId="31C6F33D" w14:textId="0A2CE2B6" w:rsidR="00D04C52" w:rsidRPr="00A0218A" w:rsidRDefault="00D04C52" w:rsidP="00B46744">
      <w:pPr>
        <w:spacing w:after="240" w:line="240" w:lineRule="auto"/>
        <w:jc w:val="both"/>
        <w:rPr>
          <w:rFonts w:eastAsia="Calibri" w:cs="Times New Roman"/>
          <w:color w:val="70AD47"/>
        </w:rPr>
      </w:pPr>
      <w:r w:rsidRPr="00A0218A">
        <w:rPr>
          <w:rFonts w:eastAsia="Calibri" w:cs="Times New Roman"/>
          <w:color w:val="000000"/>
        </w:rPr>
        <w:t>In 2004, Okuyemi et al.</w:t>
      </w:r>
      <w:r>
        <w:rPr>
          <w:rFonts w:eastAsia="Calibri" w:cs="Times New Roman"/>
          <w:color w:val="000000"/>
        </w:rPr>
        <w:t xml:space="preserve">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&lt;EndNote&gt;&lt;Cite&gt;&lt;Author&gt;Okuyemi&lt;/Author&gt;&lt;Year&gt;2004&lt;/Year&gt;&lt;RecNum&gt;81&lt;/RecNum&gt;&lt;DisplayText&gt;(75)&lt;/DisplayText&gt;&lt;record&gt;&lt;rec-number&gt;81&lt;/rec-number&gt;&lt;foreign-keys&gt;&lt;key app="EN" db-id="a2vz2dfp8xrad6exes75zwpiw5rxwa0vwapv" timestamp="0"&gt;81&lt;/key&gt;&lt;/foreign-keys&gt;&lt;ref-type name="Journal Article"&gt;17&lt;/ref-type&gt;&lt;contributors&gt;&lt;authors&gt;&lt;author&gt;Okuyemi, K. S.&lt;/author&gt;&lt;author&gt;Ebersole-Robinson, M. &lt;/author&gt;&lt;author&gt;Nazir, N. &lt;/author&gt;&lt;author&gt;Ahluwalia, J. S.&lt;/author&gt;&lt;/authors&gt;&lt;/contributors&gt;&lt;titles&gt;&lt;title&gt;African-American menthol and nonmenthol smokers: Differences in smoking and cessation experiences&lt;/title&gt;&lt;secondary-title&gt;J Natl Med Assoc&lt;/secondary-title&gt;&lt;/titles&gt;&lt;pages&gt;1208-1211&lt;/pages&gt;&lt;volume&gt;96&lt;/volume&gt;&lt;number&gt;9&lt;/number&gt;&lt;section&gt;1208&lt;/section&gt;&lt;dates&gt;&lt;year&gt;2004&lt;/year&gt;&lt;/dates&gt;&lt;urls&gt;&lt;/urls&gt;&lt;research-notes&gt;#405&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5" w:tooltip="Okuyemi, 2004 #81" w:history="1">
        <w:r w:rsidR="00A234A9">
          <w:rPr>
            <w:rFonts w:eastAsia="Calibri" w:cs="Times New Roman"/>
            <w:noProof/>
            <w:color w:val="000000"/>
          </w:rPr>
          <w:t>75</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conducted a cross-sectional survey of 480 </w:t>
      </w:r>
      <w:r w:rsidR="00E1156E">
        <w:rPr>
          <w:rFonts w:eastAsia="Calibri" w:cs="Times New Roman"/>
          <w:color w:val="000000"/>
        </w:rPr>
        <w:t>Black</w:t>
      </w:r>
      <w:r w:rsidRPr="00A0218A">
        <w:rPr>
          <w:rFonts w:eastAsia="Calibri" w:cs="Times New Roman"/>
          <w:color w:val="000000"/>
        </w:rPr>
        <w:t xml:space="preserve"> smokers who had smoked a cigarette in the last 30 days and at least 100 cigarettes in their lifetimes. The median age at first cigarette was 15 for menthol smokers and 16 for non-menthol smokers (p=0.69). The median age at </w:t>
      </w:r>
      <w:r>
        <w:rPr>
          <w:rFonts w:eastAsia="Calibri" w:cs="Times New Roman"/>
          <w:color w:val="000000"/>
        </w:rPr>
        <w:t xml:space="preserve">the </w:t>
      </w:r>
      <w:r w:rsidRPr="00A0218A">
        <w:rPr>
          <w:rFonts w:eastAsia="Calibri" w:cs="Times New Roman"/>
          <w:color w:val="000000"/>
        </w:rPr>
        <w:t>start of regular smoking was 18 for both menthol and non-menthol smokers (p=0.88).</w:t>
      </w:r>
      <w:r w:rsidR="008A061C">
        <w:rPr>
          <w:rFonts w:eastAsia="Calibri" w:cs="Times New Roman"/>
          <w:color w:val="000000"/>
        </w:rPr>
        <w:t xml:space="preserve"> Again, the difference was not </w:t>
      </w:r>
      <w:r w:rsidR="004A5DCD">
        <w:rPr>
          <w:rFonts w:eastAsia="Calibri" w:cs="Times New Roman"/>
          <w:color w:val="000000"/>
        </w:rPr>
        <w:t xml:space="preserve">statistically </w:t>
      </w:r>
      <w:r w:rsidR="008A061C">
        <w:rPr>
          <w:rFonts w:eastAsia="Calibri" w:cs="Times New Roman"/>
          <w:color w:val="000000"/>
        </w:rPr>
        <w:t>significant.</w:t>
      </w:r>
    </w:p>
    <w:p w14:paraId="386E454D" w14:textId="77777777" w:rsidR="00D04C52" w:rsidRPr="00A0218A" w:rsidRDefault="00D04C52" w:rsidP="00B8342F">
      <w:pPr>
        <w:spacing w:after="120" w:line="240" w:lineRule="auto"/>
        <w:jc w:val="both"/>
        <w:outlineLvl w:val="1"/>
        <w:rPr>
          <w:rFonts w:eastAsia="Calibri" w:cs="Times New Roman"/>
          <w:i/>
          <w:color w:val="000000"/>
          <w:u w:val="single"/>
        </w:rPr>
      </w:pPr>
      <w:r w:rsidRPr="00A0218A">
        <w:rPr>
          <w:rFonts w:eastAsia="Calibri" w:cs="Times New Roman"/>
          <w:i/>
          <w:color w:val="000000"/>
          <w:u w:val="single"/>
        </w:rPr>
        <w:t>Unadjusted Results: Percent Who Initiated to or with Menthol</w:t>
      </w:r>
    </w:p>
    <w:p w14:paraId="79656227" w14:textId="3EE9B1D2" w:rsidR="00D04C52" w:rsidRPr="00A0218A" w:rsidRDefault="00D04C52" w:rsidP="00B46744">
      <w:pPr>
        <w:spacing w:after="120" w:line="240" w:lineRule="auto"/>
        <w:jc w:val="both"/>
        <w:rPr>
          <w:rFonts w:eastAsia="Calibri" w:cs="Times New Roman"/>
          <w:color w:val="000000"/>
        </w:rPr>
      </w:pPr>
      <w:r w:rsidRPr="00A0218A">
        <w:rPr>
          <w:rFonts w:eastAsia="Calibri" w:cs="Times New Roman"/>
          <w:i/>
          <w:color w:val="000000"/>
        </w:rPr>
        <w:t>Four cohort studies</w:t>
      </w:r>
      <w:r w:rsidR="00CF05BA">
        <w:rPr>
          <w:rFonts w:eastAsia="Calibri" w:cs="Times New Roman"/>
          <w:i/>
          <w:color w:val="000000"/>
        </w:rPr>
        <w:t xml:space="preserve"> </w:t>
      </w:r>
      <w:r w:rsidR="00D2134A">
        <w:rPr>
          <w:rFonts w:eastAsia="Calibri" w:cs="Times New Roman"/>
          <w:i/>
          <w:color w:val="000000"/>
        </w:rPr>
        <w:fldChar w:fldCharType="begin">
          <w:fldData xml:space="preserve">PEVuZE5vdGU+PENpdGU+PEF1dGhvcj5EaUZyYW56YTwvQXV0aG9yPjxZZWFyPjIwMDQ8L1llYXI+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PEVuZE5vdGU+PENpdGU+PEF1dGhvcj5EaUZyYW56YTwvQXV0aG9yPjxZZWFyPjIwMDQ8L1llYXI+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54" w:tooltip="DiFranza, 2004 #83" w:history="1">
        <w:r w:rsidR="00A234A9">
          <w:rPr>
            <w:rFonts w:eastAsia="Calibri" w:cs="Times New Roman"/>
            <w:i/>
            <w:noProof/>
            <w:color w:val="000000"/>
          </w:rPr>
          <w:t>54</w:t>
        </w:r>
      </w:hyperlink>
      <w:r w:rsidR="00D2134A">
        <w:rPr>
          <w:rFonts w:eastAsia="Calibri" w:cs="Times New Roman"/>
          <w:i/>
          <w:noProof/>
          <w:color w:val="000000"/>
        </w:rPr>
        <w:t xml:space="preserve">, </w:t>
      </w:r>
      <w:hyperlink w:anchor="_ENREF_72" w:tooltip="Nonnemaker, 2012 #31" w:history="1">
        <w:r w:rsidR="00A234A9">
          <w:rPr>
            <w:rFonts w:eastAsia="Calibri" w:cs="Times New Roman"/>
            <w:i/>
            <w:noProof/>
            <w:color w:val="000000"/>
          </w:rPr>
          <w:t>72</w:t>
        </w:r>
      </w:hyperlink>
      <w:r w:rsidR="00D2134A">
        <w:rPr>
          <w:rFonts w:eastAsia="Calibri" w:cs="Times New Roman"/>
          <w:i/>
          <w:noProof/>
          <w:color w:val="000000"/>
        </w:rPr>
        <w:t xml:space="preserve">, </w:t>
      </w:r>
      <w:hyperlink w:anchor="_ENREF_73" w:tooltip="Nonnemaker, 2010 #97" w:history="1">
        <w:r w:rsidR="00A234A9">
          <w:rPr>
            <w:rFonts w:eastAsia="Calibri" w:cs="Times New Roman"/>
            <w:i/>
            <w:noProof/>
            <w:color w:val="000000"/>
          </w:rPr>
          <w:t>73</w:t>
        </w:r>
      </w:hyperlink>
      <w:r w:rsidR="00D2134A">
        <w:rPr>
          <w:rFonts w:eastAsia="Calibri" w:cs="Times New Roman"/>
          <w:i/>
          <w:noProof/>
          <w:color w:val="000000"/>
        </w:rPr>
        <w:t xml:space="preserve">, </w:t>
      </w:r>
      <w:hyperlink w:anchor="_ENREF_79" w:tooltip="Rath, 2015 #3" w:history="1">
        <w:r w:rsidR="00A234A9">
          <w:rPr>
            <w:rFonts w:eastAsia="Calibri" w:cs="Times New Roman"/>
            <w:i/>
            <w:noProof/>
            <w:color w:val="000000"/>
          </w:rPr>
          <w:t>79</w:t>
        </w:r>
      </w:hyperlink>
      <w:r w:rsidR="00D2134A">
        <w:rPr>
          <w:rFonts w:eastAsia="Calibri" w:cs="Times New Roman"/>
          <w:i/>
          <w:noProof/>
          <w:color w:val="000000"/>
        </w:rPr>
        <w:t>)</w:t>
      </w:r>
      <w:r w:rsidR="00D2134A">
        <w:rPr>
          <w:rFonts w:eastAsia="Calibri" w:cs="Times New Roman"/>
          <w:i/>
          <w:color w:val="000000"/>
        </w:rPr>
        <w:fldChar w:fldCharType="end"/>
      </w:r>
      <w:r w:rsidRPr="00A0218A">
        <w:rPr>
          <w:rFonts w:eastAsia="Calibri" w:cs="Times New Roman"/>
          <w:i/>
          <w:color w:val="000000"/>
        </w:rPr>
        <w:t xml:space="preserve">—three of youth </w:t>
      </w:r>
      <w:r w:rsidR="00D2134A">
        <w:rPr>
          <w:rFonts w:eastAsia="Calibri" w:cs="Times New Roman"/>
          <w:i/>
          <w:color w:val="000000"/>
        </w:rPr>
        <w:fldChar w:fldCharType="begin">
          <w:fldData xml:space="preserve">PEVuZE5vdGU+PENpdGU+PEF1dGhvcj5EaUZyYW56YTwvQXV0aG9yPjxZZWFyPjIwMDQ8L1llYXI+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PEVuZE5vdGU+PENpdGU+PEF1dGhvcj5EaUZyYW56YTwvQXV0aG9yPjxZZWFyPjIwMDQ8L1llYXI+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54" w:tooltip="DiFranza, 2004 #83" w:history="1">
        <w:r w:rsidR="00A234A9">
          <w:rPr>
            <w:rFonts w:eastAsia="Calibri" w:cs="Times New Roman"/>
            <w:i/>
            <w:noProof/>
            <w:color w:val="000000"/>
          </w:rPr>
          <w:t>54</w:t>
        </w:r>
      </w:hyperlink>
      <w:r w:rsidR="00D2134A">
        <w:rPr>
          <w:rFonts w:eastAsia="Calibri" w:cs="Times New Roman"/>
          <w:i/>
          <w:noProof/>
          <w:color w:val="000000"/>
        </w:rPr>
        <w:t xml:space="preserve">, </w:t>
      </w:r>
      <w:hyperlink w:anchor="_ENREF_72" w:tooltip="Nonnemaker, 2012 #31" w:history="1">
        <w:r w:rsidR="00A234A9">
          <w:rPr>
            <w:rFonts w:eastAsia="Calibri" w:cs="Times New Roman"/>
            <w:i/>
            <w:noProof/>
            <w:color w:val="000000"/>
          </w:rPr>
          <w:t>72</w:t>
        </w:r>
      </w:hyperlink>
      <w:r w:rsidR="00D2134A">
        <w:rPr>
          <w:rFonts w:eastAsia="Calibri" w:cs="Times New Roman"/>
          <w:i/>
          <w:noProof/>
          <w:color w:val="000000"/>
        </w:rPr>
        <w:t xml:space="preserve">, </w:t>
      </w:r>
      <w:hyperlink w:anchor="_ENREF_73" w:tooltip="Nonnemaker, 2010 #97" w:history="1">
        <w:r w:rsidR="00A234A9">
          <w:rPr>
            <w:rFonts w:eastAsia="Calibri" w:cs="Times New Roman"/>
            <w:i/>
            <w:noProof/>
            <w:color w:val="000000"/>
          </w:rPr>
          <w:t>73</w:t>
        </w:r>
      </w:hyperlink>
      <w:r w:rsidR="00D2134A">
        <w:rPr>
          <w:rFonts w:eastAsia="Calibri" w:cs="Times New Roman"/>
          <w:i/>
          <w:noProof/>
          <w:color w:val="000000"/>
        </w:rPr>
        <w:t>)</w:t>
      </w:r>
      <w:r w:rsidR="00D2134A">
        <w:rPr>
          <w:rFonts w:eastAsia="Calibri" w:cs="Times New Roman"/>
          <w:i/>
          <w:color w:val="000000"/>
        </w:rPr>
        <w:fldChar w:fldCharType="end"/>
      </w:r>
      <w:r w:rsidR="001E6155">
        <w:rPr>
          <w:rFonts w:eastAsia="Calibri" w:cs="Times New Roman"/>
          <w:i/>
          <w:color w:val="000000"/>
        </w:rPr>
        <w:t xml:space="preserve"> </w:t>
      </w:r>
      <w:r w:rsidRPr="00A0218A">
        <w:rPr>
          <w:rFonts w:eastAsia="Calibri" w:cs="Times New Roman"/>
          <w:i/>
          <w:color w:val="000000"/>
        </w:rPr>
        <w:t>and one of young adults</w:t>
      </w:r>
      <w:r w:rsidR="001E6155">
        <w:rPr>
          <w:rFonts w:eastAsia="Calibri" w:cs="Times New Roman"/>
          <w:i/>
          <w:color w:val="000000"/>
        </w:rPr>
        <w:t xml:space="preserve"> </w:t>
      </w:r>
      <w:r w:rsidR="00D2134A">
        <w:rPr>
          <w:rFonts w:eastAsia="Calibri" w:cs="Times New Roman"/>
          <w:i/>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9" w:tooltip="Rath, 2015 #3" w:history="1">
        <w:r w:rsidR="00A234A9">
          <w:rPr>
            <w:rFonts w:eastAsia="Calibri" w:cs="Times New Roman"/>
            <w:i/>
            <w:noProof/>
            <w:color w:val="000000"/>
          </w:rPr>
          <w:t>79</w:t>
        </w:r>
      </w:hyperlink>
      <w:r w:rsidR="00D2134A">
        <w:rPr>
          <w:rFonts w:eastAsia="Calibri" w:cs="Times New Roman"/>
          <w:i/>
          <w:noProof/>
          <w:color w:val="000000"/>
        </w:rPr>
        <w:t>)</w:t>
      </w:r>
      <w:r w:rsidR="00D2134A">
        <w:rPr>
          <w:rFonts w:eastAsia="Calibri" w:cs="Times New Roman"/>
          <w:i/>
          <w:color w:val="000000"/>
        </w:rPr>
        <w:fldChar w:fldCharType="end"/>
      </w:r>
      <w:r w:rsidRPr="00A0218A">
        <w:rPr>
          <w:rFonts w:eastAsia="Calibri" w:cs="Times New Roman"/>
          <w:i/>
          <w:color w:val="000000"/>
        </w:rPr>
        <w:t xml:space="preserve">—reported unadjusted rates of initiation with or to menthol. Two were rated “good” quality </w:t>
      </w:r>
      <w:r w:rsidR="00D2134A">
        <w:rPr>
          <w:rFonts w:eastAsia="Calibri" w:cs="Times New Roman"/>
          <w:i/>
          <w:color w:val="000000"/>
        </w:rPr>
        <w:fldChar w:fldCharType="begin">
          <w:fldData xml:space="preserve">PEVuZE5vdGU+PENpdGU+PEF1dGhvcj5Ob25uZW1ha2VyPC9BdXRob3I+PFllYXI+MjAxMDwvWWVh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PEVuZE5vdGU+PENpdGU+PEF1dGhvcj5Ob25uZW1ha2VyPC9BdXRob3I+PFllYXI+MjAxMDwvWWVh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2" w:tooltip="Nonnemaker, 2012 #31" w:history="1">
        <w:r w:rsidR="00A234A9">
          <w:rPr>
            <w:rFonts w:eastAsia="Calibri" w:cs="Times New Roman"/>
            <w:i/>
            <w:noProof/>
            <w:color w:val="000000"/>
          </w:rPr>
          <w:t>72</w:t>
        </w:r>
      </w:hyperlink>
      <w:r w:rsidR="00D2134A">
        <w:rPr>
          <w:rFonts w:eastAsia="Calibri" w:cs="Times New Roman"/>
          <w:i/>
          <w:noProof/>
          <w:color w:val="000000"/>
        </w:rPr>
        <w:t xml:space="preserve">, </w:t>
      </w:r>
      <w:hyperlink w:anchor="_ENREF_73" w:tooltip="Nonnemaker, 2010 #97" w:history="1">
        <w:r w:rsidR="00A234A9">
          <w:rPr>
            <w:rFonts w:eastAsia="Calibri" w:cs="Times New Roman"/>
            <w:i/>
            <w:noProof/>
            <w:color w:val="000000"/>
          </w:rPr>
          <w:t>73</w:t>
        </w:r>
      </w:hyperlink>
      <w:r w:rsidR="00D2134A">
        <w:rPr>
          <w:rFonts w:eastAsia="Calibri" w:cs="Times New Roman"/>
          <w:i/>
          <w:noProof/>
          <w:color w:val="000000"/>
        </w:rPr>
        <w:t>)</w:t>
      </w:r>
      <w:r w:rsidR="00D2134A">
        <w:rPr>
          <w:rFonts w:eastAsia="Calibri" w:cs="Times New Roman"/>
          <w:i/>
          <w:color w:val="000000"/>
        </w:rPr>
        <w:fldChar w:fldCharType="end"/>
      </w:r>
      <w:r w:rsidR="001E6155">
        <w:rPr>
          <w:rFonts w:eastAsia="Calibri" w:cs="Times New Roman"/>
          <w:i/>
          <w:color w:val="000000"/>
        </w:rPr>
        <w:t xml:space="preserve"> </w:t>
      </w:r>
      <w:r w:rsidRPr="00A0218A">
        <w:rPr>
          <w:rFonts w:eastAsia="Calibri" w:cs="Times New Roman"/>
          <w:i/>
          <w:color w:val="000000"/>
        </w:rPr>
        <w:t>and two were “fair”</w:t>
      </w:r>
      <w:r w:rsidR="001E6155">
        <w:rPr>
          <w:rFonts w:eastAsia="Calibri" w:cs="Times New Roman"/>
          <w:i/>
          <w:color w:val="000000"/>
        </w:rPr>
        <w:t xml:space="preserve"> </w:t>
      </w:r>
      <w:r w:rsidR="00D2134A">
        <w:rPr>
          <w:rFonts w:eastAsia="Calibri" w:cs="Times New Roman"/>
          <w:i/>
          <w:color w:val="000000"/>
        </w:rPr>
        <w:fldChar w:fldCharType="begin">
          <w:fldData xml:space="preserve">PEVuZE5vdGU+PENpdGU+PEF1dGhvcj5EaUZyYW56YTwvQXV0aG9yPjxZZWFyPjIwMDQ8L1llYXI+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PEVuZE5vdGU+PENpdGU+PEF1dGhvcj5EaUZyYW56YTwvQXV0aG9yPjxZZWFyPjIwMDQ8L1llYXI+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54" w:tooltip="DiFranza, 2004 #83" w:history="1">
        <w:r w:rsidR="00A234A9">
          <w:rPr>
            <w:rFonts w:eastAsia="Calibri" w:cs="Times New Roman"/>
            <w:i/>
            <w:noProof/>
            <w:color w:val="000000"/>
          </w:rPr>
          <w:t>54</w:t>
        </w:r>
      </w:hyperlink>
      <w:r w:rsidR="00D2134A">
        <w:rPr>
          <w:rFonts w:eastAsia="Calibri" w:cs="Times New Roman"/>
          <w:i/>
          <w:noProof/>
          <w:color w:val="000000"/>
        </w:rPr>
        <w:t xml:space="preserve">, </w:t>
      </w:r>
      <w:hyperlink w:anchor="_ENREF_79" w:tooltip="Rath, 2015 #3" w:history="1">
        <w:r w:rsidR="00A234A9">
          <w:rPr>
            <w:rFonts w:eastAsia="Calibri" w:cs="Times New Roman"/>
            <w:i/>
            <w:noProof/>
            <w:color w:val="000000"/>
          </w:rPr>
          <w:t>79</w:t>
        </w:r>
      </w:hyperlink>
      <w:r w:rsidR="00D2134A">
        <w:rPr>
          <w:rFonts w:eastAsia="Calibri" w:cs="Times New Roman"/>
          <w:i/>
          <w:noProof/>
          <w:color w:val="000000"/>
        </w:rPr>
        <w:t>)</w:t>
      </w:r>
      <w:r w:rsidR="00D2134A">
        <w:rPr>
          <w:rFonts w:eastAsia="Calibri" w:cs="Times New Roman"/>
          <w:i/>
          <w:color w:val="000000"/>
        </w:rPr>
        <w:fldChar w:fldCharType="end"/>
      </w:r>
      <w:r w:rsidR="001E6155">
        <w:rPr>
          <w:rFonts w:eastAsia="Calibri" w:cs="Times New Roman"/>
          <w:i/>
          <w:color w:val="000000"/>
        </w:rPr>
        <w:t>.</w:t>
      </w:r>
      <w:r w:rsidRPr="00A0218A">
        <w:rPr>
          <w:rFonts w:eastAsia="Calibri" w:cs="Times New Roman"/>
          <w:i/>
          <w:color w:val="000000"/>
        </w:rPr>
        <w:t xml:space="preserve"> The analysis of young adults found that approximately one-third of current smokers </w:t>
      </w:r>
      <w:r w:rsidRPr="00A0218A">
        <w:rPr>
          <w:rFonts w:eastAsia="Calibri" w:cs="Times New Roman"/>
          <w:i/>
          <w:color w:val="000000"/>
        </w:rPr>
        <w:lastRenderedPageBreak/>
        <w:t>initiated with menthol cigarettes</w:t>
      </w:r>
      <w:r w:rsidR="001E6155">
        <w:rPr>
          <w:rFonts w:eastAsia="Calibri" w:cs="Times New Roman"/>
          <w:i/>
          <w:color w:val="000000"/>
        </w:rPr>
        <w:t xml:space="preserve"> </w:t>
      </w:r>
      <w:r w:rsidR="00D2134A">
        <w:rPr>
          <w:rFonts w:eastAsia="Calibri" w:cs="Times New Roman"/>
          <w:i/>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9" w:tooltip="Rath, 2015 #3" w:history="1">
        <w:r w:rsidR="00A234A9">
          <w:rPr>
            <w:rFonts w:eastAsia="Calibri" w:cs="Times New Roman"/>
            <w:i/>
            <w:noProof/>
            <w:color w:val="000000"/>
          </w:rPr>
          <w:t>79</w:t>
        </w:r>
      </w:hyperlink>
      <w:r w:rsidR="00D2134A">
        <w:rPr>
          <w:rFonts w:eastAsia="Calibri" w:cs="Times New Roman"/>
          <w:i/>
          <w:noProof/>
          <w:color w:val="000000"/>
        </w:rPr>
        <w:t>)</w:t>
      </w:r>
      <w:r w:rsidR="00D2134A">
        <w:rPr>
          <w:rFonts w:eastAsia="Calibri" w:cs="Times New Roman"/>
          <w:i/>
          <w:color w:val="000000"/>
        </w:rPr>
        <w:fldChar w:fldCharType="end"/>
      </w:r>
      <w:r w:rsidRPr="00A0218A">
        <w:rPr>
          <w:rFonts w:eastAsia="Calibri" w:cs="Times New Roman"/>
          <w:i/>
          <w:color w:val="000000"/>
        </w:rPr>
        <w:t>, and one of the analyses of youth found that 42 percent initiated with menthol</w:t>
      </w:r>
      <w:r w:rsidR="001E6155">
        <w:rPr>
          <w:rFonts w:eastAsia="Calibri" w:cs="Times New Roman"/>
          <w:i/>
          <w:color w:val="000000"/>
        </w:rPr>
        <w:t xml:space="preserve"> </w:t>
      </w:r>
      <w:r w:rsidR="00D2134A">
        <w:rPr>
          <w:rFonts w:eastAsia="Calibri" w:cs="Times New Roman"/>
          <w:i/>
          <w:color w:val="000000"/>
        </w:rPr>
        <w:fldChar w:fldCharType="begin"/>
      </w:r>
      <w:r w:rsidR="00D2134A">
        <w:rPr>
          <w:rFonts w:eastAsia="Calibri" w:cs="Times New Roman"/>
          <w:i/>
          <w:color w:val="000000"/>
        </w:rPr>
        <w:instrText xml:space="preserve"> ADDIN EN.CITE &lt;EndNote&gt;&lt;Cite&gt;&lt;Author&gt;DiFranza&lt;/Author&gt;&lt;Year&gt;2004&lt;/Year&gt;&lt;RecNum&gt;83&lt;/RecNum&gt;&lt;DisplayText&gt;(54)&lt;/DisplayText&gt;&lt;record&gt;&lt;rec-number&gt;83&lt;/rec-number&gt;&lt;foreign-keys&gt;&lt;key app="EN" db-id="a2vz2dfp8xrad6exes75zwpiw5rxwa0vwapv" timestamp="0"&gt;83&lt;/key&gt;&lt;/foreign-keys&gt;&lt;ref-type name="Journal Article"&gt;17&lt;/ref-type&gt;&lt;contributors&gt;&lt;authors&gt;&lt;author&gt;DiFranza, J.R.&lt;/author&gt;&lt;author&gt;Savageau, J.A.&lt;/author&gt;&lt;author&gt;Fletcher, K.&lt;/author&gt;&lt;author&gt;Ockene, J.K.&lt;/author&gt;&lt;author&gt;Rigotti, N.A.&lt;/author&gt;&lt;author&gt;McNeill, A.D.&lt;/author&gt;&lt;author&gt;Coleman, M.&lt;/author&gt;&lt;author&gt;Wood, C.&lt;/author&gt;&lt;/authors&gt;&lt;/contributors&gt;&lt;titles&gt;&lt;title&gt;Recollections and repercussions of the first inhaled cigarette&lt;/title&gt;&lt;secondary-title&gt;Addictive Behaviors&lt;/secondary-title&gt;&lt;/titles&gt;&lt;periodical&gt;&lt;full-title&gt;Addictive Behaviors&lt;/full-title&gt;&lt;/periodical&gt;&lt;pages&gt;261-272&lt;/pages&gt;&lt;volume&gt;29&lt;/volume&gt;&lt;number&gt;2&lt;/number&gt;&lt;dates&gt;&lt;year&gt;2004&lt;/year&gt;&lt;/dates&gt;&lt;isbn&gt;03064603&lt;/isbn&gt;&lt;urls&gt;&lt;/urls&gt;&lt;electronic-resource-num&gt;10.1016/j.addbeh.2003.08.002&lt;/electronic-resource-num&gt;&lt;research-notes&gt;#413&lt;/research-notes&gt;&lt;/record&gt;&lt;/Cite&gt;&lt;/EndNote&gt;</w:instrText>
      </w:r>
      <w:r w:rsidR="00D2134A">
        <w:rPr>
          <w:rFonts w:eastAsia="Calibri" w:cs="Times New Roman"/>
          <w:i/>
          <w:color w:val="000000"/>
        </w:rPr>
        <w:fldChar w:fldCharType="separate"/>
      </w:r>
      <w:r w:rsidR="00D2134A">
        <w:rPr>
          <w:rFonts w:eastAsia="Calibri" w:cs="Times New Roman"/>
          <w:i/>
          <w:noProof/>
          <w:color w:val="000000"/>
        </w:rPr>
        <w:t>(</w:t>
      </w:r>
      <w:hyperlink w:anchor="_ENREF_54" w:tooltip="DiFranza, 2004 #83" w:history="1">
        <w:r w:rsidR="00A234A9">
          <w:rPr>
            <w:rFonts w:eastAsia="Calibri" w:cs="Times New Roman"/>
            <w:i/>
            <w:noProof/>
            <w:color w:val="000000"/>
          </w:rPr>
          <w:t>54</w:t>
        </w:r>
      </w:hyperlink>
      <w:r w:rsidR="00D2134A">
        <w:rPr>
          <w:rFonts w:eastAsia="Calibri" w:cs="Times New Roman"/>
          <w:i/>
          <w:noProof/>
          <w:color w:val="000000"/>
        </w:rPr>
        <w:t>)</w:t>
      </w:r>
      <w:r w:rsidR="00D2134A">
        <w:rPr>
          <w:rFonts w:eastAsia="Calibri" w:cs="Times New Roman"/>
          <w:i/>
          <w:color w:val="000000"/>
        </w:rPr>
        <w:fldChar w:fldCharType="end"/>
      </w:r>
      <w:r w:rsidRPr="00A0218A">
        <w:rPr>
          <w:rFonts w:eastAsia="Calibri" w:cs="Times New Roman"/>
          <w:i/>
          <w:color w:val="000000"/>
        </w:rPr>
        <w:t>. The other two studies (which had overlapping samples) reported proportions of youth who initiated to menthol, which ranged from 33 percent to 43 percent</w:t>
      </w:r>
      <w:r w:rsidR="001E6155">
        <w:rPr>
          <w:rFonts w:eastAsia="Calibri" w:cs="Times New Roman"/>
          <w:i/>
          <w:color w:val="000000"/>
        </w:rPr>
        <w:t xml:space="preserve"> </w:t>
      </w:r>
      <w:r w:rsidR="00D2134A">
        <w:rPr>
          <w:rFonts w:eastAsia="Calibri" w:cs="Times New Roman"/>
          <w:i/>
          <w:color w:val="000000"/>
        </w:rPr>
        <w:fldChar w:fldCharType="begin">
          <w:fldData xml:space="preserve">PEVuZE5vdGU+PENpdGU+PEF1dGhvcj5Ob25uZW1ha2VyPC9BdXRob3I+PFllYXI+MjAxMDwvWWVh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PEVuZE5vdGU+PENpdGU+PEF1dGhvcj5Ob25uZW1ha2VyPC9BdXRob3I+PFllYXI+MjAxMDwvWWVh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2" w:tooltip="Nonnemaker, 2012 #31" w:history="1">
        <w:r w:rsidR="00A234A9">
          <w:rPr>
            <w:rFonts w:eastAsia="Calibri" w:cs="Times New Roman"/>
            <w:i/>
            <w:noProof/>
            <w:color w:val="000000"/>
          </w:rPr>
          <w:t>72</w:t>
        </w:r>
      </w:hyperlink>
      <w:r w:rsidR="00D2134A">
        <w:rPr>
          <w:rFonts w:eastAsia="Calibri" w:cs="Times New Roman"/>
          <w:i/>
          <w:noProof/>
          <w:color w:val="000000"/>
        </w:rPr>
        <w:t xml:space="preserve">, </w:t>
      </w:r>
      <w:hyperlink w:anchor="_ENREF_73" w:tooltip="Nonnemaker, 2010 #97" w:history="1">
        <w:r w:rsidR="00A234A9">
          <w:rPr>
            <w:rFonts w:eastAsia="Calibri" w:cs="Times New Roman"/>
            <w:i/>
            <w:noProof/>
            <w:color w:val="000000"/>
          </w:rPr>
          <w:t>73</w:t>
        </w:r>
      </w:hyperlink>
      <w:r w:rsidR="00D2134A">
        <w:rPr>
          <w:rFonts w:eastAsia="Calibri" w:cs="Times New Roman"/>
          <w:i/>
          <w:noProof/>
          <w:color w:val="000000"/>
        </w:rPr>
        <w:t>)</w:t>
      </w:r>
      <w:r w:rsidR="00D2134A">
        <w:rPr>
          <w:rFonts w:eastAsia="Calibri" w:cs="Times New Roman"/>
          <w:i/>
          <w:color w:val="000000"/>
        </w:rPr>
        <w:fldChar w:fldCharType="end"/>
      </w:r>
      <w:r w:rsidRPr="00A0218A">
        <w:rPr>
          <w:rFonts w:eastAsia="Calibri" w:cs="Times New Roman"/>
          <w:i/>
          <w:color w:val="000000"/>
        </w:rPr>
        <w:t>.</w:t>
      </w:r>
      <w:r w:rsidR="00E830EF">
        <w:rPr>
          <w:rFonts w:eastAsia="Calibri" w:cs="Times New Roman"/>
          <w:i/>
          <w:color w:val="000000"/>
        </w:rPr>
        <w:t xml:space="preserve"> But tests of statistical significance were not reported in any of the four cohort studies.</w:t>
      </w:r>
    </w:p>
    <w:p w14:paraId="41736170" w14:textId="625B0928" w:rsidR="00A20AE4" w:rsidRDefault="008B4742" w:rsidP="00B46744">
      <w:pPr>
        <w:spacing w:after="120" w:line="240" w:lineRule="auto"/>
        <w:jc w:val="both"/>
        <w:rPr>
          <w:rFonts w:eastAsia="Calibri" w:cs="Times New Roman"/>
          <w:color w:val="000000"/>
        </w:rPr>
      </w:pPr>
      <w:r>
        <w:rPr>
          <w:rFonts w:eastAsia="Calibri" w:cs="Times New Roman"/>
          <w:color w:val="000000"/>
        </w:rPr>
        <w:t>Rath et al</w:t>
      </w:r>
      <w:r w:rsidR="001236D3">
        <w:rPr>
          <w:rFonts w:eastAsia="Calibri" w:cs="Times New Roman"/>
          <w:color w:val="000000"/>
        </w:rPr>
        <w:t>.</w:t>
      </w:r>
      <w:r>
        <w:rPr>
          <w:rFonts w:eastAsia="Calibri" w:cs="Times New Roman"/>
          <w:color w:val="000000"/>
        </w:rPr>
        <w:t xml:space="preserve"> </w:t>
      </w:r>
      <w:r w:rsidR="00D2134A">
        <w:rPr>
          <w:rFonts w:eastAsia="Calibri" w:cs="Times New Roman"/>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79" w:tooltip="Rath, 2015 #3" w:history="1">
        <w:r w:rsidR="00A234A9">
          <w:rPr>
            <w:rFonts w:eastAsia="Calibri" w:cs="Times New Roman"/>
            <w:noProof/>
            <w:color w:val="000000"/>
          </w:rPr>
          <w:t>79</w:t>
        </w:r>
      </w:hyperlink>
      <w:r w:rsidR="00D2134A">
        <w:rPr>
          <w:rFonts w:eastAsia="Calibri" w:cs="Times New Roman"/>
          <w:noProof/>
          <w:color w:val="000000"/>
        </w:rPr>
        <w:t>)</w:t>
      </w:r>
      <w:r w:rsidR="00D2134A">
        <w:rPr>
          <w:rFonts w:eastAsia="Calibri" w:cs="Times New Roman"/>
          <w:color w:val="000000"/>
        </w:rPr>
        <w:fldChar w:fldCharType="end"/>
      </w:r>
      <w:r>
        <w:rPr>
          <w:rFonts w:eastAsia="Calibri" w:cs="Times New Roman"/>
          <w:color w:val="000000"/>
        </w:rPr>
        <w:t xml:space="preserve"> e</w:t>
      </w:r>
      <w:r w:rsidR="00D04C52" w:rsidRPr="00A0218A">
        <w:rPr>
          <w:rFonts w:eastAsia="Calibri" w:cs="Times New Roman"/>
          <w:color w:val="000000"/>
        </w:rPr>
        <w:t>xamined smoking patterns in the Legacy Young Adult Cohort Study (LYAC), a longitudinal sample of the young adult population in the United States (ages 18-34)</w:t>
      </w:r>
      <w:r w:rsidR="00D04C52">
        <w:rPr>
          <w:rFonts w:eastAsia="Calibri" w:cs="Times New Roman"/>
          <w:color w:val="000000"/>
        </w:rPr>
        <w:t xml:space="preserve"> </w:t>
      </w:r>
      <w:r w:rsidR="00D2134A">
        <w:rPr>
          <w:rFonts w:eastAsia="Calibri" w:cs="Times New Roman"/>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79" w:tooltip="Rath, 2015 #3" w:history="1">
        <w:r w:rsidR="00A234A9">
          <w:rPr>
            <w:rFonts w:eastAsia="Calibri" w:cs="Times New Roman"/>
            <w:noProof/>
            <w:color w:val="000000"/>
          </w:rPr>
          <w:t>79</w:t>
        </w:r>
      </w:hyperlink>
      <w:r w:rsidR="00D2134A">
        <w:rPr>
          <w:rFonts w:eastAsia="Calibri" w:cs="Times New Roman"/>
          <w:noProof/>
          <w:color w:val="000000"/>
        </w:rPr>
        <w:t>)</w:t>
      </w:r>
      <w:r w:rsidR="00D2134A">
        <w:rPr>
          <w:rFonts w:eastAsia="Calibri" w:cs="Times New Roman"/>
          <w:color w:val="000000"/>
        </w:rPr>
        <w:fldChar w:fldCharType="end"/>
      </w:r>
      <w:r w:rsidR="00D04C52" w:rsidRPr="00A0218A">
        <w:rPr>
          <w:rFonts w:eastAsia="Calibri" w:cs="Times New Roman"/>
          <w:color w:val="000000"/>
        </w:rPr>
        <w:t>. This study’s measure represents true “initiation with” menthol because participants were asked to “</w:t>
      </w:r>
      <w:r w:rsidR="00D04C52" w:rsidRPr="00A0218A">
        <w:rPr>
          <w:rFonts w:eastAsia="Calibri" w:cs="Times New Roman"/>
          <w:i/>
          <w:color w:val="000000"/>
        </w:rPr>
        <w:t>identify the brand they used at initiation and whether that brand was menthol or non-menthol</w:t>
      </w:r>
      <w:r w:rsidR="00D04C52" w:rsidRPr="00A0218A">
        <w:rPr>
          <w:rFonts w:eastAsia="Calibri" w:cs="Times New Roman"/>
          <w:color w:val="000000"/>
        </w:rPr>
        <w:t>,” regardless of the type they smoked at the time of the study. In the subsample of 212 smokers at all three time points (i.e., baseline, 6 months, and 12 months), the authors reported that 35 percent initiated smoking with menthol and 65 percent with non-menthol</w:t>
      </w:r>
      <w:r w:rsidR="00D04C52" w:rsidRPr="00A32DC8">
        <w:rPr>
          <w:rFonts w:eastAsia="Calibri" w:cs="Times New Roman"/>
          <w:color w:val="000000"/>
        </w:rPr>
        <w:t xml:space="preserve">. In the slightly larger sample that included people who started smoking after baseline (total N=267), </w:t>
      </w:r>
      <w:r w:rsidR="0038266C" w:rsidRPr="00A32DC8">
        <w:rPr>
          <w:rFonts w:eastAsia="Calibri" w:cs="Times New Roman"/>
          <w:color w:val="000000"/>
        </w:rPr>
        <w:t xml:space="preserve">roughly </w:t>
      </w:r>
      <w:r w:rsidR="00D04C52" w:rsidRPr="00A32DC8">
        <w:rPr>
          <w:rFonts w:eastAsia="Calibri" w:cs="Times New Roman"/>
          <w:color w:val="000000"/>
        </w:rPr>
        <w:t xml:space="preserve">34 percent and 66 percent initiated </w:t>
      </w:r>
      <w:r w:rsidR="0038266C" w:rsidRPr="00A32DC8">
        <w:rPr>
          <w:rFonts w:eastAsia="Calibri" w:cs="Times New Roman"/>
          <w:color w:val="000000"/>
        </w:rPr>
        <w:t>with and switched to</w:t>
      </w:r>
      <w:r w:rsidR="00D04C52" w:rsidRPr="00A32DC8">
        <w:rPr>
          <w:rFonts w:eastAsia="Calibri" w:cs="Times New Roman"/>
          <w:color w:val="000000"/>
        </w:rPr>
        <w:t xml:space="preserve"> menthol and non-menthol, respectively</w:t>
      </w:r>
      <w:r w:rsidR="00A20AE4">
        <w:rPr>
          <w:rFonts w:eastAsia="Calibri" w:cs="Times New Roman"/>
          <w:color w:val="000000"/>
        </w:rPr>
        <w:t>.</w:t>
      </w:r>
    </w:p>
    <w:p w14:paraId="026DD57D" w14:textId="04EFFD11" w:rsidR="00D04C52" w:rsidRPr="00A0218A" w:rsidRDefault="00D04C52" w:rsidP="00B46744">
      <w:pPr>
        <w:spacing w:after="120" w:line="240" w:lineRule="auto"/>
        <w:jc w:val="both"/>
        <w:rPr>
          <w:rFonts w:eastAsia="Calibri" w:cs="Times New Roman"/>
          <w:color w:val="000000"/>
        </w:rPr>
      </w:pPr>
      <w:r w:rsidRPr="00A0218A">
        <w:rPr>
          <w:rFonts w:eastAsia="Calibri" w:cs="Times New Roman"/>
          <w:color w:val="000000"/>
        </w:rPr>
        <w:t>As described in the adjus</w:t>
      </w:r>
      <w:r>
        <w:rPr>
          <w:rFonts w:eastAsia="Calibri" w:cs="Times New Roman"/>
          <w:color w:val="000000"/>
        </w:rPr>
        <w:t>ted results, Nonnemaker et al</w:t>
      </w:r>
      <w:r w:rsidR="008B4742">
        <w:rPr>
          <w:rFonts w:eastAsia="Calibri" w:cs="Times New Roman"/>
          <w:color w:val="000000"/>
        </w:rPr>
        <w:t xml:space="preserve">.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&lt;EndNote&gt;&lt;Cite&gt;&lt;Author&gt;Nonnemaker&lt;/Author&gt;&lt;Year&gt;2012&lt;/Year&gt;&lt;RecNum&gt;31&lt;/RecNum&gt;&lt;DisplayText&gt;(72)&lt;/DisplayText&gt;&lt;record&gt;&lt;rec-number&gt;31&lt;/rec-number&gt;&lt;foreign-keys&gt;&lt;key app="EN" db-id="a2vz2dfp8xrad6exes75zwpiw5rxwa0vwapv" timestamp="0"&gt;31&lt;/key&gt;&lt;/foreign-keys&gt;&lt;ref-type name="Journal Article"&gt;17&lt;/ref-type&gt;&lt;contributors&gt;&lt;authors&gt;&lt;author&gt;Nonnemaker, J.&lt;/author&gt;&lt;author&gt;Hersey, J.&lt;/author&gt;&lt;author&gt;Homsi, G.&lt;/author&gt;&lt;author&gt;Busey, A.&lt;/author&gt;&lt;author&gt;Allen, J.&lt;/author&gt;&lt;author&gt;Vallone, D.&lt;/author&gt;&lt;/authors&gt;&lt;/contributors&gt;&lt;auth-address&gt;RTI International, Research Triangle Park, NC 27709-2194, USA. jnonnemaker@rti.org&lt;/auth-address&gt;&lt;titles&gt;&lt;title&gt;Initiation with menthol cigarettes and youth smoking uptake&lt;/title&gt;&lt;secondary-title&gt;Addiction&lt;/secondary-title&gt;&lt;/titles&gt;&lt;periodical&gt;&lt;full-title&gt;Addiction&lt;/full-title&gt;&lt;/periodical&gt;&lt;pages&gt;171-8&lt;/pages&gt;&lt;volume&gt;108&lt;/volume&gt;&lt;number&gt;1&lt;/number&gt;&lt;keywords&gt;&lt;keyword&gt;Adolescent&lt;/keyword&gt;&lt;keyword&gt;Age Distribution&lt;/keyword&gt;&lt;keyword&gt;Child&lt;/keyword&gt;&lt;keyword&gt;Female&lt;/keyword&gt;&lt;keyword&gt;Flavoring Agents/*adverse effects&lt;/keyword&gt;&lt;keyword&gt;Humans&lt;/keyword&gt;&lt;keyword&gt;Longitudinal Studies&lt;/keyword&gt;&lt;keyword&gt;Male&lt;/keyword&gt;&lt;keyword&gt;Menthol/*adverse effects&lt;/keyword&gt;&lt;keyword&gt;Risk Factors&lt;/keyword&gt;&lt;keyword&gt;Sex Distribution&lt;/keyword&gt;&lt;keyword&gt;Smoking/*adverse effects&lt;/keyword&gt;&lt;keyword&gt;Smoking Cessation/psychology/statistics &amp;amp; numerical data&lt;/keyword&gt;&lt;keyword&gt;Tobacco Products/*adverse effects&lt;/keyword&gt;&lt;keyword&gt;Tobacco Use Disorder/*etiology&lt;/keyword&gt;&lt;keyword&gt;United States&lt;/keyword&gt;&lt;/keywords&gt;&lt;dates&gt;&lt;year&gt;2012&lt;/year&gt;&lt;pub-dates&gt;&lt;date&gt;Jan&lt;/date&gt;&lt;/pub-dates&gt;&lt;/dates&gt;&lt;isbn&gt;1360-0443 (Electronic)&amp;#xD;0965-2140 (Linking)&lt;/isbn&gt;&lt;accession-num&gt;22862154&lt;/accession-num&gt;&lt;urls&gt;&lt;related-urls&gt;&lt;url&gt;http://www.ncbi.nlm.nih.gov/pubmed/22862154&lt;/url&gt;&lt;/related-urls&gt;&lt;/urls&gt;&lt;electronic-resource-num&gt;10.1111/j.1360-0443.2012.04045.x&lt;/electronic-resource-num&gt;&lt;research-notes&gt;#160&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2" w:tooltip="Nonnemaker, 2012 #31" w:history="1">
        <w:r w:rsidR="00A234A9">
          <w:rPr>
            <w:rFonts w:eastAsia="Calibri" w:cs="Times New Roman"/>
            <w:noProof/>
            <w:color w:val="000000"/>
          </w:rPr>
          <w:t>72</w:t>
        </w:r>
      </w:hyperlink>
      <w:r w:rsidR="00D2134A">
        <w:rPr>
          <w:rFonts w:eastAsia="Calibri" w:cs="Times New Roman"/>
          <w:noProof/>
          <w:color w:val="000000"/>
        </w:rPr>
        <w:t>)</w:t>
      </w:r>
      <w:r w:rsidR="00D2134A">
        <w:rPr>
          <w:rFonts w:eastAsia="Calibri" w:cs="Times New Roman"/>
          <w:color w:val="000000"/>
        </w:rPr>
        <w:fldChar w:fldCharType="end"/>
      </w:r>
      <w:r w:rsidR="00910335">
        <w:rPr>
          <w:rFonts w:eastAsia="Calibri" w:cs="Times New Roman"/>
          <w:color w:val="000000"/>
        </w:rPr>
        <w:t xml:space="preserve"> </w:t>
      </w:r>
      <w:r w:rsidR="008B4742">
        <w:rPr>
          <w:rFonts w:eastAsia="Calibri" w:cs="Times New Roman"/>
          <w:color w:val="000000"/>
        </w:rPr>
        <w:t>a</w:t>
      </w:r>
      <w:r w:rsidRPr="00A0218A">
        <w:rPr>
          <w:rFonts w:eastAsia="Calibri" w:cs="Times New Roman"/>
          <w:color w:val="000000"/>
        </w:rPr>
        <w:t>nalyzed data from youth who participated in the American Legacy Longitudinal Tobacco Use Reduction Study (ALLTURS)—a three-year school-based survey of middle school and high school students age 12 to 17 at baseline. The sample excluded youth who started smoking before baseline, meaning that all participants initiated smoking during the study period. Unlike the measure of init</w:t>
      </w:r>
      <w:r w:rsidR="0038266C">
        <w:rPr>
          <w:rFonts w:eastAsia="Calibri" w:cs="Times New Roman"/>
          <w:color w:val="000000"/>
        </w:rPr>
        <w:t xml:space="preserve">iation presented by Rath et al. </w:t>
      </w:r>
      <w:r w:rsidR="00D2134A">
        <w:rPr>
          <w:rFonts w:eastAsia="Calibri" w:cs="Times New Roman"/>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79" w:tooltip="Rath, 2015 #3" w:history="1">
        <w:r w:rsidR="00A234A9">
          <w:rPr>
            <w:rFonts w:eastAsia="Calibri" w:cs="Times New Roman"/>
            <w:noProof/>
            <w:color w:val="000000"/>
          </w:rPr>
          <w:t>79</w:t>
        </w:r>
      </w:hyperlink>
      <w:r w:rsidR="00D2134A">
        <w:rPr>
          <w:rFonts w:eastAsia="Calibri" w:cs="Times New Roman"/>
          <w:noProof/>
          <w:color w:val="000000"/>
        </w:rPr>
        <w:t>)</w:t>
      </w:r>
      <w:r w:rsidR="00D2134A">
        <w:rPr>
          <w:rFonts w:eastAsia="Calibri" w:cs="Times New Roman"/>
          <w:color w:val="000000"/>
        </w:rPr>
        <w:fldChar w:fldCharType="end"/>
      </w:r>
      <w:r w:rsidR="0038266C">
        <w:rPr>
          <w:rFonts w:eastAsia="Calibri" w:cs="Times New Roman"/>
          <w:color w:val="000000"/>
        </w:rPr>
        <w:t xml:space="preserve"> a</w:t>
      </w:r>
      <w:r w:rsidRPr="00A0218A">
        <w:rPr>
          <w:rFonts w:eastAsia="Calibri" w:cs="Times New Roman"/>
          <w:color w:val="000000"/>
        </w:rPr>
        <w:t xml:space="preserve">bove, this study defined initiation as the type of cigarette participants smoked </w:t>
      </w:r>
      <w:r w:rsidRPr="00A0218A">
        <w:rPr>
          <w:rFonts w:eastAsia="Calibri" w:cs="Times New Roman"/>
          <w:i/>
          <w:color w:val="000000"/>
        </w:rPr>
        <w:t>at the first time point during which they were smokers.</w:t>
      </w:r>
      <w:r w:rsidRPr="00A0218A">
        <w:rPr>
          <w:rFonts w:eastAsia="Calibri" w:cs="Times New Roman"/>
          <w:color w:val="000000"/>
        </w:rPr>
        <w:t xml:space="preserve"> Therefore, because 1) there was a period of at least one year between baseline and first time point dur</w:t>
      </w:r>
      <w:r>
        <w:rPr>
          <w:rFonts w:eastAsia="Calibri" w:cs="Times New Roman"/>
          <w:color w:val="000000"/>
        </w:rPr>
        <w:t xml:space="preserve">ing which smoking was reported; </w:t>
      </w:r>
      <w:r w:rsidRPr="00A0218A">
        <w:rPr>
          <w:rFonts w:eastAsia="Calibri" w:cs="Times New Roman"/>
          <w:color w:val="000000"/>
        </w:rPr>
        <w:t>and 2) switching cigarette types is most likely to occur early in the smoking trajectory, it cannot be assumed that the type currently smoked is the same as the type with which participants initiated. As a result, this study was considered to have reported “initiation to” menthol and is not directly comparable with the results from Rath et al</w:t>
      </w:r>
      <w:r>
        <w:rPr>
          <w:rFonts w:eastAsia="Calibri" w:cs="Times New Roman"/>
          <w:color w:val="000000"/>
        </w:rPr>
        <w:t xml:space="preserve">. </w:t>
      </w:r>
      <w:r w:rsidR="00D2134A">
        <w:rPr>
          <w:rFonts w:eastAsia="Calibri" w:cs="Times New Roman"/>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79" w:tooltip="Rath, 2015 #3" w:history="1">
        <w:r w:rsidR="00A234A9">
          <w:rPr>
            <w:rFonts w:eastAsia="Calibri" w:cs="Times New Roman"/>
            <w:noProof/>
            <w:color w:val="000000"/>
          </w:rPr>
          <w:t>79</w:t>
        </w:r>
      </w:hyperlink>
      <w:r w:rsidR="00D2134A">
        <w:rPr>
          <w:rFonts w:eastAsia="Calibri" w:cs="Times New Roman"/>
          <w:noProof/>
          <w:color w:val="000000"/>
        </w:rPr>
        <w:t>)</w:t>
      </w:r>
      <w:r w:rsidR="00D2134A">
        <w:rPr>
          <w:rFonts w:eastAsia="Calibri" w:cs="Times New Roman"/>
          <w:color w:val="000000"/>
        </w:rPr>
        <w:fldChar w:fldCharType="end"/>
      </w:r>
      <w:r>
        <w:rPr>
          <w:rFonts w:eastAsia="Calibri" w:cs="Times New Roman"/>
          <w:color w:val="000000"/>
        </w:rPr>
        <w:t>.</w:t>
      </w:r>
    </w:p>
    <w:p w14:paraId="4AA3E10B" w14:textId="0A048564" w:rsidR="004A5DCD" w:rsidRDefault="00910335" w:rsidP="00B46744">
      <w:pPr>
        <w:spacing w:after="120" w:line="240" w:lineRule="auto"/>
        <w:jc w:val="both"/>
        <w:rPr>
          <w:rFonts w:eastAsia="Calibri" w:cs="Times New Roman"/>
          <w:color w:val="000000"/>
        </w:rPr>
      </w:pPr>
      <w:r>
        <w:rPr>
          <w:rFonts w:eastAsia="Calibri" w:cs="Times New Roman"/>
          <w:color w:val="000000"/>
        </w:rPr>
        <w:t xml:space="preserve">Nonnemaker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&lt;EndNote&gt;&lt;Cite&gt;&lt;Author&gt;Nonnemaker&lt;/Author&gt;&lt;Year&gt;2012&lt;/Year&gt;&lt;RecNum&gt;31&lt;/RecNum&gt;&lt;DisplayText&gt;(72)&lt;/DisplayText&gt;&lt;record&gt;&lt;rec-number&gt;31&lt;/rec-number&gt;&lt;foreign-keys&gt;&lt;key app="EN" db-id="a2vz2dfp8xrad6exes75zwpiw5rxwa0vwapv" timestamp="0"&gt;31&lt;/key&gt;&lt;/foreign-keys&gt;&lt;ref-type name="Journal Article"&gt;17&lt;/ref-type&gt;&lt;contributors&gt;&lt;authors&gt;&lt;author&gt;Nonnemaker, J.&lt;/author&gt;&lt;author&gt;Hersey, J.&lt;/author&gt;&lt;author&gt;Homsi, G.&lt;/author&gt;&lt;author&gt;Busey, A.&lt;/author&gt;&lt;author&gt;Allen, J.&lt;/author&gt;&lt;author&gt;Vallone, D.&lt;/author&gt;&lt;/authors&gt;&lt;/contributors&gt;&lt;auth-address&gt;RTI International, Research Triangle Park, NC 27709-2194, USA. jnonnemaker@rti.org&lt;/auth-address&gt;&lt;titles&gt;&lt;title&gt;Initiation with menthol cigarettes and youth smoking uptake&lt;/title&gt;&lt;secondary-title&gt;Addiction&lt;/secondary-title&gt;&lt;/titles&gt;&lt;periodical&gt;&lt;full-title&gt;Addiction&lt;/full-title&gt;&lt;/periodical&gt;&lt;pages&gt;171-8&lt;/pages&gt;&lt;volume&gt;108&lt;/volume&gt;&lt;number&gt;1&lt;/number&gt;&lt;keywords&gt;&lt;keyword&gt;Adolescent&lt;/keyword&gt;&lt;keyword&gt;Age Distribution&lt;/keyword&gt;&lt;keyword&gt;Child&lt;/keyword&gt;&lt;keyword&gt;Female&lt;/keyword&gt;&lt;keyword&gt;Flavoring Agents/*adverse effects&lt;/keyword&gt;&lt;keyword&gt;Humans&lt;/keyword&gt;&lt;keyword&gt;Longitudinal Studies&lt;/keyword&gt;&lt;keyword&gt;Male&lt;/keyword&gt;&lt;keyword&gt;Menthol/*adverse effects&lt;/keyword&gt;&lt;keyword&gt;Risk Factors&lt;/keyword&gt;&lt;keyword&gt;Sex Distribution&lt;/keyword&gt;&lt;keyword&gt;Smoking/*adverse effects&lt;/keyword&gt;&lt;keyword&gt;Smoking Cessation/psychology/statistics &amp;amp; numerical data&lt;/keyword&gt;&lt;keyword&gt;Tobacco Products/*adverse effects&lt;/keyword&gt;&lt;keyword&gt;Tobacco Use Disorder/*etiology&lt;/keyword&gt;&lt;keyword&gt;United States&lt;/keyword&gt;&lt;/keywords&gt;&lt;dates&gt;&lt;year&gt;2012&lt;/year&gt;&lt;pub-dates&gt;&lt;date&gt;Jan&lt;/date&gt;&lt;/pub-dates&gt;&lt;/dates&gt;&lt;isbn&gt;1360-0443 (Electronic)&amp;#xD;0965-2140 (Linking)&lt;/isbn&gt;&lt;accession-num&gt;22862154&lt;/accession-num&gt;&lt;urls&gt;&lt;related-urls&gt;&lt;url&gt;http://www.ncbi.nlm.nih.gov/pubmed/22862154&lt;/url&gt;&lt;/related-urls&gt;&lt;/urls&gt;&lt;electronic-resource-num&gt;10.1111/j.1360-0443.2012.04045.x&lt;/electronic-resource-num&gt;&lt;research-notes&gt;#160&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2" w:tooltip="Nonnemaker, 2012 #31" w:history="1">
        <w:r w:rsidR="00A234A9">
          <w:rPr>
            <w:rFonts w:eastAsia="Calibri" w:cs="Times New Roman"/>
            <w:noProof/>
            <w:color w:val="000000"/>
          </w:rPr>
          <w:t>72</w:t>
        </w:r>
      </w:hyperlink>
      <w:r w:rsidR="00D2134A">
        <w:rPr>
          <w:rFonts w:eastAsia="Calibri" w:cs="Times New Roman"/>
          <w:noProof/>
          <w:color w:val="000000"/>
        </w:rPr>
        <w:t>)</w:t>
      </w:r>
      <w:r w:rsidR="00D2134A">
        <w:rPr>
          <w:rFonts w:eastAsia="Calibri" w:cs="Times New Roman"/>
          <w:color w:val="000000"/>
        </w:rPr>
        <w:fldChar w:fldCharType="end"/>
      </w:r>
      <w:r w:rsidR="004A5DCD">
        <w:rPr>
          <w:rFonts w:eastAsia="Calibri" w:cs="Times New Roman"/>
          <w:color w:val="000000"/>
        </w:rPr>
        <w:t xml:space="preserve"> </w:t>
      </w:r>
      <w:r w:rsidR="0038266C">
        <w:rPr>
          <w:rFonts w:eastAsia="Calibri" w:cs="Times New Roman"/>
          <w:color w:val="000000"/>
        </w:rPr>
        <w:t>a</w:t>
      </w:r>
      <w:r w:rsidR="00D04C52" w:rsidRPr="00A0218A">
        <w:rPr>
          <w:rFonts w:eastAsia="Calibri" w:cs="Times New Roman"/>
          <w:color w:val="000000"/>
        </w:rPr>
        <w:t xml:space="preserve">ssessed the percentage of current smokers at </w:t>
      </w:r>
      <w:r w:rsidR="00BC523B">
        <w:rPr>
          <w:rFonts w:eastAsia="Calibri" w:cs="Times New Roman"/>
          <w:color w:val="000000"/>
        </w:rPr>
        <w:t>wave three</w:t>
      </w:r>
      <w:r w:rsidR="00D04C52" w:rsidRPr="00A0218A">
        <w:rPr>
          <w:rFonts w:eastAsia="Calibri" w:cs="Times New Roman"/>
          <w:color w:val="000000"/>
        </w:rPr>
        <w:t xml:space="preserve"> who initiated to menthol cigarettes. Among current smokers in the 2012 ALLTURS data, 38.7 percent initiated </w:t>
      </w:r>
      <w:r w:rsidR="004A5DCD">
        <w:rPr>
          <w:rFonts w:eastAsia="Calibri" w:cs="Times New Roman"/>
          <w:color w:val="000000"/>
        </w:rPr>
        <w:t>with</w:t>
      </w:r>
      <w:r w:rsidR="00D04C52" w:rsidRPr="00A0218A">
        <w:rPr>
          <w:rFonts w:eastAsia="Calibri" w:cs="Times New Roman"/>
          <w:color w:val="000000"/>
        </w:rPr>
        <w:t xml:space="preserve"> menthol</w:t>
      </w:r>
      <w:r w:rsidR="004A5DCD">
        <w:rPr>
          <w:rFonts w:eastAsia="Calibri" w:cs="Times New Roman"/>
          <w:color w:val="000000"/>
        </w:rPr>
        <w:t xml:space="preserve"> (n=399)</w:t>
      </w:r>
      <w:r w:rsidR="00D04C52" w:rsidRPr="00A0218A">
        <w:rPr>
          <w:rFonts w:eastAsia="Calibri" w:cs="Times New Roman"/>
          <w:color w:val="000000"/>
        </w:rPr>
        <w:t>. A subset of the sample was characterized as non-established smokers (smoking on fewer than 20 of the past 30 days). Among non-established smokers</w:t>
      </w:r>
      <w:r w:rsidR="004A5DCD">
        <w:rPr>
          <w:rFonts w:eastAsia="Calibri" w:cs="Times New Roman"/>
          <w:color w:val="000000"/>
        </w:rPr>
        <w:t xml:space="preserve"> (n=638)</w:t>
      </w:r>
      <w:r w:rsidR="00D04C52" w:rsidRPr="00A0218A">
        <w:rPr>
          <w:rFonts w:eastAsia="Calibri" w:cs="Times New Roman"/>
          <w:color w:val="000000"/>
        </w:rPr>
        <w:t xml:space="preserve">, 32.6 percent initiated </w:t>
      </w:r>
      <w:r w:rsidR="004A5DCD">
        <w:rPr>
          <w:rFonts w:eastAsia="Calibri" w:cs="Times New Roman"/>
          <w:color w:val="000000"/>
        </w:rPr>
        <w:t>with</w:t>
      </w:r>
      <w:r w:rsidR="004A5DCD" w:rsidRPr="00A0218A">
        <w:rPr>
          <w:rFonts w:eastAsia="Calibri" w:cs="Times New Roman"/>
          <w:color w:val="000000"/>
        </w:rPr>
        <w:t xml:space="preserve"> </w:t>
      </w:r>
      <w:r w:rsidR="00D04C52" w:rsidRPr="00A0218A">
        <w:rPr>
          <w:rFonts w:eastAsia="Calibri" w:cs="Times New Roman"/>
          <w:color w:val="000000"/>
        </w:rPr>
        <w:t>menthol.</w:t>
      </w:r>
      <w:r w:rsidR="00D04C52">
        <w:rPr>
          <w:rFonts w:eastAsia="Calibri" w:cs="Times New Roman"/>
          <w:color w:val="000000"/>
        </w:rPr>
        <w:t xml:space="preserve"> </w:t>
      </w:r>
      <w:r w:rsidR="004A5DCD">
        <w:rPr>
          <w:rFonts w:eastAsia="Calibri" w:cs="Times New Roman"/>
          <w:color w:val="000000"/>
        </w:rPr>
        <w:t>Tests of statistical significance were not reported for these differences.</w:t>
      </w:r>
    </w:p>
    <w:p w14:paraId="0BFD4B87" w14:textId="5A37D5EC" w:rsidR="00D04C52" w:rsidRPr="00A0218A" w:rsidRDefault="004A5DCD" w:rsidP="00B46744">
      <w:pPr>
        <w:spacing w:after="120" w:line="240" w:lineRule="auto"/>
        <w:jc w:val="both"/>
        <w:rPr>
          <w:rFonts w:eastAsia="Calibri" w:cs="Times New Roman"/>
          <w:color w:val="000000"/>
        </w:rPr>
      </w:pPr>
      <w:r w:rsidRPr="00A0218A">
        <w:rPr>
          <w:rFonts w:eastAsia="Calibri" w:cs="Times New Roman"/>
          <w:color w:val="000000"/>
        </w:rPr>
        <w:t xml:space="preserve">In another publication that analyzed data from </w:t>
      </w:r>
      <w:r>
        <w:rPr>
          <w:rFonts w:eastAsia="Calibri" w:cs="Times New Roman"/>
          <w:color w:val="000000"/>
        </w:rPr>
        <w:t xml:space="preserve">the ALLTURS, Nonnemaker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&lt;EndNote&gt;&lt;Cite&gt;&lt;Author&gt;Nonnemaker&lt;/Author&gt;&lt;Year&gt;2010&lt;/Year&gt;&lt;RecNum&gt;97&lt;/RecNum&gt;&lt;DisplayText&gt;(73)&lt;/DisplayText&gt;&lt;record&gt;&lt;rec-number&gt;97&lt;/rec-number&gt;&lt;foreign-keys&gt;&lt;key app="EN" db-id="a2vz2dfp8xrad6exes75zwpiw5rxwa0vwapv" timestamp="0"&gt;97&lt;/key&gt;&lt;/foreign-keys&gt;&lt;ref-type name="Report"&gt;27&lt;/ref-type&gt;&lt;contributors&gt;&lt;authors&gt;&lt;author&gt;Nonnemaker, J.&lt;/author&gt;&lt;author&gt;Hersey, J.&lt;/author&gt;&lt;author&gt;Homsi, G.&lt;/author&gt;&lt;author&gt;Busey, A.&lt;/author&gt;&lt;/authors&gt;&lt;/contributors&gt;&lt;titles&gt;&lt;title&gt;Menthol cigarettes and youth smoking updake&lt;/title&gt;&lt;/titles&gt;&lt;dates&gt;&lt;year&gt;2010&lt;/year&gt;&lt;/dates&gt;&lt;pub-location&gt;RTI International&lt;/pub-location&gt;&lt;urls&gt;&lt;/urls&gt;&lt;research-notes&gt;#812&lt;/research-notes&gt;&lt;/record&gt;&lt;/Cite&gt;&lt;/EndNote&gt;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3" w:tooltip="Nonnemaker, 2010 #97" w:history="1">
        <w:r w:rsidR="00A234A9">
          <w:rPr>
            <w:rFonts w:eastAsia="Calibri" w:cs="Times New Roman"/>
            <w:noProof/>
            <w:color w:val="000000"/>
          </w:rPr>
          <w:t>73</w:t>
        </w:r>
      </w:hyperlink>
      <w:r w:rsidR="00D2134A">
        <w:rPr>
          <w:rFonts w:eastAsia="Calibri" w:cs="Times New Roman"/>
          <w:noProof/>
          <w:color w:val="000000"/>
        </w:rPr>
        <w:t>)</w:t>
      </w:r>
      <w:r w:rsidR="00D2134A">
        <w:rPr>
          <w:rFonts w:eastAsia="Calibri" w:cs="Times New Roman"/>
          <w:color w:val="000000"/>
        </w:rPr>
        <w:fldChar w:fldCharType="end"/>
      </w:r>
      <w:r>
        <w:rPr>
          <w:rFonts w:eastAsia="Calibri" w:cs="Times New Roman"/>
          <w:color w:val="000000"/>
        </w:rPr>
        <w:t xml:space="preserve"> a</w:t>
      </w:r>
      <w:r w:rsidRPr="00A0218A">
        <w:rPr>
          <w:rFonts w:eastAsia="Calibri" w:cs="Times New Roman"/>
          <w:color w:val="000000"/>
        </w:rPr>
        <w:t xml:space="preserve">ssessed the percentage of </w:t>
      </w:r>
      <w:r w:rsidR="00E1156E">
        <w:rPr>
          <w:rFonts w:eastAsia="Calibri" w:cs="Times New Roman"/>
          <w:color w:val="000000"/>
        </w:rPr>
        <w:t>White</w:t>
      </w:r>
      <w:r w:rsidRPr="00A0218A">
        <w:rPr>
          <w:rFonts w:eastAsia="Calibri" w:cs="Times New Roman"/>
          <w:color w:val="000000"/>
        </w:rPr>
        <w:t xml:space="preserve"> current smokers at </w:t>
      </w:r>
      <w:r>
        <w:rPr>
          <w:rFonts w:eastAsia="Calibri" w:cs="Times New Roman"/>
          <w:color w:val="000000"/>
        </w:rPr>
        <w:t>wave</w:t>
      </w:r>
      <w:r w:rsidRPr="00A0218A">
        <w:rPr>
          <w:rFonts w:eastAsia="Calibri" w:cs="Times New Roman"/>
          <w:color w:val="000000"/>
        </w:rPr>
        <w:t xml:space="preserve"> </w:t>
      </w:r>
      <w:r>
        <w:rPr>
          <w:rFonts w:eastAsia="Calibri" w:cs="Times New Roman"/>
          <w:color w:val="000000"/>
        </w:rPr>
        <w:t>three</w:t>
      </w:r>
      <w:r w:rsidRPr="00A0218A">
        <w:rPr>
          <w:rFonts w:eastAsia="Calibri" w:cs="Times New Roman"/>
          <w:color w:val="000000"/>
        </w:rPr>
        <w:t xml:space="preserve"> who initiated to menthol cigarettes. The authors analyzed two sets of smokers: one that included youth who started smoking during the final </w:t>
      </w:r>
      <w:r>
        <w:rPr>
          <w:rFonts w:eastAsia="Calibri" w:cs="Times New Roman"/>
          <w:color w:val="000000"/>
        </w:rPr>
        <w:t xml:space="preserve">third </w:t>
      </w:r>
      <w:r w:rsidRPr="00A0218A">
        <w:rPr>
          <w:rFonts w:eastAsia="Calibri" w:cs="Times New Roman"/>
          <w:color w:val="000000"/>
        </w:rPr>
        <w:t xml:space="preserve">wave and one that </w:t>
      </w:r>
      <w:r>
        <w:rPr>
          <w:rFonts w:eastAsia="Calibri" w:cs="Times New Roman"/>
          <w:color w:val="000000"/>
        </w:rPr>
        <w:t>excluded wave three initiators. Including those who had initiated during wave three</w:t>
      </w:r>
      <w:r w:rsidR="00D04C52" w:rsidRPr="00A0218A">
        <w:rPr>
          <w:rFonts w:eastAsia="Calibri" w:cs="Times New Roman"/>
          <w:color w:val="000000"/>
        </w:rPr>
        <w:t xml:space="preserve">, 43.0 percent of current smokers initiated to menthol; </w:t>
      </w:r>
      <w:r>
        <w:rPr>
          <w:rFonts w:eastAsia="Calibri" w:cs="Times New Roman"/>
          <w:color w:val="000000"/>
        </w:rPr>
        <w:t>excluding wave three initiators</w:t>
      </w:r>
      <w:r w:rsidR="00B54B65">
        <w:rPr>
          <w:rFonts w:eastAsia="Calibri" w:cs="Times New Roman"/>
          <w:color w:val="000000"/>
        </w:rPr>
        <w:t xml:space="preserve">, </w:t>
      </w:r>
      <w:r w:rsidR="00D04C52" w:rsidRPr="00A0218A">
        <w:rPr>
          <w:rFonts w:eastAsia="Calibri" w:cs="Times New Roman"/>
          <w:color w:val="000000"/>
        </w:rPr>
        <w:t>38.8 percent initiated to menthol.</w:t>
      </w:r>
      <w:r w:rsidR="00004C6D">
        <w:rPr>
          <w:rFonts w:eastAsia="Calibri" w:cs="Times New Roman"/>
          <w:color w:val="000000"/>
        </w:rPr>
        <w:t xml:space="preserve"> Statistical significance was not reported for either comparison and i</w:t>
      </w:r>
      <w:r w:rsidR="00004C6D" w:rsidRPr="00A0218A">
        <w:rPr>
          <w:rFonts w:eastAsia="Calibri" w:cs="Times New Roman"/>
          <w:color w:val="000000"/>
        </w:rPr>
        <w:t>t is unclear how much overlap there is in the samples used in the 2010 and 2012 publications.</w:t>
      </w:r>
    </w:p>
    <w:p w14:paraId="0F472D13" w14:textId="1A52B1E0" w:rsidR="00D04C52" w:rsidRPr="00A0218A" w:rsidRDefault="00D04C52" w:rsidP="00B46744">
      <w:pPr>
        <w:spacing w:after="240" w:line="240" w:lineRule="auto"/>
        <w:jc w:val="both"/>
        <w:rPr>
          <w:rFonts w:eastAsia="Calibri" w:cs="Times New Roman"/>
          <w:i/>
          <w:u w:val="single"/>
        </w:rPr>
      </w:pPr>
      <w:r>
        <w:rPr>
          <w:rFonts w:eastAsia="Calibri" w:cs="Times New Roman"/>
          <w:color w:val="000000"/>
        </w:rPr>
        <w:t xml:space="preserve">DiFranza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&lt;EndNote&gt;&lt;Cite&gt;&lt;Author&gt;DiFranza&lt;/Author&gt;&lt;Year&gt;2004&lt;/Year&gt;&lt;RecNum&gt;83&lt;/RecNum&gt;&lt;DisplayText&gt;(54)&lt;/DisplayText&gt;&lt;record&gt;&lt;rec-number&gt;83&lt;/rec-number&gt;&lt;foreign-keys&gt;&lt;key app="EN" db-id="a2vz2dfp8xrad6exes75zwpiw5rxwa0vwapv" timestamp="0"&gt;83&lt;/key&gt;&lt;/foreign-keys&gt;&lt;ref-type name="Journal Article"&gt;17&lt;/ref-type&gt;&lt;contributors&gt;&lt;authors&gt;&lt;author&gt;DiFranza, J.R.&lt;/author&gt;&lt;author&gt;Savageau, J.A.&lt;/author&gt;&lt;author&gt;Fletcher, K.&lt;/author&gt;&lt;author&gt;Ockene, J.K.&lt;/author&gt;&lt;author&gt;Rigotti, N.A.&lt;/author&gt;&lt;author&gt;McNeill, A.D.&lt;/author&gt;&lt;author&gt;Coleman, M.&lt;/author&gt;&lt;author&gt;Wood, C.&lt;/author&gt;&lt;/authors&gt;&lt;/contributors&gt;&lt;titles&gt;&lt;title&gt;Recollections and repercussions of the first inhaled cigarette&lt;/title&gt;&lt;secondary-title&gt;Addictive Behaviors&lt;/secondary-title&gt;&lt;/titles&gt;&lt;periodical&gt;&lt;full-title&gt;Addictive Behaviors&lt;/full-title&gt;&lt;/periodical&gt;&lt;pages&gt;261-272&lt;/pages&gt;&lt;volume&gt;29&lt;/volume&gt;&lt;number&gt;2&lt;/number&gt;&lt;dates&gt;&lt;year&gt;2004&lt;/year&gt;&lt;/dates&gt;&lt;isbn&gt;03064603&lt;/isbn&gt;&lt;urls&gt;&lt;/urls&gt;&lt;electronic-resource-num&gt;10.1016/j.addbeh.2003.08.002&lt;/electronic-resource-num&gt;&lt;research-notes&gt;#413&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54" w:tooltip="DiFranza, 2004 #83" w:history="1">
        <w:r w:rsidR="00A234A9">
          <w:rPr>
            <w:rFonts w:eastAsia="Calibri" w:cs="Times New Roman"/>
            <w:noProof/>
            <w:color w:val="000000"/>
          </w:rPr>
          <w:t>54</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reported data from a longitudinal cohort study that enrolled youth in seventh grade at baseline. Initiation data were collected from youth who had ever “inhaled on a cigarette.” A subset of 120 participants could recall whether the first cigarette they smoked was mentholated or not. Of those, 42 percent reported that the first cigarette was mentholated.</w:t>
      </w:r>
    </w:p>
    <w:p w14:paraId="3898D9C4" w14:textId="77777777" w:rsidR="00D04C52" w:rsidRPr="00A0218A" w:rsidRDefault="00D04C52" w:rsidP="00B8342F">
      <w:pPr>
        <w:spacing w:after="120" w:line="240" w:lineRule="auto"/>
        <w:jc w:val="both"/>
        <w:outlineLvl w:val="1"/>
        <w:rPr>
          <w:rFonts w:eastAsia="Calibri" w:cs="Times New Roman"/>
          <w:i/>
          <w:color w:val="000000"/>
          <w:u w:val="single"/>
        </w:rPr>
      </w:pPr>
      <w:r w:rsidRPr="00E01B98">
        <w:rPr>
          <w:rFonts w:eastAsia="Calibri" w:cs="Times New Roman"/>
          <w:i/>
          <w:color w:val="000000"/>
          <w:u w:val="single"/>
        </w:rPr>
        <w:t xml:space="preserve">Unadjusted </w:t>
      </w:r>
      <w:r w:rsidR="00A24F70">
        <w:rPr>
          <w:rFonts w:eastAsia="Calibri" w:cs="Times New Roman"/>
          <w:i/>
          <w:color w:val="000000"/>
          <w:u w:val="single"/>
        </w:rPr>
        <w:t xml:space="preserve">Results: </w:t>
      </w:r>
      <w:r w:rsidRPr="00E01B98">
        <w:rPr>
          <w:rFonts w:eastAsia="Calibri" w:cs="Times New Roman"/>
          <w:i/>
          <w:color w:val="000000"/>
          <w:u w:val="single"/>
        </w:rPr>
        <w:t>Switch</w:t>
      </w:r>
      <w:r w:rsidR="00A24F70">
        <w:rPr>
          <w:rFonts w:eastAsia="Calibri" w:cs="Times New Roman"/>
          <w:i/>
          <w:color w:val="000000"/>
          <w:u w:val="single"/>
        </w:rPr>
        <w:t>ing Between Menthol/Non-M</w:t>
      </w:r>
      <w:r w:rsidRPr="00E01B98">
        <w:rPr>
          <w:rFonts w:eastAsia="Calibri" w:cs="Times New Roman"/>
          <w:i/>
          <w:color w:val="000000"/>
          <w:u w:val="single"/>
        </w:rPr>
        <w:t xml:space="preserve">enthol </w:t>
      </w:r>
      <w:r w:rsidR="00A24F70">
        <w:rPr>
          <w:rFonts w:eastAsia="Calibri" w:cs="Times New Roman"/>
          <w:i/>
          <w:color w:val="000000"/>
          <w:u w:val="single"/>
        </w:rPr>
        <w:t>Cigarettes</w:t>
      </w:r>
    </w:p>
    <w:p w14:paraId="5AE6FFF4" w14:textId="11BB9B6B" w:rsidR="00D04C52" w:rsidRPr="00A0218A" w:rsidRDefault="00D04C52" w:rsidP="00B46744">
      <w:pPr>
        <w:spacing w:after="120" w:line="240" w:lineRule="auto"/>
        <w:jc w:val="both"/>
        <w:rPr>
          <w:rFonts w:eastAsia="Calibri" w:cs="Times New Roman"/>
          <w:i/>
          <w:color w:val="000000"/>
        </w:rPr>
      </w:pPr>
      <w:r w:rsidRPr="00A0218A">
        <w:rPr>
          <w:rFonts w:eastAsia="Calibri" w:cs="Times New Roman"/>
          <w:i/>
          <w:color w:val="000000"/>
        </w:rPr>
        <w:t>Seven studies, all cohort studies, presented unadjusted analyses that summarized the percent of smokers who switched between menthol and non-menthol cigarettes</w:t>
      </w:r>
      <w:r w:rsidR="008151AA">
        <w:rPr>
          <w:rFonts w:eastAsia="Calibri" w:cs="Times New Roman"/>
          <w:i/>
          <w:color w:val="000000"/>
        </w:rPr>
        <w:t xml:space="preserve"> </w:t>
      </w:r>
      <w:r w:rsidR="00D2134A">
        <w:rPr>
          <w:rFonts w:eastAsia="Calibri" w:cs="Times New Roman"/>
          <w:i/>
          <w:color w:val="000000"/>
        </w:rPr>
        <w:fldChar w:fldCharType="begin">
          <w:fldData xml:space="preserve">PEVuZE5vdGU+PENpdGU+PEF1dGhvcj5IeWxhbmQ8L0F1dGhvcj48WWVhcj4yMDEwPC9ZZWFyPjxS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PEVuZE5vdGU+PENpdGU+PEF1dGhvcj5IeWxhbmQ8L0F1dGhvcj48WWVhcj4yMDEwPC9ZZWFyPjxS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66" w:tooltip="Hyland, 2010 #100" w:history="1">
        <w:r w:rsidR="00A234A9">
          <w:rPr>
            <w:rFonts w:eastAsia="Calibri" w:cs="Times New Roman"/>
            <w:i/>
            <w:noProof/>
            <w:color w:val="000000"/>
          </w:rPr>
          <w:t>66</w:t>
        </w:r>
      </w:hyperlink>
      <w:r w:rsidR="00D2134A">
        <w:rPr>
          <w:rFonts w:eastAsia="Calibri" w:cs="Times New Roman"/>
          <w:i/>
          <w:noProof/>
          <w:color w:val="000000"/>
        </w:rPr>
        <w:t xml:space="preserve">, </w:t>
      </w:r>
      <w:hyperlink w:anchor="_ENREF_69" w:tooltip="Kasza, 2014 #16" w:history="1">
        <w:r w:rsidR="00A234A9">
          <w:rPr>
            <w:rFonts w:eastAsia="Calibri" w:cs="Times New Roman"/>
            <w:i/>
            <w:noProof/>
            <w:color w:val="000000"/>
          </w:rPr>
          <w:t>69</w:t>
        </w:r>
      </w:hyperlink>
      <w:r w:rsidR="00D2134A">
        <w:rPr>
          <w:rFonts w:eastAsia="Calibri" w:cs="Times New Roman"/>
          <w:i/>
          <w:noProof/>
          <w:color w:val="000000"/>
        </w:rPr>
        <w:t xml:space="preserve">, </w:t>
      </w:r>
      <w:hyperlink w:anchor="_ENREF_72" w:tooltip="Nonnemaker, 2012 #31" w:history="1">
        <w:r w:rsidR="00A234A9">
          <w:rPr>
            <w:rFonts w:eastAsia="Calibri" w:cs="Times New Roman"/>
            <w:i/>
            <w:noProof/>
            <w:color w:val="000000"/>
          </w:rPr>
          <w:t>72</w:t>
        </w:r>
      </w:hyperlink>
      <w:r w:rsidR="00D2134A">
        <w:rPr>
          <w:rFonts w:eastAsia="Calibri" w:cs="Times New Roman"/>
          <w:i/>
          <w:noProof/>
          <w:color w:val="000000"/>
        </w:rPr>
        <w:t xml:space="preserve">, </w:t>
      </w:r>
      <w:hyperlink w:anchor="_ENREF_73" w:tooltip="Nonnemaker, 2010 #97" w:history="1">
        <w:r w:rsidR="00A234A9">
          <w:rPr>
            <w:rFonts w:eastAsia="Calibri" w:cs="Times New Roman"/>
            <w:i/>
            <w:noProof/>
            <w:color w:val="000000"/>
          </w:rPr>
          <w:t>73</w:t>
        </w:r>
      </w:hyperlink>
      <w:r w:rsidR="00D2134A">
        <w:rPr>
          <w:rFonts w:eastAsia="Calibri" w:cs="Times New Roman"/>
          <w:i/>
          <w:noProof/>
          <w:color w:val="000000"/>
        </w:rPr>
        <w:t xml:space="preserve">, </w:t>
      </w:r>
      <w:hyperlink w:anchor="_ENREF_78" w:tooltip="Pletcher, 2006 #78" w:history="1">
        <w:r w:rsidR="00A234A9">
          <w:rPr>
            <w:rFonts w:eastAsia="Calibri" w:cs="Times New Roman"/>
            <w:i/>
            <w:noProof/>
            <w:color w:val="000000"/>
          </w:rPr>
          <w:t>78</w:t>
        </w:r>
      </w:hyperlink>
      <w:r w:rsidR="00D2134A">
        <w:rPr>
          <w:rFonts w:eastAsia="Calibri" w:cs="Times New Roman"/>
          <w:i/>
          <w:noProof/>
          <w:color w:val="000000"/>
        </w:rPr>
        <w:t xml:space="preserve">, </w:t>
      </w:r>
      <w:hyperlink w:anchor="_ENREF_79" w:tooltip="Rath, 2015 #3" w:history="1">
        <w:r w:rsidR="00A234A9">
          <w:rPr>
            <w:rFonts w:eastAsia="Calibri" w:cs="Times New Roman"/>
            <w:i/>
            <w:noProof/>
            <w:color w:val="000000"/>
          </w:rPr>
          <w:t>79</w:t>
        </w:r>
      </w:hyperlink>
      <w:r w:rsidR="00D2134A">
        <w:rPr>
          <w:rFonts w:eastAsia="Calibri" w:cs="Times New Roman"/>
          <w:i/>
          <w:noProof/>
          <w:color w:val="000000"/>
        </w:rPr>
        <w:t xml:space="preserve">, </w:t>
      </w:r>
      <w:hyperlink w:anchor="_ENREF_86" w:tooltip="Villanti, 2012 #37" w:history="1">
        <w:r w:rsidR="00A234A9">
          <w:rPr>
            <w:rFonts w:eastAsia="Calibri" w:cs="Times New Roman"/>
            <w:i/>
            <w:noProof/>
            <w:color w:val="000000"/>
          </w:rPr>
          <w:t>86</w:t>
        </w:r>
      </w:hyperlink>
      <w:r w:rsidR="00D2134A">
        <w:rPr>
          <w:rFonts w:eastAsia="Calibri" w:cs="Times New Roman"/>
          <w:i/>
          <w:noProof/>
          <w:color w:val="000000"/>
        </w:rPr>
        <w:t>)</w:t>
      </w:r>
      <w:r w:rsidR="00D2134A">
        <w:rPr>
          <w:rFonts w:eastAsia="Calibri" w:cs="Times New Roman"/>
          <w:i/>
          <w:color w:val="000000"/>
        </w:rPr>
        <w:fldChar w:fldCharType="end"/>
      </w:r>
      <w:r w:rsidRPr="00A0218A">
        <w:rPr>
          <w:rFonts w:eastAsia="Calibri" w:cs="Times New Roman"/>
          <w:i/>
          <w:color w:val="000000"/>
        </w:rPr>
        <w:t>. Two studies enrolled only young adults</w:t>
      </w:r>
      <w:r w:rsidR="00E830EF">
        <w:rPr>
          <w:rFonts w:eastAsia="Calibri" w:cs="Times New Roman"/>
          <w:i/>
          <w:color w:val="000000"/>
        </w:rPr>
        <w:t xml:space="preserve"> </w:t>
      </w:r>
      <w:r w:rsidR="00D2134A">
        <w:rPr>
          <w:rFonts w:eastAsia="Calibri" w:cs="Times New Roman"/>
          <w:i/>
          <w:color w:val="000000"/>
        </w:rPr>
        <w:fldChar w:fldCharType="begin">
          <w:fldData xml:space="preserve">PEVuZE5vdGU+PENpdGU+PEF1dGhvcj5QbGV0Y2hlcjwvQXV0aG9yPjxZZWFyPjIwMDY8L1llYXI+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=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PEVuZE5vdGU+PENpdGU+PEF1dGhvcj5QbGV0Y2hlcjwvQXV0aG9yPjxZZWFyPjIwMDY8L1llYXI+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=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8" w:tooltip="Pletcher, 2006 #78" w:history="1">
        <w:r w:rsidR="00A234A9">
          <w:rPr>
            <w:rFonts w:eastAsia="Calibri" w:cs="Times New Roman"/>
            <w:i/>
            <w:noProof/>
            <w:color w:val="000000"/>
          </w:rPr>
          <w:t>78</w:t>
        </w:r>
      </w:hyperlink>
      <w:r w:rsidR="00D2134A">
        <w:rPr>
          <w:rFonts w:eastAsia="Calibri" w:cs="Times New Roman"/>
          <w:i/>
          <w:noProof/>
          <w:color w:val="000000"/>
        </w:rPr>
        <w:t xml:space="preserve">, </w:t>
      </w:r>
      <w:hyperlink w:anchor="_ENREF_79" w:tooltip="Rath, 2015 #3" w:history="1">
        <w:r w:rsidR="00A234A9">
          <w:rPr>
            <w:rFonts w:eastAsia="Calibri" w:cs="Times New Roman"/>
            <w:i/>
            <w:noProof/>
            <w:color w:val="000000"/>
          </w:rPr>
          <w:t>79</w:t>
        </w:r>
      </w:hyperlink>
      <w:r w:rsidR="00D2134A">
        <w:rPr>
          <w:rFonts w:eastAsia="Calibri" w:cs="Times New Roman"/>
          <w:i/>
          <w:noProof/>
          <w:color w:val="000000"/>
        </w:rPr>
        <w:t>)</w:t>
      </w:r>
      <w:r w:rsidR="00D2134A">
        <w:rPr>
          <w:rFonts w:eastAsia="Calibri" w:cs="Times New Roman"/>
          <w:i/>
          <w:color w:val="000000"/>
        </w:rPr>
        <w:fldChar w:fldCharType="end"/>
      </w:r>
      <w:r w:rsidRPr="00A0218A">
        <w:rPr>
          <w:rFonts w:eastAsia="Calibri" w:cs="Times New Roman"/>
          <w:i/>
          <w:color w:val="000000"/>
        </w:rPr>
        <w:t xml:space="preserve">, two enrolled only youth (it is likely that the samples overlap </w:t>
      </w:r>
      <w:r w:rsidRPr="00A0218A">
        <w:rPr>
          <w:rFonts w:eastAsia="Calibri" w:cs="Times New Roman"/>
          <w:i/>
          <w:color w:val="000000"/>
        </w:rPr>
        <w:lastRenderedPageBreak/>
        <w:t>significantly)</w:t>
      </w:r>
      <w:r w:rsidR="00E830EF">
        <w:rPr>
          <w:rFonts w:eastAsia="Calibri" w:cs="Times New Roman"/>
          <w:i/>
          <w:color w:val="000000"/>
        </w:rPr>
        <w:t xml:space="preserve"> </w:t>
      </w:r>
      <w:r w:rsidR="00D2134A">
        <w:rPr>
          <w:rFonts w:eastAsia="Calibri" w:cs="Times New Roman"/>
          <w:i/>
          <w:color w:val="000000"/>
        </w:rPr>
        <w:fldChar w:fldCharType="begin">
          <w:fldData xml:space="preserve">PEVuZE5vdGU+PENpdGU+PEF1dGhvcj5Ob25uZW1ha2VyPC9BdXRob3I+PFllYXI+MjAxMDwvWWVh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PEVuZE5vdGU+PENpdGU+PEF1dGhvcj5Ob25uZW1ha2VyPC9BdXRob3I+PFllYXI+MjAxMDwvWWVh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2" w:tooltip="Nonnemaker, 2012 #31" w:history="1">
        <w:r w:rsidR="00A234A9">
          <w:rPr>
            <w:rFonts w:eastAsia="Calibri" w:cs="Times New Roman"/>
            <w:i/>
            <w:noProof/>
            <w:color w:val="000000"/>
          </w:rPr>
          <w:t>72</w:t>
        </w:r>
      </w:hyperlink>
      <w:r w:rsidR="00D2134A">
        <w:rPr>
          <w:rFonts w:eastAsia="Calibri" w:cs="Times New Roman"/>
          <w:i/>
          <w:noProof/>
          <w:color w:val="000000"/>
        </w:rPr>
        <w:t xml:space="preserve">, </w:t>
      </w:r>
      <w:hyperlink w:anchor="_ENREF_73" w:tooltip="Nonnemaker, 2010 #97" w:history="1">
        <w:r w:rsidR="00A234A9">
          <w:rPr>
            <w:rFonts w:eastAsia="Calibri" w:cs="Times New Roman"/>
            <w:i/>
            <w:noProof/>
            <w:color w:val="000000"/>
          </w:rPr>
          <w:t>73</w:t>
        </w:r>
      </w:hyperlink>
      <w:r w:rsidR="00D2134A">
        <w:rPr>
          <w:rFonts w:eastAsia="Calibri" w:cs="Times New Roman"/>
          <w:i/>
          <w:noProof/>
          <w:color w:val="000000"/>
        </w:rPr>
        <w:t>)</w:t>
      </w:r>
      <w:r w:rsidR="00D2134A">
        <w:rPr>
          <w:rFonts w:eastAsia="Calibri" w:cs="Times New Roman"/>
          <w:i/>
          <w:color w:val="000000"/>
        </w:rPr>
        <w:fldChar w:fldCharType="end"/>
      </w:r>
      <w:r w:rsidRPr="00A0218A">
        <w:rPr>
          <w:rFonts w:eastAsia="Calibri" w:cs="Times New Roman"/>
          <w:i/>
          <w:color w:val="000000"/>
        </w:rPr>
        <w:t>, one enrolled both youth and young adults</w:t>
      </w:r>
      <w:r w:rsidR="00F14CB1">
        <w:rPr>
          <w:rFonts w:eastAsia="Calibri" w:cs="Times New Roman"/>
          <w:i/>
          <w:color w:val="000000"/>
        </w:rPr>
        <w:t xml:space="preserve"> </w:t>
      </w:r>
      <w:r w:rsidR="00D2134A">
        <w:rPr>
          <w:rFonts w:eastAsia="Calibri" w:cs="Times New Roman"/>
          <w:i/>
          <w:color w:val="000000"/>
        </w:rPr>
        <w:fldChar w:fldCharType="begin"/>
      </w:r>
      <w:r w:rsidR="00D2134A">
        <w:rPr>
          <w:rFonts w:eastAsia="Calibri" w:cs="Times New Roman"/>
          <w:i/>
          <w:color w:val="000000"/>
        </w:rPr>
        <w:instrText xml:space="preserve"> ADDIN EN.CITE &lt;EndNote&gt;&lt;Cite&gt;&lt;Author&gt;Villanti&lt;/Author&gt;&lt;Year&gt;2012&lt;/Year&gt;&lt;RecNum&gt;37&lt;/RecNum&gt;&lt;DisplayText&gt;(86)&lt;/DisplayText&gt;&lt;record&gt;&lt;rec-number&gt;37&lt;/rec-number&gt;&lt;foreign-keys&gt;&lt;key app="EN" db-id="a2vz2dfp8xrad6exes75zwpiw5rxwa0vwapv" timestamp="0"&gt;37&lt;/key&gt;&lt;/foreign-keys&gt;&lt;ref-type name="Journal Article"&gt;17&lt;/ref-type&gt;&lt;contributors&gt;&lt;authors&gt;&lt;author&gt;Villanti, A. C. &lt;/author&gt;&lt;author&gt;Giovino, G. A.&lt;/author&gt;&lt;author&gt;Barker, D. C.&lt;/author&gt;&lt;author&gt;Mowery, P.&lt;/author&gt;&lt;author&gt;Sevilimedu, V.&lt;/author&gt;&lt;author&gt;Abrams, D. B.&lt;/author&gt;&lt;/authors&gt;&lt;/contributors&gt;&lt;titles&gt;&lt;title&gt;Menthol brand switching among adolescents and young adults in the national youth smoking cessation survey&lt;/title&gt;&lt;secondary-title&gt;Am J Public Health&lt;/secondary-title&gt;&lt;/titles&gt;&lt;periodical&gt;&lt;full-title&gt;Am J Public Health&lt;/full-title&gt;&lt;/periodical&gt;&lt;pages&gt;1310-12&lt;/pages&gt;&lt;volume&gt;102&lt;/volume&gt;&lt;number&gt;7&lt;/number&gt;&lt;dates&gt;&lt;year&gt;2012&lt;/year&gt;&lt;pub-dates&gt;&lt;date&gt;Oct&lt;/date&gt;&lt;/pub-dates&gt;&lt;/dates&gt;&lt;urls&gt;&lt;/urls&gt;&lt;research-notes&gt;#191&lt;/research-notes&gt;&lt;/record&gt;&lt;/Cite&gt;&lt;/EndNote&gt;</w:instrText>
      </w:r>
      <w:r w:rsidR="00D2134A">
        <w:rPr>
          <w:rFonts w:eastAsia="Calibri" w:cs="Times New Roman"/>
          <w:i/>
          <w:color w:val="000000"/>
        </w:rPr>
        <w:fldChar w:fldCharType="separate"/>
      </w:r>
      <w:r w:rsidR="00D2134A">
        <w:rPr>
          <w:rFonts w:eastAsia="Calibri" w:cs="Times New Roman"/>
          <w:i/>
          <w:noProof/>
          <w:color w:val="000000"/>
        </w:rPr>
        <w:t>(</w:t>
      </w:r>
      <w:hyperlink w:anchor="_ENREF_86" w:tooltip="Villanti, 2012 #37" w:history="1">
        <w:r w:rsidR="00A234A9">
          <w:rPr>
            <w:rFonts w:eastAsia="Calibri" w:cs="Times New Roman"/>
            <w:i/>
            <w:noProof/>
            <w:color w:val="000000"/>
          </w:rPr>
          <w:t>86</w:t>
        </w:r>
      </w:hyperlink>
      <w:r w:rsidR="00D2134A">
        <w:rPr>
          <w:rFonts w:eastAsia="Calibri" w:cs="Times New Roman"/>
          <w:i/>
          <w:noProof/>
          <w:color w:val="000000"/>
        </w:rPr>
        <w:t>)</w:t>
      </w:r>
      <w:r w:rsidR="00D2134A">
        <w:rPr>
          <w:rFonts w:eastAsia="Calibri" w:cs="Times New Roman"/>
          <w:i/>
          <w:color w:val="000000"/>
        </w:rPr>
        <w:fldChar w:fldCharType="end"/>
      </w:r>
      <w:r w:rsidRPr="00A0218A">
        <w:rPr>
          <w:rFonts w:eastAsia="Calibri" w:cs="Times New Roman"/>
          <w:i/>
          <w:color w:val="000000"/>
        </w:rPr>
        <w:t>, and two enrolled adults</w:t>
      </w:r>
      <w:r w:rsidR="008151AA">
        <w:rPr>
          <w:rFonts w:eastAsia="Calibri" w:cs="Times New Roman"/>
          <w:i/>
          <w:color w:val="000000"/>
        </w:rPr>
        <w:t xml:space="preserve"> </w:t>
      </w:r>
      <w:r w:rsidR="00D2134A">
        <w:rPr>
          <w:rFonts w:eastAsia="Calibri" w:cs="Times New Roman"/>
          <w:i/>
          <w:color w:val="000000"/>
        </w:rPr>
        <w:fldChar w:fldCharType="begin">
          <w:fldData xml:space="preserve">PEVuZE5vdGU+PENpdGU+PEF1dGhvcj5IeWxhbmQ8L0F1dGhvcj48WWVhcj4yMDEwPC9ZZWFyPjxS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PEVuZE5vdGU+PENpdGU+PEF1dGhvcj5IeWxhbmQ8L0F1dGhvcj48WWVhcj4yMDEwPC9ZZWFyPjxS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66" w:tooltip="Hyland, 2010 #100" w:history="1">
        <w:r w:rsidR="00A234A9">
          <w:rPr>
            <w:rFonts w:eastAsia="Calibri" w:cs="Times New Roman"/>
            <w:i/>
            <w:noProof/>
            <w:color w:val="000000"/>
          </w:rPr>
          <w:t>66</w:t>
        </w:r>
      </w:hyperlink>
      <w:r w:rsidR="00D2134A">
        <w:rPr>
          <w:rFonts w:eastAsia="Calibri" w:cs="Times New Roman"/>
          <w:i/>
          <w:noProof/>
          <w:color w:val="000000"/>
        </w:rPr>
        <w:t xml:space="preserve">, </w:t>
      </w:r>
      <w:hyperlink w:anchor="_ENREF_69" w:tooltip="Kasza, 2014 #16" w:history="1">
        <w:r w:rsidR="00A234A9">
          <w:rPr>
            <w:rFonts w:eastAsia="Calibri" w:cs="Times New Roman"/>
            <w:i/>
            <w:noProof/>
            <w:color w:val="000000"/>
          </w:rPr>
          <w:t>69</w:t>
        </w:r>
      </w:hyperlink>
      <w:r w:rsidR="00D2134A">
        <w:rPr>
          <w:rFonts w:eastAsia="Calibri" w:cs="Times New Roman"/>
          <w:i/>
          <w:noProof/>
          <w:color w:val="000000"/>
        </w:rPr>
        <w:t>)</w:t>
      </w:r>
      <w:r w:rsidR="00D2134A">
        <w:rPr>
          <w:rFonts w:eastAsia="Calibri" w:cs="Times New Roman"/>
          <w:i/>
          <w:color w:val="000000"/>
        </w:rPr>
        <w:fldChar w:fldCharType="end"/>
      </w:r>
      <w:r w:rsidRPr="00A0218A">
        <w:rPr>
          <w:rFonts w:eastAsia="Calibri" w:cs="Times New Roman"/>
          <w:i/>
          <w:color w:val="000000"/>
        </w:rPr>
        <w:t xml:space="preserve">. Sample sizes ranged from 267 to 2,095 participants. Five of the studies were rated “good” quality </w:t>
      </w:r>
      <w:r w:rsidR="00D2134A">
        <w:rPr>
          <w:rFonts w:eastAsia="Calibri" w:cs="Times New Roman"/>
          <w:i/>
          <w:color w:val="000000"/>
        </w:rPr>
        <w:fldChar w:fldCharType="begin">
          <w:fldData xml:space="preserve">PEVuZE5vdGU+PENpdGU+PEF1dGhvcj5IeWxhbmQ8L0F1dGhvcj48WWVhcj4yMDEwPC9ZZWFyPjxS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PEVuZE5vdGU+PENpdGU+PEF1dGhvcj5IeWxhbmQ8L0F1dGhvcj48WWVhcj4yMDEwPC9ZZWFyPjxS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66" w:tooltip="Hyland, 2010 #100" w:history="1">
        <w:r w:rsidR="00A234A9">
          <w:rPr>
            <w:rFonts w:eastAsia="Calibri" w:cs="Times New Roman"/>
            <w:i/>
            <w:noProof/>
            <w:color w:val="000000"/>
          </w:rPr>
          <w:t>66</w:t>
        </w:r>
      </w:hyperlink>
      <w:r w:rsidR="00D2134A">
        <w:rPr>
          <w:rFonts w:eastAsia="Calibri" w:cs="Times New Roman"/>
          <w:i/>
          <w:noProof/>
          <w:color w:val="000000"/>
        </w:rPr>
        <w:t xml:space="preserve">, </w:t>
      </w:r>
      <w:hyperlink w:anchor="_ENREF_72" w:tooltip="Nonnemaker, 2012 #31" w:history="1">
        <w:r w:rsidR="00A234A9">
          <w:rPr>
            <w:rFonts w:eastAsia="Calibri" w:cs="Times New Roman"/>
            <w:i/>
            <w:noProof/>
            <w:color w:val="000000"/>
          </w:rPr>
          <w:t>72</w:t>
        </w:r>
      </w:hyperlink>
      <w:r w:rsidR="00D2134A">
        <w:rPr>
          <w:rFonts w:eastAsia="Calibri" w:cs="Times New Roman"/>
          <w:i/>
          <w:noProof/>
          <w:color w:val="000000"/>
        </w:rPr>
        <w:t xml:space="preserve">, </w:t>
      </w:r>
      <w:hyperlink w:anchor="_ENREF_73" w:tooltip="Nonnemaker, 2010 #97" w:history="1">
        <w:r w:rsidR="00A234A9">
          <w:rPr>
            <w:rFonts w:eastAsia="Calibri" w:cs="Times New Roman"/>
            <w:i/>
            <w:noProof/>
            <w:color w:val="000000"/>
          </w:rPr>
          <w:t>73</w:t>
        </w:r>
      </w:hyperlink>
      <w:r w:rsidR="00D2134A">
        <w:rPr>
          <w:rFonts w:eastAsia="Calibri" w:cs="Times New Roman"/>
          <w:i/>
          <w:noProof/>
          <w:color w:val="000000"/>
        </w:rPr>
        <w:t xml:space="preserve">, </w:t>
      </w:r>
      <w:hyperlink w:anchor="_ENREF_78" w:tooltip="Pletcher, 2006 #78" w:history="1">
        <w:r w:rsidR="00A234A9">
          <w:rPr>
            <w:rFonts w:eastAsia="Calibri" w:cs="Times New Roman"/>
            <w:i/>
            <w:noProof/>
            <w:color w:val="000000"/>
          </w:rPr>
          <w:t>78</w:t>
        </w:r>
      </w:hyperlink>
      <w:r w:rsidR="00D2134A">
        <w:rPr>
          <w:rFonts w:eastAsia="Calibri" w:cs="Times New Roman"/>
          <w:i/>
          <w:noProof/>
          <w:color w:val="000000"/>
        </w:rPr>
        <w:t xml:space="preserve">, </w:t>
      </w:r>
      <w:hyperlink w:anchor="_ENREF_86" w:tooltip="Villanti, 2012 #37" w:history="1">
        <w:r w:rsidR="00A234A9">
          <w:rPr>
            <w:rFonts w:eastAsia="Calibri" w:cs="Times New Roman"/>
            <w:i/>
            <w:noProof/>
            <w:color w:val="000000"/>
          </w:rPr>
          <w:t>86</w:t>
        </w:r>
      </w:hyperlink>
      <w:r w:rsidR="00D2134A">
        <w:rPr>
          <w:rFonts w:eastAsia="Calibri" w:cs="Times New Roman"/>
          <w:i/>
          <w:noProof/>
          <w:color w:val="000000"/>
        </w:rPr>
        <w:t>)</w:t>
      </w:r>
      <w:r w:rsidR="00D2134A">
        <w:rPr>
          <w:rFonts w:eastAsia="Calibri" w:cs="Times New Roman"/>
          <w:i/>
          <w:color w:val="000000"/>
        </w:rPr>
        <w:fldChar w:fldCharType="end"/>
      </w:r>
      <w:r w:rsidR="00F14CB1">
        <w:rPr>
          <w:rFonts w:eastAsia="Calibri" w:cs="Times New Roman"/>
          <w:i/>
          <w:color w:val="000000"/>
        </w:rPr>
        <w:t xml:space="preserve"> </w:t>
      </w:r>
      <w:r w:rsidRPr="00A0218A">
        <w:rPr>
          <w:rFonts w:eastAsia="Calibri" w:cs="Times New Roman"/>
          <w:i/>
          <w:color w:val="000000"/>
        </w:rPr>
        <w:t>and two were rated “fair”</w:t>
      </w:r>
      <w:r w:rsidR="00F14CB1">
        <w:rPr>
          <w:rFonts w:eastAsia="Calibri" w:cs="Times New Roman"/>
          <w:i/>
          <w:color w:val="000000"/>
        </w:rPr>
        <w:t xml:space="preserve"> </w:t>
      </w:r>
      <w:r w:rsidR="00D2134A">
        <w:rPr>
          <w:rFonts w:eastAsia="Calibri" w:cs="Times New Roman"/>
          <w:i/>
          <w:color w:val="000000"/>
        </w:rPr>
        <w:fldChar w:fldCharType="begin">
          <w:fldData xml:space="preserve">PEVuZE5vdGU+PENpdGU+PEF1dGhvcj5LYXN6YTwvQXV0aG9yPjxZZWFyPjIwMTQ8L1llYXI+PFJl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PEVuZE5vdGU+PENpdGU+PEF1dGhvcj5LYXN6YTwvQXV0aG9yPjxZZWFyPjIwMTQ8L1llYXI+PFJl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69" w:tooltip="Kasza, 2014 #16" w:history="1">
        <w:r w:rsidR="00A234A9">
          <w:rPr>
            <w:rFonts w:eastAsia="Calibri" w:cs="Times New Roman"/>
            <w:i/>
            <w:noProof/>
            <w:color w:val="000000"/>
          </w:rPr>
          <w:t>69</w:t>
        </w:r>
      </w:hyperlink>
      <w:r w:rsidR="00D2134A">
        <w:rPr>
          <w:rFonts w:eastAsia="Calibri" w:cs="Times New Roman"/>
          <w:i/>
          <w:noProof/>
          <w:color w:val="000000"/>
        </w:rPr>
        <w:t xml:space="preserve">, </w:t>
      </w:r>
      <w:hyperlink w:anchor="_ENREF_79" w:tooltip="Rath, 2015 #3" w:history="1">
        <w:r w:rsidR="00A234A9">
          <w:rPr>
            <w:rFonts w:eastAsia="Calibri" w:cs="Times New Roman"/>
            <w:i/>
            <w:noProof/>
            <w:color w:val="000000"/>
          </w:rPr>
          <w:t>79</w:t>
        </w:r>
      </w:hyperlink>
      <w:r w:rsidR="00D2134A">
        <w:rPr>
          <w:rFonts w:eastAsia="Calibri" w:cs="Times New Roman"/>
          <w:i/>
          <w:noProof/>
          <w:color w:val="000000"/>
        </w:rPr>
        <w:t>)</w:t>
      </w:r>
      <w:r w:rsidR="00D2134A">
        <w:rPr>
          <w:rFonts w:eastAsia="Calibri" w:cs="Times New Roman"/>
          <w:i/>
          <w:color w:val="000000"/>
        </w:rPr>
        <w:fldChar w:fldCharType="end"/>
      </w:r>
      <w:r w:rsidR="00F14CB1">
        <w:rPr>
          <w:rFonts w:eastAsia="Calibri" w:cs="Times New Roman"/>
          <w:i/>
          <w:color w:val="000000"/>
        </w:rPr>
        <w:t>.</w:t>
      </w:r>
    </w:p>
    <w:p w14:paraId="6AF625FB" w14:textId="6269638B" w:rsidR="00A20AE4" w:rsidRDefault="00D04C52" w:rsidP="00B46744">
      <w:pPr>
        <w:spacing w:after="120" w:line="240" w:lineRule="auto"/>
        <w:jc w:val="both"/>
        <w:rPr>
          <w:rFonts w:eastAsia="Calibri" w:cs="Times New Roman"/>
          <w:i/>
          <w:color w:val="000000"/>
        </w:rPr>
      </w:pPr>
      <w:r>
        <w:rPr>
          <w:rFonts w:eastAsia="Calibri" w:cs="Times New Roman"/>
          <w:i/>
          <w:color w:val="000000"/>
        </w:rPr>
        <w:t>The findings on s</w:t>
      </w:r>
      <w:r w:rsidRPr="00A0218A">
        <w:rPr>
          <w:rFonts w:eastAsia="Calibri" w:cs="Times New Roman"/>
          <w:i/>
          <w:color w:val="000000"/>
        </w:rPr>
        <w:t>witching cigarette types were mixed</w:t>
      </w:r>
      <w:r w:rsidR="00A6626A">
        <w:rPr>
          <w:rFonts w:eastAsia="Calibri" w:cs="Times New Roman"/>
          <w:i/>
          <w:color w:val="000000"/>
        </w:rPr>
        <w:t xml:space="preserve"> with </w:t>
      </w:r>
      <w:r w:rsidR="00825DD4">
        <w:rPr>
          <w:rFonts w:eastAsia="Calibri" w:cs="Times New Roman"/>
          <w:i/>
          <w:color w:val="000000"/>
        </w:rPr>
        <w:t>two studies</w:t>
      </w:r>
      <w:r w:rsidR="00A6626A">
        <w:rPr>
          <w:rFonts w:eastAsia="Calibri" w:cs="Times New Roman"/>
          <w:i/>
          <w:color w:val="000000"/>
        </w:rPr>
        <w:t xml:space="preserve"> reporting statistically significant differences in switching</w:t>
      </w:r>
      <w:r w:rsidR="00825DD4">
        <w:rPr>
          <w:rFonts w:eastAsia="Calibri" w:cs="Times New Roman"/>
          <w:i/>
          <w:color w:val="000000"/>
        </w:rPr>
        <w:t xml:space="preserve"> </w:t>
      </w:r>
      <w:r w:rsidR="00D2134A">
        <w:rPr>
          <w:rFonts w:eastAsia="Calibri" w:cs="Times New Roman"/>
          <w:i/>
          <w:color w:val="000000"/>
        </w:rPr>
        <w:fldChar w:fldCharType="begin">
          <w:fldData xml:space="preserve">PEVuZE5vdGU+PENpdGU+PEF1dGhvcj5SYXRoPC9BdXRob3I+PFllYXI+MjAxNTwvWWVhcj48UmVj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PEVuZE5vdGU+PENpdGU+PEF1dGhvcj5SYXRoPC9BdXRob3I+PFllYXI+MjAxNTwvWWVhcj48UmVj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9" w:tooltip="Rath, 2015 #3" w:history="1">
        <w:r w:rsidR="00A234A9">
          <w:rPr>
            <w:rFonts w:eastAsia="Calibri" w:cs="Times New Roman"/>
            <w:i/>
            <w:noProof/>
            <w:color w:val="000000"/>
          </w:rPr>
          <w:t>79</w:t>
        </w:r>
      </w:hyperlink>
      <w:r w:rsidR="00D2134A">
        <w:rPr>
          <w:rFonts w:eastAsia="Calibri" w:cs="Times New Roman"/>
          <w:i/>
          <w:noProof/>
          <w:color w:val="000000"/>
        </w:rPr>
        <w:t xml:space="preserve">, </w:t>
      </w:r>
      <w:hyperlink w:anchor="_ENREF_86" w:tooltip="Villanti, 2012 #37" w:history="1">
        <w:r w:rsidR="00A234A9">
          <w:rPr>
            <w:rFonts w:eastAsia="Calibri" w:cs="Times New Roman"/>
            <w:i/>
            <w:noProof/>
            <w:color w:val="000000"/>
          </w:rPr>
          <w:t>86</w:t>
        </w:r>
      </w:hyperlink>
      <w:r w:rsidR="00D2134A">
        <w:rPr>
          <w:rFonts w:eastAsia="Calibri" w:cs="Times New Roman"/>
          <w:i/>
          <w:noProof/>
          <w:color w:val="000000"/>
        </w:rPr>
        <w:t>)</w:t>
      </w:r>
      <w:r w:rsidR="00D2134A">
        <w:rPr>
          <w:rFonts w:eastAsia="Calibri" w:cs="Times New Roman"/>
          <w:i/>
          <w:color w:val="000000"/>
        </w:rPr>
        <w:fldChar w:fldCharType="end"/>
      </w:r>
      <w:r w:rsidRPr="00A0218A">
        <w:rPr>
          <w:rFonts w:eastAsia="Calibri" w:cs="Times New Roman"/>
          <w:i/>
          <w:color w:val="000000"/>
        </w:rPr>
        <w:t>. In a prospective cohort study of adults, a higher percentage of menthol smokers at baseline had switched during the three to five years post-baseline to non-menthol cigarettes compared with baseline non-menthol smokers who switched to menthol cigarettes</w:t>
      </w:r>
      <w:r w:rsidR="008151AA">
        <w:rPr>
          <w:rFonts w:eastAsia="Calibri" w:cs="Times New Roman"/>
          <w:i/>
          <w:color w:val="000000"/>
        </w:rPr>
        <w:t xml:space="preserve"> </w:t>
      </w:r>
      <w:r w:rsidR="00D2134A">
        <w:rPr>
          <w:rFonts w:eastAsia="Calibri" w:cs="Times New Roman"/>
          <w:i/>
          <w:color w:val="000000"/>
        </w:rPr>
        <w:fldChar w:fldCharType="begin"/>
      </w:r>
      <w:r w:rsidR="00D2134A">
        <w:rPr>
          <w:rFonts w:eastAsia="Calibri" w:cs="Times New Roman"/>
          <w:i/>
          <w:color w:val="000000"/>
        </w:rPr>
        <w:instrText xml:space="preserve"> ADDIN EN.CITE &lt;EndNote&gt;&lt;Cite&gt;&lt;Author&gt;Hyland&lt;/Author&gt;&lt;Year&gt;2010&lt;/Year&gt;&lt;RecNum&gt;100&lt;/RecNum&gt;&lt;DisplayText&gt;(66)&lt;/DisplayText&gt;&lt;record&gt;&lt;rec-number&gt;100&lt;/rec-number&gt;&lt;foreign-keys&gt;&lt;key app="EN" db-id="a2vz2dfp8xrad6exes75zwpiw5rxwa0vwapv" timestamp="0"&gt;100&lt;/key&gt;&lt;/foreign-keys&gt;&lt;ref-type name="Report"&gt;27&lt;/ref-type&gt;&lt;contributors&gt;&lt;authors&gt;&lt;author&gt;Hyland, A.&lt;/author&gt;&lt;author&gt;Rivard, C.&lt;/author&gt;&lt;/authors&gt;&lt;/contributors&gt;&lt;titles&gt;&lt;title&gt;Analysis of mentholated cigarettes using the COMMIT data -- summary&lt;/title&gt;&lt;/titles&gt;&lt;dates&gt;&lt;year&gt;2010&lt;/year&gt;&lt;/dates&gt;&lt;publisher&gt;Department of Health Behavior, Roswell Park Cancer Institute&lt;/publisher&gt;&lt;urls&gt;&lt;/urls&gt;&lt;research-notes&gt;#818&lt;/research-notes&gt;&lt;/record&gt;&lt;/Cite&gt;&lt;/EndNote&gt;</w:instrText>
      </w:r>
      <w:r w:rsidR="00D2134A">
        <w:rPr>
          <w:rFonts w:eastAsia="Calibri" w:cs="Times New Roman"/>
          <w:i/>
          <w:color w:val="000000"/>
        </w:rPr>
        <w:fldChar w:fldCharType="separate"/>
      </w:r>
      <w:r w:rsidR="00D2134A">
        <w:rPr>
          <w:rFonts w:eastAsia="Calibri" w:cs="Times New Roman"/>
          <w:i/>
          <w:noProof/>
          <w:color w:val="000000"/>
        </w:rPr>
        <w:t>(</w:t>
      </w:r>
      <w:hyperlink w:anchor="_ENREF_66" w:tooltip="Hyland, 2010 #100" w:history="1">
        <w:r w:rsidR="00A234A9">
          <w:rPr>
            <w:rFonts w:eastAsia="Calibri" w:cs="Times New Roman"/>
            <w:i/>
            <w:noProof/>
            <w:color w:val="000000"/>
          </w:rPr>
          <w:t>66</w:t>
        </w:r>
      </w:hyperlink>
      <w:r w:rsidR="00D2134A">
        <w:rPr>
          <w:rFonts w:eastAsia="Calibri" w:cs="Times New Roman"/>
          <w:i/>
          <w:noProof/>
          <w:color w:val="000000"/>
        </w:rPr>
        <w:t>)</w:t>
      </w:r>
      <w:r w:rsidR="00D2134A">
        <w:rPr>
          <w:rFonts w:eastAsia="Calibri" w:cs="Times New Roman"/>
          <w:i/>
          <w:color w:val="000000"/>
        </w:rPr>
        <w:fldChar w:fldCharType="end"/>
      </w:r>
      <w:r w:rsidR="008151AA">
        <w:rPr>
          <w:rFonts w:eastAsia="Calibri" w:cs="Times New Roman"/>
          <w:i/>
          <w:color w:val="000000"/>
        </w:rPr>
        <w:t xml:space="preserve">. </w:t>
      </w:r>
      <w:r w:rsidRPr="00A0218A">
        <w:rPr>
          <w:rFonts w:eastAsia="Calibri" w:cs="Times New Roman"/>
          <w:i/>
          <w:color w:val="000000"/>
        </w:rPr>
        <w:t>In one study of young adults, significantly more non-menthol smokers switched to menthol cigarettes (</w:t>
      </w:r>
      <w:r>
        <w:rPr>
          <w:rFonts w:eastAsia="Calibri" w:cs="Times New Roman"/>
          <w:i/>
          <w:color w:val="000000"/>
        </w:rPr>
        <w:t>versus</w:t>
      </w:r>
      <w:r w:rsidRPr="00A0218A">
        <w:rPr>
          <w:rFonts w:eastAsia="Calibri" w:cs="Times New Roman"/>
          <w:i/>
          <w:color w:val="000000"/>
        </w:rPr>
        <w:t xml:space="preserve"> menthol smokers switching to non-menthol cigarettes) between smoking initiation and first survey interview</w:t>
      </w:r>
      <w:r w:rsidR="00F14CB1">
        <w:rPr>
          <w:rFonts w:eastAsia="Calibri" w:cs="Times New Roman"/>
          <w:i/>
          <w:color w:val="000000"/>
        </w:rPr>
        <w:t xml:space="preserve"> </w:t>
      </w:r>
      <w:r w:rsidR="00D2134A">
        <w:rPr>
          <w:rFonts w:eastAsia="Calibri" w:cs="Times New Roman"/>
          <w:i/>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9" w:tooltip="Rath, 2015 #3" w:history="1">
        <w:r w:rsidR="00A234A9">
          <w:rPr>
            <w:rFonts w:eastAsia="Calibri" w:cs="Times New Roman"/>
            <w:i/>
            <w:noProof/>
            <w:color w:val="000000"/>
          </w:rPr>
          <w:t>79</w:t>
        </w:r>
      </w:hyperlink>
      <w:r w:rsidR="00D2134A">
        <w:rPr>
          <w:rFonts w:eastAsia="Calibri" w:cs="Times New Roman"/>
          <w:i/>
          <w:noProof/>
          <w:color w:val="000000"/>
        </w:rPr>
        <w:t>)</w:t>
      </w:r>
      <w:r w:rsidR="00D2134A">
        <w:rPr>
          <w:rFonts w:eastAsia="Calibri" w:cs="Times New Roman"/>
          <w:i/>
          <w:color w:val="000000"/>
        </w:rPr>
        <w:fldChar w:fldCharType="end"/>
      </w:r>
      <w:r w:rsidRPr="00A0218A">
        <w:rPr>
          <w:rFonts w:eastAsia="Calibri" w:cs="Times New Roman"/>
          <w:i/>
          <w:color w:val="000000"/>
        </w:rPr>
        <w:t>. The rates of switching remained higher</w:t>
      </w:r>
      <w:r w:rsidR="00DB06B8">
        <w:rPr>
          <w:rFonts w:eastAsia="Calibri" w:cs="Times New Roman"/>
          <w:i/>
          <w:color w:val="000000"/>
        </w:rPr>
        <w:t>, though not significantly,</w:t>
      </w:r>
      <w:r w:rsidRPr="00A0218A">
        <w:rPr>
          <w:rFonts w:eastAsia="Calibri" w:cs="Times New Roman"/>
          <w:i/>
          <w:color w:val="000000"/>
        </w:rPr>
        <w:t xml:space="preserve"> for non-menthol to menthol throughout the remainder of that prospective study</w:t>
      </w:r>
      <w:r w:rsidR="00DB06B8">
        <w:rPr>
          <w:rFonts w:eastAsia="Calibri" w:cs="Times New Roman"/>
          <w:i/>
          <w:color w:val="000000"/>
        </w:rPr>
        <w:t xml:space="preserve"> </w:t>
      </w:r>
      <w:r w:rsidR="00D2134A">
        <w:rPr>
          <w:rFonts w:eastAsia="Calibri" w:cs="Times New Roman"/>
          <w:i/>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9" w:tooltip="Rath, 2015 #3" w:history="1">
        <w:r w:rsidR="00A234A9">
          <w:rPr>
            <w:rFonts w:eastAsia="Calibri" w:cs="Times New Roman"/>
            <w:i/>
            <w:noProof/>
            <w:color w:val="000000"/>
          </w:rPr>
          <w:t>79</w:t>
        </w:r>
      </w:hyperlink>
      <w:r w:rsidR="00D2134A">
        <w:rPr>
          <w:rFonts w:eastAsia="Calibri" w:cs="Times New Roman"/>
          <w:i/>
          <w:noProof/>
          <w:color w:val="000000"/>
        </w:rPr>
        <w:t>)</w:t>
      </w:r>
      <w:r w:rsidR="00D2134A">
        <w:rPr>
          <w:rFonts w:eastAsia="Calibri" w:cs="Times New Roman"/>
          <w:i/>
          <w:color w:val="000000"/>
        </w:rPr>
        <w:fldChar w:fldCharType="end"/>
      </w:r>
      <w:r w:rsidRPr="00A0218A">
        <w:rPr>
          <w:rFonts w:eastAsia="Calibri" w:cs="Times New Roman"/>
          <w:i/>
          <w:color w:val="000000"/>
        </w:rPr>
        <w:t>. Another study among young adults found a nearly identical percentage of switchers between menthol and non-menthol smokers</w:t>
      </w:r>
      <w:r w:rsidR="00DB06B8">
        <w:rPr>
          <w:rFonts w:eastAsia="Calibri" w:cs="Times New Roman"/>
          <w:i/>
          <w:color w:val="000000"/>
        </w:rPr>
        <w:t xml:space="preserve"> </w:t>
      </w:r>
      <w:r w:rsidR="00D2134A">
        <w:rPr>
          <w:rFonts w:eastAsia="Calibri" w:cs="Times New Roman"/>
          <w:i/>
          <w:color w:val="000000"/>
        </w:rPr>
        <w:fldChar w:fldCharType="begin"/>
      </w:r>
      <w:r w:rsidR="00D2134A">
        <w:rPr>
          <w:rFonts w:eastAsia="Calibri" w:cs="Times New Roman"/>
          <w:i/>
          <w:color w:val="000000"/>
        </w:rPr>
        <w:instrText xml:space="preserve"> ADDIN EN.CITE &lt;EndNote&gt;&lt;Cite&gt;&lt;Author&gt;Pletcher&lt;/Author&gt;&lt;Year&gt;2006&lt;/Year&gt;&lt;RecNum&gt;78&lt;/RecNum&gt;&lt;DisplayText&gt;(78)&lt;/DisplayText&gt;&lt;record&gt;&lt;rec-number&gt;78&lt;/rec-number&gt;&lt;foreign-keys&gt;&lt;key app="EN" db-id="a2vz2dfp8xrad6exes75zwpiw5rxwa0vwapv" timestamp="0"&gt;78&lt;/key&gt;&lt;/foreign-keys&gt;&lt;ref-type name="Journal Article"&gt;17&lt;/ref-type&gt;&lt;contributors&gt;&lt;authors&gt;&lt;author&gt;Pletcher, M. J. &lt;/author&gt;&lt;author&gt;Hulley, B. J.&lt;/author&gt;&lt;author&gt;Houston, T.&lt;/author&gt;&lt;author&gt;Kiefe, C. I.&lt;/author&gt;&lt;author&gt;Benowitz, N. &lt;/author&gt;&lt;author&gt;Sidney, S.&lt;/author&gt;&lt;/authors&gt;&lt;/contributors&gt;&lt;titles&gt;&lt;title&gt;Menthol cigarettes, smoking cessation, atherosclerosis, and pulmonary function&lt;/title&gt;&lt;secondary-title&gt;Arch Intern Med&lt;/secondary-title&gt;&lt;/titles&gt;&lt;pages&gt;1915-1922&lt;/pages&gt;&lt;volume&gt;166&lt;/volume&gt;&lt;section&gt;1915&lt;/section&gt;&lt;dates&gt;&lt;year&gt;2006&lt;/year&gt;&lt;/dates&gt;&lt;urls&gt;&lt;/urls&gt;&lt;research-notes&gt;#385&lt;/research-notes&gt;&lt;/record&gt;&lt;/Cite&gt;&lt;/EndNote&gt;</w:instrText>
      </w:r>
      <w:r w:rsidR="00D2134A">
        <w:rPr>
          <w:rFonts w:eastAsia="Calibri" w:cs="Times New Roman"/>
          <w:i/>
          <w:color w:val="000000"/>
        </w:rPr>
        <w:fldChar w:fldCharType="separate"/>
      </w:r>
      <w:r w:rsidR="00D2134A">
        <w:rPr>
          <w:rFonts w:eastAsia="Calibri" w:cs="Times New Roman"/>
          <w:i/>
          <w:noProof/>
          <w:color w:val="000000"/>
        </w:rPr>
        <w:t>(</w:t>
      </w:r>
      <w:hyperlink w:anchor="_ENREF_78" w:tooltip="Pletcher, 2006 #78" w:history="1">
        <w:r w:rsidR="00A234A9">
          <w:rPr>
            <w:rFonts w:eastAsia="Calibri" w:cs="Times New Roman"/>
            <w:i/>
            <w:noProof/>
            <w:color w:val="000000"/>
          </w:rPr>
          <w:t>78</w:t>
        </w:r>
      </w:hyperlink>
      <w:r w:rsidR="00D2134A">
        <w:rPr>
          <w:rFonts w:eastAsia="Calibri" w:cs="Times New Roman"/>
          <w:i/>
          <w:noProof/>
          <w:color w:val="000000"/>
        </w:rPr>
        <w:t>)</w:t>
      </w:r>
      <w:r w:rsidR="00D2134A">
        <w:rPr>
          <w:rFonts w:eastAsia="Calibri" w:cs="Times New Roman"/>
          <w:i/>
          <w:color w:val="000000"/>
        </w:rPr>
        <w:fldChar w:fldCharType="end"/>
      </w:r>
      <w:r w:rsidRPr="00A0218A">
        <w:rPr>
          <w:rFonts w:eastAsia="Calibri" w:cs="Times New Roman"/>
          <w:i/>
          <w:color w:val="000000"/>
        </w:rPr>
        <w:t>. In a study of youth smokers, the percentage of switchers was also higher for non-menthol smokers than menthol smokers; significance of the difference was not reported</w:t>
      </w:r>
      <w:r w:rsidR="00681534">
        <w:rPr>
          <w:rFonts w:eastAsia="Calibri" w:cs="Times New Roman"/>
          <w:i/>
          <w:color w:val="000000"/>
        </w:rPr>
        <w:t xml:space="preserve"> </w:t>
      </w:r>
      <w:r w:rsidR="00D2134A">
        <w:rPr>
          <w:rFonts w:eastAsia="Calibri" w:cs="Times New Roman"/>
          <w:i/>
          <w:color w:val="000000"/>
        </w:rPr>
        <w:fldChar w:fldCharType="begin"/>
      </w:r>
      <w:r w:rsidR="00D2134A">
        <w:rPr>
          <w:rFonts w:eastAsia="Calibri" w:cs="Times New Roman"/>
          <w:i/>
          <w:color w:val="000000"/>
        </w:rPr>
        <w:instrText xml:space="preserve"> ADDIN EN.CITE &lt;EndNote&gt;&lt;Cite&gt;&lt;Author&gt;Hyland&lt;/Author&gt;&lt;Year&gt;2010&lt;/Year&gt;&lt;RecNum&gt;100&lt;/RecNum&gt;&lt;DisplayText&gt;(66)&lt;/DisplayText&gt;&lt;record&gt;&lt;rec-number&gt;100&lt;/rec-number&gt;&lt;foreign-keys&gt;&lt;key app="EN" db-id="a2vz2dfp8xrad6exes75zwpiw5rxwa0vwapv" timestamp="0"&gt;100&lt;/key&gt;&lt;/foreign-keys&gt;&lt;ref-type name="Report"&gt;27&lt;/ref-type&gt;&lt;contributors&gt;&lt;authors&gt;&lt;author&gt;Hyland, A.&lt;/author&gt;&lt;author&gt;Rivard, C.&lt;/author&gt;&lt;/authors&gt;&lt;/contributors&gt;&lt;titles&gt;&lt;title&gt;Analysis of mentholated cigarettes using the COMMIT data -- summary&lt;/title&gt;&lt;/titles&gt;&lt;dates&gt;&lt;year&gt;2010&lt;/year&gt;&lt;/dates&gt;&lt;publisher&gt;Department of Health Behavior, Roswell Park Cancer Institute&lt;/publisher&gt;&lt;urls&gt;&lt;/urls&gt;&lt;research-notes&gt;#818&lt;/research-notes&gt;&lt;/record&gt;&lt;/Cite&gt;&lt;/EndNote&gt;</w:instrText>
      </w:r>
      <w:r w:rsidR="00D2134A">
        <w:rPr>
          <w:rFonts w:eastAsia="Calibri" w:cs="Times New Roman"/>
          <w:i/>
          <w:color w:val="000000"/>
        </w:rPr>
        <w:fldChar w:fldCharType="separate"/>
      </w:r>
      <w:r w:rsidR="00D2134A">
        <w:rPr>
          <w:rFonts w:eastAsia="Calibri" w:cs="Times New Roman"/>
          <w:i/>
          <w:noProof/>
          <w:color w:val="000000"/>
        </w:rPr>
        <w:t>(</w:t>
      </w:r>
      <w:hyperlink w:anchor="_ENREF_66" w:tooltip="Hyland, 2010 #100" w:history="1">
        <w:r w:rsidR="00A234A9">
          <w:rPr>
            <w:rFonts w:eastAsia="Calibri" w:cs="Times New Roman"/>
            <w:i/>
            <w:noProof/>
            <w:color w:val="000000"/>
          </w:rPr>
          <w:t>66</w:t>
        </w:r>
      </w:hyperlink>
      <w:r w:rsidR="00D2134A">
        <w:rPr>
          <w:rFonts w:eastAsia="Calibri" w:cs="Times New Roman"/>
          <w:i/>
          <w:noProof/>
          <w:color w:val="000000"/>
        </w:rPr>
        <w:t>)</w:t>
      </w:r>
      <w:r w:rsidR="00D2134A">
        <w:rPr>
          <w:rFonts w:eastAsia="Calibri" w:cs="Times New Roman"/>
          <w:i/>
          <w:color w:val="000000"/>
        </w:rPr>
        <w:fldChar w:fldCharType="end"/>
      </w:r>
      <w:r w:rsidRPr="00A0218A">
        <w:rPr>
          <w:rFonts w:eastAsia="Calibri" w:cs="Times New Roman"/>
          <w:i/>
          <w:color w:val="000000"/>
        </w:rPr>
        <w:t xml:space="preserve">. The study that enrolled both youth and young adults found that over </w:t>
      </w:r>
      <w:r w:rsidR="00825DD4">
        <w:rPr>
          <w:rFonts w:eastAsia="Calibri" w:cs="Times New Roman"/>
          <w:i/>
          <w:color w:val="000000"/>
        </w:rPr>
        <w:t>two</w:t>
      </w:r>
      <w:r w:rsidRPr="00A0218A">
        <w:rPr>
          <w:rFonts w:eastAsia="Calibri" w:cs="Times New Roman"/>
          <w:i/>
          <w:color w:val="000000"/>
        </w:rPr>
        <w:t xml:space="preserve"> years, significantly more baseline menthol smokers had switched to non-menthol than vice versa</w:t>
      </w:r>
      <w:r w:rsidR="00DB06B8">
        <w:rPr>
          <w:rFonts w:eastAsia="Calibri" w:cs="Times New Roman"/>
          <w:i/>
          <w:color w:val="000000"/>
        </w:rPr>
        <w:t xml:space="preserve"> </w:t>
      </w:r>
      <w:r w:rsidR="00D2134A">
        <w:rPr>
          <w:rFonts w:eastAsia="Calibri" w:cs="Times New Roman"/>
          <w:i/>
          <w:color w:val="000000"/>
        </w:rPr>
        <w:fldChar w:fldCharType="begin"/>
      </w:r>
      <w:r w:rsidR="00D2134A">
        <w:rPr>
          <w:rFonts w:eastAsia="Calibri" w:cs="Times New Roman"/>
          <w:i/>
          <w:color w:val="000000"/>
        </w:rPr>
        <w:instrText xml:space="preserve"> ADDIN EN.CITE &lt;EndNote&gt;&lt;Cite&gt;&lt;Author&gt;Villanti&lt;/Author&gt;&lt;Year&gt;2012&lt;/Year&gt;&lt;RecNum&gt;37&lt;/RecNum&gt;&lt;DisplayText&gt;(86)&lt;/DisplayText&gt;&lt;record&gt;&lt;rec-number&gt;37&lt;/rec-number&gt;&lt;foreign-keys&gt;&lt;key app="EN" db-id="a2vz2dfp8xrad6exes75zwpiw5rxwa0vwapv" timestamp="0"&gt;37&lt;/key&gt;&lt;/foreign-keys&gt;&lt;ref-type name="Journal Article"&gt;17&lt;/ref-type&gt;&lt;contributors&gt;&lt;authors&gt;&lt;author&gt;Villanti, A. C. &lt;/author&gt;&lt;author&gt;Giovino, G. A.&lt;/author&gt;&lt;author&gt;Barker, D. C.&lt;/author&gt;&lt;author&gt;Mowery, P.&lt;/author&gt;&lt;author&gt;Sevilimedu, V.&lt;/author&gt;&lt;author&gt;Abrams, D. B.&lt;/author&gt;&lt;/authors&gt;&lt;/contributors&gt;&lt;titles&gt;&lt;title&gt;Menthol brand switching among adolescents and young adults in the national youth smoking cessation survey&lt;/title&gt;&lt;secondary-title&gt;Am J Public Health&lt;/secondary-title&gt;&lt;/titles&gt;&lt;periodical&gt;&lt;full-title&gt;Am J Public Health&lt;/full-title&gt;&lt;/periodical&gt;&lt;pages&gt;1310-12&lt;/pages&gt;&lt;volume&gt;102&lt;/volume&gt;&lt;number&gt;7&lt;/number&gt;&lt;dates&gt;&lt;year&gt;2012&lt;/year&gt;&lt;pub-dates&gt;&lt;date&gt;Oct&lt;/date&gt;&lt;/pub-dates&gt;&lt;/dates&gt;&lt;urls&gt;&lt;/urls&gt;&lt;research-notes&gt;#191&lt;/research-notes&gt;&lt;/record&gt;&lt;/Cite&gt;&lt;/EndNote&gt;</w:instrText>
      </w:r>
      <w:r w:rsidR="00D2134A">
        <w:rPr>
          <w:rFonts w:eastAsia="Calibri" w:cs="Times New Roman"/>
          <w:i/>
          <w:color w:val="000000"/>
        </w:rPr>
        <w:fldChar w:fldCharType="separate"/>
      </w:r>
      <w:r w:rsidR="00D2134A">
        <w:rPr>
          <w:rFonts w:eastAsia="Calibri" w:cs="Times New Roman"/>
          <w:i/>
          <w:noProof/>
          <w:color w:val="000000"/>
        </w:rPr>
        <w:t>(</w:t>
      </w:r>
      <w:hyperlink w:anchor="_ENREF_86" w:tooltip="Villanti, 2012 #37" w:history="1">
        <w:r w:rsidR="00A234A9">
          <w:rPr>
            <w:rFonts w:eastAsia="Calibri" w:cs="Times New Roman"/>
            <w:i/>
            <w:noProof/>
            <w:color w:val="000000"/>
          </w:rPr>
          <w:t>86</w:t>
        </w:r>
      </w:hyperlink>
      <w:r w:rsidR="00D2134A">
        <w:rPr>
          <w:rFonts w:eastAsia="Calibri" w:cs="Times New Roman"/>
          <w:i/>
          <w:noProof/>
          <w:color w:val="000000"/>
        </w:rPr>
        <w:t>)</w:t>
      </w:r>
      <w:r w:rsidR="00D2134A">
        <w:rPr>
          <w:rFonts w:eastAsia="Calibri" w:cs="Times New Roman"/>
          <w:i/>
          <w:color w:val="000000"/>
        </w:rPr>
        <w:fldChar w:fldCharType="end"/>
      </w:r>
      <w:r w:rsidR="00A20AE4">
        <w:rPr>
          <w:rFonts w:eastAsia="Calibri" w:cs="Times New Roman"/>
          <w:i/>
          <w:color w:val="000000"/>
        </w:rPr>
        <w:t>.</w:t>
      </w:r>
    </w:p>
    <w:p w14:paraId="001BEF12" w14:textId="5D69A3B1" w:rsidR="00A20AE4" w:rsidRDefault="00D04C52" w:rsidP="00B46744">
      <w:pPr>
        <w:spacing w:after="120" w:line="240" w:lineRule="auto"/>
        <w:jc w:val="both"/>
        <w:rPr>
          <w:rFonts w:eastAsia="Calibri" w:cs="Times New Roman"/>
          <w:color w:val="000000"/>
        </w:rPr>
      </w:pPr>
      <w:r>
        <w:rPr>
          <w:rFonts w:eastAsia="Calibri" w:cs="Times New Roman"/>
          <w:color w:val="000000"/>
        </w:rPr>
        <w:t>Rath et al</w:t>
      </w:r>
      <w:r w:rsidR="008B4742">
        <w:rPr>
          <w:rFonts w:eastAsia="Calibri" w:cs="Times New Roman"/>
          <w:color w:val="000000"/>
        </w:rPr>
        <w:t xml:space="preserve">. </w:t>
      </w:r>
      <w:r w:rsidR="00D2134A">
        <w:rPr>
          <w:rFonts w:eastAsia="Calibri" w:cs="Times New Roman"/>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79" w:tooltip="Rath, 2015 #3" w:history="1">
        <w:r w:rsidR="00A234A9">
          <w:rPr>
            <w:rFonts w:eastAsia="Calibri" w:cs="Times New Roman"/>
            <w:noProof/>
            <w:color w:val="000000"/>
          </w:rPr>
          <w:t>79</w:t>
        </w:r>
      </w:hyperlink>
      <w:r w:rsidR="00D2134A">
        <w:rPr>
          <w:rFonts w:eastAsia="Calibri" w:cs="Times New Roman"/>
          <w:noProof/>
          <w:color w:val="000000"/>
        </w:rPr>
        <w:t>)</w:t>
      </w:r>
      <w:r w:rsidR="00D2134A">
        <w:rPr>
          <w:rFonts w:eastAsia="Calibri" w:cs="Times New Roman"/>
          <w:color w:val="000000"/>
        </w:rPr>
        <w:fldChar w:fldCharType="end"/>
      </w:r>
      <w:r w:rsidR="008B4742">
        <w:rPr>
          <w:rFonts w:eastAsia="Calibri" w:cs="Times New Roman"/>
          <w:color w:val="000000"/>
        </w:rPr>
        <w:t xml:space="preserve"> ex</w:t>
      </w:r>
      <w:r w:rsidRPr="00A0218A">
        <w:rPr>
          <w:rFonts w:eastAsia="Calibri" w:cs="Times New Roman"/>
          <w:color w:val="000000"/>
        </w:rPr>
        <w:t>amined switching behaviors reported in the LYAC, a longitudinal sample of the young adult population in the United States (ages 18-34)</w:t>
      </w:r>
      <w:r>
        <w:rPr>
          <w:rFonts w:eastAsia="Calibri" w:cs="Times New Roman"/>
          <w:color w:val="000000"/>
        </w:rPr>
        <w:t xml:space="preserve"> </w:t>
      </w:r>
      <w:r w:rsidR="00D2134A">
        <w:rPr>
          <w:rFonts w:eastAsia="Calibri" w:cs="Times New Roman"/>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79" w:tooltip="Rath, 2015 #3" w:history="1">
        <w:r w:rsidR="00A234A9">
          <w:rPr>
            <w:rFonts w:eastAsia="Calibri" w:cs="Times New Roman"/>
            <w:noProof/>
            <w:color w:val="000000"/>
          </w:rPr>
          <w:t>79</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When assessed by time point within the study, authors found that the greatest degree of switching occurred between smoking initiation and the LYAC baseline measurement. </w:t>
      </w:r>
      <w:r w:rsidRPr="00A32DC8">
        <w:rPr>
          <w:rFonts w:eastAsia="Calibri" w:cs="Times New Roman"/>
          <w:color w:val="000000"/>
        </w:rPr>
        <w:t>Among young adults who began smoking before the study, 10.8 percent who initiated with menthol had switched to non-menthol by study entry</w:t>
      </w:r>
      <w:r w:rsidR="00B54B65" w:rsidRPr="00A32DC8">
        <w:rPr>
          <w:rFonts w:eastAsia="Calibri" w:cs="Times New Roman"/>
          <w:color w:val="000000"/>
        </w:rPr>
        <w:t xml:space="preserve"> </w:t>
      </w:r>
      <w:r w:rsidR="00A6626A" w:rsidRPr="00A32DC8">
        <w:rPr>
          <w:rFonts w:eastAsia="Calibri" w:cs="Times New Roman"/>
          <w:color w:val="000000"/>
        </w:rPr>
        <w:t>and a</w:t>
      </w:r>
      <w:r w:rsidRPr="00A32DC8">
        <w:rPr>
          <w:rFonts w:eastAsia="Calibri" w:cs="Times New Roman"/>
          <w:color w:val="000000"/>
        </w:rPr>
        <w:t>mong non-menthol initiators, 20.3 percent had switched to menthol cigarettes.</w:t>
      </w:r>
      <w:r w:rsidRPr="00A0218A">
        <w:rPr>
          <w:rFonts w:eastAsia="Calibri" w:cs="Times New Roman"/>
          <w:color w:val="000000"/>
        </w:rPr>
        <w:t xml:space="preserve"> That specific difference was significant (p=0.03). In the overall sample of 267 young adults (including those who initiated at or after baseline), 7.1 percent switched from menthol to non-menthol and 16.9 percent switched from non-menthol to menthol cigarettes</w:t>
      </w:r>
      <w:r w:rsidR="00A20AE4">
        <w:rPr>
          <w:rFonts w:eastAsia="Calibri" w:cs="Times New Roman"/>
          <w:color w:val="000000"/>
        </w:rPr>
        <w:t>.</w:t>
      </w:r>
    </w:p>
    <w:p w14:paraId="4AAF33C5" w14:textId="7C6CD1F3" w:rsidR="00A20AE4" w:rsidRDefault="00D04C52" w:rsidP="00B46744">
      <w:pPr>
        <w:spacing w:after="120" w:line="240" w:lineRule="auto"/>
        <w:jc w:val="both"/>
        <w:rPr>
          <w:rFonts w:eastAsia="Calibri" w:cs="Times New Roman"/>
          <w:color w:val="000000"/>
        </w:rPr>
      </w:pPr>
      <w:r>
        <w:rPr>
          <w:rFonts w:eastAsia="Calibri" w:cs="Times New Roman"/>
          <w:color w:val="000000"/>
        </w:rPr>
        <w:t>Kasza et al</w:t>
      </w:r>
      <w:r w:rsidR="008B4742">
        <w:rPr>
          <w:rFonts w:eastAsia="Calibri" w:cs="Times New Roman"/>
          <w:color w:val="000000"/>
        </w:rPr>
        <w:t xml:space="preserve">. </w:t>
      </w:r>
      <w:r w:rsidR="00D2134A">
        <w:rPr>
          <w:rFonts w:eastAsia="Calibri" w:cs="Times New Roman"/>
          <w:color w:val="000000"/>
        </w:rPr>
        <w:fldChar w:fldCharType="begin">
          <w:fldData xml:space="preserve">PEVuZE5vdGU+PENpdGU+PEF1dGhvcj5LYXN6YTwvQXV0aG9yPjxZZWFyPjIwMTQ8L1llYXI+PFJl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PEVuZE5vdGU+PENpdGU+PEF1dGhvcj5LYXN6YTwvQXV0aG9yPjxZZWFyPjIwMTQ8L1llYXI+PFJl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69" w:tooltip="Kasza, 2014 #16" w:history="1">
        <w:r w:rsidR="00A234A9">
          <w:rPr>
            <w:rFonts w:eastAsia="Calibri" w:cs="Times New Roman"/>
            <w:noProof/>
            <w:color w:val="000000"/>
          </w:rPr>
          <w:t>69</w:t>
        </w:r>
      </w:hyperlink>
      <w:r w:rsidR="00D2134A">
        <w:rPr>
          <w:rFonts w:eastAsia="Calibri" w:cs="Times New Roman"/>
          <w:noProof/>
          <w:color w:val="000000"/>
        </w:rPr>
        <w:t>)</w:t>
      </w:r>
      <w:r w:rsidR="00D2134A">
        <w:rPr>
          <w:rFonts w:eastAsia="Calibri" w:cs="Times New Roman"/>
          <w:color w:val="000000"/>
        </w:rPr>
        <w:fldChar w:fldCharType="end"/>
      </w:r>
      <w:r w:rsidR="008B4742">
        <w:rPr>
          <w:rFonts w:eastAsia="Calibri" w:cs="Times New Roman"/>
          <w:color w:val="000000"/>
        </w:rPr>
        <w:t xml:space="preserve"> re</w:t>
      </w:r>
      <w:r w:rsidRPr="00A0218A">
        <w:rPr>
          <w:rFonts w:eastAsia="Calibri" w:cs="Times New Roman"/>
          <w:color w:val="000000"/>
        </w:rPr>
        <w:t xml:space="preserve">ported adjusted results </w:t>
      </w:r>
      <w:r w:rsidR="00A6626A">
        <w:rPr>
          <w:rFonts w:eastAsia="Calibri" w:cs="Times New Roman"/>
          <w:color w:val="000000"/>
        </w:rPr>
        <w:t xml:space="preserve">from the </w:t>
      </w:r>
      <w:r w:rsidR="00681534">
        <w:rPr>
          <w:rFonts w:eastAsia="Calibri" w:cs="Times New Roman"/>
          <w:color w:val="000000"/>
        </w:rPr>
        <w:t>International Tobacco Control Four Country Study (</w:t>
      </w:r>
      <w:r w:rsidR="00A6626A">
        <w:rPr>
          <w:rFonts w:eastAsia="Calibri" w:cs="Times New Roman"/>
          <w:color w:val="000000"/>
        </w:rPr>
        <w:t>ITC-4</w:t>
      </w:r>
      <w:r w:rsidR="00681534">
        <w:rPr>
          <w:rFonts w:eastAsia="Calibri" w:cs="Times New Roman"/>
          <w:color w:val="000000"/>
        </w:rPr>
        <w:t>)</w:t>
      </w:r>
      <w:r w:rsidR="00A6626A">
        <w:rPr>
          <w:rFonts w:eastAsia="Calibri" w:cs="Times New Roman"/>
          <w:color w:val="000000"/>
        </w:rPr>
        <w:t xml:space="preserve"> </w:t>
      </w:r>
      <w:r w:rsidRPr="00A0218A">
        <w:rPr>
          <w:rFonts w:eastAsia="Calibri" w:cs="Times New Roman"/>
          <w:color w:val="000000"/>
        </w:rPr>
        <w:t xml:space="preserve">for switching cigarette type by subgroups, but overall findings were reported in unadjusted results only. A higher proportion of menthol smokers switched to non-menthol (8%) than </w:t>
      </w:r>
      <w:r>
        <w:rPr>
          <w:rFonts w:eastAsia="Calibri" w:cs="Times New Roman"/>
          <w:color w:val="000000"/>
        </w:rPr>
        <w:t>non-menthol</w:t>
      </w:r>
      <w:r w:rsidRPr="00A0218A">
        <w:rPr>
          <w:rFonts w:eastAsia="Calibri" w:cs="Times New Roman"/>
          <w:color w:val="000000"/>
        </w:rPr>
        <w:t xml:space="preserve"> smokers switched to </w:t>
      </w:r>
      <w:r>
        <w:rPr>
          <w:rFonts w:eastAsia="Calibri" w:cs="Times New Roman"/>
          <w:color w:val="000000"/>
        </w:rPr>
        <w:t>menthol</w:t>
      </w:r>
      <w:r w:rsidRPr="00A0218A">
        <w:rPr>
          <w:rFonts w:eastAsia="Calibri" w:cs="Times New Roman"/>
          <w:color w:val="000000"/>
        </w:rPr>
        <w:t xml:space="preserve"> (3%) during three years after baseline. However, a higher proportion of the menthol switchers returned to menthol (65%) at the year three assessment than did </w:t>
      </w:r>
      <w:r>
        <w:rPr>
          <w:rFonts w:eastAsia="Calibri" w:cs="Times New Roman"/>
          <w:color w:val="000000"/>
        </w:rPr>
        <w:t xml:space="preserve">non-menthol </w:t>
      </w:r>
      <w:r w:rsidRPr="00A0218A">
        <w:rPr>
          <w:rFonts w:eastAsia="Calibri" w:cs="Times New Roman"/>
          <w:color w:val="000000"/>
        </w:rPr>
        <w:t xml:space="preserve">switchers </w:t>
      </w:r>
      <w:r>
        <w:rPr>
          <w:rFonts w:eastAsia="Calibri" w:cs="Times New Roman"/>
          <w:color w:val="000000"/>
        </w:rPr>
        <w:t xml:space="preserve">who </w:t>
      </w:r>
      <w:r w:rsidRPr="00A0218A">
        <w:rPr>
          <w:rFonts w:eastAsia="Calibri" w:cs="Times New Roman"/>
          <w:color w:val="000000"/>
        </w:rPr>
        <w:t>return</w:t>
      </w:r>
      <w:r>
        <w:rPr>
          <w:rFonts w:eastAsia="Calibri" w:cs="Times New Roman"/>
          <w:color w:val="000000"/>
        </w:rPr>
        <w:t>ed</w:t>
      </w:r>
      <w:r w:rsidRPr="00A0218A">
        <w:rPr>
          <w:rFonts w:eastAsia="Calibri" w:cs="Times New Roman"/>
          <w:color w:val="000000"/>
        </w:rPr>
        <w:t xml:space="preserve"> to </w:t>
      </w:r>
      <w:r>
        <w:rPr>
          <w:rFonts w:eastAsia="Calibri" w:cs="Times New Roman"/>
          <w:color w:val="000000"/>
        </w:rPr>
        <w:t>non-menthol</w:t>
      </w:r>
      <w:r w:rsidRPr="00A0218A">
        <w:rPr>
          <w:rFonts w:eastAsia="Calibri" w:cs="Times New Roman"/>
          <w:color w:val="000000"/>
        </w:rPr>
        <w:t xml:space="preserve"> (31%). Similar proportions of </w:t>
      </w:r>
      <w:r>
        <w:rPr>
          <w:rFonts w:eastAsia="Calibri" w:cs="Times New Roman"/>
          <w:color w:val="000000"/>
        </w:rPr>
        <w:t>menthol</w:t>
      </w:r>
      <w:r w:rsidRPr="00A0218A">
        <w:rPr>
          <w:rFonts w:eastAsia="Calibri" w:cs="Times New Roman"/>
          <w:color w:val="000000"/>
        </w:rPr>
        <w:t xml:space="preserve"> and </w:t>
      </w:r>
      <w:r>
        <w:rPr>
          <w:rFonts w:eastAsia="Calibri" w:cs="Times New Roman"/>
          <w:color w:val="000000"/>
        </w:rPr>
        <w:t>non-menthol</w:t>
      </w:r>
      <w:r w:rsidRPr="00A0218A">
        <w:rPr>
          <w:rFonts w:eastAsia="Calibri" w:cs="Times New Roman"/>
          <w:color w:val="000000"/>
        </w:rPr>
        <w:t xml:space="preserve"> smokers at baseline remained </w:t>
      </w:r>
      <w:r w:rsidRPr="003C6CB3">
        <w:rPr>
          <w:rFonts w:eastAsia="Calibri" w:cs="Times New Roman"/>
          <w:color w:val="000000"/>
        </w:rPr>
        <w:t xml:space="preserve">switched </w:t>
      </w:r>
      <w:r w:rsidRPr="00A0218A">
        <w:rPr>
          <w:rFonts w:eastAsia="Calibri" w:cs="Times New Roman"/>
          <w:color w:val="000000"/>
        </w:rPr>
        <w:t>at year three (2.8% menthol and 2.1% non-menthol).</w:t>
      </w:r>
      <w:r w:rsidR="00A6626A">
        <w:rPr>
          <w:rFonts w:eastAsia="Calibri" w:cs="Times New Roman"/>
          <w:color w:val="000000"/>
        </w:rPr>
        <w:t xml:space="preserve"> Tests of statistical significance were not reported for these statistics</w:t>
      </w:r>
      <w:r w:rsidR="00A20AE4">
        <w:rPr>
          <w:rFonts w:eastAsia="Calibri" w:cs="Times New Roman"/>
          <w:color w:val="000000"/>
        </w:rPr>
        <w:t>.</w:t>
      </w:r>
    </w:p>
    <w:p w14:paraId="3E61E92E" w14:textId="24AFB847" w:rsidR="00A20AE4" w:rsidRDefault="00D04C52" w:rsidP="00B46744">
      <w:pPr>
        <w:spacing w:after="120" w:line="240" w:lineRule="auto"/>
        <w:jc w:val="both"/>
        <w:rPr>
          <w:rFonts w:eastAsia="Calibri" w:cs="Times New Roman"/>
          <w:color w:val="000000"/>
        </w:rPr>
      </w:pPr>
      <w:r>
        <w:rPr>
          <w:rFonts w:eastAsia="Calibri" w:cs="Times New Roman"/>
          <w:color w:val="000000"/>
        </w:rPr>
        <w:t xml:space="preserve">Nonnemaker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&lt;EndNote&gt;&lt;Cite&gt;&lt;Author&gt;Nonnemaker&lt;/Author&gt;&lt;Year&gt;2012&lt;/Year&gt;&lt;RecNum&gt;31&lt;/RecNum&gt;&lt;DisplayText&gt;(72)&lt;/DisplayText&gt;&lt;record&gt;&lt;rec-number&gt;31&lt;/rec-number&gt;&lt;foreign-keys&gt;&lt;key app="EN" db-id="a2vz2dfp8xrad6exes75zwpiw5rxwa0vwapv" timestamp="0"&gt;31&lt;/key&gt;&lt;/foreign-keys&gt;&lt;ref-type name="Journal Article"&gt;17&lt;/ref-type&gt;&lt;contributors&gt;&lt;authors&gt;&lt;author&gt;Nonnemaker, J.&lt;/author&gt;&lt;author&gt;Hersey, J.&lt;/author&gt;&lt;author&gt;Homsi, G.&lt;/author&gt;&lt;author&gt;Busey, A.&lt;/author&gt;&lt;author&gt;Allen, J.&lt;/author&gt;&lt;author&gt;Vallone, D.&lt;/author&gt;&lt;/authors&gt;&lt;/contributors&gt;&lt;auth-address&gt;RTI International, Research Triangle Park, NC 27709-2194, USA. jnonnemaker@rti.org&lt;/auth-address&gt;&lt;titles&gt;&lt;title&gt;Initiation with menthol cigarettes and youth smoking uptake&lt;/title&gt;&lt;secondary-title&gt;Addiction&lt;/secondary-title&gt;&lt;/titles&gt;&lt;periodical&gt;&lt;full-title&gt;Addiction&lt;/full-title&gt;&lt;/periodical&gt;&lt;pages&gt;171-8&lt;/pages&gt;&lt;volume&gt;108&lt;/volume&gt;&lt;number&gt;1&lt;/number&gt;&lt;keywords&gt;&lt;keyword&gt;Adolescent&lt;/keyword&gt;&lt;keyword&gt;Age Distribution&lt;/keyword&gt;&lt;keyword&gt;Child&lt;/keyword&gt;&lt;keyword&gt;Female&lt;/keyword&gt;&lt;keyword&gt;Flavoring Agents/*adverse effects&lt;/keyword&gt;&lt;keyword&gt;Humans&lt;/keyword&gt;&lt;keyword&gt;Longitudinal Studies&lt;/keyword&gt;&lt;keyword&gt;Male&lt;/keyword&gt;&lt;keyword&gt;Menthol/*adverse effects&lt;/keyword&gt;&lt;keyword&gt;Risk Factors&lt;/keyword&gt;&lt;keyword&gt;Sex Distribution&lt;/keyword&gt;&lt;keyword&gt;Smoking/*adverse effects&lt;/keyword&gt;&lt;keyword&gt;Smoking Cessation/psychology/statistics &amp;amp; numerical data&lt;/keyword&gt;&lt;keyword&gt;Tobacco Products/*adverse effects&lt;/keyword&gt;&lt;keyword&gt;Tobacco Use Disorder/*etiology&lt;/keyword&gt;&lt;keyword&gt;United States&lt;/keyword&gt;&lt;/keywords&gt;&lt;dates&gt;&lt;year&gt;2012&lt;/year&gt;&lt;pub-dates&gt;&lt;date&gt;Jan&lt;/date&gt;&lt;/pub-dates&gt;&lt;/dates&gt;&lt;isbn&gt;1360-0443 (Electronic)&amp;#xD;0965-2140 (Linking)&lt;/isbn&gt;&lt;accession-num&gt;22862154&lt;/accession-num&gt;&lt;urls&gt;&lt;related-urls&gt;&lt;url&gt;http://www.ncbi.nlm.nih.gov/pubmed/22862154&lt;/url&gt;&lt;/related-urls&gt;&lt;/urls&gt;&lt;electronic-resource-num&gt;10.1111/j.1360-0443.2012.04045.x&lt;/electronic-resource-num&gt;&lt;research-notes&gt;#160&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2" w:tooltip="Nonnemaker, 2012 #31" w:history="1">
        <w:r w:rsidR="00A234A9">
          <w:rPr>
            <w:rFonts w:eastAsia="Calibri" w:cs="Times New Roman"/>
            <w:noProof/>
            <w:color w:val="000000"/>
          </w:rPr>
          <w:t>72</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reported percentages of youth who remained current smokers at </w:t>
      </w:r>
      <w:r w:rsidR="00D96058">
        <w:rPr>
          <w:rFonts w:eastAsia="Calibri" w:cs="Times New Roman"/>
          <w:color w:val="000000"/>
        </w:rPr>
        <w:t>wave</w:t>
      </w:r>
      <w:r w:rsidR="00D96058" w:rsidRPr="00A0218A">
        <w:rPr>
          <w:rFonts w:eastAsia="Calibri" w:cs="Times New Roman"/>
          <w:color w:val="000000"/>
        </w:rPr>
        <w:t xml:space="preserve"> </w:t>
      </w:r>
      <w:r w:rsidRPr="00A0218A">
        <w:rPr>
          <w:rFonts w:eastAsia="Calibri" w:cs="Times New Roman"/>
          <w:color w:val="000000"/>
        </w:rPr>
        <w:t>3 of the ALLTURS study by switching status. Overall, 15.4 percent of menthol initiators switched to non-menthol by year three, and 21.0 percent of non-menthol initiators switched to menthol</w:t>
      </w:r>
      <w:r w:rsidR="00A20AE4">
        <w:rPr>
          <w:rFonts w:eastAsia="Calibri" w:cs="Times New Roman"/>
          <w:color w:val="000000"/>
        </w:rPr>
        <w:t>.</w:t>
      </w:r>
    </w:p>
    <w:p w14:paraId="4D3B5F0E" w14:textId="0D4846D7" w:rsidR="00D04C52" w:rsidRPr="00A0218A" w:rsidRDefault="00D04C52" w:rsidP="00B46744">
      <w:pPr>
        <w:spacing w:after="120" w:line="240" w:lineRule="auto"/>
        <w:jc w:val="both"/>
        <w:rPr>
          <w:rFonts w:eastAsia="Calibri" w:cs="Times New Roman"/>
          <w:color w:val="000000"/>
        </w:rPr>
      </w:pPr>
      <w:r w:rsidRPr="00A0218A">
        <w:rPr>
          <w:rFonts w:eastAsia="Calibri" w:cs="Times New Roman"/>
          <w:color w:val="000000"/>
        </w:rPr>
        <w:t xml:space="preserve">In another </w:t>
      </w:r>
      <w:r w:rsidR="007B6ECB">
        <w:rPr>
          <w:rFonts w:eastAsia="Calibri" w:cs="Times New Roman"/>
          <w:color w:val="000000"/>
        </w:rPr>
        <w:t>analysis of</w:t>
      </w:r>
      <w:r w:rsidRPr="00A0218A">
        <w:rPr>
          <w:rFonts w:eastAsia="Calibri" w:cs="Times New Roman"/>
          <w:color w:val="000000"/>
        </w:rPr>
        <w:t xml:space="preserve"> ALLTURS</w:t>
      </w:r>
      <w:r w:rsidR="007B6ECB">
        <w:rPr>
          <w:rFonts w:eastAsia="Calibri" w:cs="Times New Roman"/>
          <w:color w:val="000000"/>
        </w:rPr>
        <w:t xml:space="preserve"> data</w:t>
      </w:r>
      <w:r w:rsidRPr="00A0218A">
        <w:rPr>
          <w:rFonts w:eastAsia="Calibri" w:cs="Times New Roman"/>
          <w:color w:val="000000"/>
        </w:rPr>
        <w:t xml:space="preserve">, Nonnemaker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&lt;EndNote&gt;&lt;Cite&gt;&lt;Author&gt;Nonnemaker&lt;/Author&gt;&lt;Year&gt;2010&lt;/Year&gt;&lt;RecNum&gt;97&lt;/RecNum&gt;&lt;DisplayText&gt;(73)&lt;/DisplayText&gt;&lt;record&gt;&lt;rec-number&gt;97&lt;/rec-number&gt;&lt;foreign-keys&gt;&lt;key app="EN" db-id="a2vz2dfp8xrad6exes75zwpiw5rxwa0vwapv" timestamp="0"&gt;97&lt;/key&gt;&lt;/foreign-keys&gt;&lt;ref-type name="Report"&gt;27&lt;/ref-type&gt;&lt;contributors&gt;&lt;authors&gt;&lt;author&gt;Nonnemaker, J.&lt;/author&gt;&lt;author&gt;Hersey, J.&lt;/author&gt;&lt;author&gt;Homsi, G.&lt;/author&gt;&lt;author&gt;Busey, A.&lt;/author&gt;&lt;/authors&gt;&lt;/contributors&gt;&lt;titles&gt;&lt;title&gt;Menthol cigarettes and youth smoking updake&lt;/title&gt;&lt;/titles&gt;&lt;dates&gt;&lt;year&gt;2010&lt;/year&gt;&lt;/dates&gt;&lt;pub-location&gt;RTI International&lt;/pub-location&gt;&lt;urls&gt;&lt;/urls&gt;&lt;research-notes&gt;#812&lt;/research-notes&gt;&lt;/record&gt;&lt;/Cite&gt;&lt;/EndNote&gt;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3" w:tooltip="Nonnemaker, 2010 #97" w:history="1">
        <w:r w:rsidR="00A234A9">
          <w:rPr>
            <w:rFonts w:eastAsia="Calibri" w:cs="Times New Roman"/>
            <w:noProof/>
            <w:color w:val="000000"/>
          </w:rPr>
          <w:t>73</w:t>
        </w:r>
      </w:hyperlink>
      <w:r w:rsidR="00D2134A">
        <w:rPr>
          <w:rFonts w:eastAsia="Calibri" w:cs="Times New Roman"/>
          <w:noProof/>
          <w:color w:val="000000"/>
        </w:rPr>
        <w:t>)</w:t>
      </w:r>
      <w:r w:rsidR="00D2134A">
        <w:rPr>
          <w:rFonts w:eastAsia="Calibri" w:cs="Times New Roman"/>
          <w:color w:val="000000"/>
        </w:rPr>
        <w:fldChar w:fldCharType="end"/>
      </w:r>
      <w:r>
        <w:rPr>
          <w:rFonts w:eastAsia="Calibri" w:cs="Times New Roman"/>
          <w:color w:val="000000"/>
        </w:rPr>
        <w:t xml:space="preserve"> </w:t>
      </w:r>
      <w:r w:rsidRPr="00A0218A">
        <w:rPr>
          <w:rFonts w:eastAsia="Calibri" w:cs="Times New Roman"/>
          <w:color w:val="000000"/>
        </w:rPr>
        <w:t>found that, including youth who started smoking during the final year, 5.9 percent of menthol smokers switched to non-menthol cigarettes, and 8.0 percent of non-menthol smokers switched to menthol cigarettes. Again, it is unclear how much of the analytic sample ove</w:t>
      </w:r>
      <w:r>
        <w:rPr>
          <w:rFonts w:eastAsia="Calibri" w:cs="Times New Roman"/>
          <w:color w:val="000000"/>
        </w:rPr>
        <w:t xml:space="preserve">rlapped with Nonnemaker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&lt;EndNote&gt;&lt;Cite&gt;&lt;Author&gt;Nonnemaker&lt;/Author&gt;&lt;Year&gt;2012&lt;/Year&gt;&lt;RecNum&gt;31&lt;/RecNum&gt;&lt;DisplayText&gt;(72)&lt;/DisplayText&gt;&lt;record&gt;&lt;rec-number&gt;31&lt;/rec-number&gt;&lt;foreign-keys&gt;&lt;key app="EN" db-id="a2vz2dfp8xrad6exes75zwpiw5rxwa0vwapv" timestamp="0"&gt;31&lt;/key&gt;&lt;/foreign-keys&gt;&lt;ref-type name="Journal Article"&gt;17&lt;/ref-type&gt;&lt;contributors&gt;&lt;authors&gt;&lt;author&gt;Nonnemaker, J.&lt;/author&gt;&lt;author&gt;Hersey, J.&lt;/author&gt;&lt;author&gt;Homsi, G.&lt;/author&gt;&lt;author&gt;Busey, A.&lt;/author&gt;&lt;author&gt;Allen, J.&lt;/author&gt;&lt;author&gt;Vallone, D.&lt;/author&gt;&lt;/authors&gt;&lt;/contributors&gt;&lt;auth-address&gt;RTI International, Research Triangle Park, NC 27709-2194, USA. jnonnemaker@rti.org&lt;/auth-address&gt;&lt;titles&gt;&lt;title&gt;Initiation with menthol cigarettes and youth smoking uptake&lt;/title&gt;&lt;secondary-title&gt;Addiction&lt;/secondary-title&gt;&lt;/titles&gt;&lt;periodical&gt;&lt;full-title&gt;Addiction&lt;/full-title&gt;&lt;/periodical&gt;&lt;pages&gt;171-8&lt;/pages&gt;&lt;volume&gt;108&lt;/volume&gt;&lt;number&gt;1&lt;/number&gt;&lt;keywords&gt;&lt;keyword&gt;Adolescent&lt;/keyword&gt;&lt;keyword&gt;Age Distribution&lt;/keyword&gt;&lt;keyword&gt;Child&lt;/keyword&gt;&lt;keyword&gt;Female&lt;/keyword&gt;&lt;keyword&gt;Flavoring Agents/*adverse effects&lt;/keyword&gt;&lt;keyword&gt;Humans&lt;/keyword&gt;&lt;keyword&gt;Longitudinal Studies&lt;/keyword&gt;&lt;keyword&gt;Male&lt;/keyword&gt;&lt;keyword&gt;Menthol/*adverse effects&lt;/keyword&gt;&lt;keyword&gt;Risk Factors&lt;/keyword&gt;&lt;keyword&gt;Sex Distribution&lt;/keyword&gt;&lt;keyword&gt;Smoking/*adverse effects&lt;/keyword&gt;&lt;keyword&gt;Smoking Cessation/psychology/statistics &amp;amp; numerical data&lt;/keyword&gt;&lt;keyword&gt;Tobacco Products/*adverse effects&lt;/keyword&gt;&lt;keyword&gt;Tobacco Use Disorder/*etiology&lt;/keyword&gt;&lt;keyword&gt;United States&lt;/keyword&gt;&lt;/keywords&gt;&lt;dates&gt;&lt;year&gt;2012&lt;/year&gt;&lt;pub-dates&gt;&lt;date&gt;Jan&lt;/date&gt;&lt;/pub-dates&gt;&lt;/dates&gt;&lt;isbn&gt;1360-0443 (Electronic)&amp;#xD;0965-2140 (Linking)&lt;/isbn&gt;&lt;accession-num&gt;22862154&lt;/accession-num&gt;&lt;urls&gt;&lt;related-urls&gt;&lt;url&gt;http://www.ncbi.nlm.nih.gov/pubmed/22862154&lt;/url&gt;&lt;/related-urls&gt;&lt;/urls&gt;&lt;electronic-resource-num&gt;10.1111/j.1360-0443.2012.04045.x&lt;/electronic-resource-num&gt;&lt;research-notes&gt;#160&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2" w:tooltip="Nonnemaker, 2012 #31" w:history="1">
        <w:r w:rsidR="00A234A9">
          <w:rPr>
            <w:rFonts w:eastAsia="Calibri" w:cs="Times New Roman"/>
            <w:noProof/>
            <w:color w:val="000000"/>
          </w:rPr>
          <w:t>72</w:t>
        </w:r>
      </w:hyperlink>
      <w:r w:rsidR="00D2134A">
        <w:rPr>
          <w:rFonts w:eastAsia="Calibri" w:cs="Times New Roman"/>
          <w:noProof/>
          <w:color w:val="000000"/>
        </w:rPr>
        <w:t>)</w:t>
      </w:r>
      <w:r w:rsidR="00D2134A">
        <w:rPr>
          <w:rFonts w:eastAsia="Calibri" w:cs="Times New Roman"/>
          <w:color w:val="000000"/>
        </w:rPr>
        <w:fldChar w:fldCharType="end"/>
      </w:r>
      <w:r>
        <w:rPr>
          <w:rFonts w:eastAsia="Calibri" w:cs="Times New Roman"/>
          <w:color w:val="000000"/>
        </w:rPr>
        <w:t>.</w:t>
      </w:r>
    </w:p>
    <w:p w14:paraId="79BA71A7" w14:textId="297E4EFA" w:rsidR="00D04C52" w:rsidRPr="00A0218A" w:rsidRDefault="00D04C52" w:rsidP="00B46744">
      <w:pPr>
        <w:spacing w:after="120" w:line="240" w:lineRule="auto"/>
        <w:jc w:val="both"/>
        <w:rPr>
          <w:rFonts w:eastAsia="Calibri" w:cs="Times New Roman"/>
          <w:color w:val="000000"/>
        </w:rPr>
      </w:pPr>
      <w:r>
        <w:rPr>
          <w:rFonts w:eastAsia="Calibri" w:cs="Times New Roman"/>
          <w:color w:val="000000"/>
        </w:rPr>
        <w:t xml:space="preserve">Villanti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&lt;EndNote&gt;&lt;Cite&gt;&lt;Author&gt;Villanti&lt;/Author&gt;&lt;Year&gt;2012&lt;/Year&gt;&lt;RecNum&gt;37&lt;/RecNum&gt;&lt;DisplayText&gt;(86)&lt;/DisplayText&gt;&lt;record&gt;&lt;rec-number&gt;37&lt;/rec-number&gt;&lt;foreign-keys&gt;&lt;key app="EN" db-id="a2vz2dfp8xrad6exes75zwpiw5rxwa0vwapv" timestamp="0"&gt;37&lt;/key&gt;&lt;/foreign-keys&gt;&lt;ref-type name="Journal Article"&gt;17&lt;/ref-type&gt;&lt;contributors&gt;&lt;authors&gt;&lt;author&gt;Villanti, A. C. &lt;/author&gt;&lt;author&gt;Giovino, G. A.&lt;/author&gt;&lt;author&gt;Barker, D. C.&lt;/author&gt;&lt;author&gt;Mowery, P.&lt;/author&gt;&lt;author&gt;Sevilimedu, V.&lt;/author&gt;&lt;author&gt;Abrams, D. B.&lt;/author&gt;&lt;/authors&gt;&lt;/contributors&gt;&lt;titles&gt;&lt;title&gt;Menthol brand switching among adolescents and young adults in the national youth smoking cessation survey&lt;/title&gt;&lt;secondary-title&gt;Am J Public Health&lt;/secondary-title&gt;&lt;/titles&gt;&lt;periodical&gt;&lt;full-title&gt;Am J Public Health&lt;/full-title&gt;&lt;/periodical&gt;&lt;pages&gt;1310-12&lt;/pages&gt;&lt;volume&gt;102&lt;/volume&gt;&lt;number&gt;7&lt;/number&gt;&lt;dates&gt;&lt;year&gt;2012&lt;/year&gt;&lt;pub-dates&gt;&lt;date&gt;Oct&lt;/date&gt;&lt;/pub-dates&gt;&lt;/dates&gt;&lt;urls&gt;&lt;/urls&gt;&lt;research-notes&gt;#191&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86" w:tooltip="Villanti, 2012 #37" w:history="1">
        <w:r w:rsidR="00A234A9">
          <w:rPr>
            <w:rFonts w:eastAsia="Calibri" w:cs="Times New Roman"/>
            <w:noProof/>
            <w:color w:val="000000"/>
          </w:rPr>
          <w:t>86</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used weighted data from the National Youth Smoking Cessation Survey, a prospective coh</w:t>
      </w:r>
      <w:r w:rsidR="00301E26">
        <w:rPr>
          <w:rFonts w:eastAsia="Calibri" w:cs="Times New Roman"/>
          <w:color w:val="000000"/>
        </w:rPr>
        <w:t>ort study of 16 to 24-year-</w:t>
      </w:r>
      <w:r w:rsidRPr="00A0218A">
        <w:rPr>
          <w:rFonts w:eastAsia="Calibri" w:cs="Times New Roman"/>
          <w:color w:val="000000"/>
        </w:rPr>
        <w:t>olds, to examine rates of switching between menthol and non-menthol cigarettes. In 2005 (24 months after baseline), the authors found that significantly more baseline menthol smokers had switched to non-menthol (15.0%, 95% CI: 10.8% to 19.2%) compared with baseline non-menthol smokers who switched to menthol (6.9%, 95% CI: 4.9% to 8.9%).</w:t>
      </w:r>
    </w:p>
    <w:p w14:paraId="00A6FE25" w14:textId="1CABC993" w:rsidR="00D04C52" w:rsidRPr="00A0218A" w:rsidRDefault="00D04C52" w:rsidP="00B46744">
      <w:pPr>
        <w:spacing w:after="120" w:line="240" w:lineRule="auto"/>
        <w:jc w:val="both"/>
        <w:rPr>
          <w:rFonts w:eastAsia="Calibri" w:cs="Times New Roman"/>
          <w:color w:val="000000"/>
        </w:rPr>
      </w:pPr>
      <w:r w:rsidRPr="00A0218A">
        <w:rPr>
          <w:rFonts w:eastAsia="Calibri" w:cs="Times New Roman"/>
          <w:color w:val="000000"/>
        </w:rPr>
        <w:lastRenderedPageBreak/>
        <w:t>As desc</w:t>
      </w:r>
      <w:r>
        <w:rPr>
          <w:rFonts w:eastAsia="Calibri" w:cs="Times New Roman"/>
          <w:color w:val="000000"/>
        </w:rPr>
        <w:t>ribed earlier, Pletcher et al</w:t>
      </w:r>
      <w:r w:rsidR="008B4742">
        <w:rPr>
          <w:rFonts w:eastAsia="Calibri" w:cs="Times New Roman"/>
          <w:color w:val="000000"/>
        </w:rPr>
        <w:t xml:space="preserve">.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&lt;EndNote&gt;&lt;Cite&gt;&lt;Author&gt;Pletcher&lt;/Author&gt;&lt;Year&gt;2006&lt;/Year&gt;&lt;RecNum&gt;78&lt;/RecNum&gt;&lt;DisplayText&gt;(78)&lt;/DisplayText&gt;&lt;record&gt;&lt;rec-number&gt;78&lt;/rec-number&gt;&lt;foreign-keys&gt;&lt;key app="EN" db-id="a2vz2dfp8xrad6exes75zwpiw5rxwa0vwapv" timestamp="0"&gt;78&lt;/key&gt;&lt;/foreign-keys&gt;&lt;ref-type name="Journal Article"&gt;17&lt;/ref-type&gt;&lt;contributors&gt;&lt;authors&gt;&lt;author&gt;Pletcher, M. J. &lt;/author&gt;&lt;author&gt;Hulley, B. J.&lt;/author&gt;&lt;author&gt;Houston, T.&lt;/author&gt;&lt;author&gt;Kiefe, C. I.&lt;/author&gt;&lt;author&gt;Benowitz, N. &lt;/author&gt;&lt;author&gt;Sidney, S.&lt;/author&gt;&lt;/authors&gt;&lt;/contributors&gt;&lt;titles&gt;&lt;title&gt;Menthol cigarettes, smoking cessation, atherosclerosis, and pulmonary function&lt;/title&gt;&lt;secondary-title&gt;Arch Intern Med&lt;/secondary-title&gt;&lt;/titles&gt;&lt;pages&gt;1915-1922&lt;/pages&gt;&lt;volume&gt;166&lt;/volume&gt;&lt;section&gt;1915&lt;/section&gt;&lt;dates&gt;&lt;year&gt;2006&lt;/year&gt;&lt;/dates&gt;&lt;urls&gt;&lt;/urls&gt;&lt;research-notes&gt;#385&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8" w:tooltip="Pletcher, 2006 #78" w:history="1">
        <w:r w:rsidR="00A234A9">
          <w:rPr>
            <w:rFonts w:eastAsia="Calibri" w:cs="Times New Roman"/>
            <w:noProof/>
            <w:color w:val="000000"/>
          </w:rPr>
          <w:t>78</w:t>
        </w:r>
      </w:hyperlink>
      <w:r w:rsidR="00D2134A">
        <w:rPr>
          <w:rFonts w:eastAsia="Calibri" w:cs="Times New Roman"/>
          <w:noProof/>
          <w:color w:val="000000"/>
        </w:rPr>
        <w:t>)</w:t>
      </w:r>
      <w:r w:rsidR="00D2134A">
        <w:rPr>
          <w:rFonts w:eastAsia="Calibri" w:cs="Times New Roman"/>
          <w:color w:val="000000"/>
        </w:rPr>
        <w:fldChar w:fldCharType="end"/>
      </w:r>
      <w:r w:rsidR="008B4742">
        <w:rPr>
          <w:rFonts w:eastAsia="Calibri" w:cs="Times New Roman"/>
          <w:color w:val="000000"/>
        </w:rPr>
        <w:t xml:space="preserve"> re</w:t>
      </w:r>
      <w:r w:rsidRPr="00A0218A">
        <w:rPr>
          <w:rFonts w:eastAsia="Calibri" w:cs="Times New Roman"/>
          <w:color w:val="000000"/>
        </w:rPr>
        <w:t xml:space="preserve">ported smoking behaviors among 1,535 </w:t>
      </w:r>
      <w:r w:rsidR="00E1156E">
        <w:rPr>
          <w:rFonts w:eastAsia="Calibri" w:cs="Times New Roman"/>
          <w:color w:val="000000"/>
        </w:rPr>
        <w:t>White</w:t>
      </w:r>
      <w:r w:rsidRPr="00A0218A">
        <w:rPr>
          <w:rFonts w:eastAsia="Calibri" w:cs="Times New Roman"/>
          <w:color w:val="000000"/>
        </w:rPr>
        <w:t xml:space="preserve"> and </w:t>
      </w:r>
      <w:r w:rsidR="00E1156E">
        <w:rPr>
          <w:rFonts w:eastAsia="Calibri" w:cs="Times New Roman"/>
          <w:color w:val="000000"/>
        </w:rPr>
        <w:t>Black</w:t>
      </w:r>
      <w:r w:rsidRPr="00A0218A">
        <w:rPr>
          <w:rFonts w:eastAsia="Calibri" w:cs="Times New Roman"/>
          <w:color w:val="000000"/>
        </w:rPr>
        <w:t xml:space="preserve"> young adults age 18 to 30 at baseline who participated in the CARDIA study</w:t>
      </w:r>
      <w:r>
        <w:rPr>
          <w:rFonts w:eastAsia="Calibri" w:cs="Times New Roman"/>
          <w:color w:val="000000"/>
        </w:rPr>
        <w:t xml:space="preserve">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&lt;EndNote&gt;&lt;Cite&gt;&lt;Author&gt;Pletcher&lt;/Author&gt;&lt;Year&gt;2006&lt;/Year&gt;&lt;RecNum&gt;78&lt;/RecNum&gt;&lt;DisplayText&gt;(78)&lt;/DisplayText&gt;&lt;record&gt;&lt;rec-number&gt;78&lt;/rec-number&gt;&lt;foreign-keys&gt;&lt;key app="EN" db-id="a2vz2dfp8xrad6exes75zwpiw5rxwa0vwapv" timestamp="0"&gt;78&lt;/key&gt;&lt;/foreign-keys&gt;&lt;ref-type name="Journal Article"&gt;17&lt;/ref-type&gt;&lt;contributors&gt;&lt;authors&gt;&lt;author&gt;Pletcher, M. J. &lt;/author&gt;&lt;author&gt;Hulley, B. J.&lt;/author&gt;&lt;author&gt;Houston, T.&lt;/author&gt;&lt;author&gt;Kiefe, C. I.&lt;/author&gt;&lt;author&gt;Benowitz, N. &lt;/author&gt;&lt;author&gt;Sidney, S.&lt;/author&gt;&lt;/authors&gt;&lt;/contributors&gt;&lt;titles&gt;&lt;title&gt;Menthol cigarettes, smoking cessation, atherosclerosis, and pulmonary function&lt;/title&gt;&lt;secondary-title&gt;Arch Intern Med&lt;/secondary-title&gt;&lt;/titles&gt;&lt;pages&gt;1915-1922&lt;/pages&gt;&lt;volume&gt;166&lt;/volume&gt;&lt;section&gt;1915&lt;/section&gt;&lt;dates&gt;&lt;year&gt;2006&lt;/year&gt;&lt;/dates&gt;&lt;urls&gt;&lt;/urls&gt;&lt;research-notes&gt;#385&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8" w:tooltip="Pletcher, 2006 #78" w:history="1">
        <w:r w:rsidR="00A234A9">
          <w:rPr>
            <w:rFonts w:eastAsia="Calibri" w:cs="Times New Roman"/>
            <w:noProof/>
            <w:color w:val="000000"/>
          </w:rPr>
          <w:t>78</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The authors found virtually no difference in switching: 12 percent of menthol smokers switched to non-menthol cigarettes during follow up, compared with 11 percent of non-menthol smokers who switched to menthol cigarettes (p=0.83).</w:t>
      </w:r>
    </w:p>
    <w:p w14:paraId="21708944" w14:textId="617C3088" w:rsidR="00A20AE4" w:rsidRDefault="008B4742" w:rsidP="00B46744">
      <w:pPr>
        <w:spacing w:after="240" w:line="240" w:lineRule="auto"/>
        <w:jc w:val="both"/>
        <w:rPr>
          <w:rFonts w:eastAsia="Calibri" w:cs="Times New Roman"/>
          <w:color w:val="000000"/>
        </w:rPr>
      </w:pPr>
      <w:r>
        <w:rPr>
          <w:rFonts w:eastAsia="Calibri" w:cs="Times New Roman"/>
          <w:color w:val="000000"/>
        </w:rPr>
        <w:t xml:space="preserve">Hyland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&lt;EndNote&gt;&lt;Cite&gt;&lt;Author&gt;Hyland&lt;/Author&gt;&lt;Year&gt;2010&lt;/Year&gt;&lt;RecNum&gt;100&lt;/RecNum&gt;&lt;DisplayText&gt;(66)&lt;/DisplayText&gt;&lt;record&gt;&lt;rec-number&gt;100&lt;/rec-number&gt;&lt;foreign-keys&gt;&lt;key app="EN" db-id="a2vz2dfp8xrad6exes75zwpiw5rxwa0vwapv" timestamp="0"&gt;100&lt;/key&gt;&lt;/foreign-keys&gt;&lt;ref-type name="Report"&gt;27&lt;/ref-type&gt;&lt;contributors&gt;&lt;authors&gt;&lt;author&gt;Hyland, A.&lt;/author&gt;&lt;author&gt;Rivard, C.&lt;/author&gt;&lt;/authors&gt;&lt;/contributors&gt;&lt;titles&gt;&lt;title&gt;Analysis of mentholated cigarettes using the COMMIT data -- summary&lt;/title&gt;&lt;/titles&gt;&lt;dates&gt;&lt;year&gt;2010&lt;/year&gt;&lt;/dates&gt;&lt;publisher&gt;Department of Health Behavior, Roswell Park Cancer Institute&lt;/publisher&gt;&lt;urls&gt;&lt;/urls&gt;&lt;research-notes&gt;#818&lt;/research-notes&gt;&lt;/record&gt;&lt;/Cite&gt;&lt;/EndNote&gt;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66" w:tooltip="Hyland, 2010 #100" w:history="1">
        <w:r w:rsidR="00A234A9">
          <w:rPr>
            <w:rFonts w:eastAsia="Calibri" w:cs="Times New Roman"/>
            <w:noProof/>
            <w:color w:val="000000"/>
          </w:rPr>
          <w:t>66</w:t>
        </w:r>
      </w:hyperlink>
      <w:r w:rsidR="00D2134A">
        <w:rPr>
          <w:rFonts w:eastAsia="Calibri" w:cs="Times New Roman"/>
          <w:noProof/>
          <w:color w:val="000000"/>
        </w:rPr>
        <w:t>)</w:t>
      </w:r>
      <w:r w:rsidR="00D2134A">
        <w:rPr>
          <w:rFonts w:eastAsia="Calibri" w:cs="Times New Roman"/>
          <w:color w:val="000000"/>
        </w:rPr>
        <w:fldChar w:fldCharType="end"/>
      </w:r>
      <w:r w:rsidR="008151AA">
        <w:rPr>
          <w:rFonts w:eastAsia="Calibri" w:cs="Times New Roman"/>
          <w:color w:val="000000"/>
        </w:rPr>
        <w:t xml:space="preserve"> </w:t>
      </w:r>
      <w:r>
        <w:rPr>
          <w:rFonts w:eastAsia="Calibri" w:cs="Times New Roman"/>
          <w:color w:val="000000"/>
        </w:rPr>
        <w:t>an</w:t>
      </w:r>
      <w:r w:rsidR="00D04C52" w:rsidRPr="00A0218A">
        <w:rPr>
          <w:rFonts w:eastAsia="Calibri" w:cs="Times New Roman"/>
          <w:color w:val="000000"/>
        </w:rPr>
        <w:t xml:space="preserve">alyzed data from the longitudinal Community Intervention Trial for Smoking Cessation (COMMIT), a community-based trial of a multifaceted public health intervention to increase cessation rates. Participants were current smokers age 25 to 64 at baseline, and cigarette type (menthol </w:t>
      </w:r>
      <w:r w:rsidR="00D04C52">
        <w:rPr>
          <w:rFonts w:eastAsia="Calibri" w:cs="Times New Roman"/>
          <w:color w:val="000000"/>
        </w:rPr>
        <w:t>versus</w:t>
      </w:r>
      <w:r w:rsidR="00D04C52" w:rsidRPr="00A0218A">
        <w:rPr>
          <w:rFonts w:eastAsia="Calibri" w:cs="Times New Roman"/>
          <w:color w:val="000000"/>
        </w:rPr>
        <w:t xml:space="preserve"> non-menthol) was measured at four points: 1988, 1993, 2001, and 2005. In a sample of 1,731 smokers who did not quit during that period, 10.5 percent switched at some point. Among menthol smokers at baseline, 15.8 percent never switched to non-menthol cigarettes, 0.5 percent switched temporarily to non-menthol cigarettes (i.e., smoked non-menthols at an interim point but menthols in 2005), and 5.5 percent remained non-menthol smokers after the switch. Among non-menthol smokers at baseline, 56.2 percent never switched to menthol cigarettes, 1.2 percent switched temporarily to menthol cigarettes, and 1.1 percent remained menthol smokers after the switch.</w:t>
      </w:r>
      <w:r w:rsidR="008151AA">
        <w:rPr>
          <w:rFonts w:eastAsia="Calibri" w:cs="Times New Roman"/>
          <w:color w:val="000000"/>
        </w:rPr>
        <w:t xml:space="preserve"> Tests of statistical significance were not reported</w:t>
      </w:r>
      <w:r w:rsidR="00A20AE4">
        <w:rPr>
          <w:rFonts w:eastAsia="Calibri" w:cs="Times New Roman"/>
          <w:color w:val="000000"/>
        </w:rPr>
        <w:t>.</w:t>
      </w:r>
    </w:p>
    <w:p w14:paraId="754EB58A" w14:textId="77777777" w:rsidR="00D04C52" w:rsidRPr="00A0218A" w:rsidRDefault="00D04C52" w:rsidP="000F618F">
      <w:pPr>
        <w:spacing w:after="120" w:line="240" w:lineRule="auto"/>
        <w:jc w:val="both"/>
        <w:outlineLvl w:val="1"/>
        <w:rPr>
          <w:rFonts w:eastAsia="Calibri" w:cs="Times New Roman"/>
          <w:i/>
          <w:color w:val="000000"/>
          <w:u w:val="single"/>
        </w:rPr>
      </w:pPr>
      <w:r w:rsidRPr="00A0218A">
        <w:rPr>
          <w:rFonts w:eastAsia="Calibri" w:cs="Times New Roman"/>
          <w:i/>
          <w:color w:val="000000"/>
          <w:u w:val="single"/>
        </w:rPr>
        <w:t>Unadjusted Results: Progression to Regular Smoking/Increase in Smoking over Time</w:t>
      </w:r>
    </w:p>
    <w:p w14:paraId="6797718B" w14:textId="00F1714A" w:rsidR="0089756F" w:rsidRPr="009E3AC6" w:rsidRDefault="00801E52" w:rsidP="00B46744">
      <w:pPr>
        <w:spacing w:after="120" w:line="240" w:lineRule="auto"/>
        <w:jc w:val="both"/>
        <w:rPr>
          <w:i/>
          <w:color w:val="000000" w:themeColor="text1"/>
        </w:rPr>
      </w:pPr>
      <w:r w:rsidRPr="009E3AC6">
        <w:rPr>
          <w:i/>
          <w:color w:val="000000" w:themeColor="text1"/>
        </w:rPr>
        <w:t xml:space="preserve">Of the </w:t>
      </w:r>
      <w:r w:rsidR="0098426E">
        <w:rPr>
          <w:i/>
          <w:color w:val="000000" w:themeColor="text1"/>
        </w:rPr>
        <w:t>fourteen</w:t>
      </w:r>
      <w:r w:rsidR="0098426E" w:rsidRPr="009E3AC6">
        <w:rPr>
          <w:i/>
          <w:color w:val="000000" w:themeColor="text1"/>
        </w:rPr>
        <w:t xml:space="preserve"> </w:t>
      </w:r>
      <w:r w:rsidRPr="009E3AC6">
        <w:rPr>
          <w:i/>
          <w:color w:val="000000" w:themeColor="text1"/>
        </w:rPr>
        <w:t>studies</w:t>
      </w:r>
      <w:r w:rsidR="0089756F" w:rsidRPr="009E3AC6">
        <w:rPr>
          <w:i/>
          <w:color w:val="000000" w:themeColor="text1"/>
        </w:rPr>
        <w:t xml:space="preserve"> that reported unadjusted data for progression to regular smoking and increase in smoking over time</w:t>
      </w:r>
      <w:r w:rsidRPr="009E3AC6">
        <w:rPr>
          <w:i/>
          <w:color w:val="000000" w:themeColor="text1"/>
        </w:rPr>
        <w:t xml:space="preserve">, </w:t>
      </w:r>
      <w:r w:rsidR="0098426E">
        <w:rPr>
          <w:i/>
          <w:color w:val="000000" w:themeColor="text1"/>
        </w:rPr>
        <w:t>eleven</w:t>
      </w:r>
      <w:r w:rsidRPr="009E3AC6">
        <w:rPr>
          <w:i/>
          <w:color w:val="000000" w:themeColor="text1"/>
        </w:rPr>
        <w:t xml:space="preserve"> studies (that yielded a total of </w:t>
      </w:r>
      <w:r w:rsidR="0098426E" w:rsidRPr="009E3AC6">
        <w:rPr>
          <w:i/>
          <w:color w:val="000000" w:themeColor="text1"/>
        </w:rPr>
        <w:t>1</w:t>
      </w:r>
      <w:r w:rsidR="0098426E">
        <w:rPr>
          <w:i/>
          <w:color w:val="000000" w:themeColor="text1"/>
        </w:rPr>
        <w:t>6</w:t>
      </w:r>
      <w:r w:rsidR="0098426E" w:rsidRPr="009E3AC6">
        <w:rPr>
          <w:i/>
          <w:color w:val="000000" w:themeColor="text1"/>
        </w:rPr>
        <w:t xml:space="preserve"> </w:t>
      </w:r>
      <w:r w:rsidRPr="009E3AC6">
        <w:rPr>
          <w:i/>
          <w:color w:val="000000" w:themeColor="text1"/>
        </w:rPr>
        <w:t xml:space="preserve">analyses) reported results </w:t>
      </w:r>
      <w:r w:rsidR="0089756F" w:rsidRPr="009E3AC6">
        <w:rPr>
          <w:i/>
          <w:color w:val="000000" w:themeColor="text1"/>
        </w:rPr>
        <w:t>in terms</w:t>
      </w:r>
      <w:r w:rsidRPr="009E3AC6">
        <w:rPr>
          <w:i/>
          <w:color w:val="000000" w:themeColor="text1"/>
        </w:rPr>
        <w:t xml:space="preserve"> of</w:t>
      </w:r>
      <w:r w:rsidR="00E66B47" w:rsidRPr="009E3AC6">
        <w:rPr>
          <w:i/>
          <w:color w:val="000000" w:themeColor="text1"/>
        </w:rPr>
        <w:t xml:space="preserve"> daily versus non-daily </w:t>
      </w:r>
      <w:r w:rsidR="008D32F2" w:rsidRPr="009E3AC6">
        <w:rPr>
          <w:i/>
          <w:color w:val="000000" w:themeColor="text1"/>
        </w:rPr>
        <w:t>smoking between menthol and non-menthol smokers</w:t>
      </w:r>
      <w:r w:rsidR="00E66B47" w:rsidRPr="009E3AC6">
        <w:rPr>
          <w:i/>
          <w:color w:val="000000" w:themeColor="text1"/>
        </w:rPr>
        <w:t xml:space="preserve"> </w:t>
      </w:r>
      <w:r w:rsidR="00D2134A">
        <w:rPr>
          <w:i/>
          <w:color w:val="000000" w:themeColor="text1"/>
        </w:rPr>
        <w:fldChar w:fldCharType="begin">
          <w:fldData xml:space="preserve">PEVuZE5vdGU+PENpdGU+PEF1dGhvcj5BbGV4YW5kZXI8L0F1dGhvcj48WWVhcj4yMDEwPC9ZZWFy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</w:fldData>
        </w:fldChar>
      </w:r>
      <w:r w:rsidR="00D2134A">
        <w:rPr>
          <w:i/>
          <w:color w:val="000000" w:themeColor="text1"/>
        </w:rPr>
        <w:instrText xml:space="preserve"> ADDIN EN.CITE </w:instrText>
      </w:r>
      <w:r w:rsidR="00D2134A">
        <w:rPr>
          <w:i/>
          <w:color w:val="000000" w:themeColor="text1"/>
        </w:rPr>
        <w:fldChar w:fldCharType="begin">
          <w:fldData xml:space="preserve">PEVuZE5vdGU+PENpdGU+PEF1dGhvcj5BbGV4YW5kZXI8L0F1dGhvcj48WWVhcj4yMDEwPC9ZZWFy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</w:fldData>
        </w:fldChar>
      </w:r>
      <w:r w:rsidR="00D2134A">
        <w:rPr>
          <w:i/>
          <w:color w:val="000000" w:themeColor="text1"/>
        </w:rPr>
        <w:instrText xml:space="preserve"> ADDIN EN.CITE.DATA </w:instrText>
      </w:r>
      <w:r w:rsidR="00D2134A">
        <w:rPr>
          <w:i/>
          <w:color w:val="000000" w:themeColor="text1"/>
        </w:rPr>
      </w:r>
      <w:r w:rsidR="00D2134A">
        <w:rPr>
          <w:i/>
          <w:color w:val="000000" w:themeColor="text1"/>
        </w:rPr>
        <w:fldChar w:fldCharType="end"/>
      </w:r>
      <w:r w:rsidR="00D2134A">
        <w:rPr>
          <w:i/>
          <w:color w:val="000000" w:themeColor="text1"/>
        </w:rPr>
        <w:fldChar w:fldCharType="separate"/>
      </w:r>
      <w:r w:rsidR="00D2134A">
        <w:rPr>
          <w:i/>
          <w:noProof/>
          <w:color w:val="000000" w:themeColor="text1"/>
        </w:rPr>
        <w:t>(</w:t>
      </w:r>
      <w:hyperlink w:anchor="_ENREF_46" w:tooltip="Alexander, 2010 #59" w:history="1">
        <w:r w:rsidR="00A234A9">
          <w:rPr>
            <w:i/>
            <w:noProof/>
            <w:color w:val="000000" w:themeColor="text1"/>
          </w:rPr>
          <w:t>46</w:t>
        </w:r>
      </w:hyperlink>
      <w:r w:rsidR="00D2134A">
        <w:rPr>
          <w:i/>
          <w:noProof/>
          <w:color w:val="000000" w:themeColor="text1"/>
        </w:rPr>
        <w:t xml:space="preserve">, </w:t>
      </w:r>
      <w:hyperlink w:anchor="_ENREF_49" w:tooltip="Caraballo, 2011 #47" w:history="1">
        <w:r w:rsidR="00A234A9">
          <w:rPr>
            <w:i/>
            <w:noProof/>
            <w:color w:val="000000" w:themeColor="text1"/>
          </w:rPr>
          <w:t>49</w:t>
        </w:r>
      </w:hyperlink>
      <w:r w:rsidR="00D2134A">
        <w:rPr>
          <w:i/>
          <w:noProof/>
          <w:color w:val="000000" w:themeColor="text1"/>
        </w:rPr>
        <w:t xml:space="preserve">, </w:t>
      </w:r>
      <w:hyperlink w:anchor="_ENREF_50" w:tooltip="Cubbin, 2010 #53" w:history="1">
        <w:r w:rsidR="00A234A9">
          <w:rPr>
            <w:i/>
            <w:noProof/>
            <w:color w:val="000000" w:themeColor="text1"/>
          </w:rPr>
          <w:t>50</w:t>
        </w:r>
      </w:hyperlink>
      <w:r w:rsidR="00D2134A">
        <w:rPr>
          <w:i/>
          <w:noProof/>
          <w:color w:val="000000" w:themeColor="text1"/>
        </w:rPr>
        <w:t xml:space="preserve">, </w:t>
      </w:r>
      <w:hyperlink w:anchor="_ENREF_52" w:tooltip="Curtin, 2014 #14" w:history="1">
        <w:r w:rsidR="00A234A9">
          <w:rPr>
            <w:i/>
            <w:noProof/>
            <w:color w:val="000000" w:themeColor="text1"/>
          </w:rPr>
          <w:t>52</w:t>
        </w:r>
      </w:hyperlink>
      <w:r w:rsidR="00D2134A">
        <w:rPr>
          <w:i/>
          <w:noProof/>
          <w:color w:val="000000" w:themeColor="text1"/>
        </w:rPr>
        <w:t xml:space="preserve">, </w:t>
      </w:r>
      <w:hyperlink w:anchor="_ENREF_64" w:tooltip="Hersey, 2006 #80" w:history="1">
        <w:r w:rsidR="00A234A9">
          <w:rPr>
            <w:i/>
            <w:noProof/>
            <w:color w:val="000000" w:themeColor="text1"/>
          </w:rPr>
          <w:t>64</w:t>
        </w:r>
      </w:hyperlink>
      <w:r w:rsidR="00D2134A">
        <w:rPr>
          <w:i/>
          <w:noProof/>
          <w:color w:val="000000" w:themeColor="text1"/>
        </w:rPr>
        <w:t xml:space="preserve">, </w:t>
      </w:r>
      <w:hyperlink w:anchor="_ENREF_68" w:tooltip="Jones, 2013 #30" w:history="1">
        <w:r w:rsidR="00A234A9">
          <w:rPr>
            <w:i/>
            <w:noProof/>
            <w:color w:val="000000" w:themeColor="text1"/>
          </w:rPr>
          <w:t>68</w:t>
        </w:r>
      </w:hyperlink>
      <w:r w:rsidR="00D2134A">
        <w:rPr>
          <w:i/>
          <w:noProof/>
          <w:color w:val="000000" w:themeColor="text1"/>
        </w:rPr>
        <w:t xml:space="preserve">, </w:t>
      </w:r>
      <w:hyperlink w:anchor="_ENREF_71" w:tooltip="Muilenburg, 2008 #71" w:history="1">
        <w:r w:rsidR="00A234A9">
          <w:rPr>
            <w:i/>
            <w:noProof/>
            <w:color w:val="000000" w:themeColor="text1"/>
          </w:rPr>
          <w:t>71</w:t>
        </w:r>
      </w:hyperlink>
      <w:r w:rsidR="00D2134A">
        <w:rPr>
          <w:i/>
          <w:noProof/>
          <w:color w:val="000000" w:themeColor="text1"/>
        </w:rPr>
        <w:t xml:space="preserve">, </w:t>
      </w:r>
      <w:hyperlink w:anchor="_ENREF_73" w:tooltip="Nonnemaker, 2010 #97" w:history="1">
        <w:r w:rsidR="00A234A9">
          <w:rPr>
            <w:i/>
            <w:noProof/>
            <w:color w:val="000000" w:themeColor="text1"/>
          </w:rPr>
          <w:t>73</w:t>
        </w:r>
      </w:hyperlink>
      <w:r w:rsidR="00D2134A">
        <w:rPr>
          <w:i/>
          <w:noProof/>
          <w:color w:val="000000" w:themeColor="text1"/>
        </w:rPr>
        <w:t xml:space="preserve">, </w:t>
      </w:r>
      <w:hyperlink w:anchor="_ENREF_80" w:tooltip="Resnicow, 2014 #19" w:history="1">
        <w:r w:rsidR="00A234A9">
          <w:rPr>
            <w:i/>
            <w:noProof/>
            <w:color w:val="000000" w:themeColor="text1"/>
          </w:rPr>
          <w:t>80</w:t>
        </w:r>
      </w:hyperlink>
      <w:r w:rsidR="00D2134A">
        <w:rPr>
          <w:i/>
          <w:noProof/>
          <w:color w:val="000000" w:themeColor="text1"/>
        </w:rPr>
        <w:t xml:space="preserve">, </w:t>
      </w:r>
      <w:hyperlink w:anchor="_ENREF_85" w:tooltip="Sulsky, 2014 #15" w:history="1">
        <w:r w:rsidR="00A234A9">
          <w:rPr>
            <w:i/>
            <w:noProof/>
            <w:color w:val="000000" w:themeColor="text1"/>
          </w:rPr>
          <w:t>85</w:t>
        </w:r>
      </w:hyperlink>
      <w:r w:rsidR="00D2134A">
        <w:rPr>
          <w:i/>
          <w:noProof/>
          <w:color w:val="000000" w:themeColor="text1"/>
        </w:rPr>
        <w:t xml:space="preserve">, </w:t>
      </w:r>
      <w:hyperlink w:anchor="_ENREF_86" w:tooltip="Villanti, 2012 #37" w:history="1">
        <w:r w:rsidR="00A234A9">
          <w:rPr>
            <w:i/>
            <w:noProof/>
            <w:color w:val="000000" w:themeColor="text1"/>
          </w:rPr>
          <w:t>86</w:t>
        </w:r>
      </w:hyperlink>
      <w:r w:rsidR="00D2134A">
        <w:rPr>
          <w:i/>
          <w:noProof/>
          <w:color w:val="000000" w:themeColor="text1"/>
        </w:rPr>
        <w:t>)</w:t>
      </w:r>
      <w:r w:rsidR="00D2134A">
        <w:rPr>
          <w:i/>
          <w:color w:val="000000" w:themeColor="text1"/>
        </w:rPr>
        <w:fldChar w:fldCharType="end"/>
      </w:r>
      <w:r w:rsidR="00E66B47" w:rsidRPr="009E3AC6">
        <w:rPr>
          <w:i/>
          <w:color w:val="000000" w:themeColor="text1"/>
        </w:rPr>
        <w:t>. All data</w:t>
      </w:r>
      <w:r w:rsidR="0089756F" w:rsidRPr="009E3AC6">
        <w:rPr>
          <w:i/>
          <w:color w:val="000000" w:themeColor="text1"/>
        </w:rPr>
        <w:t xml:space="preserve"> from these </w:t>
      </w:r>
      <w:r w:rsidR="0098426E">
        <w:rPr>
          <w:i/>
          <w:color w:val="000000" w:themeColor="text1"/>
        </w:rPr>
        <w:t>eleven</w:t>
      </w:r>
      <w:r w:rsidR="0098426E" w:rsidRPr="009E3AC6">
        <w:rPr>
          <w:i/>
          <w:color w:val="000000" w:themeColor="text1"/>
        </w:rPr>
        <w:t xml:space="preserve"> </w:t>
      </w:r>
      <w:r w:rsidR="0089756F" w:rsidRPr="009E3AC6">
        <w:rPr>
          <w:i/>
          <w:color w:val="000000" w:themeColor="text1"/>
        </w:rPr>
        <w:t>studies</w:t>
      </w:r>
      <w:r w:rsidR="00E66B47" w:rsidRPr="009E3AC6">
        <w:rPr>
          <w:i/>
          <w:color w:val="000000" w:themeColor="text1"/>
        </w:rPr>
        <w:t xml:space="preserve"> were from surveys</w:t>
      </w:r>
      <w:r w:rsidR="0089756F" w:rsidRPr="009E3AC6">
        <w:rPr>
          <w:i/>
          <w:color w:val="000000" w:themeColor="text1"/>
        </w:rPr>
        <w:t>; s</w:t>
      </w:r>
      <w:r w:rsidR="00E66B47" w:rsidRPr="009E3AC6">
        <w:rPr>
          <w:i/>
          <w:color w:val="000000" w:themeColor="text1"/>
        </w:rPr>
        <w:t>even studies were rated “good”</w:t>
      </w:r>
      <w:r w:rsidR="00DC2AAF">
        <w:rPr>
          <w:i/>
          <w:color w:val="000000" w:themeColor="text1"/>
        </w:rPr>
        <w:t xml:space="preserve"> </w:t>
      </w:r>
      <w:r w:rsidR="00D2134A">
        <w:rPr>
          <w:i/>
          <w:color w:val="000000" w:themeColor="text1"/>
        </w:rPr>
        <w:fldChar w:fldCharType="begin">
          <w:fldData xml:space="preserve">PEVuZE5vdGU+PENpdGU+PEF1dGhvcj5BbGV4YW5kZXI8L0F1dGhvcj48WWVhcj4yMDEwPC9ZZWFy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</w:fldData>
        </w:fldChar>
      </w:r>
      <w:r w:rsidR="00D2134A">
        <w:rPr>
          <w:i/>
          <w:color w:val="000000" w:themeColor="text1"/>
        </w:rPr>
        <w:instrText xml:space="preserve"> ADDIN EN.CITE </w:instrText>
      </w:r>
      <w:r w:rsidR="00D2134A">
        <w:rPr>
          <w:i/>
          <w:color w:val="000000" w:themeColor="text1"/>
        </w:rPr>
        <w:fldChar w:fldCharType="begin">
          <w:fldData xml:space="preserve">PEVuZE5vdGU+PENpdGU+PEF1dGhvcj5BbGV4YW5kZXI8L0F1dGhvcj48WWVhcj4yMDEwPC9ZZWFy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</w:fldData>
        </w:fldChar>
      </w:r>
      <w:r w:rsidR="00D2134A">
        <w:rPr>
          <w:i/>
          <w:color w:val="000000" w:themeColor="text1"/>
        </w:rPr>
        <w:instrText xml:space="preserve"> ADDIN EN.CITE.DATA </w:instrText>
      </w:r>
      <w:r w:rsidR="00D2134A">
        <w:rPr>
          <w:i/>
          <w:color w:val="000000" w:themeColor="text1"/>
        </w:rPr>
      </w:r>
      <w:r w:rsidR="00D2134A">
        <w:rPr>
          <w:i/>
          <w:color w:val="000000" w:themeColor="text1"/>
        </w:rPr>
        <w:fldChar w:fldCharType="end"/>
      </w:r>
      <w:r w:rsidR="00D2134A">
        <w:rPr>
          <w:i/>
          <w:color w:val="000000" w:themeColor="text1"/>
        </w:rPr>
        <w:fldChar w:fldCharType="separate"/>
      </w:r>
      <w:r w:rsidR="00D2134A">
        <w:rPr>
          <w:i/>
          <w:noProof/>
          <w:color w:val="000000" w:themeColor="text1"/>
        </w:rPr>
        <w:t>(</w:t>
      </w:r>
      <w:hyperlink w:anchor="_ENREF_46" w:tooltip="Alexander, 2010 #59" w:history="1">
        <w:r w:rsidR="00A234A9">
          <w:rPr>
            <w:i/>
            <w:noProof/>
            <w:color w:val="000000" w:themeColor="text1"/>
          </w:rPr>
          <w:t>46</w:t>
        </w:r>
      </w:hyperlink>
      <w:r w:rsidR="00D2134A">
        <w:rPr>
          <w:i/>
          <w:noProof/>
          <w:color w:val="000000" w:themeColor="text1"/>
        </w:rPr>
        <w:t xml:space="preserve">, </w:t>
      </w:r>
      <w:hyperlink w:anchor="_ENREF_50" w:tooltip="Cubbin, 2010 #53" w:history="1">
        <w:r w:rsidR="00A234A9">
          <w:rPr>
            <w:i/>
            <w:noProof/>
            <w:color w:val="000000" w:themeColor="text1"/>
          </w:rPr>
          <w:t>50</w:t>
        </w:r>
      </w:hyperlink>
      <w:r w:rsidR="00D2134A">
        <w:rPr>
          <w:i/>
          <w:noProof/>
          <w:color w:val="000000" w:themeColor="text1"/>
        </w:rPr>
        <w:t xml:space="preserve">, </w:t>
      </w:r>
      <w:hyperlink w:anchor="_ENREF_64" w:tooltip="Hersey, 2006 #80" w:history="1">
        <w:r w:rsidR="00A234A9">
          <w:rPr>
            <w:i/>
            <w:noProof/>
            <w:color w:val="000000" w:themeColor="text1"/>
          </w:rPr>
          <w:t>64</w:t>
        </w:r>
      </w:hyperlink>
      <w:r w:rsidR="00D2134A">
        <w:rPr>
          <w:i/>
          <w:noProof/>
          <w:color w:val="000000" w:themeColor="text1"/>
        </w:rPr>
        <w:t xml:space="preserve">, </w:t>
      </w:r>
      <w:hyperlink w:anchor="_ENREF_68" w:tooltip="Jones, 2013 #30" w:history="1">
        <w:r w:rsidR="00A234A9">
          <w:rPr>
            <w:i/>
            <w:noProof/>
            <w:color w:val="000000" w:themeColor="text1"/>
          </w:rPr>
          <w:t>68</w:t>
        </w:r>
      </w:hyperlink>
      <w:r w:rsidR="00D2134A">
        <w:rPr>
          <w:i/>
          <w:noProof/>
          <w:color w:val="000000" w:themeColor="text1"/>
        </w:rPr>
        <w:t xml:space="preserve">, </w:t>
      </w:r>
      <w:hyperlink w:anchor="_ENREF_73" w:tooltip="Nonnemaker, 2010 #97" w:history="1">
        <w:r w:rsidR="00A234A9">
          <w:rPr>
            <w:i/>
            <w:noProof/>
            <w:color w:val="000000" w:themeColor="text1"/>
          </w:rPr>
          <w:t>73</w:t>
        </w:r>
      </w:hyperlink>
      <w:r w:rsidR="00D2134A">
        <w:rPr>
          <w:i/>
          <w:noProof/>
          <w:color w:val="000000" w:themeColor="text1"/>
        </w:rPr>
        <w:t xml:space="preserve">, </w:t>
      </w:r>
      <w:hyperlink w:anchor="_ENREF_85" w:tooltip="Sulsky, 2014 #15" w:history="1">
        <w:r w:rsidR="00A234A9">
          <w:rPr>
            <w:i/>
            <w:noProof/>
            <w:color w:val="000000" w:themeColor="text1"/>
          </w:rPr>
          <w:t>85</w:t>
        </w:r>
      </w:hyperlink>
      <w:r w:rsidR="00D2134A">
        <w:rPr>
          <w:i/>
          <w:noProof/>
          <w:color w:val="000000" w:themeColor="text1"/>
        </w:rPr>
        <w:t xml:space="preserve">, </w:t>
      </w:r>
      <w:hyperlink w:anchor="_ENREF_86" w:tooltip="Villanti, 2012 #37" w:history="1">
        <w:r w:rsidR="00A234A9">
          <w:rPr>
            <w:i/>
            <w:noProof/>
            <w:color w:val="000000" w:themeColor="text1"/>
          </w:rPr>
          <w:t>86</w:t>
        </w:r>
      </w:hyperlink>
      <w:r w:rsidR="00D2134A">
        <w:rPr>
          <w:i/>
          <w:noProof/>
          <w:color w:val="000000" w:themeColor="text1"/>
        </w:rPr>
        <w:t>)</w:t>
      </w:r>
      <w:r w:rsidR="00D2134A">
        <w:rPr>
          <w:i/>
          <w:color w:val="000000" w:themeColor="text1"/>
        </w:rPr>
        <w:fldChar w:fldCharType="end"/>
      </w:r>
      <w:r w:rsidR="00DC2AAF">
        <w:rPr>
          <w:i/>
          <w:color w:val="000000" w:themeColor="text1"/>
        </w:rPr>
        <w:t xml:space="preserve">, </w:t>
      </w:r>
      <w:r w:rsidR="00E66B47" w:rsidRPr="009E3AC6">
        <w:rPr>
          <w:i/>
          <w:color w:val="000000" w:themeColor="text1"/>
        </w:rPr>
        <w:t xml:space="preserve">and </w:t>
      </w:r>
      <w:r w:rsidR="0098426E">
        <w:rPr>
          <w:i/>
          <w:color w:val="000000" w:themeColor="text1"/>
        </w:rPr>
        <w:t>four</w:t>
      </w:r>
      <w:r w:rsidR="00E66B47" w:rsidRPr="009E3AC6">
        <w:rPr>
          <w:i/>
          <w:color w:val="000000" w:themeColor="text1"/>
        </w:rPr>
        <w:t xml:space="preserve"> were “fair”</w:t>
      </w:r>
      <w:r w:rsidR="00DC2AAF">
        <w:rPr>
          <w:i/>
          <w:color w:val="000000" w:themeColor="text1"/>
        </w:rPr>
        <w:t xml:space="preserve"> </w:t>
      </w:r>
      <w:r w:rsidR="00D2134A">
        <w:rPr>
          <w:i/>
          <w:color w:val="000000" w:themeColor="text1"/>
        </w:rPr>
        <w:fldChar w:fldCharType="begin">
          <w:fldData xml:space="preserve">PEVuZE5vdGU+PENpdGU+PEF1dGhvcj5DYXJhYmFsbG88L0F1dGhvcj48WWVhcj4yMDExPC9ZZWFy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</w:fldData>
        </w:fldChar>
      </w:r>
      <w:r w:rsidR="00D2134A">
        <w:rPr>
          <w:i/>
          <w:color w:val="000000" w:themeColor="text1"/>
        </w:rPr>
        <w:instrText xml:space="preserve"> ADDIN EN.CITE </w:instrText>
      </w:r>
      <w:r w:rsidR="00D2134A">
        <w:rPr>
          <w:i/>
          <w:color w:val="000000" w:themeColor="text1"/>
        </w:rPr>
        <w:fldChar w:fldCharType="begin">
          <w:fldData xml:space="preserve">PEVuZE5vdGU+PENpdGU+PEF1dGhvcj5DYXJhYmFsbG88L0F1dGhvcj48WWVhcj4yMDExPC9ZZWFy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</w:fldData>
        </w:fldChar>
      </w:r>
      <w:r w:rsidR="00D2134A">
        <w:rPr>
          <w:i/>
          <w:color w:val="000000" w:themeColor="text1"/>
        </w:rPr>
        <w:instrText xml:space="preserve"> ADDIN EN.CITE.DATA </w:instrText>
      </w:r>
      <w:r w:rsidR="00D2134A">
        <w:rPr>
          <w:i/>
          <w:color w:val="000000" w:themeColor="text1"/>
        </w:rPr>
      </w:r>
      <w:r w:rsidR="00D2134A">
        <w:rPr>
          <w:i/>
          <w:color w:val="000000" w:themeColor="text1"/>
        </w:rPr>
        <w:fldChar w:fldCharType="end"/>
      </w:r>
      <w:r w:rsidR="00D2134A">
        <w:rPr>
          <w:i/>
          <w:color w:val="000000" w:themeColor="text1"/>
        </w:rPr>
        <w:fldChar w:fldCharType="separate"/>
      </w:r>
      <w:r w:rsidR="00D2134A">
        <w:rPr>
          <w:i/>
          <w:noProof/>
          <w:color w:val="000000" w:themeColor="text1"/>
        </w:rPr>
        <w:t>(</w:t>
      </w:r>
      <w:hyperlink w:anchor="_ENREF_49" w:tooltip="Caraballo, 2011 #47" w:history="1">
        <w:r w:rsidR="00A234A9">
          <w:rPr>
            <w:i/>
            <w:noProof/>
            <w:color w:val="000000" w:themeColor="text1"/>
          </w:rPr>
          <w:t>49</w:t>
        </w:r>
      </w:hyperlink>
      <w:r w:rsidR="00D2134A">
        <w:rPr>
          <w:i/>
          <w:noProof/>
          <w:color w:val="000000" w:themeColor="text1"/>
        </w:rPr>
        <w:t xml:space="preserve">, </w:t>
      </w:r>
      <w:hyperlink w:anchor="_ENREF_52" w:tooltip="Curtin, 2014 #14" w:history="1">
        <w:r w:rsidR="00A234A9">
          <w:rPr>
            <w:i/>
            <w:noProof/>
            <w:color w:val="000000" w:themeColor="text1"/>
          </w:rPr>
          <w:t>52</w:t>
        </w:r>
      </w:hyperlink>
      <w:r w:rsidR="00D2134A">
        <w:rPr>
          <w:i/>
          <w:noProof/>
          <w:color w:val="000000" w:themeColor="text1"/>
        </w:rPr>
        <w:t xml:space="preserve">, </w:t>
      </w:r>
      <w:hyperlink w:anchor="_ENREF_71" w:tooltip="Muilenburg, 2008 #71" w:history="1">
        <w:r w:rsidR="00A234A9">
          <w:rPr>
            <w:i/>
            <w:noProof/>
            <w:color w:val="000000" w:themeColor="text1"/>
          </w:rPr>
          <w:t>71</w:t>
        </w:r>
      </w:hyperlink>
      <w:r w:rsidR="00D2134A">
        <w:rPr>
          <w:i/>
          <w:noProof/>
          <w:color w:val="000000" w:themeColor="text1"/>
        </w:rPr>
        <w:t xml:space="preserve">, </w:t>
      </w:r>
      <w:hyperlink w:anchor="_ENREF_80" w:tooltip="Resnicow, 2014 #19" w:history="1">
        <w:r w:rsidR="00A234A9">
          <w:rPr>
            <w:i/>
            <w:noProof/>
            <w:color w:val="000000" w:themeColor="text1"/>
          </w:rPr>
          <w:t>80</w:t>
        </w:r>
      </w:hyperlink>
      <w:r w:rsidR="00D2134A">
        <w:rPr>
          <w:i/>
          <w:noProof/>
          <w:color w:val="000000" w:themeColor="text1"/>
        </w:rPr>
        <w:t>)</w:t>
      </w:r>
      <w:r w:rsidR="00D2134A">
        <w:rPr>
          <w:i/>
          <w:color w:val="000000" w:themeColor="text1"/>
        </w:rPr>
        <w:fldChar w:fldCharType="end"/>
      </w:r>
      <w:r w:rsidR="00DC2AAF">
        <w:rPr>
          <w:i/>
          <w:color w:val="000000" w:themeColor="text1"/>
        </w:rPr>
        <w:t>.</w:t>
      </w:r>
    </w:p>
    <w:p w14:paraId="37EBD436" w14:textId="2BB067F8" w:rsidR="00A20AE4" w:rsidRPr="009E3AC6" w:rsidRDefault="00D04C52" w:rsidP="00B46744">
      <w:pPr>
        <w:spacing w:after="120" w:line="240" w:lineRule="auto"/>
        <w:jc w:val="both"/>
        <w:rPr>
          <w:rFonts w:eastAsia="Calibri" w:cs="Times New Roman"/>
          <w:i/>
          <w:color w:val="000000"/>
        </w:rPr>
      </w:pPr>
      <w:r w:rsidRPr="009E3AC6">
        <w:rPr>
          <w:rFonts w:eastAsia="Calibri" w:cs="Times New Roman"/>
          <w:i/>
          <w:color w:val="000000"/>
        </w:rPr>
        <w:t>Three</w:t>
      </w:r>
      <w:r w:rsidR="00E66B47" w:rsidRPr="009E3AC6">
        <w:rPr>
          <w:rFonts w:eastAsia="Calibri" w:cs="Times New Roman"/>
          <w:i/>
          <w:color w:val="000000"/>
        </w:rPr>
        <w:t xml:space="preserve"> other</w:t>
      </w:r>
      <w:r w:rsidRPr="009E3AC6">
        <w:rPr>
          <w:rFonts w:eastAsia="Calibri" w:cs="Times New Roman"/>
          <w:i/>
          <w:color w:val="000000"/>
        </w:rPr>
        <w:t xml:space="preserve"> studies reported unadjusted analyses of survey data as a proxy for progression to smoking; all included youth in their sample</w:t>
      </w:r>
      <w:r w:rsidR="00681534" w:rsidRPr="009E3AC6">
        <w:rPr>
          <w:rFonts w:eastAsia="Calibri" w:cs="Times New Roman"/>
          <w:i/>
          <w:color w:val="000000"/>
        </w:rPr>
        <w:t xml:space="preserve"> </w:t>
      </w:r>
      <w:r w:rsidR="00D2134A">
        <w:rPr>
          <w:rFonts w:eastAsia="Calibri" w:cs="Times New Roman"/>
          <w:i/>
          <w:color w:val="000000"/>
        </w:rPr>
        <w:fldChar w:fldCharType="begin">
          <w:fldData xml:space="preserve">PEVuZE5vdGU+PENpdGU+PEF1dGhvcj5DYXJhYmFsbG88L0F1dGhvcj48WWVhcj4yMDExPC9ZZWFy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PEVuZE5vdGU+PENpdGU+PEF1dGhvcj5DYXJhYmFsbG88L0F1dGhvcj48WWVhcj4yMDExPC9ZZWFy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49" w:tooltip="Caraballo, 2011 #47" w:history="1">
        <w:r w:rsidR="00A234A9">
          <w:rPr>
            <w:rFonts w:eastAsia="Calibri" w:cs="Times New Roman"/>
            <w:i/>
            <w:noProof/>
            <w:color w:val="000000"/>
          </w:rPr>
          <w:t>49</w:t>
        </w:r>
      </w:hyperlink>
      <w:r w:rsidR="00D2134A">
        <w:rPr>
          <w:rFonts w:eastAsia="Calibri" w:cs="Times New Roman"/>
          <w:i/>
          <w:noProof/>
          <w:color w:val="000000"/>
        </w:rPr>
        <w:t xml:space="preserve">, </w:t>
      </w:r>
      <w:hyperlink w:anchor="_ENREF_51" w:tooltip="Curtin, 2014 #13" w:history="1">
        <w:r w:rsidR="00A234A9">
          <w:rPr>
            <w:rFonts w:eastAsia="Calibri" w:cs="Times New Roman"/>
            <w:i/>
            <w:noProof/>
            <w:color w:val="000000"/>
          </w:rPr>
          <w:t>51</w:t>
        </w:r>
      </w:hyperlink>
      <w:r w:rsidR="00D2134A">
        <w:rPr>
          <w:rFonts w:eastAsia="Calibri" w:cs="Times New Roman"/>
          <w:i/>
          <w:noProof/>
          <w:color w:val="000000"/>
        </w:rPr>
        <w:t xml:space="preserve">, </w:t>
      </w:r>
      <w:hyperlink w:anchor="_ENREF_63" w:tooltip="Hersey, 2010 #103" w:history="1">
        <w:r w:rsidR="00A234A9">
          <w:rPr>
            <w:rFonts w:eastAsia="Calibri" w:cs="Times New Roman"/>
            <w:i/>
            <w:noProof/>
            <w:color w:val="000000"/>
          </w:rPr>
          <w:t>63</w:t>
        </w:r>
      </w:hyperlink>
      <w:r w:rsidR="00D2134A">
        <w:rPr>
          <w:rFonts w:eastAsia="Calibri" w:cs="Times New Roman"/>
          <w:i/>
          <w:noProof/>
          <w:color w:val="000000"/>
        </w:rPr>
        <w:t>)</w:t>
      </w:r>
      <w:r w:rsidR="00D2134A">
        <w:rPr>
          <w:rFonts w:eastAsia="Calibri" w:cs="Times New Roman"/>
          <w:i/>
          <w:color w:val="000000"/>
        </w:rPr>
        <w:fldChar w:fldCharType="end"/>
      </w:r>
      <w:r w:rsidRPr="009E3AC6">
        <w:rPr>
          <w:rFonts w:eastAsia="Calibri" w:cs="Times New Roman"/>
          <w:i/>
          <w:color w:val="000000"/>
        </w:rPr>
        <w:t>. Because no</w:t>
      </w:r>
      <w:r w:rsidR="0089756F" w:rsidRPr="009E3AC6">
        <w:rPr>
          <w:rFonts w:eastAsia="Calibri" w:cs="Times New Roman"/>
          <w:i/>
          <w:color w:val="000000"/>
        </w:rPr>
        <w:t>ne of the three</w:t>
      </w:r>
      <w:r w:rsidRPr="009E3AC6">
        <w:rPr>
          <w:rFonts w:eastAsia="Calibri" w:cs="Times New Roman"/>
          <w:i/>
          <w:color w:val="000000"/>
        </w:rPr>
        <w:t xml:space="preserve"> studies were longitudinal, the studies below may not reflect actual progression or increased smoking. Rather, they reported associations between the prevalence of menthol use at different stages or trajectories of smoking by smoking quantity and frequency among newer or less experienced smokers. Two studies were rated as “good” quality</w:t>
      </w:r>
      <w:r w:rsidR="00681534" w:rsidRPr="009E3AC6">
        <w:rPr>
          <w:rFonts w:eastAsia="Calibri" w:cs="Times New Roman"/>
          <w:i/>
          <w:color w:val="000000"/>
        </w:rPr>
        <w:t xml:space="preserve"> </w:t>
      </w:r>
      <w:r w:rsidR="00D2134A">
        <w:rPr>
          <w:rFonts w:eastAsia="Calibri" w:cs="Times New Roman"/>
          <w:i/>
          <w:color w:val="000000"/>
        </w:rPr>
        <w:fldChar w:fldCharType="begin">
          <w:fldData xml:space="preserve">PEVuZE5vdGU+PENpdGU+PEF1dGhvcj5DdXJ0aW48L0F1dGhvcj48WWVhcj4yMDE0PC9ZZWFyPjxS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PEVuZE5vdGU+PENpdGU+PEF1dGhvcj5DdXJ0aW48L0F1dGhvcj48WWVhcj4yMDE0PC9ZZWFyPjxS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51" w:tooltip="Curtin, 2014 #13" w:history="1">
        <w:r w:rsidR="00A234A9">
          <w:rPr>
            <w:rFonts w:eastAsia="Calibri" w:cs="Times New Roman"/>
            <w:i/>
            <w:noProof/>
            <w:color w:val="000000"/>
          </w:rPr>
          <w:t>51</w:t>
        </w:r>
      </w:hyperlink>
      <w:r w:rsidR="00D2134A">
        <w:rPr>
          <w:rFonts w:eastAsia="Calibri" w:cs="Times New Roman"/>
          <w:i/>
          <w:noProof/>
          <w:color w:val="000000"/>
        </w:rPr>
        <w:t xml:space="preserve">, </w:t>
      </w:r>
      <w:hyperlink w:anchor="_ENREF_63" w:tooltip="Hersey, 2010 #103" w:history="1">
        <w:r w:rsidR="00A234A9">
          <w:rPr>
            <w:rFonts w:eastAsia="Calibri" w:cs="Times New Roman"/>
            <w:i/>
            <w:noProof/>
            <w:color w:val="000000"/>
          </w:rPr>
          <w:t>63</w:t>
        </w:r>
      </w:hyperlink>
      <w:r w:rsidR="00D2134A">
        <w:rPr>
          <w:rFonts w:eastAsia="Calibri" w:cs="Times New Roman"/>
          <w:i/>
          <w:noProof/>
          <w:color w:val="000000"/>
        </w:rPr>
        <w:t>)</w:t>
      </w:r>
      <w:r w:rsidR="00D2134A">
        <w:rPr>
          <w:rFonts w:eastAsia="Calibri" w:cs="Times New Roman"/>
          <w:i/>
          <w:color w:val="000000"/>
        </w:rPr>
        <w:fldChar w:fldCharType="end"/>
      </w:r>
      <w:r w:rsidRPr="009E3AC6">
        <w:rPr>
          <w:rFonts w:eastAsia="Calibri" w:cs="Times New Roman"/>
          <w:i/>
          <w:color w:val="000000"/>
        </w:rPr>
        <w:t>, and one was rated “fair”</w:t>
      </w:r>
      <w:r w:rsidR="00681534" w:rsidRPr="009E3AC6">
        <w:rPr>
          <w:rFonts w:eastAsia="Calibri" w:cs="Times New Roman"/>
          <w:i/>
          <w:color w:val="000000"/>
        </w:rPr>
        <w:t xml:space="preserve"> </w:t>
      </w:r>
      <w:r w:rsidR="00D2134A">
        <w:rPr>
          <w:rFonts w:eastAsia="Calibri" w:cs="Times New Roman"/>
          <w:i/>
          <w:color w:val="000000"/>
        </w:rPr>
        <w:fldChar w:fldCharType="begin"/>
      </w:r>
      <w:r w:rsidR="00D2134A">
        <w:rPr>
          <w:rFonts w:eastAsia="Calibri" w:cs="Times New Roman"/>
          <w:i/>
          <w:color w:val="000000"/>
        </w:rPr>
        <w:instrText xml:space="preserve"> ADDIN EN.CITE &lt;EndNote&gt;&lt;Cite&gt;&lt;Author&gt;Caraballo&lt;/Author&gt;&lt;Year&gt;2011&lt;/Year&gt;&lt;RecNum&gt;47&lt;/RecNum&gt;&lt;DisplayText&gt;(49)&lt;/DisplayText&gt;&lt;record&gt;&lt;rec-number&gt;47&lt;/rec-number&gt;&lt;foreign-keys&gt;&lt;key app="EN" db-id="a2vz2dfp8xrad6exes75zwpiw5rxwa0vwapv" timestamp="0"&gt;47&lt;/key&gt;&lt;/foreign-keys&gt;&lt;ref-type name="Journal Article"&gt;17&lt;/ref-type&gt;&lt;contributors&gt;&lt;authors&gt;&lt;author&gt;Caraballo, R. S.&lt;/author&gt;&lt;author&gt;Asman, K.&lt;/author&gt;&lt;/authors&gt;&lt;/contributors&gt;&lt;auth-address&gt;Mail Stop K-50, Office on Smoking and Health, National Center for Chronic Disease Prevention and Health Promotion, Centers for Disease Control and Prevention, 4770 Buford Highway, N,E,, Atlanta, GA, USA. rfc8@cdc.gov.&lt;/auth-address&gt;&lt;titles&gt;&lt;title&gt;Epidemiology of menthol cigarette use in the United States&lt;/title&gt;&lt;secondary-title&gt;Tob Induc Dis&lt;/secondary-title&gt;&lt;/titles&gt;&lt;periodical&gt;&lt;full-title&gt;Tob Induc Dis&lt;/full-title&gt;&lt;/periodical&gt;&lt;pages&gt;S1&lt;/pages&gt;&lt;volume&gt;9 Suppl 1&lt;/volume&gt;&lt;dates&gt;&lt;year&gt;2011&lt;/year&gt;&lt;/dates&gt;&lt;isbn&gt;1617-9625 (Electronic)&amp;#xD;1617-9625 (Linking)&lt;/isbn&gt;&lt;accession-num&gt;21624147&lt;/accession-num&gt;&lt;urls&gt;&lt;related-urls&gt;&lt;url&gt;http://www.ncbi.nlm.nih.gov/pubmed/21624147&lt;/url&gt;&lt;/related-urls&gt;&lt;/urls&gt;&lt;custom2&gt;PMC3102900&lt;/custom2&gt;&lt;electronic-resource-num&gt;10.1186/1617-9625-9-S1-S1&lt;/electronic-resource-num&gt;&lt;research-notes&gt;#247&lt;/research-notes&gt;&lt;/record&gt;&lt;/Cite&gt;&lt;/EndNote&gt;</w:instrText>
      </w:r>
      <w:r w:rsidR="00D2134A">
        <w:rPr>
          <w:rFonts w:eastAsia="Calibri" w:cs="Times New Roman"/>
          <w:i/>
          <w:color w:val="000000"/>
        </w:rPr>
        <w:fldChar w:fldCharType="separate"/>
      </w:r>
      <w:r w:rsidR="00D2134A">
        <w:rPr>
          <w:rFonts w:eastAsia="Calibri" w:cs="Times New Roman"/>
          <w:i/>
          <w:noProof/>
          <w:color w:val="000000"/>
        </w:rPr>
        <w:t>(</w:t>
      </w:r>
      <w:hyperlink w:anchor="_ENREF_49" w:tooltip="Caraballo, 2011 #47" w:history="1">
        <w:r w:rsidR="00A234A9">
          <w:rPr>
            <w:rFonts w:eastAsia="Calibri" w:cs="Times New Roman"/>
            <w:i/>
            <w:noProof/>
            <w:color w:val="000000"/>
          </w:rPr>
          <w:t>49</w:t>
        </w:r>
      </w:hyperlink>
      <w:r w:rsidR="00D2134A">
        <w:rPr>
          <w:rFonts w:eastAsia="Calibri" w:cs="Times New Roman"/>
          <w:i/>
          <w:noProof/>
          <w:color w:val="000000"/>
        </w:rPr>
        <w:t>)</w:t>
      </w:r>
      <w:r w:rsidR="00D2134A">
        <w:rPr>
          <w:rFonts w:eastAsia="Calibri" w:cs="Times New Roman"/>
          <w:i/>
          <w:color w:val="000000"/>
        </w:rPr>
        <w:fldChar w:fldCharType="end"/>
      </w:r>
      <w:r w:rsidR="00A20AE4" w:rsidRPr="009E3AC6">
        <w:rPr>
          <w:rFonts w:eastAsia="Calibri" w:cs="Times New Roman"/>
          <w:i/>
          <w:color w:val="000000"/>
        </w:rPr>
        <w:t>.</w:t>
      </w:r>
    </w:p>
    <w:p w14:paraId="6D38F8FA" w14:textId="77777777" w:rsidR="003A090E" w:rsidRPr="009E3AC6" w:rsidRDefault="007E1CAC" w:rsidP="003A090E">
      <w:pPr>
        <w:jc w:val="both"/>
        <w:rPr>
          <w:i/>
          <w:iCs/>
          <w:color w:val="000000" w:themeColor="text1"/>
          <w:shd w:val="clear" w:color="auto" w:fill="FFFFFF"/>
        </w:rPr>
      </w:pPr>
      <w:r w:rsidRPr="000F618F">
        <w:rPr>
          <w:rFonts w:eastAsia="Calibri" w:cs="Times New Roman"/>
          <w:i/>
          <w:color w:val="000000"/>
        </w:rPr>
        <w:t xml:space="preserve">Of the </w:t>
      </w:r>
      <w:r w:rsidR="0098426E">
        <w:rPr>
          <w:rFonts w:eastAsia="Calibri" w:cs="Times New Roman"/>
          <w:i/>
          <w:color w:val="000000"/>
        </w:rPr>
        <w:t>six</w:t>
      </w:r>
      <w:r w:rsidR="00F6426A" w:rsidRPr="009E3AC6">
        <w:rPr>
          <w:rFonts w:eastAsia="Calibri" w:cs="Times New Roman"/>
          <w:i/>
          <w:color w:val="000000"/>
        </w:rPr>
        <w:t xml:space="preserve">teen analyses (from </w:t>
      </w:r>
      <w:r w:rsidR="0098426E">
        <w:rPr>
          <w:rFonts w:eastAsia="Calibri" w:cs="Times New Roman"/>
          <w:i/>
          <w:color w:val="000000"/>
        </w:rPr>
        <w:t>eleven</w:t>
      </w:r>
      <w:r w:rsidR="00F6426A" w:rsidRPr="009E3AC6">
        <w:rPr>
          <w:rFonts w:eastAsia="Calibri" w:cs="Times New Roman"/>
          <w:i/>
          <w:color w:val="000000"/>
        </w:rPr>
        <w:t xml:space="preserve"> studies) o</w:t>
      </w:r>
      <w:r w:rsidR="00801E52" w:rsidRPr="009E3AC6">
        <w:rPr>
          <w:i/>
          <w:color w:val="000000"/>
        </w:rPr>
        <w:t>n</w:t>
      </w:r>
      <w:r w:rsidR="00801E52" w:rsidRPr="009E3AC6">
        <w:rPr>
          <w:rFonts w:eastAsia="Calibri"/>
          <w:i/>
          <w:noProof/>
          <w:color w:val="000000"/>
        </w:rPr>
        <w:t xml:space="preserve"> </w:t>
      </w:r>
      <w:r w:rsidR="00801E52" w:rsidRPr="009E3AC6">
        <w:rPr>
          <w:rFonts w:eastAsia="Calibri"/>
          <w:bCs/>
          <w:i/>
          <w:noProof/>
          <w:color w:val="000000"/>
        </w:rPr>
        <w:t xml:space="preserve">initiation and progression to regular smoking/increase in </w:t>
      </w:r>
      <w:r w:rsidR="00801E52" w:rsidRPr="000F618F">
        <w:rPr>
          <w:rFonts w:eastAsia="Calibri"/>
          <w:bCs/>
          <w:i/>
          <w:noProof/>
          <w:color w:val="000000"/>
        </w:rPr>
        <w:t>smoking over time</w:t>
      </w:r>
      <w:r w:rsidR="00D635A7" w:rsidRPr="000F618F">
        <w:rPr>
          <w:rFonts w:eastAsia="Calibri"/>
          <w:bCs/>
          <w:i/>
          <w:noProof/>
          <w:color w:val="000000"/>
        </w:rPr>
        <w:t>,</w:t>
      </w:r>
      <w:r w:rsidR="00801E52" w:rsidRPr="000F618F">
        <w:rPr>
          <w:rFonts w:eastAsia="Calibri"/>
          <w:bCs/>
          <w:i/>
          <w:noProof/>
          <w:color w:val="000000"/>
        </w:rPr>
        <w:t xml:space="preserve"> looking at</w:t>
      </w:r>
      <w:r w:rsidR="00801E52" w:rsidRPr="000F618F">
        <w:rPr>
          <w:i/>
          <w:color w:val="000000"/>
        </w:rPr>
        <w:t xml:space="preserve"> daily</w:t>
      </w:r>
      <w:r w:rsidRPr="000F618F">
        <w:rPr>
          <w:rFonts w:eastAsia="Calibri" w:cs="Times New Roman"/>
          <w:i/>
          <w:color w:val="000000"/>
        </w:rPr>
        <w:t xml:space="preserve"> versus non-daily</w:t>
      </w:r>
      <w:r w:rsidR="008D32F2" w:rsidRPr="000F618F">
        <w:rPr>
          <w:rFonts w:eastAsia="Calibri" w:cs="Times New Roman"/>
          <w:i/>
          <w:color w:val="000000"/>
        </w:rPr>
        <w:t xml:space="preserve"> smoking between menthol and non-menthol cigarette smo</w:t>
      </w:r>
      <w:r w:rsidR="00BA2BA4" w:rsidRPr="000F618F">
        <w:rPr>
          <w:rFonts w:eastAsia="Calibri" w:cs="Times New Roman"/>
          <w:i/>
          <w:color w:val="000000"/>
        </w:rPr>
        <w:t>kers</w:t>
      </w:r>
      <w:r w:rsidRPr="000F618F">
        <w:rPr>
          <w:rFonts w:eastAsia="Calibri" w:cs="Times New Roman"/>
          <w:i/>
          <w:color w:val="000000"/>
        </w:rPr>
        <w:t xml:space="preserve">, </w:t>
      </w:r>
      <w:r w:rsidR="00FB6D99" w:rsidRPr="000F618F">
        <w:rPr>
          <w:rFonts w:eastAsia="Calibri" w:cs="Times New Roman"/>
          <w:i/>
          <w:color w:val="000000"/>
        </w:rPr>
        <w:t>o</w:t>
      </w:r>
      <w:r w:rsidR="00CD40E8" w:rsidRPr="000F618F">
        <w:rPr>
          <w:rFonts w:eastAsia="Calibri" w:cs="Times New Roman"/>
          <w:i/>
          <w:color w:val="000000"/>
        </w:rPr>
        <w:t>ne analysis</w:t>
      </w:r>
      <w:r w:rsidR="003A090E" w:rsidRPr="000F618F">
        <w:rPr>
          <w:i/>
          <w:color w:val="000000" w:themeColor="text1"/>
          <w:shd w:val="clear" w:color="auto" w:fill="FFFFFF"/>
        </w:rPr>
        <w:t xml:space="preserve"> found </w:t>
      </w:r>
      <w:r w:rsidR="00AC1848" w:rsidRPr="000F618F">
        <w:rPr>
          <w:i/>
          <w:color w:val="000000" w:themeColor="text1"/>
          <w:shd w:val="clear" w:color="auto" w:fill="FFFFFF"/>
        </w:rPr>
        <w:t xml:space="preserve">a </w:t>
      </w:r>
      <w:r w:rsidR="003A090E" w:rsidRPr="000F618F">
        <w:rPr>
          <w:i/>
          <w:color w:val="000000" w:themeColor="text1"/>
          <w:shd w:val="clear" w:color="auto" w:fill="FFFFFF"/>
        </w:rPr>
        <w:t xml:space="preserve">significantly </w:t>
      </w:r>
      <w:r w:rsidR="00AC1848" w:rsidRPr="000F618F">
        <w:rPr>
          <w:i/>
          <w:color w:val="000000" w:themeColor="text1"/>
          <w:shd w:val="clear" w:color="auto" w:fill="FFFFFF"/>
        </w:rPr>
        <w:t>lower proportion of menthol smokers who were daily smokers compared to non-menthol sm</w:t>
      </w:r>
      <w:r w:rsidR="00DC3E05" w:rsidRPr="000F618F">
        <w:rPr>
          <w:i/>
          <w:color w:val="000000" w:themeColor="text1"/>
          <w:shd w:val="clear" w:color="auto" w:fill="FFFFFF"/>
        </w:rPr>
        <w:t>okers</w:t>
      </w:r>
      <w:r w:rsidR="003A090E" w:rsidRPr="000F618F">
        <w:rPr>
          <w:i/>
          <w:iCs/>
          <w:color w:val="000000" w:themeColor="text1"/>
          <w:shd w:val="clear" w:color="auto" w:fill="FFFFFF"/>
        </w:rPr>
        <w:t xml:space="preserve">. One analysis found no significant </w:t>
      </w:r>
      <w:r w:rsidR="00AC1848" w:rsidRPr="000F618F">
        <w:rPr>
          <w:i/>
          <w:iCs/>
          <w:color w:val="000000" w:themeColor="text1"/>
          <w:shd w:val="clear" w:color="auto" w:fill="FFFFFF"/>
        </w:rPr>
        <w:t>difference between menthol and non-menthol smokers in being a daily smoker</w:t>
      </w:r>
      <w:r w:rsidR="003A090E" w:rsidRPr="000F618F">
        <w:rPr>
          <w:i/>
          <w:iCs/>
          <w:color w:val="000000" w:themeColor="text1"/>
          <w:shd w:val="clear" w:color="auto" w:fill="FFFFFF"/>
        </w:rPr>
        <w:t>. Two analyses</w:t>
      </w:r>
      <w:r w:rsidR="003A090E" w:rsidRPr="009E3AC6">
        <w:rPr>
          <w:i/>
          <w:iCs/>
          <w:color w:val="000000" w:themeColor="text1"/>
          <w:shd w:val="clear" w:color="auto" w:fill="FFFFFF"/>
        </w:rPr>
        <w:t xml:space="preserve"> observed slightly lower rates of daily smoking among menthol and non-menthol smokers, while a third analysis observed lower rates of smoking 1-19 and ≥20 days in the past month among menthol smokers; however, no significant testing was reported for any of these analyses. </w:t>
      </w:r>
      <w:r w:rsidR="0098426E" w:rsidRPr="00196F54">
        <w:rPr>
          <w:rFonts w:eastAsia="Calibri" w:cs="Times New Roman"/>
          <w:i/>
          <w:color w:val="000000"/>
        </w:rPr>
        <w:t>One analysis revealed significantly higher odds of menthol smokers being daily smokers.</w:t>
      </w:r>
      <w:r w:rsidR="0098426E">
        <w:rPr>
          <w:rFonts w:eastAsia="Calibri" w:cs="Times New Roman"/>
          <w:i/>
          <w:color w:val="000000"/>
        </w:rPr>
        <w:t xml:space="preserve"> </w:t>
      </w:r>
      <w:r w:rsidR="003A090E" w:rsidRPr="009E3AC6">
        <w:rPr>
          <w:i/>
          <w:iCs/>
          <w:color w:val="000000" w:themeColor="text1"/>
          <w:shd w:val="clear" w:color="auto" w:fill="FFFFFF"/>
        </w:rPr>
        <w:t>Two analyses observed higher rates of daily smoking among menthol smokers compared to non-menthol smokers; however, no significant testing was reported for either analysis.</w:t>
      </w:r>
      <w:r w:rsidR="009E3AC6" w:rsidRPr="009E3AC6">
        <w:rPr>
          <w:i/>
          <w:iCs/>
          <w:color w:val="000000" w:themeColor="text1"/>
          <w:shd w:val="clear" w:color="auto" w:fill="FFFFFF"/>
        </w:rPr>
        <w:t xml:space="preserve"> One analysis </w:t>
      </w:r>
      <w:r w:rsidR="00FB6D99">
        <w:rPr>
          <w:i/>
          <w:iCs/>
          <w:color w:val="000000" w:themeColor="text1"/>
          <w:shd w:val="clear" w:color="auto" w:fill="FFFFFF"/>
        </w:rPr>
        <w:t>observed a</w:t>
      </w:r>
      <w:r w:rsidR="00FB6D99" w:rsidRPr="00FB6D99">
        <w:rPr>
          <w:i/>
          <w:iCs/>
          <w:color w:val="000000" w:themeColor="text1"/>
          <w:shd w:val="clear" w:color="auto" w:fill="FFFFFF"/>
        </w:rPr>
        <w:t xml:space="preserve"> greater proportion of</w:t>
      </w:r>
      <w:r w:rsidR="00FB6D99">
        <w:rPr>
          <w:i/>
          <w:iCs/>
          <w:color w:val="000000" w:themeColor="text1"/>
          <w:shd w:val="clear" w:color="auto" w:fill="FFFFFF"/>
        </w:rPr>
        <w:t xml:space="preserve"> non-daily smokers among</w:t>
      </w:r>
      <w:r w:rsidR="00FB6D99" w:rsidRPr="00FB6D99">
        <w:rPr>
          <w:i/>
          <w:iCs/>
          <w:color w:val="000000" w:themeColor="text1"/>
          <w:shd w:val="clear" w:color="auto" w:fill="FFFFFF"/>
        </w:rPr>
        <w:t xml:space="preserve"> menthol smokers </w:t>
      </w:r>
      <w:r w:rsidR="00FB6D99">
        <w:rPr>
          <w:i/>
          <w:iCs/>
          <w:color w:val="000000" w:themeColor="text1"/>
          <w:shd w:val="clear" w:color="auto" w:fill="FFFFFF"/>
        </w:rPr>
        <w:t xml:space="preserve">compared to the proportion of </w:t>
      </w:r>
      <w:r w:rsidR="00FB6D99" w:rsidRPr="00FB6D99">
        <w:rPr>
          <w:i/>
          <w:iCs/>
          <w:color w:val="000000" w:themeColor="text1"/>
          <w:shd w:val="clear" w:color="auto" w:fill="FFFFFF"/>
        </w:rPr>
        <w:t xml:space="preserve">non-daily smokers </w:t>
      </w:r>
      <w:r w:rsidR="00FB6D99">
        <w:rPr>
          <w:i/>
          <w:iCs/>
          <w:color w:val="000000" w:themeColor="text1"/>
          <w:shd w:val="clear" w:color="auto" w:fill="FFFFFF"/>
        </w:rPr>
        <w:t xml:space="preserve">among </w:t>
      </w:r>
      <w:r w:rsidR="00FB6D99" w:rsidRPr="00FB6D99">
        <w:rPr>
          <w:i/>
          <w:iCs/>
          <w:color w:val="000000" w:themeColor="text1"/>
          <w:shd w:val="clear" w:color="auto" w:fill="FFFFFF"/>
        </w:rPr>
        <w:t xml:space="preserve">non-menthol </w:t>
      </w:r>
      <w:r w:rsidR="00FB6D99">
        <w:rPr>
          <w:i/>
          <w:iCs/>
          <w:color w:val="000000" w:themeColor="text1"/>
          <w:shd w:val="clear" w:color="auto" w:fill="FFFFFF"/>
        </w:rPr>
        <w:t xml:space="preserve">smokers. </w:t>
      </w:r>
      <w:r w:rsidR="003A090E" w:rsidRPr="009E3AC6">
        <w:rPr>
          <w:i/>
          <w:iCs/>
          <w:color w:val="000000" w:themeColor="text1"/>
          <w:shd w:val="clear" w:color="auto" w:fill="FFFFFF"/>
        </w:rPr>
        <w:t>Six analyses from two studies did not directly compare daily versus non-daily smoking: one analysis from one study observed higher prevalence of non-menthol smokers in both their 1-9 days per month and 10-30 days per month groups; and five analyses from one study presented similar distributions of menthol to non-menthol smokers within past-month, regular, and daily smokers. One analysis, reporting only on combined racial/ethnic and gender subgroups, observed mixed results, depending on stratification.</w:t>
      </w:r>
    </w:p>
    <w:p w14:paraId="3DB47519" w14:textId="339AA822" w:rsidR="00A20AE4" w:rsidRDefault="003A090E" w:rsidP="003A090E">
      <w:pPr>
        <w:jc w:val="both"/>
        <w:rPr>
          <w:color w:val="000000" w:themeColor="text1"/>
        </w:rPr>
      </w:pPr>
      <w:r w:rsidRPr="009E3AC6">
        <w:rPr>
          <w:color w:val="000000" w:themeColor="text1"/>
        </w:rPr>
        <w:lastRenderedPageBreak/>
        <w:t>Curtin et al.</w:t>
      </w:r>
      <w:r w:rsidRPr="009E3AC6">
        <w:rPr>
          <w:sz w:val="18"/>
          <w:szCs w:val="18"/>
        </w:rPr>
        <w:t xml:space="preserve"> </w:t>
      </w:r>
      <w:r w:rsidR="00D2134A">
        <w:fldChar w:fldCharType="begin">
          <w:fldData xml:space="preserve">PEVuZE5vdGU+PENpdGU+PEF1dGhvcj5DdXJ0aW48L0F1dGhvcj48WWVhcj4yMDE0PC9ZZWFyPjxS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</w:fldData>
        </w:fldChar>
      </w:r>
      <w:r w:rsidR="00D2134A">
        <w:instrText xml:space="preserve"> ADDIN EN.CITE </w:instrText>
      </w:r>
      <w:r w:rsidR="00D2134A">
        <w:fldChar w:fldCharType="begin">
          <w:fldData xml:space="preserve">PEVuZE5vdGU+PENpdGU+PEF1dGhvcj5DdXJ0aW48L0F1dGhvcj48WWVhcj4yMDE0PC9ZZWFyPjxS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</w:fldData>
        </w:fldChar>
      </w:r>
      <w:r w:rsidR="00D2134A">
        <w:instrText xml:space="preserve"> ADDIN EN.CITE.DATA </w:instrText>
      </w:r>
      <w:r w:rsidR="00D2134A">
        <w:fldChar w:fldCharType="end"/>
      </w:r>
      <w:r w:rsidR="00D2134A">
        <w:fldChar w:fldCharType="separate"/>
      </w:r>
      <w:r w:rsidR="00D2134A">
        <w:rPr>
          <w:noProof/>
        </w:rPr>
        <w:t>(</w:t>
      </w:r>
      <w:hyperlink w:anchor="_ENREF_52" w:tooltip="Curtin, 2014 #14" w:history="1">
        <w:r w:rsidR="00A234A9">
          <w:rPr>
            <w:noProof/>
          </w:rPr>
          <w:t>52</w:t>
        </w:r>
      </w:hyperlink>
      <w:r w:rsidR="00D2134A">
        <w:rPr>
          <w:noProof/>
        </w:rPr>
        <w:t>)</w:t>
      </w:r>
      <w:r w:rsidR="00D2134A">
        <w:fldChar w:fldCharType="end"/>
      </w:r>
      <w:r w:rsidRPr="009E3AC6">
        <w:rPr>
          <w:color w:val="000000" w:themeColor="text1"/>
        </w:rPr>
        <w:t xml:space="preserve"> reported five analyses from four data sets: three were exclusively among adults (NHANES, NSDUH, and NHIS), one was exclusively among youth (NHANES), and one was among both adults and youth (TUS-CPS). No comparative analysis was done between frequency of smoking among menthol and non-menthol smokers. However, all five analyses presented similar distributions of menthol to non-menthol smokers within past-month (ranging from 22.1% to 29.8% menthol smokers, and 70.2% to 77.9% non-menthol smokers), regular (ranging from 17.6% to 29.6% menthol smokers, and 70.4% to 82.4% non-menthol smokers), and daily smokers (ranging from 18.2% to 28.9% menthol smokers, and 71.1% to 81.8% non-menthol smokers)</w:t>
      </w:r>
      <w:r w:rsidR="00A20AE4" w:rsidRPr="009E3AC6">
        <w:rPr>
          <w:color w:val="000000" w:themeColor="text1"/>
        </w:rPr>
        <w:t>.</w:t>
      </w:r>
    </w:p>
    <w:p w14:paraId="4EFD17AC" w14:textId="2137ADC0" w:rsidR="0098426E" w:rsidRPr="00B627BA" w:rsidRDefault="0098426E" w:rsidP="0098426E">
      <w:pPr>
        <w:widowControl w:val="0"/>
        <w:spacing w:before="240" w:after="120" w:line="240" w:lineRule="auto"/>
        <w:rPr>
          <w:rFonts w:eastAsia="Calibri" w:cs="Times New Roman"/>
          <w:color w:val="000000"/>
        </w:rPr>
      </w:pPr>
      <w:r>
        <w:rPr>
          <w:rFonts w:eastAsia="Calibri" w:cs="Times New Roman"/>
          <w:color w:val="000000"/>
        </w:rPr>
        <w:t xml:space="preserve">Muilenburg and Legge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&lt;EndNote&gt;&lt;Cite&gt;&lt;Author&gt;Muilenburg&lt;/Author&gt;&lt;Year&gt;2008&lt;/Year&gt;&lt;RecNum&gt;71&lt;/RecNum&gt;&lt;DisplayText&gt;(71)&lt;/DisplayText&gt;&lt;record&gt;&lt;rec-number&gt;71&lt;/rec-number&gt;&lt;foreign-keys&gt;&lt;key app="EN" db-id="a2vz2dfp8xrad6exes75zwpiw5rxwa0vwapv" timestamp="0"&gt;71&lt;/key&gt;&lt;/foreign-keys&gt;&lt;ref-type name="Journal Article"&gt;17&lt;/ref-type&gt;&lt;contributors&gt;&lt;authors&gt;&lt;author&gt;Muilenburg, J. L.&lt;/author&gt;&lt;author&gt;Legge, J. S., Jr.&lt;/author&gt;&lt;/authors&gt;&lt;/contributors&gt;&lt;auth-address&gt;Department of Health Promotion and Behavior, College of Public Health, University of Georgia, Athens, Georgia 30602, USA.&lt;/auth-address&gt;&lt;titles&gt;&lt;title&gt;African American adolescents and menthol cigarettes: smoking behavior among secondary school students&lt;/title&gt;&lt;secondary-title&gt;J Adolesc Health&lt;/secondary-title&gt;&lt;/titles&gt;&lt;pages&gt;570-5&lt;/pages&gt;&lt;volume&gt;43&lt;/volume&gt;&lt;number&gt;6&lt;/number&gt;&lt;keywords&gt;&lt;keyword&gt;Adolescent&lt;/keyword&gt;&lt;keyword&gt;Adolescent Behavior/*ethnology&lt;/keyword&gt;&lt;keyword&gt;African Americans/*statistics &amp;amp; numerical data&lt;/keyword&gt;&lt;keyword&gt;Age Distribution&lt;/keyword&gt;&lt;keyword&gt;Case-Control Studies&lt;/keyword&gt;&lt;keyword&gt;Child&lt;/keyword&gt;&lt;keyword&gt;European Continental Ancestry Group/statistics &amp;amp; numerical data&lt;/keyword&gt;&lt;keyword&gt;Female&lt;/keyword&gt;&lt;keyword&gt;Health Behavior/ethnology&lt;/keyword&gt;&lt;keyword&gt;Health Surveys&lt;/keyword&gt;&lt;keyword&gt;Humans&lt;/keyword&gt;&lt;keyword&gt;Male&lt;/keyword&gt;&lt;keyword&gt;Menthol&lt;/keyword&gt;&lt;keyword&gt;Sex Distribution&lt;/keyword&gt;&lt;keyword&gt;Smoking/*ethnology&lt;/keyword&gt;&lt;keyword&gt;Social Environment&lt;/keyword&gt;&lt;keyword&gt;Southeastern United States/epidemiology&lt;/keyword&gt;&lt;keyword&gt;Students/*statistics &amp;amp; numerical data&lt;/keyword&gt;&lt;keyword&gt;Young Adult&lt;/keyword&gt;&lt;/keywords&gt;&lt;dates&gt;&lt;year&gt;2008&lt;/year&gt;&lt;pub-dates&gt;&lt;date&gt;Dec&lt;/date&gt;&lt;/pub-dates&gt;&lt;/dates&gt;&lt;isbn&gt;1879-1972 (Electronic)&amp;#xD;1054-139X (Linking)&lt;/isbn&gt;&lt;accession-num&gt;19027645&lt;/accession-num&gt;&lt;urls&gt;&lt;related-urls&gt;&lt;url&gt;http://www.ncbi.nlm.nih.gov/pubmed/19027645&lt;/url&gt;&lt;/related-urls&gt;&lt;/urls&gt;&lt;electronic-resource-num&gt;10.1016/j.jadohealth.2008.08.017&lt;/electronic-resource-num&gt;&lt;research-notes&gt;#343&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1" w:tooltip="Muilenburg, 2008 #71" w:history="1">
        <w:r w:rsidR="00A234A9">
          <w:rPr>
            <w:rFonts w:eastAsia="Calibri" w:cs="Times New Roman"/>
            <w:noProof/>
            <w:color w:val="000000"/>
          </w:rPr>
          <w:t>71</w:t>
        </w:r>
      </w:hyperlink>
      <w:r w:rsidR="00D2134A">
        <w:rPr>
          <w:rFonts w:eastAsia="Calibri" w:cs="Times New Roman"/>
          <w:noProof/>
          <w:color w:val="000000"/>
        </w:rPr>
        <w:t>)</w:t>
      </w:r>
      <w:r w:rsidR="00D2134A">
        <w:rPr>
          <w:rFonts w:eastAsia="Calibri" w:cs="Times New Roman"/>
          <w:color w:val="000000"/>
        </w:rPr>
        <w:fldChar w:fldCharType="end"/>
      </w:r>
      <w:r>
        <w:rPr>
          <w:rFonts w:eastAsia="Calibri" w:cs="Times New Roman"/>
          <w:color w:val="000000"/>
        </w:rPr>
        <w:t xml:space="preserve"> </w:t>
      </w:r>
      <w:r w:rsidRPr="00116A8C">
        <w:rPr>
          <w:rFonts w:eastAsia="Calibri" w:cs="Times New Roman"/>
          <w:color w:val="000000"/>
        </w:rPr>
        <w:t xml:space="preserve">surveyed more than 2,000 middle and high school students who had taken at least </w:t>
      </w:r>
      <w:r>
        <w:rPr>
          <w:rFonts w:eastAsia="Calibri" w:cs="Times New Roman"/>
          <w:color w:val="000000"/>
        </w:rPr>
        <w:t>one puff of</w:t>
      </w:r>
      <w:r w:rsidRPr="00116A8C">
        <w:rPr>
          <w:rFonts w:eastAsia="Calibri" w:cs="Times New Roman"/>
          <w:color w:val="000000"/>
        </w:rPr>
        <w:t xml:space="preserve"> a cigarette</w:t>
      </w:r>
      <w:r>
        <w:rPr>
          <w:rFonts w:eastAsia="Calibri" w:cs="Times New Roman"/>
          <w:color w:val="000000"/>
        </w:rPr>
        <w:t>. M</w:t>
      </w:r>
      <w:r w:rsidRPr="00116A8C">
        <w:rPr>
          <w:rFonts w:eastAsia="Calibri" w:cs="Times New Roman"/>
          <w:color w:val="000000"/>
        </w:rPr>
        <w:t>enthol smokers had significantly greater odds of ever having been a daily smoker (at least one cigarette every day for 30 days), compared with non-menthol smokers (</w:t>
      </w:r>
      <w:r>
        <w:rPr>
          <w:rFonts w:eastAsia="Calibri" w:cs="Times New Roman"/>
          <w:color w:val="000000"/>
        </w:rPr>
        <w:t>A</w:t>
      </w:r>
      <w:r w:rsidRPr="00116A8C">
        <w:rPr>
          <w:rFonts w:eastAsia="Calibri" w:cs="Times New Roman"/>
          <w:color w:val="000000"/>
        </w:rPr>
        <w:t>OR=3.41, p≤0.01).</w:t>
      </w:r>
    </w:p>
    <w:p w14:paraId="5E820849" w14:textId="770C101D" w:rsidR="003A090E" w:rsidRPr="009E3AC6" w:rsidRDefault="003A090E" w:rsidP="003A090E">
      <w:pPr>
        <w:jc w:val="both"/>
        <w:rPr>
          <w:color w:val="000000" w:themeColor="text1"/>
        </w:rPr>
      </w:pPr>
      <w:r w:rsidRPr="009E3AC6">
        <w:rPr>
          <w:color w:val="000000" w:themeColor="text1"/>
        </w:rPr>
        <w:t xml:space="preserve">Sulsky et al. </w:t>
      </w:r>
      <w:r w:rsidR="00D2134A">
        <w:rPr>
          <w:color w:val="000000" w:themeColor="text1"/>
        </w:rPr>
        <w:fldChar w:fldCharType="begin">
          <w:fldData xml:space="preserve">PEVuZE5vdGU+PENpdGU+PEF1dGhvcj5TdWxza3k8L0F1dGhvcj48WWVhcj4yMDE0PC9ZZWFyPjxS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</w:fldData>
        </w:fldChar>
      </w:r>
      <w:r w:rsidR="00D2134A">
        <w:rPr>
          <w:color w:val="000000" w:themeColor="text1"/>
        </w:rPr>
        <w:instrText xml:space="preserve"> ADDIN EN.CITE </w:instrText>
      </w:r>
      <w:r w:rsidR="00D2134A">
        <w:rPr>
          <w:color w:val="000000" w:themeColor="text1"/>
        </w:rPr>
        <w:fldChar w:fldCharType="begin">
          <w:fldData xml:space="preserve">PEVuZE5vdGU+PENpdGU+PEF1dGhvcj5TdWxza3k8L0F1dGhvcj48WWVhcj4yMDE0PC9ZZWFyPjxS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</w:fldData>
        </w:fldChar>
      </w:r>
      <w:r w:rsidR="00D2134A">
        <w:rPr>
          <w:color w:val="000000" w:themeColor="text1"/>
        </w:rPr>
        <w:instrText xml:space="preserve"> ADDIN EN.CITE.DATA </w:instrText>
      </w:r>
      <w:r w:rsidR="00D2134A">
        <w:rPr>
          <w:color w:val="000000" w:themeColor="text1"/>
        </w:rPr>
      </w:r>
      <w:r w:rsidR="00D2134A">
        <w:rPr>
          <w:color w:val="000000" w:themeColor="text1"/>
        </w:rPr>
        <w:fldChar w:fldCharType="end"/>
      </w:r>
      <w:r w:rsidR="00D2134A">
        <w:rPr>
          <w:color w:val="000000" w:themeColor="text1"/>
        </w:rPr>
        <w:fldChar w:fldCharType="separate"/>
      </w:r>
      <w:r w:rsidR="00D2134A">
        <w:rPr>
          <w:noProof/>
          <w:color w:val="000000" w:themeColor="text1"/>
        </w:rPr>
        <w:t>(</w:t>
      </w:r>
      <w:hyperlink w:anchor="_ENREF_85" w:tooltip="Sulsky, 2014 #15" w:history="1">
        <w:r w:rsidR="00A234A9">
          <w:rPr>
            <w:noProof/>
            <w:color w:val="000000" w:themeColor="text1"/>
          </w:rPr>
          <w:t>85</w:t>
        </w:r>
      </w:hyperlink>
      <w:r w:rsidR="00D2134A">
        <w:rPr>
          <w:noProof/>
          <w:color w:val="000000" w:themeColor="text1"/>
        </w:rPr>
        <w:t>)</w:t>
      </w:r>
      <w:r w:rsidR="00D2134A">
        <w:rPr>
          <w:color w:val="000000" w:themeColor="text1"/>
        </w:rPr>
        <w:fldChar w:fldCharType="end"/>
      </w:r>
      <w:r w:rsidRPr="009E3AC6">
        <w:rPr>
          <w:color w:val="000000" w:themeColor="text1"/>
        </w:rPr>
        <w:t xml:space="preserve"> analyzed weighted data from current and former smokers who participated in the 2005 or 2010 NHIS or the 2010/11 TUS-CPS. Results from both national surveys were nearly identical and showed very little difference in daily smoking between menthol and non-menthol smokers. Of menthol smokers in the NHIS, 46.7 percent were daily smokers, compared with 47.0 percent of non-menthol smokers. Of menthol smokers in the TUS-CPS, 45.07 percent were daily smokers, compared with 46.1 percent of non-menthol smokers.</w:t>
      </w:r>
    </w:p>
    <w:p w14:paraId="3D84BA74" w14:textId="0E022209" w:rsidR="00A20AE4" w:rsidRPr="009E3AC6" w:rsidRDefault="003A090E" w:rsidP="003A090E">
      <w:pPr>
        <w:jc w:val="both"/>
        <w:rPr>
          <w:color w:val="000000" w:themeColor="text1"/>
        </w:rPr>
      </w:pPr>
      <w:r w:rsidRPr="009E3AC6">
        <w:rPr>
          <w:color w:val="000000" w:themeColor="text1"/>
        </w:rPr>
        <w:t xml:space="preserve">Resnicow et al. </w:t>
      </w:r>
      <w:r w:rsidR="00D2134A">
        <w:rPr>
          <w:color w:val="000000" w:themeColor="text1"/>
        </w:rPr>
        <w:fldChar w:fldCharType="begin"/>
      </w:r>
      <w:r w:rsidR="00D2134A">
        <w:rPr>
          <w:color w:val="000000" w:themeColor="text1"/>
        </w:rPr>
        <w:instrText xml:space="preserve"> ADDIN EN.CITE &lt;EndNote&gt;&lt;Cite&gt;&lt;Author&gt;Resnicow&lt;/Author&gt;&lt;Year&gt;2014&lt;/Year&gt;&lt;RecNum&gt;19&lt;/RecNum&gt;&lt;DisplayText&gt;(80)&lt;/DisplayText&gt;&lt;record&gt;&lt;rec-number&gt;19&lt;/rec-number&gt;&lt;foreign-keys&gt;&lt;key app="EN" db-id="a2vz2dfp8xrad6exes75zwpiw5rxwa0vwapv" timestamp="0"&gt;19&lt;/key&gt;&lt;/foreign-keys&gt;&lt;ref-type name="Journal Article"&gt;17&lt;/ref-type&gt;&lt;contributors&gt;&lt;authors&gt;&lt;author&gt;Resnicow, K.&lt;/author&gt;&lt;author&gt;Zhou, Y.&lt;/author&gt;&lt;author&gt;Scheuermann, T. S.&lt;/author&gt;&lt;author&gt;Nollen, N. L.&lt;/author&gt;&lt;author&gt;Ahluwalia, J. S.&lt;/author&gt;&lt;/authors&gt;&lt;/contributors&gt;&lt;auth-address&gt;Department of Health Behavior and Health Education, University of Michigan, School of Public Health, Ann Arbor, MI;&lt;/auth-address&gt;&lt;titles&gt;&lt;title&gt;Unplanned quitting in a triethnic sample of U.S. smokers&lt;/title&gt;&lt;secondary-title&gt;Nicotine Tob Res&lt;/secondary-title&gt;&lt;/titles&gt;&lt;periodical&gt;&lt;full-title&gt;Nicotine Tob Res&lt;/full-title&gt;&lt;/periodical&gt;&lt;pages&gt;759-65&lt;/pages&gt;&lt;volume&gt;16&lt;/volume&gt;&lt;number&gt;6&lt;/number&gt;&lt;keywords&gt;&lt;keyword&gt;Adult&lt;/keyword&gt;&lt;keyword&gt;African Americans/statistics &amp;amp; numerical data&lt;/keyword&gt;&lt;keyword&gt;Cross-Sectional Studies&lt;/keyword&gt;&lt;keyword&gt;European Continental Ancestry Group/statistics &amp;amp; numerical data&lt;/keyword&gt;&lt;keyword&gt;Female&lt;/keyword&gt;&lt;keyword&gt;Hispanic Americans/statistics &amp;amp; numerical data&lt;/keyword&gt;&lt;keyword&gt;Humans&lt;/keyword&gt;&lt;keyword&gt;Intention&lt;/keyword&gt;&lt;keyword&gt;Male&lt;/keyword&gt;&lt;keyword&gt;Middle Aged&lt;/keyword&gt;&lt;keyword&gt;Smoking/*ethnology&lt;/keyword&gt;&lt;keyword&gt;Smoking Cessation/*ethnology/*statistics &amp;amp; numerical data&lt;/keyword&gt;&lt;keyword&gt;United States&lt;/keyword&gt;&lt;/keywords&gt;&lt;dates&gt;&lt;year&gt;2014&lt;/year&gt;&lt;pub-dates&gt;&lt;date&gt;Jun&lt;/date&gt;&lt;/pub-dates&gt;&lt;/dates&gt;&lt;isbn&gt;1469-994X (Electronic)&amp;#xD;1462-2203 (Linking)&lt;/isbn&gt;&lt;accession-num&gt;24420329&lt;/accession-num&gt;&lt;urls&gt;&lt;related-urls&gt;&lt;url&gt;http://www.ncbi.nlm.nih.gov/pubmed/24420329&lt;/url&gt;&lt;/related-urls&gt;&lt;/urls&gt;&lt;custom2&gt;PMC4064007&lt;/custom2&gt;&lt;electronic-resource-num&gt;10.1093/ntr/ntt272&lt;/electronic-resource-num&gt;&lt;research-notes&gt;#096&lt;/research-notes&gt;&lt;/record&gt;&lt;/Cite&gt;&lt;/EndNote&gt;</w:instrText>
      </w:r>
      <w:r w:rsidR="00D2134A">
        <w:rPr>
          <w:color w:val="000000" w:themeColor="text1"/>
        </w:rPr>
        <w:fldChar w:fldCharType="separate"/>
      </w:r>
      <w:r w:rsidR="00D2134A">
        <w:rPr>
          <w:noProof/>
          <w:color w:val="000000" w:themeColor="text1"/>
        </w:rPr>
        <w:t>(</w:t>
      </w:r>
      <w:hyperlink w:anchor="_ENREF_80" w:tooltip="Resnicow, 2014 #19" w:history="1">
        <w:r w:rsidR="00A234A9">
          <w:rPr>
            <w:noProof/>
            <w:color w:val="000000" w:themeColor="text1"/>
          </w:rPr>
          <w:t>80</w:t>
        </w:r>
      </w:hyperlink>
      <w:r w:rsidR="00D2134A">
        <w:rPr>
          <w:noProof/>
          <w:color w:val="000000" w:themeColor="text1"/>
        </w:rPr>
        <w:t>)</w:t>
      </w:r>
      <w:r w:rsidR="00D2134A">
        <w:rPr>
          <w:color w:val="000000" w:themeColor="text1"/>
        </w:rPr>
        <w:fldChar w:fldCharType="end"/>
      </w:r>
      <w:r w:rsidRPr="009E3AC6">
        <w:rPr>
          <w:color w:val="000000" w:themeColor="text1"/>
        </w:rPr>
        <w:t xml:space="preserve"> analyzed data from more than 1,100 smokers age 25 or older who participated in an online survey. </w:t>
      </w:r>
      <w:r w:rsidR="00FB6D99">
        <w:rPr>
          <w:color w:val="000000" w:themeColor="text1"/>
        </w:rPr>
        <w:t>A</w:t>
      </w:r>
      <w:r w:rsidR="00FB6D99" w:rsidRPr="00FB6D99">
        <w:rPr>
          <w:color w:val="000000" w:themeColor="text1"/>
        </w:rPr>
        <w:t xml:space="preserve"> greater proportion of non-daily smokers</w:t>
      </w:r>
      <w:r w:rsidR="00FB6D99">
        <w:rPr>
          <w:color w:val="000000" w:themeColor="text1"/>
        </w:rPr>
        <w:t xml:space="preserve"> </w:t>
      </w:r>
      <w:r w:rsidR="00FB6D99" w:rsidRPr="009E3AC6">
        <w:rPr>
          <w:color w:val="000000" w:themeColor="text1"/>
        </w:rPr>
        <w:t xml:space="preserve">(fewer than 25 out of the past 30 days) </w:t>
      </w:r>
      <w:r w:rsidR="00FB6D99" w:rsidRPr="00FB6D99">
        <w:rPr>
          <w:color w:val="000000" w:themeColor="text1"/>
        </w:rPr>
        <w:t xml:space="preserve">among menthol smokers </w:t>
      </w:r>
      <w:r w:rsidR="00FB6D99">
        <w:rPr>
          <w:color w:val="000000" w:themeColor="text1"/>
        </w:rPr>
        <w:t xml:space="preserve">was observed, </w:t>
      </w:r>
      <w:r w:rsidR="00FB6D99" w:rsidRPr="00FB6D99">
        <w:rPr>
          <w:color w:val="000000" w:themeColor="text1"/>
        </w:rPr>
        <w:t>compared to the proportion of non-daily smokers among non-menthol smokers</w:t>
      </w:r>
      <w:r w:rsidRPr="009E3AC6">
        <w:rPr>
          <w:color w:val="000000" w:themeColor="text1"/>
        </w:rPr>
        <w:t xml:space="preserve"> (64.6% vs. 54.5%)</w:t>
      </w:r>
      <w:r w:rsidR="00A20AE4" w:rsidRPr="009E3AC6">
        <w:rPr>
          <w:color w:val="000000" w:themeColor="text1"/>
        </w:rPr>
        <w:t>.</w:t>
      </w:r>
    </w:p>
    <w:p w14:paraId="27F1B721" w14:textId="7F0479A7" w:rsidR="003A090E" w:rsidRPr="009E3AC6" w:rsidRDefault="003A090E" w:rsidP="003A090E">
      <w:pPr>
        <w:jc w:val="both"/>
        <w:rPr>
          <w:color w:val="000000" w:themeColor="text1"/>
        </w:rPr>
      </w:pPr>
      <w:r w:rsidRPr="009E3AC6">
        <w:rPr>
          <w:color w:val="000000" w:themeColor="text1"/>
        </w:rPr>
        <w:t xml:space="preserve">Jones et al. </w:t>
      </w:r>
      <w:r w:rsidR="00D2134A">
        <w:rPr>
          <w:color w:val="000000" w:themeColor="text1"/>
        </w:rPr>
        <w:fldChar w:fldCharType="begin">
          <w:fldData xml:space="preserve">PEVuZE5vdGU+PENpdGU+PEF1dGhvcj5Kb25lczwvQXV0aG9yPjxZZWFyPjIwMTM8L1llYXI+PFJl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</w:fldData>
        </w:fldChar>
      </w:r>
      <w:r w:rsidR="00D2134A">
        <w:rPr>
          <w:color w:val="000000" w:themeColor="text1"/>
        </w:rPr>
        <w:instrText xml:space="preserve"> ADDIN EN.CITE </w:instrText>
      </w:r>
      <w:r w:rsidR="00D2134A">
        <w:rPr>
          <w:color w:val="000000" w:themeColor="text1"/>
        </w:rPr>
        <w:fldChar w:fldCharType="begin">
          <w:fldData xml:space="preserve">PEVuZE5vdGU+PENpdGU+PEF1dGhvcj5Kb25lczwvQXV0aG9yPjxZZWFyPjIwMTM8L1llYXI+PFJl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</w:fldData>
        </w:fldChar>
      </w:r>
      <w:r w:rsidR="00D2134A">
        <w:rPr>
          <w:color w:val="000000" w:themeColor="text1"/>
        </w:rPr>
        <w:instrText xml:space="preserve"> ADDIN EN.CITE.DATA </w:instrText>
      </w:r>
      <w:r w:rsidR="00D2134A">
        <w:rPr>
          <w:color w:val="000000" w:themeColor="text1"/>
        </w:rPr>
      </w:r>
      <w:r w:rsidR="00D2134A">
        <w:rPr>
          <w:color w:val="000000" w:themeColor="text1"/>
        </w:rPr>
        <w:fldChar w:fldCharType="end"/>
      </w:r>
      <w:r w:rsidR="00D2134A">
        <w:rPr>
          <w:color w:val="000000" w:themeColor="text1"/>
        </w:rPr>
        <w:fldChar w:fldCharType="separate"/>
      </w:r>
      <w:r w:rsidR="00D2134A">
        <w:rPr>
          <w:noProof/>
          <w:color w:val="000000" w:themeColor="text1"/>
        </w:rPr>
        <w:t>(</w:t>
      </w:r>
      <w:hyperlink w:anchor="_ENREF_68" w:tooltip="Jones, 2013 #30" w:history="1">
        <w:r w:rsidR="00A234A9">
          <w:rPr>
            <w:noProof/>
            <w:color w:val="000000" w:themeColor="text1"/>
          </w:rPr>
          <w:t>68</w:t>
        </w:r>
      </w:hyperlink>
      <w:r w:rsidR="00D2134A">
        <w:rPr>
          <w:noProof/>
          <w:color w:val="000000" w:themeColor="text1"/>
        </w:rPr>
        <w:t>)</w:t>
      </w:r>
      <w:r w:rsidR="00D2134A">
        <w:rPr>
          <w:color w:val="000000" w:themeColor="text1"/>
        </w:rPr>
        <w:fldChar w:fldCharType="end"/>
      </w:r>
      <w:r w:rsidRPr="009E3AC6">
        <w:rPr>
          <w:color w:val="000000" w:themeColor="text1"/>
        </w:rPr>
        <w:t xml:space="preserve"> analyzed data from current smokers 20 years and older in the NHANES survey years 1999 to 2010. Among menthol smokers, 89.4 percent smoked daily; 88.0 percent of non-menthol users smoked daily (p=0.27).</w:t>
      </w:r>
    </w:p>
    <w:p w14:paraId="7F0B2F4C" w14:textId="3BBFA443" w:rsidR="00A20AE4" w:rsidRPr="009E3AC6" w:rsidRDefault="003A090E" w:rsidP="003A090E">
      <w:pPr>
        <w:jc w:val="both"/>
        <w:rPr>
          <w:color w:val="000000" w:themeColor="text1"/>
        </w:rPr>
      </w:pPr>
      <w:r w:rsidRPr="009E3AC6">
        <w:rPr>
          <w:color w:val="000000" w:themeColor="text1"/>
        </w:rPr>
        <w:t>Caraballo and Asman</w:t>
      </w:r>
      <w:r w:rsidRPr="009E3AC6">
        <w:rPr>
          <w:rStyle w:val="CommentReference"/>
        </w:rPr>
        <w:t xml:space="preserve"> </w:t>
      </w:r>
      <w:r w:rsidR="00D2134A">
        <w:rPr>
          <w:color w:val="000000" w:themeColor="text1"/>
        </w:rPr>
        <w:fldChar w:fldCharType="begin"/>
      </w:r>
      <w:r w:rsidR="00D2134A">
        <w:rPr>
          <w:color w:val="000000" w:themeColor="text1"/>
        </w:rPr>
        <w:instrText xml:space="preserve"> ADDIN EN.CITE &lt;EndNote&gt;&lt;Cite&gt;&lt;Author&gt;Caraballo&lt;/Author&gt;&lt;Year&gt;2011&lt;/Year&gt;&lt;RecNum&gt;47&lt;/RecNum&gt;&lt;DisplayText&gt;(49)&lt;/DisplayText&gt;&lt;record&gt;&lt;rec-number&gt;47&lt;/rec-number&gt;&lt;foreign-keys&gt;&lt;key app="EN" db-id="a2vz2dfp8xrad6exes75zwpiw5rxwa0vwapv" timestamp="0"&gt;47&lt;/key&gt;&lt;/foreign-keys&gt;&lt;ref-type name="Journal Article"&gt;17&lt;/ref-type&gt;&lt;contributors&gt;&lt;authors&gt;&lt;author&gt;Caraballo, R. S.&lt;/author&gt;&lt;author&gt;Asman, K.&lt;/author&gt;&lt;/authors&gt;&lt;/contributors&gt;&lt;auth-address&gt;Mail Stop K-50, Office on Smoking and Health, National Center for Chronic Disease Prevention and Health Promotion, Centers for Disease Control and Prevention, 4770 Buford Highway, N,E,, Atlanta, GA, USA. rfc8@cdc.gov.&lt;/auth-address&gt;&lt;titles&gt;&lt;title&gt;Epidemiology of menthol cigarette use in the United States&lt;/title&gt;&lt;secondary-title&gt;Tob Induc Dis&lt;/secondary-title&gt;&lt;/titles&gt;&lt;periodical&gt;&lt;full-title&gt;Tob Induc Dis&lt;/full-title&gt;&lt;/periodical&gt;&lt;pages&gt;S1&lt;/pages&gt;&lt;volume&gt;9 Suppl 1&lt;/volume&gt;&lt;dates&gt;&lt;year&gt;2011&lt;/year&gt;&lt;/dates&gt;&lt;isbn&gt;1617-9625 (Electronic)&amp;#xD;1617-9625 (Linking)&lt;/isbn&gt;&lt;accession-num&gt;21624147&lt;/accession-num&gt;&lt;urls&gt;&lt;related-urls&gt;&lt;url&gt;http://www.ncbi.nlm.nih.gov/pubmed/21624147&lt;/url&gt;&lt;/related-urls&gt;&lt;/urls&gt;&lt;custom2&gt;PMC3102900&lt;/custom2&gt;&lt;electronic-resource-num&gt;10.1186/1617-9625-9-S1-S1&lt;/electronic-resource-num&gt;&lt;research-notes&gt;#247&lt;/research-notes&gt;&lt;/record&gt;&lt;/Cite&gt;&lt;/EndNote&gt;</w:instrText>
      </w:r>
      <w:r w:rsidR="00D2134A">
        <w:rPr>
          <w:color w:val="000000" w:themeColor="text1"/>
        </w:rPr>
        <w:fldChar w:fldCharType="separate"/>
      </w:r>
      <w:r w:rsidR="00D2134A">
        <w:rPr>
          <w:noProof/>
          <w:color w:val="000000" w:themeColor="text1"/>
        </w:rPr>
        <w:t>(</w:t>
      </w:r>
      <w:hyperlink w:anchor="_ENREF_49" w:tooltip="Caraballo, 2011 #47" w:history="1">
        <w:r w:rsidR="00A234A9">
          <w:rPr>
            <w:noProof/>
            <w:color w:val="000000" w:themeColor="text1"/>
          </w:rPr>
          <w:t>49</w:t>
        </w:r>
      </w:hyperlink>
      <w:r w:rsidR="00D2134A">
        <w:rPr>
          <w:noProof/>
          <w:color w:val="000000" w:themeColor="text1"/>
        </w:rPr>
        <w:t>)</w:t>
      </w:r>
      <w:r w:rsidR="00D2134A">
        <w:rPr>
          <w:color w:val="000000" w:themeColor="text1"/>
        </w:rPr>
        <w:fldChar w:fldCharType="end"/>
      </w:r>
      <w:r w:rsidRPr="009E3AC6">
        <w:rPr>
          <w:color w:val="000000" w:themeColor="text1"/>
        </w:rPr>
        <w:t xml:space="preserve"> analyzed cross-sectional data from more than 8,000 middle and high school students who participated in the 2004, 2006, and 2009 National Youth Tobacco Survey (NYTS). Using weighted data, the authors found that 30.6 percent of menthol smokers were daily smokers, compared with 28.0 percent of non-menthol smokers</w:t>
      </w:r>
      <w:r w:rsidR="00A20AE4" w:rsidRPr="009E3AC6">
        <w:rPr>
          <w:color w:val="000000" w:themeColor="text1"/>
        </w:rPr>
        <w:t>.</w:t>
      </w:r>
    </w:p>
    <w:p w14:paraId="6B226D4B" w14:textId="7520FBF7" w:rsidR="00A20AE4" w:rsidRPr="009E3AC6" w:rsidRDefault="003A090E" w:rsidP="003A090E">
      <w:pPr>
        <w:spacing w:before="240"/>
        <w:jc w:val="both"/>
        <w:rPr>
          <w:color w:val="000000" w:themeColor="text1"/>
        </w:rPr>
      </w:pPr>
      <w:r w:rsidRPr="009E3AC6">
        <w:rPr>
          <w:color w:val="000000" w:themeColor="text1"/>
        </w:rPr>
        <w:t xml:space="preserve">Alexander et al. </w:t>
      </w:r>
      <w:r w:rsidR="00D2134A">
        <w:rPr>
          <w:color w:val="000000" w:themeColor="text1"/>
        </w:rPr>
        <w:fldChar w:fldCharType="begin">
          <w:fldData xml:space="preserve">PEVuZE5vdGU+PENpdGU+PEF1dGhvcj5BbGV4YW5kZXI8L0F1dGhvcj48WWVhcj4yMDEwPC9ZZWFy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</w:fldData>
        </w:fldChar>
      </w:r>
      <w:r w:rsidR="00D2134A">
        <w:rPr>
          <w:color w:val="000000" w:themeColor="text1"/>
        </w:rPr>
        <w:instrText xml:space="preserve"> ADDIN EN.CITE </w:instrText>
      </w:r>
      <w:r w:rsidR="00D2134A">
        <w:rPr>
          <w:color w:val="000000" w:themeColor="text1"/>
        </w:rPr>
        <w:fldChar w:fldCharType="begin">
          <w:fldData xml:space="preserve">PEVuZE5vdGU+PENpdGU+PEF1dGhvcj5BbGV4YW5kZXI8L0F1dGhvcj48WWVhcj4yMDEwPC9ZZWFy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</w:fldData>
        </w:fldChar>
      </w:r>
      <w:r w:rsidR="00D2134A">
        <w:rPr>
          <w:color w:val="000000" w:themeColor="text1"/>
        </w:rPr>
        <w:instrText xml:space="preserve"> ADDIN EN.CITE.DATA </w:instrText>
      </w:r>
      <w:r w:rsidR="00D2134A">
        <w:rPr>
          <w:color w:val="000000" w:themeColor="text1"/>
        </w:rPr>
      </w:r>
      <w:r w:rsidR="00D2134A">
        <w:rPr>
          <w:color w:val="000000" w:themeColor="text1"/>
        </w:rPr>
        <w:fldChar w:fldCharType="end"/>
      </w:r>
      <w:r w:rsidR="00D2134A">
        <w:rPr>
          <w:color w:val="000000" w:themeColor="text1"/>
        </w:rPr>
        <w:fldChar w:fldCharType="separate"/>
      </w:r>
      <w:r w:rsidR="00D2134A">
        <w:rPr>
          <w:noProof/>
          <w:color w:val="000000" w:themeColor="text1"/>
        </w:rPr>
        <w:t>(</w:t>
      </w:r>
      <w:hyperlink w:anchor="_ENREF_46" w:tooltip="Alexander, 2010 #59" w:history="1">
        <w:r w:rsidR="00A234A9">
          <w:rPr>
            <w:noProof/>
            <w:color w:val="000000" w:themeColor="text1"/>
          </w:rPr>
          <w:t>46</w:t>
        </w:r>
      </w:hyperlink>
      <w:r w:rsidR="00D2134A">
        <w:rPr>
          <w:noProof/>
          <w:color w:val="000000" w:themeColor="text1"/>
        </w:rPr>
        <w:t>)</w:t>
      </w:r>
      <w:r w:rsidR="00D2134A">
        <w:rPr>
          <w:color w:val="000000" w:themeColor="text1"/>
        </w:rPr>
        <w:fldChar w:fldCharType="end"/>
      </w:r>
      <w:r w:rsidRPr="009E3AC6">
        <w:rPr>
          <w:color w:val="000000" w:themeColor="text1"/>
        </w:rPr>
        <w:t xml:space="preserve"> reported data from adult current and former smokers in the 2006/2007 TUS-CPS. The authors found that a significantly lower proportion of menthol (vs. non-menthol) smokers were daily smokers. Among menthol smokers, 79.0 percent (95% CI: 77.8% to 80.1%) were daily smokers, compared with 81.2 percent (95% CI: 80.7% to 81.8%) of non-menthol smokers (p&lt;0.001)</w:t>
      </w:r>
      <w:r w:rsidR="00A20AE4" w:rsidRPr="009E3AC6">
        <w:rPr>
          <w:color w:val="000000" w:themeColor="text1"/>
        </w:rPr>
        <w:t>.</w:t>
      </w:r>
    </w:p>
    <w:p w14:paraId="22C7CBA9" w14:textId="123F6B0E" w:rsidR="003A090E" w:rsidRPr="009E3AC6" w:rsidRDefault="003A090E" w:rsidP="003A090E">
      <w:r w:rsidRPr="009E3AC6">
        <w:t xml:space="preserve">Villanti et al. </w:t>
      </w:r>
      <w:r w:rsidR="00D2134A">
        <w:fldChar w:fldCharType="begin"/>
      </w:r>
      <w:r w:rsidR="00D2134A">
        <w:instrText xml:space="preserve"> ADDIN EN.CITE &lt;EndNote&gt;&lt;Cite&gt;&lt;Author&gt;Villanti&lt;/Author&gt;&lt;Year&gt;2012&lt;/Year&gt;&lt;RecNum&gt;37&lt;/RecNum&gt;&lt;DisplayText&gt;(86)&lt;/DisplayText&gt;&lt;record&gt;&lt;rec-number&gt;37&lt;/rec-number&gt;&lt;foreign-keys&gt;&lt;key app="EN" db-id="a2vz2dfp8xrad6exes75zwpiw5rxwa0vwapv" timestamp="0"&gt;37&lt;/key&gt;&lt;/foreign-keys&gt;&lt;ref-type name="Journal Article"&gt;17&lt;/ref-type&gt;&lt;contributors&gt;&lt;authors&gt;&lt;author&gt;Villanti, A. C. &lt;/author&gt;&lt;author&gt;Giovino, G. A.&lt;/author&gt;&lt;author&gt;Barker, D. C.&lt;/author&gt;&lt;author&gt;Mowery, P.&lt;/author&gt;&lt;author&gt;Sevilimedu, V.&lt;/author&gt;&lt;author&gt;Abrams, D. B.&lt;/author&gt;&lt;/authors&gt;&lt;/contributors&gt;&lt;titles&gt;&lt;title&gt;Menthol brand switching among adolescents and young adults in the national youth smoking cessation survey&lt;/title&gt;&lt;secondary-title&gt;Am J Public Health&lt;/secondary-title&gt;&lt;/titles&gt;&lt;periodical&gt;&lt;full-title&gt;Am J Public Health&lt;/full-title&gt;&lt;/periodical&gt;&lt;pages&gt;1310-12&lt;/pages&gt;&lt;volume&gt;102&lt;/volume&gt;&lt;number&gt;7&lt;/number&gt;&lt;dates&gt;&lt;year&gt;2012&lt;/year&gt;&lt;pub-dates&gt;&lt;date&gt;Oct&lt;/date&gt;&lt;/pub-dates&gt;&lt;/dates&gt;&lt;urls&gt;&lt;/urls&gt;&lt;research-notes&gt;#191&lt;/research-notes&gt;&lt;/record&gt;&lt;/Cite&gt;&lt;/EndNote&gt;</w:instrText>
      </w:r>
      <w:r w:rsidR="00D2134A">
        <w:fldChar w:fldCharType="separate"/>
      </w:r>
      <w:r w:rsidR="00D2134A">
        <w:rPr>
          <w:noProof/>
        </w:rPr>
        <w:t>(</w:t>
      </w:r>
      <w:hyperlink w:anchor="_ENREF_86" w:tooltip="Villanti, 2012 #37" w:history="1">
        <w:r w:rsidR="00A234A9">
          <w:rPr>
            <w:noProof/>
          </w:rPr>
          <w:t>86</w:t>
        </w:r>
      </w:hyperlink>
      <w:r w:rsidR="00D2134A">
        <w:rPr>
          <w:noProof/>
        </w:rPr>
        <w:t>)</w:t>
      </w:r>
      <w:r w:rsidR="00D2134A">
        <w:fldChar w:fldCharType="end"/>
      </w:r>
      <w:r w:rsidRPr="009E3AC6">
        <w:t xml:space="preserve"> reported data from youth and young adults in the NYSCS. Authors looked at two different frequencies of smoking in terms of days smoked per month: 1-9 days per month and 10-30 days per month. For </w:t>
      </w:r>
      <w:r w:rsidR="00BF13A5">
        <w:t xml:space="preserve">the </w:t>
      </w:r>
      <w:r w:rsidRPr="009E3AC6">
        <w:t xml:space="preserve">1-9 days per month group, 29.1 percent (95% CI: 21.31% to 36.82%) were menthol smokers and 70.9 percent (95% CI: 63.18% to 78.69%) were non-menthol smokers. For </w:t>
      </w:r>
      <w:r w:rsidR="00BF13A5">
        <w:t xml:space="preserve">the </w:t>
      </w:r>
      <w:r w:rsidRPr="009E3AC6">
        <w:t>10-30 days per month group, 32.1 percent (95% CI: 28.59% to 35.70%) were menthol smokers and 67.9 percent (95% CI: 64.30% to 71.42%) were non-menthol smokers.</w:t>
      </w:r>
    </w:p>
    <w:p w14:paraId="65DCDE25" w14:textId="0AD25A67" w:rsidR="003A090E" w:rsidRPr="009E3AC6" w:rsidRDefault="003A090E" w:rsidP="003A090E">
      <w:r w:rsidRPr="009E3AC6">
        <w:lastRenderedPageBreak/>
        <w:t xml:space="preserve">Hersey et al. </w:t>
      </w:r>
      <w:r w:rsidR="00D2134A">
        <w:fldChar w:fldCharType="begin"/>
      </w:r>
      <w:r w:rsidR="00D2134A">
        <w:instrText xml:space="preserve"> ADDIN EN.CITE &lt;EndNote&gt;&lt;Cite&gt;&lt;Author&gt;Hersey&lt;/Author&gt;&lt;Year&gt;2006&lt;/Year&gt;&lt;RecNum&gt;80&lt;/RecNum&gt;&lt;DisplayText&gt;(64)&lt;/DisplayText&gt;&lt;record&gt;&lt;rec-number&gt;80&lt;/rec-number&gt;&lt;foreign-keys&gt;&lt;key app="EN" db-id="a2vz2dfp8xrad6exes75zwpiw5rxwa0vwapv" timestamp="0"&gt;80&lt;/key&gt;&lt;/foreign-keys&gt;&lt;ref-type name="Journal Article"&gt;17&lt;/ref-type&gt;&lt;contributors&gt;&lt;authors&gt;&lt;author&gt;Hersey, J. C.&lt;/author&gt;&lt;author&gt;Ng, S. W.&lt;/author&gt;&lt;author&gt;Nonnemaker, J. M.&lt;/author&gt;&lt;author&gt;Mowery, P.&lt;/author&gt;&lt;author&gt;Thomas, K. Y.&lt;/author&gt;&lt;author&gt;Vilsaint, M. C.&lt;/author&gt;&lt;author&gt;Allen, J. A.&lt;/author&gt;&lt;author&gt;Haviland, M. L.&lt;/author&gt;&lt;/authors&gt;&lt;/contributors&gt;&lt;auth-address&gt;RTI International, Washington, DC 20036, USA. hersey@rti.org&lt;/auth-address&gt;&lt;titles&gt;&lt;title&gt;Are menthol cigarettes a starter product for youth?&lt;/title&gt;&lt;secondary-title&gt;Nicotine Tob Res&lt;/secondary-title&gt;&lt;/titles&gt;&lt;periodical&gt;&lt;full-title&gt;Nicotine Tob Res&lt;/full-title&gt;&lt;/periodical&gt;&lt;pages&gt;403-13&lt;/pages&gt;&lt;volume&gt;8&lt;/volume&gt;&lt;number&gt;3&lt;/number&gt;&lt;keywords&gt;&lt;keyword&gt;Adolescent&lt;/keyword&gt;&lt;keyword&gt;Adolescent Behavior&lt;/keyword&gt;&lt;keyword&gt;Behavior, Addictive/*epidemiology&lt;/keyword&gt;&lt;keyword&gt;Causality&lt;/keyword&gt;&lt;keyword&gt;Comorbidity&lt;/keyword&gt;&lt;keyword&gt;Female&lt;/keyword&gt;&lt;keyword&gt;Flavoring Agents/administration &amp;amp; dosage&lt;/keyword&gt;&lt;keyword&gt;Humans&lt;/keyword&gt;&lt;keyword&gt;Male&lt;/keyword&gt;&lt;keyword&gt;Menthol/*administration &amp;amp; dosage&lt;/keyword&gt;&lt;keyword&gt;Population Surveillance&lt;/keyword&gt;&lt;keyword&gt;Smoking/*epidemiology/psychology&lt;/keyword&gt;&lt;keyword&gt;*Tobacco Industry&lt;/keyword&gt;&lt;keyword&gt;Tobacco Use Disorder/*epidemiology&lt;/keyword&gt;&lt;keyword&gt;United States/epidemiology&lt;/keyword&gt;&lt;/keywords&gt;&lt;dates&gt;&lt;year&gt;2006&lt;/year&gt;&lt;pub-dates&gt;&lt;date&gt;Jun&lt;/date&gt;&lt;/pub-dates&gt;&lt;/dates&gt;&lt;isbn&gt;1462-2203 (Print)&amp;#xD;1462-2203 (Linking)&lt;/isbn&gt;&lt;accession-num&gt;16801298&lt;/accession-num&gt;&lt;urls&gt;&lt;related-urls&gt;&lt;url&gt;http://www.ncbi.nlm.nih.gov/pubmed/16801298&lt;/url&gt;&lt;/related-urls&gt;&lt;/urls&gt;&lt;electronic-resource-num&gt;10.1080/14622200600670389&lt;/electronic-resource-num&gt;&lt;research-notes&gt;#389&lt;/research-notes&gt;&lt;/record&gt;&lt;/Cite&gt;&lt;/EndNote&gt;</w:instrText>
      </w:r>
      <w:r w:rsidR="00D2134A">
        <w:fldChar w:fldCharType="separate"/>
      </w:r>
      <w:r w:rsidR="00D2134A">
        <w:rPr>
          <w:noProof/>
        </w:rPr>
        <w:t>(</w:t>
      </w:r>
      <w:hyperlink w:anchor="_ENREF_64" w:tooltip="Hersey, 2006 #80" w:history="1">
        <w:r w:rsidR="00A234A9">
          <w:rPr>
            <w:noProof/>
          </w:rPr>
          <w:t>64</w:t>
        </w:r>
      </w:hyperlink>
      <w:r w:rsidR="00D2134A">
        <w:rPr>
          <w:noProof/>
        </w:rPr>
        <w:t>)</w:t>
      </w:r>
      <w:r w:rsidR="00D2134A">
        <w:fldChar w:fldCharType="end"/>
      </w:r>
      <w:r w:rsidRPr="009E3AC6">
        <w:t xml:space="preserve"> reported data from youth in the NYTS. Authors looked at two different frequencies of smoking in terms of days smoked in past month: 1-19 days in the past month and </w:t>
      </w:r>
      <w:r w:rsidRPr="009E3AC6">
        <w:rPr>
          <w:rFonts w:cstheme="minorHAnsi"/>
        </w:rPr>
        <w:t>≥</w:t>
      </w:r>
      <w:r w:rsidRPr="009E3AC6">
        <w:t xml:space="preserve">20 days in the past month. For menthol smokers, 54.9 percent (95% CI: 50.2% to 59.4%) smoked 1-19 days in the past month, while 45.1 percent (95% CI: 40.6% to 49.8%) smoked </w:t>
      </w:r>
      <w:r w:rsidRPr="009E3AC6">
        <w:rPr>
          <w:rFonts w:cstheme="minorHAnsi"/>
        </w:rPr>
        <w:t>≥</w:t>
      </w:r>
      <w:r w:rsidRPr="009E3AC6">
        <w:t xml:space="preserve">20 days in the past month. For non-menthol smokers, 48.6 percent (95% CI: 45.2% to 52.0%) smoked 1-19 days in the past month, while 51.4 percent (95% CI: 48.0% to 54.8%) smoked </w:t>
      </w:r>
      <w:r w:rsidRPr="009E3AC6">
        <w:rPr>
          <w:rFonts w:cstheme="minorHAnsi"/>
        </w:rPr>
        <w:t>≥</w:t>
      </w:r>
      <w:r w:rsidRPr="009E3AC6">
        <w:t>20 days in the past month.</w:t>
      </w:r>
    </w:p>
    <w:p w14:paraId="654323C8" w14:textId="7E995565" w:rsidR="003A090E" w:rsidRPr="009E3AC6" w:rsidRDefault="003A090E" w:rsidP="003A090E">
      <w:r w:rsidRPr="009E3AC6">
        <w:t xml:space="preserve">Nonnemaker et al. </w:t>
      </w:r>
      <w:r w:rsidR="00D2134A">
        <w:fldChar w:fldCharType="begin"/>
      </w:r>
      <w:r w:rsidR="00D2134A">
        <w:instrText xml:space="preserve"> ADDIN EN.CITE &lt;EndNote&gt;&lt;Cite&gt;&lt;Author&gt;Nonnemaker&lt;/Author&gt;&lt;Year&gt;2010&lt;/Year&gt;&lt;RecNum&gt;97&lt;/RecNum&gt;&lt;DisplayText&gt;(73)&lt;/DisplayText&gt;&lt;record&gt;&lt;rec-number&gt;97&lt;/rec-number&gt;&lt;foreign-keys&gt;&lt;key app="EN" db-id="a2vz2dfp8xrad6exes75zwpiw5rxwa0vwapv" timestamp="0"&gt;97&lt;/key&gt;&lt;/foreign-keys&gt;&lt;ref-type name="Report"&gt;27&lt;/ref-type&gt;&lt;contributors&gt;&lt;authors&gt;&lt;author&gt;Nonnemaker, J.&lt;/author&gt;&lt;author&gt;Hersey, J.&lt;/author&gt;&lt;author&gt;Homsi, G.&lt;/author&gt;&lt;author&gt;Busey, A.&lt;/author&gt;&lt;/authors&gt;&lt;/contributors&gt;&lt;titles&gt;&lt;title&gt;Menthol cigarettes and youth smoking updake&lt;/title&gt;&lt;/titles&gt;&lt;dates&gt;&lt;year&gt;2010&lt;/year&gt;&lt;/dates&gt;&lt;pub-location&gt;RTI International&lt;/pub-location&gt;&lt;urls&gt;&lt;/urls&gt;&lt;research-notes&gt;#812&lt;/research-notes&gt;&lt;/record&gt;&lt;/Cite&gt;&lt;/EndNote&gt;</w:instrText>
      </w:r>
      <w:r w:rsidR="00D2134A">
        <w:fldChar w:fldCharType="separate"/>
      </w:r>
      <w:r w:rsidR="00D2134A">
        <w:rPr>
          <w:noProof/>
        </w:rPr>
        <w:t>(</w:t>
      </w:r>
      <w:hyperlink w:anchor="_ENREF_73" w:tooltip="Nonnemaker, 2010 #97" w:history="1">
        <w:r w:rsidR="00A234A9">
          <w:rPr>
            <w:noProof/>
          </w:rPr>
          <w:t>73</w:t>
        </w:r>
      </w:hyperlink>
      <w:r w:rsidR="00D2134A">
        <w:rPr>
          <w:noProof/>
        </w:rPr>
        <w:t>)</w:t>
      </w:r>
      <w:r w:rsidR="00D2134A">
        <w:fldChar w:fldCharType="end"/>
      </w:r>
      <w:r w:rsidRPr="009E3AC6">
        <w:t xml:space="preserve"> carried out secondary analyses on data from the ALLTURS study. The study had three waves and looked at distribution of menthol smoking in youths. Authors reported two data sets from the study for prevalence of daily smokers for menthol and non-menthol: smokers excluding those who initiated at Wave 3 and smokers including Wave 3 initiators. For smokers excluding Wave 3 initiators, 31 percent of menthol smokers who remained menthol cigarette smokers were daily smokers and 24.5 percent of non-menthol smokers who remained non</w:t>
      </w:r>
      <w:r w:rsidR="00801E52" w:rsidRPr="009E3AC6">
        <w:t>-</w:t>
      </w:r>
      <w:r w:rsidRPr="009E3AC6">
        <w:t>menthol cigarette smokers were daily smokers. For smokers, including those who initiated at Wave 3, 35 percent of menthol smokers who remained menthol cigarette smokers were daily smokers, and 21.1 percent of non-menthol smokers who remained non</w:t>
      </w:r>
      <w:r w:rsidR="00801E52" w:rsidRPr="009E3AC6">
        <w:t>-</w:t>
      </w:r>
      <w:r w:rsidRPr="009E3AC6">
        <w:t>menthol cigarette smokers were daily smokers.</w:t>
      </w:r>
    </w:p>
    <w:p w14:paraId="5BC0908A" w14:textId="00331942" w:rsidR="003A090E" w:rsidRDefault="003A090E">
      <w:r w:rsidRPr="009E3AC6">
        <w:t xml:space="preserve">Cubbin et al. </w:t>
      </w:r>
      <w:r w:rsidR="00D2134A">
        <w:fldChar w:fldCharType="begin"/>
      </w:r>
      <w:r w:rsidR="00D2134A">
        <w:instrText xml:space="preserve"> ADDIN EN.CITE &lt;EndNote&gt;&lt;Cite&gt;&lt;Author&gt;Cubbin&lt;/Author&gt;&lt;Year&gt;2010&lt;/Year&gt;&lt;RecNum&gt;53&lt;/RecNum&gt;&lt;DisplayText&gt;(50)&lt;/DisplayText&gt;&lt;record&gt;&lt;rec-number&gt;53&lt;/rec-number&gt;&lt;foreign-keys&gt;&lt;key app="EN" db-id="a2vz2dfp8xrad6exes75zwpiw5rxwa0vwapv" timestamp="0"&gt;53&lt;/key&gt;&lt;/foreign-keys&gt;&lt;ref-type name="Journal Article"&gt;17&lt;/ref-type&gt;&lt;contributors&gt;&lt;authors&gt;&lt;author&gt;Cubbin, C.&lt;/author&gt;&lt;author&gt;Soobader, M. J.&lt;/author&gt;&lt;author&gt;LeClere, F. B.&lt;/author&gt;&lt;/authors&gt;&lt;/contributors&gt;&lt;auth-address&gt;School of Social Work, University of Texas at Austin, Austin, TX 78712-0358, USA. ccubbin@austin.utexas.edu&lt;/auth-address&gt;&lt;titles&gt;&lt;title&gt;The intersection of gender and race/ethnicity in smoking behaviors among menthol and non-menthol smokers in the United States&lt;/title&gt;&lt;secondary-title&gt;Addiction&lt;/secondary-title&gt;&lt;/titles&gt;&lt;periodical&gt;&lt;full-title&gt;Addiction&lt;/full-title&gt;&lt;/periodical&gt;&lt;pages&gt;32-8&lt;/pages&gt;&lt;volume&gt;105 Suppl 1&lt;/volume&gt;&lt;keywords&gt;&lt;keyword&gt;Adult&lt;/keyword&gt;&lt;keyword&gt;African Americans/statistics &amp;amp; numerical data&lt;/keyword&gt;&lt;keyword&gt;Age of Onset&lt;/keyword&gt;&lt;keyword&gt;Cross-Sectional Studies&lt;/keyword&gt;&lt;keyword&gt;European Continental Ancestry Group/statistics &amp;amp; numerical data&lt;/keyword&gt;&lt;keyword&gt;Female&lt;/keyword&gt;&lt;keyword&gt;Hispanic Americans/statistics &amp;amp; numerical data&lt;/keyword&gt;&lt;keyword&gt;Humans&lt;/keyword&gt;&lt;keyword&gt;Male&lt;/keyword&gt;&lt;keyword&gt;*Menthol&lt;/keyword&gt;&lt;keyword&gt;Middle Aged&lt;/keyword&gt;&lt;keyword&gt;*Population Surveillance&lt;/keyword&gt;&lt;keyword&gt;Sex Factors&lt;/keyword&gt;&lt;keyword&gt;Smoking/*epidemiology/ethnology&lt;/keyword&gt;&lt;keyword&gt;Smoking Cessation/ethnology/statistics &amp;amp; numerical data&lt;/keyword&gt;&lt;keyword&gt;Socioeconomic Factors&lt;/keyword&gt;&lt;keyword&gt;United States/epidemiology&lt;/keyword&gt;&lt;/keywords&gt;&lt;dates&gt;&lt;year&gt;2010&lt;/year&gt;&lt;pub-dates&gt;&lt;date&gt;Dec&lt;/date&gt;&lt;/pub-dates&gt;&lt;/dates&gt;&lt;isbn&gt;1360-0443 (Electronic)&amp;#xD;0965-2140 (Linking)&lt;/isbn&gt;&lt;accession-num&gt;21059134&lt;/accession-num&gt;&lt;urls&gt;&lt;related-urls&gt;&lt;url&gt;http://www.ncbi.nlm.nih.gov/pubmed/21059134&lt;/url&gt;&lt;/related-urls&gt;&lt;/urls&gt;&lt;electronic-resource-num&gt;10.1111/j.1360-0443.2010.03191.x&lt;/electronic-resource-num&gt;&lt;research-notes&gt;#281&lt;/research-notes&gt;&lt;/record&gt;&lt;/Cite&gt;&lt;/EndNote&gt;</w:instrText>
      </w:r>
      <w:r w:rsidR="00D2134A">
        <w:fldChar w:fldCharType="separate"/>
      </w:r>
      <w:r w:rsidR="00D2134A">
        <w:rPr>
          <w:noProof/>
        </w:rPr>
        <w:t>(</w:t>
      </w:r>
      <w:hyperlink w:anchor="_ENREF_50" w:tooltip="Cubbin, 2010 #53" w:history="1">
        <w:r w:rsidR="00A234A9">
          <w:rPr>
            <w:noProof/>
          </w:rPr>
          <w:t>50</w:t>
        </w:r>
      </w:hyperlink>
      <w:r w:rsidR="00D2134A">
        <w:rPr>
          <w:noProof/>
        </w:rPr>
        <w:t>)</w:t>
      </w:r>
      <w:r w:rsidR="00D2134A">
        <w:fldChar w:fldCharType="end"/>
      </w:r>
      <w:r w:rsidRPr="009E3AC6">
        <w:t xml:space="preserve"> reported data from adults in the 2005 NHIS. Authors looked at distribution of daily and non-daily smoking in menthol and non-menthol smokers stratified by race</w:t>
      </w:r>
      <w:r w:rsidR="00BF13A5">
        <w:t>/ethnicity</w:t>
      </w:r>
      <w:r w:rsidRPr="009E3AC6">
        <w:t xml:space="preserve"> and gender. Authors reported that in Black women population, for menthol use 3.1 percent were non-daily smokers and 11.2 percent were daily smokers, and for non-menthol use 0.9 percent were non-daily smokers and 3.3 percent were daily smokers; in Hispanic women population, for menthol use 1.5 percent were non-daily smokers and 3.1 percent were daily smokers, and for non-menthol use 2.1 percent were non-daily smokers and 5.7 percent were daily smokers; in White women population, for menthol use 0.9 percent were non-daily smokers and 4.7 percent were daily smokers, and for non-menthol use 2.9 percent were non-daily smokers and 14.4 percent were daily smokers; in Black men population, for menthol use 5.2 percent were non-daily smokers and 14.9 percent were daily smokers, and for non-menthol use 2.1 percent were non-daily smokers and 6.1 percent were daily smokers; in Hispanic men population, for menthol use 1.3 percent were non-daily smokers and 2.1 percent were daily smokers, and for non-menthol use 6.9 percent were non-daily smokers and 10.7 percent were daily smokers; in White men population, for menthol use 0.4 percent were non-daily smokers and 3.4 percent were daily smokers, and for non-menthol use 3.5 percent were non-daily smokers and 19.8 percent were daily smokers.</w:t>
      </w:r>
    </w:p>
    <w:p w14:paraId="0575D2A8" w14:textId="1D528571" w:rsidR="007E1CAC" w:rsidRDefault="007E1CAC" w:rsidP="007E1CAC">
      <w:pPr>
        <w:spacing w:after="120" w:line="240" w:lineRule="auto"/>
        <w:jc w:val="both"/>
        <w:rPr>
          <w:rFonts w:eastAsia="Calibri" w:cs="Times New Roman"/>
          <w:i/>
          <w:color w:val="000000"/>
        </w:rPr>
      </w:pPr>
      <w:r>
        <w:rPr>
          <w:rFonts w:eastAsia="Calibri" w:cs="Times New Roman"/>
          <w:i/>
          <w:color w:val="000000"/>
        </w:rPr>
        <w:t>Of the t</w:t>
      </w:r>
      <w:r w:rsidRPr="00A0218A">
        <w:rPr>
          <w:rFonts w:eastAsia="Calibri" w:cs="Times New Roman"/>
          <w:i/>
          <w:color w:val="000000"/>
        </w:rPr>
        <w:t>hree</w:t>
      </w:r>
      <w:r>
        <w:rPr>
          <w:rFonts w:eastAsia="Calibri" w:cs="Times New Roman"/>
          <w:i/>
          <w:color w:val="000000"/>
        </w:rPr>
        <w:t xml:space="preserve"> </w:t>
      </w:r>
      <w:r w:rsidRPr="00A0218A">
        <w:rPr>
          <w:rFonts w:eastAsia="Calibri" w:cs="Times New Roman"/>
          <w:i/>
          <w:color w:val="000000"/>
        </w:rPr>
        <w:t xml:space="preserve">studies </w:t>
      </w:r>
      <w:r>
        <w:rPr>
          <w:rFonts w:eastAsia="Calibri" w:cs="Times New Roman"/>
          <w:i/>
          <w:color w:val="000000"/>
        </w:rPr>
        <w:t>reporting</w:t>
      </w:r>
      <w:r w:rsidRPr="00A0218A">
        <w:rPr>
          <w:rFonts w:eastAsia="Calibri" w:cs="Times New Roman"/>
          <w:i/>
          <w:color w:val="000000"/>
        </w:rPr>
        <w:t xml:space="preserve"> unadjusted analyses of survey data as a proxy for progression to smoking</w:t>
      </w:r>
      <w:r>
        <w:rPr>
          <w:rFonts w:eastAsia="Calibri" w:cs="Times New Roman"/>
          <w:i/>
          <w:color w:val="000000"/>
        </w:rPr>
        <w:t>, o</w:t>
      </w:r>
      <w:r w:rsidRPr="00A0218A">
        <w:rPr>
          <w:rFonts w:eastAsia="Calibri" w:cs="Times New Roman"/>
          <w:i/>
          <w:color w:val="000000"/>
        </w:rPr>
        <w:t xml:space="preserve">ne study reported the number of cigarettes per day (CPD) for youth, stratified by duration of smoking (&lt;1 year </w:t>
      </w:r>
      <w:r>
        <w:rPr>
          <w:rFonts w:eastAsia="Calibri" w:cs="Times New Roman"/>
          <w:i/>
          <w:color w:val="000000"/>
        </w:rPr>
        <w:t>versus</w:t>
      </w:r>
      <w:r w:rsidRPr="00A0218A">
        <w:rPr>
          <w:rFonts w:eastAsia="Calibri" w:cs="Times New Roman"/>
          <w:i/>
          <w:color w:val="000000"/>
        </w:rPr>
        <w:t xml:space="preserve"> ≥1 year)</w:t>
      </w:r>
      <w:r>
        <w:rPr>
          <w:rFonts w:eastAsia="Calibri" w:cs="Times New Roman"/>
          <w:i/>
          <w:color w:val="000000"/>
        </w:rPr>
        <w:t xml:space="preserve"> </w:t>
      </w:r>
      <w:r w:rsidR="00D2134A">
        <w:rPr>
          <w:rFonts w:eastAsia="Calibri" w:cs="Times New Roman"/>
          <w:i/>
          <w:color w:val="000000"/>
        </w:rPr>
        <w:fldChar w:fldCharType="begin"/>
      </w:r>
      <w:r w:rsidR="00D2134A">
        <w:rPr>
          <w:rFonts w:eastAsia="Calibri" w:cs="Times New Roman"/>
          <w:i/>
          <w:color w:val="000000"/>
        </w:rPr>
        <w:instrText xml:space="preserve"> ADDIN EN.CITE &lt;EndNote&gt;&lt;Cite&gt;&lt;Author&gt;Hersey&lt;/Author&gt;&lt;Year&gt;2010&lt;/Year&gt;&lt;RecNum&gt;103&lt;/RecNum&gt;&lt;DisplayText&gt;(63)&lt;/DisplayText&gt;&lt;record&gt;&lt;rec-number&gt;103&lt;/rec-number&gt;&lt;foreign-keys&gt;&lt;key app="EN" db-id="a2vz2dfp8xrad6exes75zwpiw5rxwa0vwapv" timestamp="0"&gt;103&lt;/key&gt;&lt;/foreign-keys&gt;&lt;ref-type name="Journal Article"&gt;17&lt;/ref-type&gt;&lt;contributors&gt;&lt;authors&gt;&lt;author&gt;Hersey, J. C.&lt;/author&gt;&lt;author&gt;Nonnemaker, J.&lt;/author&gt;&lt;author&gt;Homsi, G.&lt;/author&gt;&lt;author&gt;Allen, J.&lt;/author&gt;&lt;/authors&gt;&lt;/contributors&gt;&lt;titles&gt;&lt;title&gt;Menthol cigarettes, saliva cotinine, and nicotine dependence in adolescents&lt;/title&gt;&lt;/titles&gt;&lt;dates&gt;&lt;year&gt;2010&lt;/year&gt;&lt;/dates&gt;&lt;publisher&gt;RTI International&lt;/publisher&gt;&lt;urls&gt;&lt;/urls&gt;&lt;research-notes&gt;#827&lt;/research-notes&gt;&lt;/record&gt;&lt;/Cite&gt;&lt;/EndNote&gt;</w:instrText>
      </w:r>
      <w:r w:rsidR="00D2134A">
        <w:rPr>
          <w:rFonts w:eastAsia="Calibri" w:cs="Times New Roman"/>
          <w:i/>
          <w:color w:val="000000"/>
        </w:rPr>
        <w:fldChar w:fldCharType="separate"/>
      </w:r>
      <w:r w:rsidR="00D2134A">
        <w:rPr>
          <w:rFonts w:eastAsia="Calibri" w:cs="Times New Roman"/>
          <w:i/>
          <w:noProof/>
          <w:color w:val="000000"/>
        </w:rPr>
        <w:t>(</w:t>
      </w:r>
      <w:hyperlink w:anchor="_ENREF_63" w:tooltip="Hersey, 2010 #103" w:history="1">
        <w:r w:rsidR="00A234A9">
          <w:rPr>
            <w:rFonts w:eastAsia="Calibri" w:cs="Times New Roman"/>
            <w:i/>
            <w:noProof/>
            <w:color w:val="000000"/>
          </w:rPr>
          <w:t>63</w:t>
        </w:r>
      </w:hyperlink>
      <w:r w:rsidR="00D2134A">
        <w:rPr>
          <w:rFonts w:eastAsia="Calibri" w:cs="Times New Roman"/>
          <w:i/>
          <w:noProof/>
          <w:color w:val="000000"/>
        </w:rPr>
        <w:t>)</w:t>
      </w:r>
      <w:r w:rsidR="00D2134A">
        <w:rPr>
          <w:rFonts w:eastAsia="Calibri" w:cs="Times New Roman"/>
          <w:i/>
          <w:color w:val="000000"/>
        </w:rPr>
        <w:fldChar w:fldCharType="end"/>
      </w:r>
      <w:r w:rsidRPr="00A0218A">
        <w:rPr>
          <w:rFonts w:eastAsia="Calibri" w:cs="Times New Roman"/>
          <w:i/>
          <w:color w:val="000000"/>
        </w:rPr>
        <w:t>. The difference in CPD between shorter and longer term menthol smokers (compared with the difference in CPD among shorter and longer term non-menthol smokers) suggests that menthol smokers may increase the quantity of cigarettes smoked at a faster rate than non-menthol smokers. In the other two studies</w:t>
      </w:r>
      <w:r>
        <w:rPr>
          <w:rFonts w:eastAsia="Calibri" w:cs="Times New Roman"/>
          <w:i/>
          <w:color w:val="000000"/>
        </w:rPr>
        <w:t xml:space="preserve"> </w:t>
      </w:r>
      <w:r w:rsidR="00D2134A">
        <w:rPr>
          <w:rFonts w:eastAsia="Calibri" w:cs="Times New Roman"/>
          <w:i/>
          <w:color w:val="000000"/>
        </w:rPr>
        <w:fldChar w:fldCharType="begin">
          <w:fldData xml:space="preserve">PEVuZE5vdGU+PENpdGU+PEF1dGhvcj5DYXJhYmFsbG88L0F1dGhvcj48WWVhcj4yMDExPC9ZZWFy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PEVuZE5vdGU+PENpdGU+PEF1dGhvcj5DYXJhYmFsbG88L0F1dGhvcj48WWVhcj4yMDExPC9ZZWFy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49" w:tooltip="Caraballo, 2011 #47" w:history="1">
        <w:r w:rsidR="00A234A9">
          <w:rPr>
            <w:rFonts w:eastAsia="Calibri" w:cs="Times New Roman"/>
            <w:i/>
            <w:noProof/>
            <w:color w:val="000000"/>
          </w:rPr>
          <w:t>49</w:t>
        </w:r>
      </w:hyperlink>
      <w:r w:rsidR="00D2134A">
        <w:rPr>
          <w:rFonts w:eastAsia="Calibri" w:cs="Times New Roman"/>
          <w:i/>
          <w:noProof/>
          <w:color w:val="000000"/>
        </w:rPr>
        <w:t xml:space="preserve">, </w:t>
      </w:r>
      <w:hyperlink w:anchor="_ENREF_51" w:tooltip="Curtin, 2014 #13" w:history="1">
        <w:r w:rsidR="00A234A9">
          <w:rPr>
            <w:rFonts w:eastAsia="Calibri" w:cs="Times New Roman"/>
            <w:i/>
            <w:noProof/>
            <w:color w:val="000000"/>
          </w:rPr>
          <w:t>51</w:t>
        </w:r>
      </w:hyperlink>
      <w:r w:rsidR="00D2134A">
        <w:rPr>
          <w:rFonts w:eastAsia="Calibri" w:cs="Times New Roman"/>
          <w:i/>
          <w:noProof/>
          <w:color w:val="000000"/>
        </w:rPr>
        <w:t>)</w:t>
      </w:r>
      <w:r w:rsidR="00D2134A">
        <w:rPr>
          <w:rFonts w:eastAsia="Calibri" w:cs="Times New Roman"/>
          <w:i/>
          <w:color w:val="000000"/>
        </w:rPr>
        <w:fldChar w:fldCharType="end"/>
      </w:r>
      <w:r w:rsidRPr="00A0218A">
        <w:rPr>
          <w:rFonts w:eastAsia="Calibri" w:cs="Times New Roman"/>
          <w:i/>
          <w:color w:val="000000"/>
        </w:rPr>
        <w:t>, analyses of data from national cross-sectional surveys of youth who started smoking within two years before the surveys found no differential association between menthol use prevalence at progressive stages or trajectories of smoking as defined by categories of quantity (cigarettes per day) and frequency (days per month) of smoking</w:t>
      </w:r>
      <w:r>
        <w:rPr>
          <w:rFonts w:eastAsia="Calibri" w:cs="Times New Roman"/>
          <w:i/>
          <w:color w:val="000000"/>
        </w:rPr>
        <w:t>.</w:t>
      </w:r>
    </w:p>
    <w:p w14:paraId="141F2650" w14:textId="6BA8BCCE" w:rsidR="007E1CAC" w:rsidRPr="00A0218A" w:rsidRDefault="007E1CAC" w:rsidP="007E1CAC">
      <w:pPr>
        <w:spacing w:after="120" w:line="240" w:lineRule="auto"/>
        <w:jc w:val="both"/>
        <w:rPr>
          <w:rFonts w:eastAsia="Calibri" w:cs="Times New Roman"/>
          <w:color w:val="000000"/>
        </w:rPr>
      </w:pPr>
      <w:r>
        <w:rPr>
          <w:rFonts w:eastAsia="Calibri" w:cs="Times New Roman"/>
          <w:color w:val="000000"/>
        </w:rPr>
        <w:t xml:space="preserve">Curtin et al. </w:t>
      </w:r>
      <w:r w:rsidR="00D2134A">
        <w:rPr>
          <w:rFonts w:eastAsia="Calibri" w:cs="Times New Roman"/>
          <w:color w:val="000000"/>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51" w:tooltip="Curtin, 2014 #13" w:history="1">
        <w:r w:rsidR="00A234A9">
          <w:rPr>
            <w:rFonts w:eastAsia="Calibri" w:cs="Times New Roman"/>
            <w:noProof/>
            <w:color w:val="000000"/>
          </w:rPr>
          <w:t>51</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compared menthol cigarette use (prevalence and stage of smoking progression in terms of days per month and cigarettes per day) in youth participants in the 2003 and 2006/07 TUS-CPS who initiated smoking within the 2 years prior to the survey. Smoking progression was categorized using a “stage” or “trajectory” model which was a composite of the number of days smoked during the past </w:t>
      </w:r>
      <w:r w:rsidRPr="00A0218A">
        <w:rPr>
          <w:rFonts w:eastAsia="Calibri" w:cs="Times New Roman"/>
          <w:color w:val="000000"/>
        </w:rPr>
        <w:lastRenderedPageBreak/>
        <w:t xml:space="preserve">month (1 to 10 days; 11 to 29 days; daily) and number of cigarettes smoked per day (1 to 5; 6 to 19; 20 or more). The prevalence of menthol use was similar </w:t>
      </w:r>
      <w:r>
        <w:rPr>
          <w:rFonts w:eastAsia="Calibri" w:cs="Times New Roman"/>
          <w:color w:val="000000"/>
        </w:rPr>
        <w:t>at</w:t>
      </w:r>
      <w:r w:rsidRPr="00A0218A">
        <w:rPr>
          <w:rFonts w:eastAsia="Calibri" w:cs="Times New Roman"/>
          <w:color w:val="000000"/>
        </w:rPr>
        <w:t xml:space="preserve"> the </w:t>
      </w:r>
      <w:r>
        <w:rPr>
          <w:rFonts w:eastAsia="Calibri" w:cs="Times New Roman"/>
          <w:color w:val="000000"/>
        </w:rPr>
        <w:t>various</w:t>
      </w:r>
      <w:r w:rsidRPr="00A0218A">
        <w:rPr>
          <w:rFonts w:eastAsia="Calibri" w:cs="Times New Roman"/>
          <w:color w:val="000000"/>
        </w:rPr>
        <w:t xml:space="preserve"> stages of smoking progression: 36.9 percent (95% CI: 19.7% to 54.1%) among youth who smoked one to five cigarettes per day on 1 to 10 days per month (the lowest “stage” or “trajectory”); 39.5 percent (95% CI: 29.1% to 49.9%) among those who smoked one to five cigarettes per day on 11 to 29 days per month; and 35.5 percent (95% CI: 26.4% to 44.5%) among those who smoked 20 or more cigarettes daily (the highest “stage” or “trajectory”).</w:t>
      </w:r>
      <w:r>
        <w:rPr>
          <w:rFonts w:eastAsia="Calibri" w:cs="Times New Roman"/>
          <w:color w:val="000000"/>
        </w:rPr>
        <w:t xml:space="preserve"> The significant differences were detected across these findings.</w:t>
      </w:r>
    </w:p>
    <w:p w14:paraId="0A0D9625" w14:textId="7434DE41" w:rsidR="007E1CAC" w:rsidRPr="00A0218A" w:rsidRDefault="007E1CAC" w:rsidP="007E1CAC">
      <w:pPr>
        <w:spacing w:after="120" w:line="240" w:lineRule="auto"/>
        <w:jc w:val="both"/>
        <w:rPr>
          <w:rFonts w:eastAsia="Calibri" w:cs="Times New Roman"/>
          <w:color w:val="000000"/>
        </w:rPr>
      </w:pPr>
      <w:r w:rsidRPr="00A0218A">
        <w:rPr>
          <w:rFonts w:eastAsia="Calibri" w:cs="Times New Roman"/>
          <w:color w:val="000000"/>
        </w:rPr>
        <w:t>In 2011, Caraballo and Asman</w:t>
      </w:r>
      <w:r>
        <w:rPr>
          <w:rFonts w:eastAsia="Calibri" w:cs="Times New Roman"/>
          <w:color w:val="000000"/>
        </w:rPr>
        <w:t xml:space="preserve">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&lt;EndNote&gt;&lt;Cite&gt;&lt;Author&gt;Caraballo&lt;/Author&gt;&lt;Year&gt;2011&lt;/Year&gt;&lt;RecNum&gt;47&lt;/RecNum&gt;&lt;DisplayText&gt;(49)&lt;/DisplayText&gt;&lt;record&gt;&lt;rec-number&gt;47&lt;/rec-number&gt;&lt;foreign-keys&gt;&lt;key app="EN" db-id="a2vz2dfp8xrad6exes75zwpiw5rxwa0vwapv" timestamp="0"&gt;47&lt;/key&gt;&lt;/foreign-keys&gt;&lt;ref-type name="Journal Article"&gt;17&lt;/ref-type&gt;&lt;contributors&gt;&lt;authors&gt;&lt;author&gt;Caraballo, R. S.&lt;/author&gt;&lt;author&gt;Asman, K.&lt;/author&gt;&lt;/authors&gt;&lt;/contributors&gt;&lt;auth-address&gt;Mail Stop K-50, Office on Smoking and Health, National Center for Chronic Disease Prevention and Health Promotion, Centers for Disease Control and Prevention, 4770 Buford Highway, N,E,, Atlanta, GA, USA. rfc8@cdc.gov.&lt;/auth-address&gt;&lt;titles&gt;&lt;title&gt;Epidemiology of menthol cigarette use in the United States&lt;/title&gt;&lt;secondary-title&gt;Tob Induc Dis&lt;/secondary-title&gt;&lt;/titles&gt;&lt;periodical&gt;&lt;full-title&gt;Tob Induc Dis&lt;/full-title&gt;&lt;/periodical&gt;&lt;pages&gt;S1&lt;/pages&gt;&lt;volume&gt;9 Suppl 1&lt;/volume&gt;&lt;dates&gt;&lt;year&gt;2011&lt;/year&gt;&lt;/dates&gt;&lt;isbn&gt;1617-9625 (Electronic)&amp;#xD;1617-9625 (Linking)&lt;/isbn&gt;&lt;accession-num&gt;21624147&lt;/accession-num&gt;&lt;urls&gt;&lt;related-urls&gt;&lt;url&gt;http://www.ncbi.nlm.nih.gov/pubmed/21624147&lt;/url&gt;&lt;/related-urls&gt;&lt;/urls&gt;&lt;custom2&gt;PMC3102900&lt;/custom2&gt;&lt;electronic-resource-num&gt;10.1186/1617-9625-9-S1-S1&lt;/electronic-resource-num&gt;&lt;research-notes&gt;#247&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49" w:tooltip="Caraballo, 2011 #47" w:history="1">
        <w:r w:rsidR="00A234A9">
          <w:rPr>
            <w:rFonts w:eastAsia="Calibri" w:cs="Times New Roman"/>
            <w:noProof/>
            <w:color w:val="000000"/>
          </w:rPr>
          <w:t>49</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also used a “stage” or “trajectory” methodology to analyze cross-sectional data from participants in the 2004, 2006, and 2009 National Youth Tobacco Survey (NYTS) who had started smoking within the 2 years prior to the survey. The study authors posited that adolescents who had been smoking for fewer than 2 years may not have become regular smokers and that being in the “lowest” stage may be a proxy for initiation. As the authors stated, “</w:t>
      </w:r>
      <w:r w:rsidRPr="00A0218A">
        <w:rPr>
          <w:rFonts w:eastAsia="Calibri" w:cs="Times New Roman"/>
          <w:i/>
          <w:color w:val="000000"/>
        </w:rPr>
        <w:t>If smoking a menthol cigarette is associated with smoking initiation, it would be expected to see a higher proportion of menthol cigarette smokers at the earlier stages.</w:t>
      </w:r>
      <w:r w:rsidRPr="00A0218A">
        <w:rPr>
          <w:rFonts w:eastAsia="Calibri" w:cs="Times New Roman"/>
          <w:color w:val="000000"/>
        </w:rPr>
        <w:t>” However, the prevalence of menthol use was 39.9 percent (95% CI: 37.4% to 42.5%) among youth who smoked less than one cigarette per day on 1 to 5 days per month (the lowest “stage” or “trajectory”); 44.2 percent (95% CI: 38.8% to 49.7%) among those who smoked one to five cigarettes per day on 10 to 19 days per month; and 64.9 percent (95% CI: 59.4% to 70%) among those who smoked 20 or more cigarettes daily (the highest “stage” or “trajectory”).</w:t>
      </w:r>
    </w:p>
    <w:p w14:paraId="4645BD11" w14:textId="31E7F22D" w:rsidR="007E1CAC" w:rsidRDefault="007E1CAC" w:rsidP="007E1CAC">
      <w:pPr>
        <w:spacing w:after="240" w:line="240" w:lineRule="auto"/>
        <w:jc w:val="both"/>
        <w:rPr>
          <w:rFonts w:eastAsia="Calibri" w:cs="Times New Roman"/>
          <w:color w:val="000000"/>
        </w:rPr>
      </w:pPr>
      <w:r w:rsidRPr="00A0218A">
        <w:rPr>
          <w:rFonts w:eastAsia="Calibri" w:cs="Times New Roman"/>
          <w:color w:val="000000"/>
        </w:rPr>
        <w:t>In a 2010 report of data from the National Biochemical Validation Survey, Hersey et al.</w:t>
      </w:r>
      <w:r>
        <w:rPr>
          <w:rFonts w:eastAsia="Calibri" w:cs="Times New Roman"/>
          <w:color w:val="000000"/>
        </w:rPr>
        <w:t xml:space="preserve">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&lt;EndNote&gt;&lt;Cite&gt;&lt;Author&gt;Hersey&lt;/Author&gt;&lt;Year&gt;2010&lt;/Year&gt;&lt;RecNum&gt;103&lt;/RecNum&gt;&lt;DisplayText&gt;(63)&lt;/DisplayText&gt;&lt;record&gt;&lt;rec-number&gt;103&lt;/rec-number&gt;&lt;foreign-keys&gt;&lt;key app="EN" db-id="a2vz2dfp8xrad6exes75zwpiw5rxwa0vwapv" timestamp="0"&gt;103&lt;/key&gt;&lt;/foreign-keys&gt;&lt;ref-type name="Journal Article"&gt;17&lt;/ref-type&gt;&lt;contributors&gt;&lt;authors&gt;&lt;author&gt;Hersey, J. C.&lt;/author&gt;&lt;author&gt;Nonnemaker, J.&lt;/author&gt;&lt;author&gt;Homsi, G.&lt;/author&gt;&lt;author&gt;Allen, J.&lt;/author&gt;&lt;/authors&gt;&lt;/contributors&gt;&lt;titles&gt;&lt;title&gt;Menthol cigarettes, saliva cotinine, and nicotine dependence in adolescents&lt;/title&gt;&lt;/titles&gt;&lt;dates&gt;&lt;year&gt;2010&lt;/year&gt;&lt;/dates&gt;&lt;publisher&gt;RTI International&lt;/publisher&gt;&lt;urls&gt;&lt;/urls&gt;&lt;research-notes&gt;#827&lt;/research-notes&gt;&lt;/record&gt;&lt;/Cite&gt;&lt;/EndNote&gt;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63" w:tooltip="Hersey, 2010 #103" w:history="1">
        <w:r w:rsidR="00A234A9">
          <w:rPr>
            <w:rFonts w:eastAsia="Calibri" w:cs="Times New Roman"/>
            <w:noProof/>
            <w:color w:val="000000"/>
          </w:rPr>
          <w:t>63</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presented smoking data from youth menthol and non-menthol smokers by duration of smoking (&lt;1 year and ≥1 year). Of menthol smokers</w:t>
      </w:r>
      <w:r>
        <w:rPr>
          <w:rFonts w:eastAsia="Calibri" w:cs="Times New Roman"/>
          <w:color w:val="000000"/>
        </w:rPr>
        <w:t xml:space="preserve"> (n=216)</w:t>
      </w:r>
      <w:r w:rsidRPr="00A0218A">
        <w:rPr>
          <w:rFonts w:eastAsia="Calibri" w:cs="Times New Roman"/>
          <w:color w:val="000000"/>
        </w:rPr>
        <w:t>, 25.2 percent had smoked for less than one year at time of the interview</w:t>
      </w:r>
      <w:r>
        <w:rPr>
          <w:rFonts w:eastAsia="Calibri" w:cs="Times New Roman"/>
          <w:color w:val="000000"/>
        </w:rPr>
        <w:t xml:space="preserve"> compared to 21.2 percent of non-menthol smokers. Menthol s</w:t>
      </w:r>
      <w:r w:rsidRPr="00A0218A">
        <w:rPr>
          <w:rFonts w:eastAsia="Calibri" w:cs="Times New Roman"/>
          <w:color w:val="000000"/>
        </w:rPr>
        <w:t xml:space="preserve">mokers </w:t>
      </w:r>
      <w:r>
        <w:rPr>
          <w:rFonts w:eastAsia="Calibri" w:cs="Times New Roman"/>
          <w:color w:val="000000"/>
        </w:rPr>
        <w:t xml:space="preserve">of less than one year </w:t>
      </w:r>
      <w:r w:rsidRPr="00A0218A">
        <w:rPr>
          <w:rFonts w:eastAsia="Calibri" w:cs="Times New Roman"/>
          <w:color w:val="000000"/>
        </w:rPr>
        <w:t>reported a mean CPD of 3.94 (95% CI: 2.47 to 5.41)</w:t>
      </w:r>
      <w:r>
        <w:rPr>
          <w:rFonts w:eastAsia="Calibri" w:cs="Times New Roman"/>
          <w:color w:val="000000"/>
        </w:rPr>
        <w:t xml:space="preserve"> compared to </w:t>
      </w:r>
      <w:r w:rsidRPr="00A0218A">
        <w:rPr>
          <w:rFonts w:eastAsia="Calibri" w:cs="Times New Roman"/>
          <w:color w:val="000000"/>
        </w:rPr>
        <w:t>5.85 (95% CI: 4.30 to 7.39)</w:t>
      </w:r>
      <w:r>
        <w:rPr>
          <w:rFonts w:eastAsia="Calibri" w:cs="Times New Roman"/>
          <w:color w:val="000000"/>
        </w:rPr>
        <w:t xml:space="preserve"> for non-menthol smokers (p=0.08). No difference was found between menthol and non-menthol smokers who had smoked at least one year, with menthol smokers reporting a mean CPD of </w:t>
      </w:r>
      <w:r w:rsidRPr="00A0218A">
        <w:rPr>
          <w:rFonts w:eastAsia="Calibri" w:cs="Times New Roman"/>
          <w:color w:val="000000"/>
        </w:rPr>
        <w:t>6.56 (</w:t>
      </w:r>
      <w:r>
        <w:rPr>
          <w:rFonts w:eastAsia="Calibri" w:cs="Times New Roman"/>
          <w:color w:val="000000"/>
        </w:rPr>
        <w:t xml:space="preserve">95% CI: </w:t>
      </w:r>
      <w:r w:rsidRPr="00A0218A">
        <w:rPr>
          <w:rFonts w:eastAsia="Calibri" w:cs="Times New Roman"/>
          <w:color w:val="000000"/>
        </w:rPr>
        <w:t>5.59 to 7.53)</w:t>
      </w:r>
      <w:r>
        <w:rPr>
          <w:rFonts w:eastAsia="Calibri" w:cs="Times New Roman"/>
          <w:color w:val="000000"/>
        </w:rPr>
        <w:t xml:space="preserve"> and non-menthol smokers reporting a mean CPD of 7.21 (p=0.29) </w:t>
      </w:r>
      <w:r w:rsidRPr="00A0218A">
        <w:rPr>
          <w:rFonts w:eastAsia="Calibri" w:cs="Times New Roman"/>
          <w:color w:val="000000"/>
        </w:rPr>
        <w:t xml:space="preserve">In summary, </w:t>
      </w:r>
      <w:r>
        <w:rPr>
          <w:rFonts w:eastAsia="Calibri" w:cs="Times New Roman"/>
          <w:color w:val="000000"/>
        </w:rPr>
        <w:t>among smokers</w:t>
      </w:r>
      <w:r w:rsidRPr="00A0218A">
        <w:rPr>
          <w:rFonts w:eastAsia="Calibri" w:cs="Times New Roman"/>
          <w:color w:val="000000"/>
        </w:rPr>
        <w:t xml:space="preserve"> </w:t>
      </w:r>
      <w:r>
        <w:rPr>
          <w:rFonts w:eastAsia="Calibri" w:cs="Times New Roman"/>
          <w:color w:val="000000"/>
        </w:rPr>
        <w:t xml:space="preserve">of less than one year, menthol users </w:t>
      </w:r>
      <w:r w:rsidRPr="00A0218A">
        <w:rPr>
          <w:rFonts w:eastAsia="Calibri" w:cs="Times New Roman"/>
          <w:color w:val="000000"/>
        </w:rPr>
        <w:t xml:space="preserve">smoke fewer CPD compared </w:t>
      </w:r>
      <w:r>
        <w:rPr>
          <w:rFonts w:eastAsia="Calibri" w:cs="Times New Roman"/>
          <w:color w:val="000000"/>
        </w:rPr>
        <w:t>to their</w:t>
      </w:r>
      <w:r w:rsidRPr="00A0218A">
        <w:rPr>
          <w:rFonts w:eastAsia="Calibri" w:cs="Times New Roman"/>
          <w:color w:val="000000"/>
        </w:rPr>
        <w:t xml:space="preserve"> non-menthol </w:t>
      </w:r>
      <w:r>
        <w:rPr>
          <w:rFonts w:eastAsia="Calibri" w:cs="Times New Roman"/>
          <w:color w:val="000000"/>
        </w:rPr>
        <w:t>counterpart</w:t>
      </w:r>
      <w:r w:rsidRPr="00A0218A">
        <w:rPr>
          <w:rFonts w:eastAsia="Calibri" w:cs="Times New Roman"/>
          <w:color w:val="000000"/>
        </w:rPr>
        <w:t>s</w:t>
      </w:r>
      <w:r>
        <w:rPr>
          <w:rFonts w:eastAsia="Calibri" w:cs="Times New Roman"/>
          <w:color w:val="000000"/>
        </w:rPr>
        <w:t>; however, menthol and non-menthol smokers of 1 or more years are no different in terms of mean CPD.</w:t>
      </w:r>
    </w:p>
    <w:p w14:paraId="7C7314C8" w14:textId="77777777" w:rsidR="00107778" w:rsidRPr="00C1410C" w:rsidRDefault="00107778" w:rsidP="000F618F">
      <w:pPr>
        <w:jc w:val="both"/>
        <w:rPr>
          <w:b/>
        </w:rPr>
      </w:pPr>
      <w:r w:rsidRPr="00C1410C">
        <w:rPr>
          <w:b/>
        </w:rPr>
        <w:t>Unadjusted Subgroup Analyses</w:t>
      </w:r>
    </w:p>
    <w:p w14:paraId="65F1342A" w14:textId="77777777" w:rsidR="00D04C52" w:rsidRPr="00ED24A7" w:rsidRDefault="00D04C52" w:rsidP="000F618F">
      <w:pPr>
        <w:spacing w:after="120" w:line="240" w:lineRule="auto"/>
        <w:jc w:val="both"/>
        <w:outlineLvl w:val="1"/>
        <w:rPr>
          <w:rFonts w:eastAsia="Calibri" w:cs="Times New Roman"/>
          <w:i/>
          <w:color w:val="000000"/>
          <w:u w:val="single"/>
        </w:rPr>
      </w:pPr>
      <w:r w:rsidRPr="00ED24A7">
        <w:rPr>
          <w:rFonts w:eastAsia="Calibri" w:cs="Times New Roman"/>
          <w:i/>
          <w:color w:val="000000"/>
          <w:u w:val="single"/>
        </w:rPr>
        <w:t>Unadjusted Results: Initiation and Progression by Race/Ethnicity</w:t>
      </w:r>
    </w:p>
    <w:p w14:paraId="716B24AB" w14:textId="77777777" w:rsidR="00D04C52" w:rsidRPr="00A0218A" w:rsidRDefault="00D04C52" w:rsidP="000F618F">
      <w:pPr>
        <w:spacing w:after="120" w:line="240" w:lineRule="auto"/>
        <w:jc w:val="both"/>
        <w:outlineLvl w:val="2"/>
        <w:rPr>
          <w:rFonts w:eastAsia="Calibri" w:cs="Times New Roman"/>
          <w:b/>
          <w:i/>
          <w:color w:val="000000"/>
        </w:rPr>
      </w:pPr>
      <w:r w:rsidRPr="00ED24A7">
        <w:rPr>
          <w:rFonts w:eastAsia="Calibri" w:cs="Times New Roman"/>
          <w:b/>
          <w:i/>
          <w:color w:val="000000"/>
        </w:rPr>
        <w:t>Whites</w:t>
      </w:r>
    </w:p>
    <w:p w14:paraId="366AA62A" w14:textId="3E159257" w:rsidR="008E041E" w:rsidRDefault="00057B53" w:rsidP="008E041E">
      <w:pPr>
        <w:spacing w:after="120" w:line="240" w:lineRule="auto"/>
        <w:jc w:val="both"/>
        <w:rPr>
          <w:i/>
        </w:rPr>
      </w:pPr>
      <w:r>
        <w:rPr>
          <w:rFonts w:eastAsia="Calibri" w:cs="Times New Roman"/>
          <w:i/>
          <w:color w:val="000000"/>
        </w:rPr>
        <w:t>Among a</w:t>
      </w:r>
      <w:r w:rsidR="007851FE">
        <w:rPr>
          <w:rFonts w:eastAsia="Calibri" w:cs="Times New Roman"/>
          <w:i/>
          <w:color w:val="000000"/>
        </w:rPr>
        <w:t xml:space="preserve"> total of </w:t>
      </w:r>
      <w:r w:rsidR="003C3DCC">
        <w:rPr>
          <w:rFonts w:eastAsia="Calibri" w:cs="Times New Roman"/>
          <w:i/>
          <w:color w:val="000000"/>
        </w:rPr>
        <w:t xml:space="preserve">six </w:t>
      </w:r>
      <w:r>
        <w:rPr>
          <w:rFonts w:eastAsia="Calibri" w:cs="Times New Roman"/>
          <w:i/>
          <w:color w:val="000000"/>
        </w:rPr>
        <w:t>studies</w:t>
      </w:r>
      <w:r w:rsidR="009C29ED">
        <w:rPr>
          <w:rFonts w:eastAsia="Calibri" w:cs="Times New Roman"/>
          <w:i/>
          <w:color w:val="000000"/>
        </w:rPr>
        <w:t xml:space="preserve"> </w:t>
      </w:r>
      <w:r w:rsidR="00D2134A">
        <w:rPr>
          <w:rFonts w:eastAsia="Calibri" w:cs="Times New Roman"/>
          <w:i/>
          <w:color w:val="000000"/>
        </w:rPr>
        <w:fldChar w:fldCharType="begin">
          <w:fldData xml:space="preserve">PEVuZE5vdGU+PENpdGU+PEF1dGhvcj5DdWJiaW48L0F1dGhvcj48WWVhcj4yMDEwPC9ZZWFyPjxS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PEVuZE5vdGU+PENpdGU+PEF1dGhvcj5DdWJiaW48L0F1dGhvcj48WWVhcj4yMDEwPC9ZZWFyPjxS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50" w:tooltip="Cubbin, 2010 #53" w:history="1">
        <w:r w:rsidR="00A234A9">
          <w:rPr>
            <w:rFonts w:eastAsia="Calibri" w:cs="Times New Roman"/>
            <w:i/>
            <w:noProof/>
            <w:color w:val="000000"/>
          </w:rPr>
          <w:t>50</w:t>
        </w:r>
      </w:hyperlink>
      <w:r w:rsidR="00D2134A">
        <w:rPr>
          <w:rFonts w:eastAsia="Calibri" w:cs="Times New Roman"/>
          <w:i/>
          <w:noProof/>
          <w:color w:val="000000"/>
        </w:rPr>
        <w:t xml:space="preserve">, </w:t>
      </w:r>
      <w:hyperlink w:anchor="_ENREF_72" w:tooltip="Nonnemaker, 2012 #31" w:history="1">
        <w:r w:rsidR="00A234A9">
          <w:rPr>
            <w:rFonts w:eastAsia="Calibri" w:cs="Times New Roman"/>
            <w:i/>
            <w:noProof/>
            <w:color w:val="000000"/>
          </w:rPr>
          <w:t>72</w:t>
        </w:r>
      </w:hyperlink>
      <w:r w:rsidR="00D2134A">
        <w:rPr>
          <w:rFonts w:eastAsia="Calibri" w:cs="Times New Roman"/>
          <w:i/>
          <w:noProof/>
          <w:color w:val="000000"/>
        </w:rPr>
        <w:t xml:space="preserve">, </w:t>
      </w:r>
      <w:hyperlink w:anchor="_ENREF_73" w:tooltip="Nonnemaker, 2010 #97" w:history="1">
        <w:r w:rsidR="00A234A9">
          <w:rPr>
            <w:rFonts w:eastAsia="Calibri" w:cs="Times New Roman"/>
            <w:i/>
            <w:noProof/>
            <w:color w:val="000000"/>
          </w:rPr>
          <w:t>73</w:t>
        </w:r>
      </w:hyperlink>
      <w:r w:rsidR="00D2134A">
        <w:rPr>
          <w:rFonts w:eastAsia="Calibri" w:cs="Times New Roman"/>
          <w:i/>
          <w:noProof/>
          <w:color w:val="000000"/>
        </w:rPr>
        <w:t xml:space="preserve">, </w:t>
      </w:r>
      <w:hyperlink w:anchor="_ENREF_76" w:tooltip="Oncken, 2015 #6" w:history="1">
        <w:r w:rsidR="00A234A9">
          <w:rPr>
            <w:rFonts w:eastAsia="Calibri" w:cs="Times New Roman"/>
            <w:i/>
            <w:noProof/>
            <w:color w:val="000000"/>
          </w:rPr>
          <w:t>76</w:t>
        </w:r>
      </w:hyperlink>
      <w:r w:rsidR="00D2134A">
        <w:rPr>
          <w:rFonts w:eastAsia="Calibri" w:cs="Times New Roman"/>
          <w:i/>
          <w:noProof/>
          <w:color w:val="000000"/>
        </w:rPr>
        <w:t xml:space="preserve">, </w:t>
      </w:r>
      <w:hyperlink w:anchor="_ENREF_79" w:tooltip="Rath, 2015 #3" w:history="1">
        <w:r w:rsidR="00A234A9">
          <w:rPr>
            <w:rFonts w:eastAsia="Calibri" w:cs="Times New Roman"/>
            <w:i/>
            <w:noProof/>
            <w:color w:val="000000"/>
          </w:rPr>
          <w:t>79</w:t>
        </w:r>
      </w:hyperlink>
      <w:r w:rsidR="00D2134A">
        <w:rPr>
          <w:rFonts w:eastAsia="Calibri" w:cs="Times New Roman"/>
          <w:i/>
          <w:noProof/>
          <w:color w:val="000000"/>
        </w:rPr>
        <w:t xml:space="preserve">, </w:t>
      </w:r>
      <w:hyperlink w:anchor="_ENREF_86" w:tooltip="Villanti, 2012 #37" w:history="1">
        <w:r w:rsidR="00A234A9">
          <w:rPr>
            <w:rFonts w:eastAsia="Calibri" w:cs="Times New Roman"/>
            <w:i/>
            <w:noProof/>
            <w:color w:val="000000"/>
          </w:rPr>
          <w:t>86</w:t>
        </w:r>
      </w:hyperlink>
      <w:r w:rsidR="00D2134A">
        <w:rPr>
          <w:rFonts w:eastAsia="Calibri" w:cs="Times New Roman"/>
          <w:i/>
          <w:noProof/>
          <w:color w:val="000000"/>
        </w:rPr>
        <w:t>)</w:t>
      </w:r>
      <w:r w:rsidR="00D2134A">
        <w:rPr>
          <w:rFonts w:eastAsia="Calibri" w:cs="Times New Roman"/>
          <w:i/>
          <w:color w:val="000000"/>
        </w:rPr>
        <w:fldChar w:fldCharType="end"/>
      </w:r>
      <w:r w:rsidR="009C29ED">
        <w:rPr>
          <w:rFonts w:eastAsia="Calibri" w:cs="Times New Roman"/>
          <w:i/>
          <w:color w:val="000000"/>
        </w:rPr>
        <w:t>,</w:t>
      </w:r>
      <w:r w:rsidR="000368B0">
        <w:rPr>
          <w:rFonts w:eastAsia="Calibri" w:cs="Times New Roman"/>
          <w:i/>
          <w:color w:val="000000"/>
        </w:rPr>
        <w:t xml:space="preserve"> t</w:t>
      </w:r>
      <w:r w:rsidR="00D04C52" w:rsidRPr="00A0218A">
        <w:rPr>
          <w:rFonts w:eastAsia="Calibri" w:cs="Times New Roman"/>
          <w:i/>
          <w:color w:val="000000"/>
        </w:rPr>
        <w:t xml:space="preserve">wo studies of youth found that 30 to 40 percent of </w:t>
      </w:r>
      <w:r w:rsidR="00E1156E">
        <w:rPr>
          <w:rFonts w:eastAsia="Calibri" w:cs="Times New Roman"/>
          <w:i/>
          <w:color w:val="000000"/>
        </w:rPr>
        <w:t>White</w:t>
      </w:r>
      <w:r w:rsidR="00D04C52" w:rsidRPr="00A0218A">
        <w:rPr>
          <w:rFonts w:eastAsia="Calibri" w:cs="Times New Roman"/>
          <w:i/>
          <w:color w:val="000000"/>
        </w:rPr>
        <w:t xml:space="preserve"> smokers initiated to menthol</w:t>
      </w:r>
      <w:r w:rsidR="007B6ECB">
        <w:rPr>
          <w:rFonts w:eastAsia="Calibri" w:cs="Times New Roman"/>
          <w:i/>
          <w:color w:val="000000"/>
        </w:rPr>
        <w:t xml:space="preserve"> </w:t>
      </w:r>
      <w:r w:rsidR="00D2134A">
        <w:rPr>
          <w:rFonts w:eastAsia="Calibri" w:cs="Times New Roman"/>
          <w:i/>
          <w:color w:val="000000"/>
        </w:rPr>
        <w:fldChar w:fldCharType="begin">
          <w:fldData xml:space="preserve">PEVuZE5vdGU+PENpdGU+PEF1dGhvcj5Ob25uZW1ha2VyPC9BdXRob3I+PFllYXI+MjAxMDwvWWVh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PEVuZE5vdGU+PENpdGU+PEF1dGhvcj5Ob25uZW1ha2VyPC9BdXRob3I+PFllYXI+MjAxMDwvWWVh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2" w:tooltip="Nonnemaker, 2012 #31" w:history="1">
        <w:r w:rsidR="00A234A9">
          <w:rPr>
            <w:rFonts w:eastAsia="Calibri" w:cs="Times New Roman"/>
            <w:i/>
            <w:noProof/>
            <w:color w:val="000000"/>
          </w:rPr>
          <w:t>72</w:t>
        </w:r>
      </w:hyperlink>
      <w:r w:rsidR="00D2134A">
        <w:rPr>
          <w:rFonts w:eastAsia="Calibri" w:cs="Times New Roman"/>
          <w:i/>
          <w:noProof/>
          <w:color w:val="000000"/>
        </w:rPr>
        <w:t xml:space="preserve">, </w:t>
      </w:r>
      <w:hyperlink w:anchor="_ENREF_73" w:tooltip="Nonnemaker, 2010 #97" w:history="1">
        <w:r w:rsidR="00A234A9">
          <w:rPr>
            <w:rFonts w:eastAsia="Calibri" w:cs="Times New Roman"/>
            <w:i/>
            <w:noProof/>
            <w:color w:val="000000"/>
          </w:rPr>
          <w:t>73</w:t>
        </w:r>
      </w:hyperlink>
      <w:r w:rsidR="00D2134A">
        <w:rPr>
          <w:rFonts w:eastAsia="Calibri" w:cs="Times New Roman"/>
          <w:i/>
          <w:noProof/>
          <w:color w:val="000000"/>
        </w:rPr>
        <w:t>)</w:t>
      </w:r>
      <w:r w:rsidR="00D2134A">
        <w:rPr>
          <w:rFonts w:eastAsia="Calibri" w:cs="Times New Roman"/>
          <w:i/>
          <w:color w:val="000000"/>
        </w:rPr>
        <w:fldChar w:fldCharType="end"/>
      </w:r>
      <w:r w:rsidR="00D04C52" w:rsidRPr="00A0218A">
        <w:rPr>
          <w:rFonts w:eastAsia="Calibri" w:cs="Times New Roman"/>
          <w:i/>
          <w:color w:val="000000"/>
        </w:rPr>
        <w:t xml:space="preserve">. </w:t>
      </w:r>
      <w:r w:rsidR="00ED24A7">
        <w:rPr>
          <w:rFonts w:eastAsia="Calibri" w:cs="Times New Roman"/>
          <w:i/>
          <w:color w:val="000000"/>
        </w:rPr>
        <w:t>Two</w:t>
      </w:r>
      <w:r w:rsidR="00ED24A7" w:rsidRPr="00A0218A">
        <w:rPr>
          <w:rFonts w:eastAsia="Calibri" w:cs="Times New Roman"/>
          <w:i/>
          <w:color w:val="000000"/>
        </w:rPr>
        <w:t xml:space="preserve"> </w:t>
      </w:r>
      <w:r w:rsidR="00D04C52" w:rsidRPr="00A0218A">
        <w:rPr>
          <w:rFonts w:eastAsia="Calibri" w:cs="Times New Roman"/>
          <w:i/>
          <w:color w:val="000000"/>
        </w:rPr>
        <w:t xml:space="preserve">studies (one of young adults, and one of both older youth and young adults) found that the percentage of </w:t>
      </w:r>
      <w:r w:rsidR="00E1156E">
        <w:rPr>
          <w:rFonts w:eastAsia="Calibri" w:cs="Times New Roman"/>
          <w:i/>
          <w:color w:val="000000"/>
        </w:rPr>
        <w:t>White</w:t>
      </w:r>
      <w:r w:rsidR="00D04C52" w:rsidRPr="00A0218A">
        <w:rPr>
          <w:rFonts w:eastAsia="Calibri" w:cs="Times New Roman"/>
          <w:i/>
          <w:color w:val="000000"/>
        </w:rPr>
        <w:t xml:space="preserve"> menthol smokers switching to non-menthol cigarettes was </w:t>
      </w:r>
      <w:r w:rsidR="00ED24A7">
        <w:rPr>
          <w:rFonts w:eastAsia="Calibri" w:cs="Times New Roman"/>
          <w:i/>
          <w:color w:val="000000"/>
        </w:rPr>
        <w:t xml:space="preserve">significantly </w:t>
      </w:r>
      <w:r w:rsidR="00D04C52" w:rsidRPr="00A0218A">
        <w:rPr>
          <w:rFonts w:eastAsia="Calibri" w:cs="Times New Roman"/>
          <w:i/>
          <w:color w:val="000000"/>
        </w:rPr>
        <w:t xml:space="preserve">higher than that of </w:t>
      </w:r>
      <w:r w:rsidR="00E1156E">
        <w:rPr>
          <w:rFonts w:eastAsia="Calibri" w:cs="Times New Roman"/>
          <w:i/>
          <w:color w:val="000000"/>
        </w:rPr>
        <w:t>White</w:t>
      </w:r>
      <w:r w:rsidR="00D04C52" w:rsidRPr="00A0218A">
        <w:rPr>
          <w:rFonts w:eastAsia="Calibri" w:cs="Times New Roman"/>
          <w:i/>
          <w:color w:val="000000"/>
        </w:rPr>
        <w:t xml:space="preserve"> non-menthol smokers switching to menthol</w:t>
      </w:r>
      <w:r w:rsidR="00D226AC">
        <w:rPr>
          <w:rFonts w:eastAsia="Calibri" w:cs="Times New Roman"/>
          <w:i/>
          <w:color w:val="000000"/>
        </w:rPr>
        <w:t xml:space="preserve"> </w:t>
      </w:r>
      <w:r w:rsidR="00D2134A">
        <w:rPr>
          <w:rFonts w:eastAsia="Calibri" w:cs="Times New Roman"/>
          <w:i/>
          <w:color w:val="000000"/>
        </w:rPr>
        <w:fldChar w:fldCharType="begin">
          <w:fldData xml:space="preserve">PEVuZE5vdGU+PENpdGU+PEF1dGhvcj5SYXRoPC9BdXRob3I+PFllYXI+MjAxNTwvWWVhcj48UmVj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PEVuZE5vdGU+PENpdGU+PEF1dGhvcj5SYXRoPC9BdXRob3I+PFllYXI+MjAxNTwvWWVhcj48UmVj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9" w:tooltip="Rath, 2015 #3" w:history="1">
        <w:r w:rsidR="00A234A9">
          <w:rPr>
            <w:rFonts w:eastAsia="Calibri" w:cs="Times New Roman"/>
            <w:i/>
            <w:noProof/>
            <w:color w:val="000000"/>
          </w:rPr>
          <w:t>79</w:t>
        </w:r>
      </w:hyperlink>
      <w:r w:rsidR="00D2134A">
        <w:rPr>
          <w:rFonts w:eastAsia="Calibri" w:cs="Times New Roman"/>
          <w:i/>
          <w:noProof/>
          <w:color w:val="000000"/>
        </w:rPr>
        <w:t xml:space="preserve">, </w:t>
      </w:r>
      <w:hyperlink w:anchor="_ENREF_86" w:tooltip="Villanti, 2012 #37" w:history="1">
        <w:r w:rsidR="00A234A9">
          <w:rPr>
            <w:rFonts w:eastAsia="Calibri" w:cs="Times New Roman"/>
            <w:i/>
            <w:noProof/>
            <w:color w:val="000000"/>
          </w:rPr>
          <w:t>86</w:t>
        </w:r>
      </w:hyperlink>
      <w:r w:rsidR="00D2134A">
        <w:rPr>
          <w:rFonts w:eastAsia="Calibri" w:cs="Times New Roman"/>
          <w:i/>
          <w:noProof/>
          <w:color w:val="000000"/>
        </w:rPr>
        <w:t>)</w:t>
      </w:r>
      <w:r w:rsidR="00D2134A">
        <w:rPr>
          <w:rFonts w:eastAsia="Calibri" w:cs="Times New Roman"/>
          <w:i/>
          <w:color w:val="000000"/>
        </w:rPr>
        <w:fldChar w:fldCharType="end"/>
      </w:r>
      <w:r w:rsidR="00D04C52" w:rsidRPr="00A0218A">
        <w:rPr>
          <w:rFonts w:eastAsia="Calibri" w:cs="Times New Roman"/>
          <w:i/>
          <w:color w:val="000000"/>
        </w:rPr>
        <w:t xml:space="preserve">. </w:t>
      </w:r>
      <w:r w:rsidR="00ED24A7">
        <w:rPr>
          <w:rFonts w:eastAsia="Calibri" w:cs="Times New Roman"/>
          <w:i/>
          <w:color w:val="000000"/>
        </w:rPr>
        <w:t>Two</w:t>
      </w:r>
      <w:r w:rsidR="00ED24A7" w:rsidRPr="00A0218A">
        <w:rPr>
          <w:rFonts w:eastAsia="Calibri" w:cs="Times New Roman"/>
          <w:i/>
          <w:color w:val="000000"/>
        </w:rPr>
        <w:t xml:space="preserve"> </w:t>
      </w:r>
      <w:r w:rsidR="00D04C52" w:rsidRPr="00A0218A">
        <w:rPr>
          <w:rFonts w:eastAsia="Calibri" w:cs="Times New Roman"/>
          <w:i/>
          <w:color w:val="000000"/>
        </w:rPr>
        <w:t>stud</w:t>
      </w:r>
      <w:r w:rsidR="00ED24A7">
        <w:rPr>
          <w:rFonts w:eastAsia="Calibri" w:cs="Times New Roman"/>
          <w:i/>
          <w:color w:val="000000"/>
        </w:rPr>
        <w:t>ies, both reporting on youth ALLTURS data,</w:t>
      </w:r>
      <w:r w:rsidR="00D04C52" w:rsidRPr="00A0218A">
        <w:rPr>
          <w:rFonts w:eastAsia="Calibri" w:cs="Times New Roman"/>
          <w:i/>
          <w:color w:val="000000"/>
        </w:rPr>
        <w:t xml:space="preserve"> found a slightly higher rate of </w:t>
      </w:r>
      <w:r w:rsidR="00E1156E">
        <w:rPr>
          <w:rFonts w:eastAsia="Calibri" w:cs="Times New Roman"/>
          <w:i/>
          <w:color w:val="000000"/>
        </w:rPr>
        <w:t>White</w:t>
      </w:r>
      <w:r w:rsidR="00D04C52" w:rsidRPr="00A0218A">
        <w:rPr>
          <w:rFonts w:eastAsia="Calibri" w:cs="Times New Roman"/>
          <w:i/>
          <w:color w:val="000000"/>
        </w:rPr>
        <w:t xml:space="preserve"> smokers switching from non-menthol to menthol</w:t>
      </w:r>
      <w:r w:rsidR="00ED24A7">
        <w:rPr>
          <w:rFonts w:eastAsia="Calibri" w:cs="Times New Roman"/>
          <w:i/>
          <w:color w:val="000000"/>
        </w:rPr>
        <w:t xml:space="preserve"> </w:t>
      </w:r>
      <w:r w:rsidR="00D2134A">
        <w:rPr>
          <w:rFonts w:eastAsia="Calibri" w:cs="Times New Roman"/>
          <w:i/>
          <w:color w:val="000000"/>
        </w:rPr>
        <w:fldChar w:fldCharType="begin">
          <w:fldData xml:space="preserve">PEVuZE5vdGU+PENpdGU+PEF1dGhvcj5Ob25uZW1ha2VyPC9BdXRob3I+PFllYXI+MjAxMDwvWWVh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PEVuZE5vdGU+PENpdGU+PEF1dGhvcj5Ob25uZW1ha2VyPC9BdXRob3I+PFllYXI+MjAxMDwvWWVh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2" w:tooltip="Nonnemaker, 2012 #31" w:history="1">
        <w:r w:rsidR="00A234A9">
          <w:rPr>
            <w:rFonts w:eastAsia="Calibri" w:cs="Times New Roman"/>
            <w:i/>
            <w:noProof/>
            <w:color w:val="000000"/>
          </w:rPr>
          <w:t>72</w:t>
        </w:r>
      </w:hyperlink>
      <w:r w:rsidR="00D2134A">
        <w:rPr>
          <w:rFonts w:eastAsia="Calibri" w:cs="Times New Roman"/>
          <w:i/>
          <w:noProof/>
          <w:color w:val="000000"/>
        </w:rPr>
        <w:t xml:space="preserve">, </w:t>
      </w:r>
      <w:hyperlink w:anchor="_ENREF_73" w:tooltip="Nonnemaker, 2010 #97" w:history="1">
        <w:r w:rsidR="00A234A9">
          <w:rPr>
            <w:rFonts w:eastAsia="Calibri" w:cs="Times New Roman"/>
            <w:i/>
            <w:noProof/>
            <w:color w:val="000000"/>
          </w:rPr>
          <w:t>73</w:t>
        </w:r>
      </w:hyperlink>
      <w:r w:rsidR="00D2134A">
        <w:rPr>
          <w:rFonts w:eastAsia="Calibri" w:cs="Times New Roman"/>
          <w:i/>
          <w:noProof/>
          <w:color w:val="000000"/>
        </w:rPr>
        <w:t>)</w:t>
      </w:r>
      <w:r w:rsidR="00D2134A">
        <w:rPr>
          <w:rFonts w:eastAsia="Calibri" w:cs="Times New Roman"/>
          <w:i/>
          <w:color w:val="000000"/>
        </w:rPr>
        <w:fldChar w:fldCharType="end"/>
      </w:r>
      <w:r w:rsidR="00ED24A7" w:rsidRPr="000F618F">
        <w:rPr>
          <w:rFonts w:eastAsia="Calibri" w:cs="Times New Roman"/>
          <w:i/>
          <w:color w:val="000000"/>
        </w:rPr>
        <w:t xml:space="preserve"> and did not report tests of statistical significance</w:t>
      </w:r>
      <w:r w:rsidR="00A20AE4" w:rsidRPr="000F618F">
        <w:rPr>
          <w:rFonts w:eastAsia="Calibri" w:cs="Times New Roman"/>
          <w:i/>
          <w:color w:val="000000"/>
        </w:rPr>
        <w:t>.</w:t>
      </w:r>
      <w:r w:rsidR="00915113" w:rsidRPr="000F618F">
        <w:rPr>
          <w:rFonts w:eastAsia="Calibri" w:cs="Times New Roman"/>
          <w:i/>
          <w:color w:val="000000"/>
        </w:rPr>
        <w:t xml:space="preserve"> </w:t>
      </w:r>
      <w:r w:rsidR="003C3DCC">
        <w:rPr>
          <w:rFonts w:eastAsia="Calibri" w:cs="Times New Roman"/>
          <w:i/>
          <w:color w:val="000000"/>
        </w:rPr>
        <w:t>One study of pregnant White women found no difference was reported in</w:t>
      </w:r>
      <w:r w:rsidR="003C3DCC" w:rsidRPr="00A0218A">
        <w:rPr>
          <w:rFonts w:eastAsia="Calibri" w:cs="Times New Roman"/>
          <w:i/>
          <w:color w:val="000000"/>
        </w:rPr>
        <w:t xml:space="preserve"> age </w:t>
      </w:r>
      <w:r w:rsidR="003C3DCC">
        <w:rPr>
          <w:rFonts w:eastAsia="Calibri" w:cs="Times New Roman"/>
          <w:i/>
          <w:color w:val="000000"/>
        </w:rPr>
        <w:t>at initiation among menthol and non-menthol smokers (</w:t>
      </w:r>
      <w:hyperlink w:anchor="_ENREF_73" w:tooltip="Oncken, 2015 #6" w:history="1">
        <w:r w:rsidR="003C3DCC" w:rsidRPr="00A561F7">
          <w:rPr>
            <w:rFonts w:eastAsia="Calibri" w:cs="Times New Roman"/>
            <w:i/>
            <w:noProof/>
          </w:rPr>
          <w:t>Oncken et al., 2015</w:t>
        </w:r>
      </w:hyperlink>
      <w:r w:rsidR="003C3DCC" w:rsidRPr="00A561F7">
        <w:rPr>
          <w:rFonts w:eastAsia="Calibri" w:cs="Times New Roman"/>
          <w:i/>
          <w:noProof/>
          <w:color w:val="000000"/>
        </w:rPr>
        <w:t>)</w:t>
      </w:r>
      <w:r w:rsidR="003C3DCC">
        <w:rPr>
          <w:rFonts w:eastAsia="Calibri" w:cs="Times New Roman"/>
          <w:i/>
          <w:noProof/>
          <w:color w:val="000000"/>
        </w:rPr>
        <w:t xml:space="preserve">. </w:t>
      </w:r>
      <w:r w:rsidR="008E041E">
        <w:rPr>
          <w:rFonts w:eastAsia="Calibri" w:cs="Times New Roman"/>
          <w:i/>
          <w:color w:val="000000"/>
        </w:rPr>
        <w:t xml:space="preserve">Lastly, a study investigating adults from the 2005 NHIS </w:t>
      </w:r>
      <w:r w:rsidR="00D2134A">
        <w:rPr>
          <w:i/>
        </w:rPr>
        <w:fldChar w:fldCharType="begin"/>
      </w:r>
      <w:r w:rsidR="00D2134A">
        <w:rPr>
          <w:i/>
        </w:rPr>
        <w:instrText xml:space="preserve"> ADDIN EN.CITE &lt;EndNote&gt;&lt;Cite&gt;&lt;Author&gt;Cubbin&lt;/Author&gt;&lt;Year&gt;2010&lt;/Year&gt;&lt;RecNum&gt;53&lt;/RecNum&gt;&lt;DisplayText&gt;(50)&lt;/DisplayText&gt;&lt;record&gt;&lt;rec-number&gt;53&lt;/rec-number&gt;&lt;foreign-keys&gt;&lt;key app="EN" db-id="a2vz2dfp8xrad6exes75zwpiw5rxwa0vwapv" timestamp="0"&gt;53&lt;/key&gt;&lt;/foreign-keys&gt;&lt;ref-type name="Journal Article"&gt;17&lt;/ref-type&gt;&lt;contributors&gt;&lt;authors&gt;&lt;author&gt;Cubbin, C.&lt;/author&gt;&lt;author&gt;Soobader, M. J.&lt;/author&gt;&lt;author&gt;LeClere, F. B.&lt;/author&gt;&lt;/authors&gt;&lt;/contributors&gt;&lt;auth-address&gt;School of Social Work, University of Texas at Austin, Austin, TX 78712-0358, USA. ccubbin@austin.utexas.edu&lt;/auth-address&gt;&lt;titles&gt;&lt;title&gt;The intersection of gender and race/ethnicity in smoking behaviors among menthol and non-menthol smokers in the United States&lt;/title&gt;&lt;secondary-title&gt;Addiction&lt;/secondary-title&gt;&lt;/titles&gt;&lt;periodical&gt;&lt;full-title&gt;Addiction&lt;/full-title&gt;&lt;/periodical&gt;&lt;pages&gt;32-8&lt;/pages&gt;&lt;volume&gt;105 Suppl 1&lt;/volume&gt;&lt;keywords&gt;&lt;keyword&gt;Adult&lt;/keyword&gt;&lt;keyword&gt;African Americans/statistics &amp;amp; numerical data&lt;/keyword&gt;&lt;keyword&gt;Age of Onset&lt;/keyword&gt;&lt;keyword&gt;Cross-Sectional Studies&lt;/keyword&gt;&lt;keyword&gt;European Continental Ancestry Group/statistics &amp;amp; numerical data&lt;/keyword&gt;&lt;keyword&gt;Female&lt;/keyword&gt;&lt;keyword&gt;Hispanic Americans/statistics &amp;amp; numerical data&lt;/keyword&gt;&lt;keyword&gt;Humans&lt;/keyword&gt;&lt;keyword&gt;Male&lt;/keyword&gt;&lt;keyword&gt;*Menthol&lt;/keyword&gt;&lt;keyword&gt;Middle Aged&lt;/keyword&gt;&lt;keyword&gt;*Population Surveillance&lt;/keyword&gt;&lt;keyword&gt;Sex Factors&lt;/keyword&gt;&lt;keyword&gt;Smoking/*epidemiology/ethnology&lt;/keyword&gt;&lt;keyword&gt;Smoking Cessation/ethnology/statistics &amp;amp; numerical data&lt;/keyword&gt;&lt;keyword&gt;Socioeconomic Factors&lt;/keyword&gt;&lt;keyword&gt;United States/epidemiology&lt;/keyword&gt;&lt;/keywords&gt;&lt;dates&gt;&lt;year&gt;2010&lt;/year&gt;&lt;pub-dates&gt;&lt;date&gt;Dec&lt;/date&gt;&lt;/pub-dates&gt;&lt;/dates&gt;&lt;isbn&gt;1360-0443 (Electronic)&amp;#xD;0965-2140 (Linking)&lt;/isbn&gt;&lt;accession-num&gt;21059134&lt;/accession-num&gt;&lt;urls&gt;&lt;related-urls&gt;&lt;url&gt;http://www.ncbi.nlm.nih.gov/pubmed/21059134&lt;/url&gt;&lt;/related-urls&gt;&lt;/urls&gt;&lt;electronic-resource-num&gt;10.1111/j.1360-0443.2010.03191.x&lt;/electronic-resource-num&gt;&lt;research-notes&gt;#281&lt;/research-notes&gt;&lt;/record&gt;&lt;/Cite&gt;&lt;/EndNote&gt;</w:instrText>
      </w:r>
      <w:r w:rsidR="00D2134A">
        <w:rPr>
          <w:i/>
        </w:rPr>
        <w:fldChar w:fldCharType="separate"/>
      </w:r>
      <w:r w:rsidR="00D2134A">
        <w:rPr>
          <w:i/>
          <w:noProof/>
        </w:rPr>
        <w:t>(</w:t>
      </w:r>
      <w:hyperlink w:anchor="_ENREF_50" w:tooltip="Cubbin, 2010 #53" w:history="1">
        <w:r w:rsidR="00A234A9">
          <w:rPr>
            <w:i/>
            <w:noProof/>
          </w:rPr>
          <w:t>50</w:t>
        </w:r>
      </w:hyperlink>
      <w:r w:rsidR="00D2134A">
        <w:rPr>
          <w:i/>
          <w:noProof/>
        </w:rPr>
        <w:t>)</w:t>
      </w:r>
      <w:r w:rsidR="00D2134A">
        <w:rPr>
          <w:i/>
        </w:rPr>
        <w:fldChar w:fldCharType="end"/>
      </w:r>
      <w:r w:rsidR="008E041E">
        <w:rPr>
          <w:rFonts w:eastAsia="Calibri" w:cs="Times New Roman"/>
          <w:i/>
          <w:color w:val="000000"/>
        </w:rPr>
        <w:t xml:space="preserve"> reported that a</w:t>
      </w:r>
      <w:r w:rsidR="008E041E" w:rsidRPr="004D338F">
        <w:rPr>
          <w:i/>
        </w:rPr>
        <w:t xml:space="preserve">mong </w:t>
      </w:r>
      <w:r w:rsidR="008E041E">
        <w:rPr>
          <w:i/>
        </w:rPr>
        <w:t>White</w:t>
      </w:r>
      <w:r w:rsidR="008E041E" w:rsidRPr="004D338F">
        <w:rPr>
          <w:i/>
        </w:rPr>
        <w:t xml:space="preserve"> respondents</w:t>
      </w:r>
      <w:r w:rsidR="008E041E">
        <w:rPr>
          <w:i/>
        </w:rPr>
        <w:t xml:space="preserve"> there was</w:t>
      </w:r>
      <w:r w:rsidR="008E041E" w:rsidRPr="004D338F">
        <w:rPr>
          <w:i/>
        </w:rPr>
        <w:t xml:space="preserve"> a higher proportion of daily versus non-daily smokers</w:t>
      </w:r>
      <w:r w:rsidR="008E041E">
        <w:rPr>
          <w:i/>
        </w:rPr>
        <w:t xml:space="preserve"> reported</w:t>
      </w:r>
      <w:r w:rsidR="008E041E" w:rsidRPr="000F618F">
        <w:rPr>
          <w:i/>
        </w:rPr>
        <w:t xml:space="preserve"> </w:t>
      </w:r>
      <w:r w:rsidR="008E041E">
        <w:rPr>
          <w:i/>
        </w:rPr>
        <w:t xml:space="preserve">for both </w:t>
      </w:r>
      <w:r w:rsidR="008E041E" w:rsidRPr="004D338F">
        <w:rPr>
          <w:i/>
        </w:rPr>
        <w:t xml:space="preserve">men and women. Among daily smokers, there was a higher proportion of non-menthol smokers than menthol smokers </w:t>
      </w:r>
      <w:r w:rsidR="008E041E">
        <w:rPr>
          <w:i/>
        </w:rPr>
        <w:t>for</w:t>
      </w:r>
      <w:r w:rsidR="008E041E" w:rsidRPr="004D338F">
        <w:rPr>
          <w:i/>
        </w:rPr>
        <w:t xml:space="preserve"> both men and women. Likewise, non-daily smokers had a higher proportion of non-menthol smokers compared </w:t>
      </w:r>
      <w:r w:rsidR="008E041E">
        <w:rPr>
          <w:i/>
        </w:rPr>
        <w:t>to menthol smokers for</w:t>
      </w:r>
      <w:r w:rsidR="008E041E" w:rsidRPr="004D338F">
        <w:rPr>
          <w:i/>
        </w:rPr>
        <w:t xml:space="preserve"> both men and women.</w:t>
      </w:r>
    </w:p>
    <w:p w14:paraId="34755E6B" w14:textId="3D8B8DD3" w:rsidR="00D04C52" w:rsidRPr="00A0218A" w:rsidRDefault="00D04C52" w:rsidP="00B46744">
      <w:pPr>
        <w:spacing w:after="120" w:line="240" w:lineRule="auto"/>
        <w:jc w:val="both"/>
        <w:rPr>
          <w:rFonts w:eastAsia="Calibri" w:cs="Times New Roman"/>
          <w:color w:val="000000"/>
        </w:rPr>
      </w:pPr>
      <w:r w:rsidRPr="000F618F">
        <w:rPr>
          <w:rFonts w:eastAsia="Calibri" w:cs="Times New Roman"/>
          <w:color w:val="000000"/>
        </w:rPr>
        <w:lastRenderedPageBreak/>
        <w:t>In the LYAC study of young adults, Rath et al</w:t>
      </w:r>
      <w:r w:rsidR="008B4742" w:rsidRPr="000F618F">
        <w:rPr>
          <w:rFonts w:eastAsia="Calibri" w:cs="Times New Roman"/>
          <w:color w:val="000000"/>
        </w:rPr>
        <w:t xml:space="preserve">. </w:t>
      </w:r>
      <w:r w:rsidR="00D2134A">
        <w:rPr>
          <w:rFonts w:eastAsia="Calibri" w:cs="Times New Roman"/>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79" w:tooltip="Rath, 2015 #3" w:history="1">
        <w:r w:rsidR="00A234A9">
          <w:rPr>
            <w:rFonts w:eastAsia="Calibri" w:cs="Times New Roman"/>
            <w:noProof/>
            <w:color w:val="000000"/>
          </w:rPr>
          <w:t>79</w:t>
        </w:r>
      </w:hyperlink>
      <w:r w:rsidR="00D2134A">
        <w:rPr>
          <w:rFonts w:eastAsia="Calibri" w:cs="Times New Roman"/>
          <w:noProof/>
          <w:color w:val="000000"/>
        </w:rPr>
        <w:t>)</w:t>
      </w:r>
      <w:r w:rsidR="00D2134A">
        <w:rPr>
          <w:rFonts w:eastAsia="Calibri" w:cs="Times New Roman"/>
          <w:color w:val="000000"/>
        </w:rPr>
        <w:fldChar w:fldCharType="end"/>
      </w:r>
      <w:r w:rsidR="008B4742" w:rsidRPr="000F618F">
        <w:rPr>
          <w:rFonts w:eastAsia="Calibri" w:cs="Times New Roman"/>
          <w:color w:val="000000"/>
        </w:rPr>
        <w:t xml:space="preserve"> f</w:t>
      </w:r>
      <w:r w:rsidRPr="000F618F">
        <w:rPr>
          <w:rFonts w:eastAsia="Calibri" w:cs="Times New Roman"/>
          <w:color w:val="000000"/>
        </w:rPr>
        <w:t>ound that—of participants who</w:t>
      </w:r>
      <w:r w:rsidRPr="00A0218A">
        <w:rPr>
          <w:rFonts w:eastAsia="Calibri" w:cs="Times New Roman"/>
          <w:color w:val="000000"/>
        </w:rPr>
        <w:t xml:space="preserve"> switched from menthol to non-menthol—73.7 percent were non-Hispanic </w:t>
      </w:r>
      <w:r w:rsidR="00E1156E">
        <w:rPr>
          <w:rFonts w:eastAsia="Calibri" w:cs="Times New Roman"/>
          <w:color w:val="000000"/>
        </w:rPr>
        <w:t>White</w:t>
      </w:r>
      <w:r w:rsidRPr="00A0218A">
        <w:rPr>
          <w:rFonts w:eastAsia="Calibri" w:cs="Times New Roman"/>
          <w:color w:val="000000"/>
        </w:rPr>
        <w:t xml:space="preserve">. Of participants who switched from non-menthol to menthol, 57.8 percent were non-Hispanic </w:t>
      </w:r>
      <w:r w:rsidR="00E1156E">
        <w:rPr>
          <w:rFonts w:eastAsia="Calibri" w:cs="Times New Roman"/>
          <w:color w:val="000000"/>
        </w:rPr>
        <w:t>White</w:t>
      </w:r>
      <w:r w:rsidRPr="00A0218A">
        <w:rPr>
          <w:rFonts w:eastAsia="Calibri" w:cs="Times New Roman"/>
          <w:color w:val="000000"/>
        </w:rPr>
        <w:t xml:space="preserve">. The significance of the difference among </w:t>
      </w:r>
      <w:r w:rsidR="00E1156E">
        <w:rPr>
          <w:rFonts w:eastAsia="Calibri" w:cs="Times New Roman"/>
          <w:color w:val="000000"/>
        </w:rPr>
        <w:t>White</w:t>
      </w:r>
      <w:r w:rsidRPr="00A0218A">
        <w:rPr>
          <w:rFonts w:eastAsia="Calibri" w:cs="Times New Roman"/>
          <w:color w:val="000000"/>
        </w:rPr>
        <w:t>s only was not reported; the overall difference in switching for all races/ethnicities was significant (p&lt;0.001).</w:t>
      </w:r>
    </w:p>
    <w:p w14:paraId="15B3FB73" w14:textId="6E783C71" w:rsidR="00D04C52" w:rsidRPr="00A0218A" w:rsidRDefault="00D04C52" w:rsidP="00B46744">
      <w:pPr>
        <w:spacing w:after="120" w:line="240" w:lineRule="auto"/>
        <w:jc w:val="both"/>
        <w:rPr>
          <w:rFonts w:eastAsia="Calibri" w:cs="Times New Roman"/>
          <w:color w:val="000000"/>
        </w:rPr>
      </w:pPr>
      <w:r w:rsidRPr="001B01B1">
        <w:rPr>
          <w:rFonts w:eastAsia="Calibri" w:cs="Times New Roman"/>
          <w:color w:val="000000"/>
        </w:rPr>
        <w:t>As described in the adjusted results, Nonnemaker et al</w:t>
      </w:r>
      <w:r w:rsidR="00E52351" w:rsidRPr="001B01B1">
        <w:rPr>
          <w:rFonts w:eastAsia="Calibri" w:cs="Times New Roman"/>
          <w:color w:val="000000"/>
        </w:rPr>
        <w:t xml:space="preserve">.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&lt;EndNote&gt;&lt;Cite&gt;&lt;Author&gt;Nonnemaker&lt;/Author&gt;&lt;Year&gt;2012&lt;/Year&gt;&lt;RecNum&gt;31&lt;/RecNum&gt;&lt;DisplayText&gt;(72)&lt;/DisplayText&gt;&lt;record&gt;&lt;rec-number&gt;31&lt;/rec-number&gt;&lt;foreign-keys&gt;&lt;key app="EN" db-id="a2vz2dfp8xrad6exes75zwpiw5rxwa0vwapv" timestamp="0"&gt;31&lt;/key&gt;&lt;/foreign-keys&gt;&lt;ref-type name="Journal Article"&gt;17&lt;/ref-type&gt;&lt;contributors&gt;&lt;authors&gt;&lt;author&gt;Nonnemaker, J.&lt;/author&gt;&lt;author&gt;Hersey, J.&lt;/author&gt;&lt;author&gt;Homsi, G.&lt;/author&gt;&lt;author&gt;Busey, A.&lt;/author&gt;&lt;author&gt;Allen, J.&lt;/author&gt;&lt;author&gt;Vallone, D.&lt;/author&gt;&lt;/authors&gt;&lt;/contributors&gt;&lt;auth-address&gt;RTI International, Research Triangle Park, NC 27709-2194, USA. jnonnemaker@rti.org&lt;/auth-address&gt;&lt;titles&gt;&lt;title&gt;Initiation with menthol cigarettes and youth smoking uptake&lt;/title&gt;&lt;secondary-title&gt;Addiction&lt;/secondary-title&gt;&lt;/titles&gt;&lt;periodical&gt;&lt;full-title&gt;Addiction&lt;/full-title&gt;&lt;/periodical&gt;&lt;pages&gt;171-8&lt;/pages&gt;&lt;volume&gt;108&lt;/volume&gt;&lt;number&gt;1&lt;/number&gt;&lt;keywords&gt;&lt;keyword&gt;Adolescent&lt;/keyword&gt;&lt;keyword&gt;Age Distribution&lt;/keyword&gt;&lt;keyword&gt;Child&lt;/keyword&gt;&lt;keyword&gt;Female&lt;/keyword&gt;&lt;keyword&gt;Flavoring Agents/*adverse effects&lt;/keyword&gt;&lt;keyword&gt;Humans&lt;/keyword&gt;&lt;keyword&gt;Longitudinal Studies&lt;/keyword&gt;&lt;keyword&gt;Male&lt;/keyword&gt;&lt;keyword&gt;Menthol/*adverse effects&lt;/keyword&gt;&lt;keyword&gt;Risk Factors&lt;/keyword&gt;&lt;keyword&gt;Sex Distribution&lt;/keyword&gt;&lt;keyword&gt;Smoking/*adverse effects&lt;/keyword&gt;&lt;keyword&gt;Smoking Cessation/psychology/statistics &amp;amp; numerical data&lt;/keyword&gt;&lt;keyword&gt;Tobacco Products/*adverse effects&lt;/keyword&gt;&lt;keyword&gt;Tobacco Use Disorder/*etiology&lt;/keyword&gt;&lt;keyword&gt;United States&lt;/keyword&gt;&lt;/keywords&gt;&lt;dates&gt;&lt;year&gt;2012&lt;/year&gt;&lt;pub-dates&gt;&lt;date&gt;Jan&lt;/date&gt;&lt;/pub-dates&gt;&lt;/dates&gt;&lt;isbn&gt;1360-0443 (Electronic)&amp;#xD;0965-2140 (Linking)&lt;/isbn&gt;&lt;accession-num&gt;22862154&lt;/accession-num&gt;&lt;urls&gt;&lt;related-urls&gt;&lt;url&gt;http://www.ncbi.nlm.nih.gov/pubmed/22862154&lt;/url&gt;&lt;/related-urls&gt;&lt;/urls&gt;&lt;electronic-resource-num&gt;10.1111/j.1360-0443.2012.04045.x&lt;/electronic-resource-num&gt;&lt;research-notes&gt;#160&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2" w:tooltip="Nonnemaker, 2012 #31" w:history="1">
        <w:r w:rsidR="00A234A9">
          <w:rPr>
            <w:rFonts w:eastAsia="Calibri" w:cs="Times New Roman"/>
            <w:noProof/>
            <w:color w:val="000000"/>
          </w:rPr>
          <w:t>72</w:t>
        </w:r>
      </w:hyperlink>
      <w:r w:rsidR="00D2134A">
        <w:rPr>
          <w:rFonts w:eastAsia="Calibri" w:cs="Times New Roman"/>
          <w:noProof/>
          <w:color w:val="000000"/>
        </w:rPr>
        <w:t>)</w:t>
      </w:r>
      <w:r w:rsidR="00D2134A">
        <w:rPr>
          <w:rFonts w:eastAsia="Calibri" w:cs="Times New Roman"/>
          <w:color w:val="000000"/>
        </w:rPr>
        <w:fldChar w:fldCharType="end"/>
      </w:r>
      <w:r w:rsidR="00E52351" w:rsidRPr="001B01B1">
        <w:rPr>
          <w:rFonts w:eastAsia="Calibri" w:cs="Times New Roman"/>
          <w:color w:val="000000"/>
        </w:rPr>
        <w:t xml:space="preserve"> an</w:t>
      </w:r>
      <w:r w:rsidRPr="001B01B1">
        <w:rPr>
          <w:rFonts w:eastAsia="Calibri" w:cs="Times New Roman"/>
          <w:color w:val="000000"/>
        </w:rPr>
        <w:t>alyzed data from</w:t>
      </w:r>
      <w:r w:rsidRPr="00A0218A">
        <w:rPr>
          <w:rFonts w:eastAsia="Calibri" w:cs="Times New Roman"/>
          <w:color w:val="000000"/>
        </w:rPr>
        <w:t xml:space="preserve"> youth who participated in the ALLTURS—a three-year school-based survey of middle school and high school students age 12 to 17 at baseline. Among </w:t>
      </w:r>
      <w:r w:rsidR="00E1156E">
        <w:rPr>
          <w:rFonts w:eastAsia="Calibri" w:cs="Times New Roman"/>
          <w:color w:val="000000"/>
        </w:rPr>
        <w:t>White</w:t>
      </w:r>
      <w:r w:rsidRPr="00A0218A">
        <w:rPr>
          <w:rFonts w:eastAsia="Calibri" w:cs="Times New Roman"/>
          <w:color w:val="000000"/>
        </w:rPr>
        <w:t xml:space="preserve"> current smokers, 35.6 percent initiated </w:t>
      </w:r>
      <w:r w:rsidR="00BC523B">
        <w:rPr>
          <w:rFonts w:eastAsia="Calibri" w:cs="Times New Roman"/>
          <w:color w:val="000000"/>
        </w:rPr>
        <w:t>with</w:t>
      </w:r>
      <w:r w:rsidR="00BC523B" w:rsidRPr="00A0218A">
        <w:rPr>
          <w:rFonts w:eastAsia="Calibri" w:cs="Times New Roman"/>
          <w:color w:val="000000"/>
        </w:rPr>
        <w:t xml:space="preserve"> </w:t>
      </w:r>
      <w:r w:rsidRPr="00A0218A">
        <w:rPr>
          <w:rFonts w:eastAsia="Calibri" w:cs="Times New Roman"/>
          <w:color w:val="000000"/>
        </w:rPr>
        <w:t>menthol</w:t>
      </w:r>
      <w:r w:rsidR="00A5677A">
        <w:rPr>
          <w:rFonts w:eastAsia="Calibri" w:cs="Times New Roman"/>
          <w:color w:val="000000"/>
        </w:rPr>
        <w:t xml:space="preserve"> (n=267)</w:t>
      </w:r>
      <w:r w:rsidRPr="00A0218A">
        <w:rPr>
          <w:rFonts w:eastAsia="Calibri" w:cs="Times New Roman"/>
          <w:color w:val="000000"/>
        </w:rPr>
        <w:t xml:space="preserve">. A subset of the sample was characterized as non-established smokers (smoking on fewer than 20 of the past 30 days). Among </w:t>
      </w:r>
      <w:r w:rsidR="00E1156E">
        <w:rPr>
          <w:rFonts w:eastAsia="Calibri" w:cs="Times New Roman"/>
          <w:color w:val="000000"/>
        </w:rPr>
        <w:t>White</w:t>
      </w:r>
      <w:r w:rsidRPr="00A0218A">
        <w:rPr>
          <w:rFonts w:eastAsia="Calibri" w:cs="Times New Roman"/>
          <w:color w:val="000000"/>
        </w:rPr>
        <w:t xml:space="preserve"> non-established smokers, 31.8 percent initiated </w:t>
      </w:r>
      <w:r w:rsidR="00BC523B">
        <w:rPr>
          <w:rFonts w:eastAsia="Calibri" w:cs="Times New Roman"/>
          <w:color w:val="000000"/>
        </w:rPr>
        <w:t>with</w:t>
      </w:r>
      <w:r w:rsidR="00BC523B" w:rsidRPr="00A0218A">
        <w:rPr>
          <w:rFonts w:eastAsia="Calibri" w:cs="Times New Roman"/>
          <w:color w:val="000000"/>
        </w:rPr>
        <w:t xml:space="preserve"> </w:t>
      </w:r>
      <w:r w:rsidRPr="00A0218A">
        <w:rPr>
          <w:rFonts w:eastAsia="Calibri" w:cs="Times New Roman"/>
          <w:color w:val="000000"/>
        </w:rPr>
        <w:t>menthol</w:t>
      </w:r>
      <w:r w:rsidR="00A5677A">
        <w:rPr>
          <w:rFonts w:eastAsia="Calibri" w:cs="Times New Roman"/>
          <w:color w:val="000000"/>
        </w:rPr>
        <w:t xml:space="preserve"> (n=411)</w:t>
      </w:r>
      <w:r w:rsidR="007D230A">
        <w:rPr>
          <w:rFonts w:eastAsia="Calibri" w:cs="Times New Roman"/>
          <w:color w:val="000000"/>
        </w:rPr>
        <w:t xml:space="preserve">. Nonnemaker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&lt;EndNote&gt;&lt;Cite&gt;&lt;Author&gt;Nonnemaker&lt;/Author&gt;&lt;Year&gt;2012&lt;/Year&gt;&lt;RecNum&gt;31&lt;/RecNum&gt;&lt;DisplayText&gt;(72)&lt;/DisplayText&gt;&lt;record&gt;&lt;rec-number&gt;31&lt;/rec-number&gt;&lt;foreign-keys&gt;&lt;key app="EN" db-id="a2vz2dfp8xrad6exes75zwpiw5rxwa0vwapv" timestamp="0"&gt;31&lt;/key&gt;&lt;/foreign-keys&gt;&lt;ref-type name="Journal Article"&gt;17&lt;/ref-type&gt;&lt;contributors&gt;&lt;authors&gt;&lt;author&gt;Nonnemaker, J.&lt;/author&gt;&lt;author&gt;Hersey, J.&lt;/author&gt;&lt;author&gt;Homsi, G.&lt;/author&gt;&lt;author&gt;Busey, A.&lt;/author&gt;&lt;author&gt;Allen, J.&lt;/author&gt;&lt;author&gt;Vallone, D.&lt;/author&gt;&lt;/authors&gt;&lt;/contributors&gt;&lt;auth-address&gt;RTI International, Research Triangle Park, NC 27709-2194, USA. jnonnemaker@rti.org&lt;/auth-address&gt;&lt;titles&gt;&lt;title&gt;Initiation with menthol cigarettes and youth smoking uptake&lt;/title&gt;&lt;secondary-title&gt;Addiction&lt;/secondary-title&gt;&lt;/titles&gt;&lt;periodical&gt;&lt;full-title&gt;Addiction&lt;/full-title&gt;&lt;/periodical&gt;&lt;pages&gt;171-8&lt;/pages&gt;&lt;volume&gt;108&lt;/volume&gt;&lt;number&gt;1&lt;/number&gt;&lt;keywords&gt;&lt;keyword&gt;Adolescent&lt;/keyword&gt;&lt;keyword&gt;Age Distribution&lt;/keyword&gt;&lt;keyword&gt;Child&lt;/keyword&gt;&lt;keyword&gt;Female&lt;/keyword&gt;&lt;keyword&gt;Flavoring Agents/*adverse effects&lt;/keyword&gt;&lt;keyword&gt;Humans&lt;/keyword&gt;&lt;keyword&gt;Longitudinal Studies&lt;/keyword&gt;&lt;keyword&gt;Male&lt;/keyword&gt;&lt;keyword&gt;Menthol/*adverse effects&lt;/keyword&gt;&lt;keyword&gt;Risk Factors&lt;/keyword&gt;&lt;keyword&gt;Sex Distribution&lt;/keyword&gt;&lt;keyword&gt;Smoking/*adverse effects&lt;/keyword&gt;&lt;keyword&gt;Smoking Cessation/psychology/statistics &amp;amp; numerical data&lt;/keyword&gt;&lt;keyword&gt;Tobacco Products/*adverse effects&lt;/keyword&gt;&lt;keyword&gt;Tobacco Use Disorder/*etiology&lt;/keyword&gt;&lt;keyword&gt;United States&lt;/keyword&gt;&lt;/keywords&gt;&lt;dates&gt;&lt;year&gt;2012&lt;/year&gt;&lt;pub-dates&gt;&lt;date&gt;Jan&lt;/date&gt;&lt;/pub-dates&gt;&lt;/dates&gt;&lt;isbn&gt;1360-0443 (Electronic)&amp;#xD;0965-2140 (Linking)&lt;/isbn&gt;&lt;accession-num&gt;22862154&lt;/accession-num&gt;&lt;urls&gt;&lt;related-urls&gt;&lt;url&gt;http://www.ncbi.nlm.nih.gov/pubmed/22862154&lt;/url&gt;&lt;/related-urls&gt;&lt;/urls&gt;&lt;electronic-resource-num&gt;10.1111/j.1360-0443.2012.04045.x&lt;/electronic-resource-num&gt;&lt;research-notes&gt;#160&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2" w:tooltip="Nonnemaker, 2012 #31" w:history="1">
        <w:r w:rsidR="00A234A9">
          <w:rPr>
            <w:rFonts w:eastAsia="Calibri" w:cs="Times New Roman"/>
            <w:noProof/>
            <w:color w:val="000000"/>
          </w:rPr>
          <w:t>72</w:t>
        </w:r>
      </w:hyperlink>
      <w:r w:rsidR="00D2134A">
        <w:rPr>
          <w:rFonts w:eastAsia="Calibri" w:cs="Times New Roman"/>
          <w:noProof/>
          <w:color w:val="000000"/>
        </w:rPr>
        <w:t>)</w:t>
      </w:r>
      <w:r w:rsidR="00D2134A">
        <w:rPr>
          <w:rFonts w:eastAsia="Calibri" w:cs="Times New Roman"/>
          <w:color w:val="000000"/>
        </w:rPr>
        <w:fldChar w:fldCharType="end"/>
      </w:r>
      <w:r w:rsidR="00A5677A">
        <w:rPr>
          <w:rFonts w:eastAsia="Calibri" w:cs="Times New Roman"/>
          <w:color w:val="000000"/>
        </w:rPr>
        <w:t xml:space="preserve"> al</w:t>
      </w:r>
      <w:r w:rsidRPr="00A0218A">
        <w:rPr>
          <w:rFonts w:eastAsia="Calibri" w:cs="Times New Roman"/>
          <w:color w:val="000000"/>
        </w:rPr>
        <w:t xml:space="preserve">so reported percentages of youth who remained current smokers at </w:t>
      </w:r>
      <w:r w:rsidR="00BC523B">
        <w:rPr>
          <w:rFonts w:eastAsia="Calibri" w:cs="Times New Roman"/>
          <w:color w:val="000000"/>
        </w:rPr>
        <w:t>wave three</w:t>
      </w:r>
      <w:r w:rsidRPr="00A0218A">
        <w:rPr>
          <w:rFonts w:eastAsia="Calibri" w:cs="Times New Roman"/>
          <w:color w:val="000000"/>
        </w:rPr>
        <w:t xml:space="preserve"> of the ALLTURS study by switching status. Among </w:t>
      </w:r>
      <w:r w:rsidR="00E1156E">
        <w:rPr>
          <w:rFonts w:eastAsia="Calibri" w:cs="Times New Roman"/>
          <w:color w:val="000000"/>
        </w:rPr>
        <w:t>White</w:t>
      </w:r>
      <w:r w:rsidRPr="00A0218A">
        <w:rPr>
          <w:rFonts w:eastAsia="Calibri" w:cs="Times New Roman"/>
          <w:color w:val="000000"/>
        </w:rPr>
        <w:t xml:space="preserve"> smokers, 16.4 percent of menthol initiators switched to non-menthol by year 3, and 20.</w:t>
      </w:r>
      <w:r w:rsidR="00A5677A">
        <w:rPr>
          <w:rFonts w:eastAsia="Calibri" w:cs="Times New Roman"/>
          <w:color w:val="000000"/>
        </w:rPr>
        <w:t>7</w:t>
      </w:r>
      <w:r w:rsidRPr="00A0218A">
        <w:rPr>
          <w:rFonts w:eastAsia="Calibri" w:cs="Times New Roman"/>
          <w:color w:val="000000"/>
        </w:rPr>
        <w:t xml:space="preserve"> percent of non-menthol initiators switched to menthol</w:t>
      </w:r>
      <w:r w:rsidR="00A5677A">
        <w:rPr>
          <w:rFonts w:eastAsia="Calibri" w:cs="Times New Roman"/>
          <w:color w:val="000000"/>
        </w:rPr>
        <w:t xml:space="preserve"> (n=267)</w:t>
      </w:r>
      <w:r w:rsidRPr="00A0218A">
        <w:rPr>
          <w:rFonts w:eastAsia="Calibri" w:cs="Times New Roman"/>
          <w:color w:val="000000"/>
        </w:rPr>
        <w:t>.</w:t>
      </w:r>
    </w:p>
    <w:p w14:paraId="34C236AE" w14:textId="70C94BAE" w:rsidR="007B6ECB" w:rsidRPr="00A0218A" w:rsidRDefault="007B6ECB" w:rsidP="006441A1">
      <w:pPr>
        <w:spacing w:after="120" w:line="240" w:lineRule="auto"/>
        <w:jc w:val="both"/>
        <w:rPr>
          <w:rFonts w:eastAsia="Calibri" w:cs="Times New Roman"/>
          <w:color w:val="000000"/>
        </w:rPr>
      </w:pPr>
      <w:r w:rsidRPr="00A0218A">
        <w:rPr>
          <w:rFonts w:eastAsia="Calibri" w:cs="Times New Roman"/>
          <w:color w:val="000000"/>
        </w:rPr>
        <w:t xml:space="preserve">In another publication that analyzed data from </w:t>
      </w:r>
      <w:r>
        <w:rPr>
          <w:rFonts w:eastAsia="Calibri" w:cs="Times New Roman"/>
          <w:color w:val="000000"/>
        </w:rPr>
        <w:t xml:space="preserve">the ALLTURS, Nonnemaker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&lt;EndNote&gt;&lt;Cite&gt;&lt;Author&gt;Nonnemaker&lt;/Author&gt;&lt;Year&gt;2010&lt;/Year&gt;&lt;RecNum&gt;97&lt;/RecNum&gt;&lt;DisplayText&gt;(73)&lt;/DisplayText&gt;&lt;record&gt;&lt;rec-number&gt;97&lt;/rec-number&gt;&lt;foreign-keys&gt;&lt;key app="EN" db-id="a2vz2dfp8xrad6exes75zwpiw5rxwa0vwapv" timestamp="0"&gt;97&lt;/key&gt;&lt;/foreign-keys&gt;&lt;ref-type name="Report"&gt;27&lt;/ref-type&gt;&lt;contributors&gt;&lt;authors&gt;&lt;author&gt;Nonnemaker, J.&lt;/author&gt;&lt;author&gt;Hersey, J.&lt;/author&gt;&lt;author&gt;Homsi, G.&lt;/author&gt;&lt;author&gt;Busey, A.&lt;/author&gt;&lt;/authors&gt;&lt;/contributors&gt;&lt;titles&gt;&lt;title&gt;Menthol cigarettes and youth smoking updake&lt;/title&gt;&lt;/titles&gt;&lt;dates&gt;&lt;year&gt;2010&lt;/year&gt;&lt;/dates&gt;&lt;pub-location&gt;RTI International&lt;/pub-location&gt;&lt;urls&gt;&lt;/urls&gt;&lt;research-notes&gt;#812&lt;/research-notes&gt;&lt;/record&gt;&lt;/Cite&gt;&lt;/EndNote&gt;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3" w:tooltip="Nonnemaker, 2010 #97" w:history="1">
        <w:r w:rsidR="00A234A9">
          <w:rPr>
            <w:rFonts w:eastAsia="Calibri" w:cs="Times New Roman"/>
            <w:noProof/>
            <w:color w:val="000000"/>
          </w:rPr>
          <w:t>73</w:t>
        </w:r>
      </w:hyperlink>
      <w:r w:rsidR="00D2134A">
        <w:rPr>
          <w:rFonts w:eastAsia="Calibri" w:cs="Times New Roman"/>
          <w:noProof/>
          <w:color w:val="000000"/>
        </w:rPr>
        <w:t>)</w:t>
      </w:r>
      <w:r w:rsidR="00D2134A">
        <w:rPr>
          <w:rFonts w:eastAsia="Calibri" w:cs="Times New Roman"/>
          <w:color w:val="000000"/>
        </w:rPr>
        <w:fldChar w:fldCharType="end"/>
      </w:r>
      <w:r>
        <w:rPr>
          <w:rFonts w:eastAsia="Calibri" w:cs="Times New Roman"/>
          <w:color w:val="000000"/>
        </w:rPr>
        <w:t xml:space="preserve"> a</w:t>
      </w:r>
      <w:r w:rsidRPr="00A0218A">
        <w:rPr>
          <w:rFonts w:eastAsia="Calibri" w:cs="Times New Roman"/>
          <w:color w:val="000000"/>
        </w:rPr>
        <w:t xml:space="preserve">ssessed the percentage of </w:t>
      </w:r>
      <w:r w:rsidR="00E1156E">
        <w:rPr>
          <w:rFonts w:eastAsia="Calibri" w:cs="Times New Roman"/>
          <w:color w:val="000000"/>
        </w:rPr>
        <w:t>White</w:t>
      </w:r>
      <w:r w:rsidRPr="00A0218A">
        <w:rPr>
          <w:rFonts w:eastAsia="Calibri" w:cs="Times New Roman"/>
          <w:color w:val="000000"/>
        </w:rPr>
        <w:t xml:space="preserve"> current smokers at </w:t>
      </w:r>
      <w:r w:rsidR="00A135C5">
        <w:rPr>
          <w:rFonts w:eastAsia="Calibri" w:cs="Times New Roman"/>
          <w:color w:val="000000"/>
        </w:rPr>
        <w:t>wave</w:t>
      </w:r>
      <w:r w:rsidRPr="00A0218A">
        <w:rPr>
          <w:rFonts w:eastAsia="Calibri" w:cs="Times New Roman"/>
          <w:color w:val="000000"/>
        </w:rPr>
        <w:t xml:space="preserve"> </w:t>
      </w:r>
      <w:r w:rsidR="00A5677A">
        <w:rPr>
          <w:rFonts w:eastAsia="Calibri" w:cs="Times New Roman"/>
          <w:color w:val="000000"/>
        </w:rPr>
        <w:t>three</w:t>
      </w:r>
      <w:r w:rsidRPr="00A0218A">
        <w:rPr>
          <w:rFonts w:eastAsia="Calibri" w:cs="Times New Roman"/>
          <w:color w:val="000000"/>
        </w:rPr>
        <w:t xml:space="preserve"> who initiated to menthol cigarettes. The authors analyzed two sets of smokers: one that included youth who started smoking during the final </w:t>
      </w:r>
      <w:r w:rsidR="00A135C5">
        <w:rPr>
          <w:rFonts w:eastAsia="Calibri" w:cs="Times New Roman"/>
          <w:color w:val="000000"/>
        </w:rPr>
        <w:t xml:space="preserve">third </w:t>
      </w:r>
      <w:r w:rsidRPr="00A0218A">
        <w:rPr>
          <w:rFonts w:eastAsia="Calibri" w:cs="Times New Roman"/>
          <w:color w:val="000000"/>
        </w:rPr>
        <w:t xml:space="preserve">wave and one that </w:t>
      </w:r>
      <w:r w:rsidR="00095BCF">
        <w:rPr>
          <w:rFonts w:eastAsia="Calibri" w:cs="Times New Roman"/>
          <w:color w:val="000000"/>
        </w:rPr>
        <w:t>excluded wave three initiators</w:t>
      </w:r>
      <w:r w:rsidR="00D226AC">
        <w:rPr>
          <w:rFonts w:eastAsia="Calibri" w:cs="Times New Roman"/>
          <w:color w:val="000000"/>
        </w:rPr>
        <w:t xml:space="preserve">. </w:t>
      </w:r>
      <w:r w:rsidR="00A135C5">
        <w:rPr>
          <w:rFonts w:eastAsia="Calibri" w:cs="Times New Roman"/>
          <w:color w:val="000000"/>
        </w:rPr>
        <w:t>Including those who had initiated during wave three</w:t>
      </w:r>
      <w:r w:rsidRPr="00A0218A">
        <w:rPr>
          <w:rFonts w:eastAsia="Calibri" w:cs="Times New Roman"/>
          <w:color w:val="000000"/>
        </w:rPr>
        <w:t xml:space="preserve">, 40.3 percent of </w:t>
      </w:r>
      <w:r w:rsidR="00E1156E">
        <w:rPr>
          <w:rFonts w:eastAsia="Calibri" w:cs="Times New Roman"/>
          <w:color w:val="000000"/>
        </w:rPr>
        <w:t>White</w:t>
      </w:r>
      <w:r w:rsidRPr="00A0218A">
        <w:rPr>
          <w:rFonts w:eastAsia="Calibri" w:cs="Times New Roman"/>
          <w:color w:val="000000"/>
        </w:rPr>
        <w:t xml:space="preserve"> current smokers initiated to menthol; in the second set</w:t>
      </w:r>
      <w:r w:rsidR="00A135C5">
        <w:rPr>
          <w:rFonts w:eastAsia="Calibri" w:cs="Times New Roman"/>
          <w:color w:val="000000"/>
        </w:rPr>
        <w:t xml:space="preserve"> that excludes those who initiated at wave three</w:t>
      </w:r>
      <w:r w:rsidRPr="00A0218A">
        <w:rPr>
          <w:rFonts w:eastAsia="Calibri" w:cs="Times New Roman"/>
          <w:color w:val="000000"/>
        </w:rPr>
        <w:t>, 35.5 percent initiated to menthol. Nonnemaker et a</w:t>
      </w:r>
      <w:r w:rsidR="00A135C5">
        <w:rPr>
          <w:rFonts w:eastAsia="Calibri" w:cs="Times New Roman"/>
          <w:color w:val="000000"/>
        </w:rPr>
        <w:t xml:space="preserve">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&lt;EndNote&gt;&lt;Cite&gt;&lt;Author&gt;Nonnemaker&lt;/Author&gt;&lt;Year&gt;2010&lt;/Year&gt;&lt;RecNum&gt;97&lt;/RecNum&gt;&lt;DisplayText&gt;(73)&lt;/DisplayText&gt;&lt;record&gt;&lt;rec-number&gt;97&lt;/rec-number&gt;&lt;foreign-keys&gt;&lt;key app="EN" db-id="a2vz2dfp8xrad6exes75zwpiw5rxwa0vwapv" timestamp="0"&gt;97&lt;/key&gt;&lt;/foreign-keys&gt;&lt;ref-type name="Report"&gt;27&lt;/ref-type&gt;&lt;contributors&gt;&lt;authors&gt;&lt;author&gt;Nonnemaker, J.&lt;/author&gt;&lt;author&gt;Hersey, J.&lt;/author&gt;&lt;author&gt;Homsi, G.&lt;/author&gt;&lt;author&gt;Busey, A.&lt;/author&gt;&lt;/authors&gt;&lt;/contributors&gt;&lt;titles&gt;&lt;title&gt;Menthol cigarettes and youth smoking updake&lt;/title&gt;&lt;/titles&gt;&lt;dates&gt;&lt;year&gt;2010&lt;/year&gt;&lt;/dates&gt;&lt;pub-location&gt;RTI International&lt;/pub-location&gt;&lt;urls&gt;&lt;/urls&gt;&lt;research-notes&gt;#812&lt;/research-notes&gt;&lt;/record&gt;&lt;/Cite&gt;&lt;/EndNote&gt;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3" w:tooltip="Nonnemaker, 2010 #97" w:history="1">
        <w:r w:rsidR="00A234A9">
          <w:rPr>
            <w:rFonts w:eastAsia="Calibri" w:cs="Times New Roman"/>
            <w:noProof/>
            <w:color w:val="000000"/>
          </w:rPr>
          <w:t>73</w:t>
        </w:r>
      </w:hyperlink>
      <w:r w:rsidR="00D2134A">
        <w:rPr>
          <w:rFonts w:eastAsia="Calibri" w:cs="Times New Roman"/>
          <w:noProof/>
          <w:color w:val="000000"/>
        </w:rPr>
        <w:t>)</w:t>
      </w:r>
      <w:r w:rsidR="00D2134A">
        <w:rPr>
          <w:rFonts w:eastAsia="Calibri" w:cs="Times New Roman"/>
          <w:color w:val="000000"/>
        </w:rPr>
        <w:fldChar w:fldCharType="end"/>
      </w:r>
      <w:r w:rsidR="00A135C5">
        <w:rPr>
          <w:rFonts w:eastAsia="Calibri" w:cs="Times New Roman"/>
          <w:color w:val="000000"/>
        </w:rPr>
        <w:t xml:space="preserve"> a</w:t>
      </w:r>
      <w:r w:rsidRPr="00A0218A">
        <w:rPr>
          <w:rFonts w:eastAsia="Calibri" w:cs="Times New Roman"/>
          <w:color w:val="000000"/>
        </w:rPr>
        <w:t xml:space="preserve">lso examined rates of switching cigarette type among </w:t>
      </w:r>
      <w:r w:rsidR="00E1156E">
        <w:rPr>
          <w:rFonts w:eastAsia="Calibri" w:cs="Times New Roman"/>
          <w:color w:val="000000"/>
        </w:rPr>
        <w:t>White</w:t>
      </w:r>
      <w:r w:rsidRPr="00A0218A">
        <w:rPr>
          <w:rFonts w:eastAsia="Calibri" w:cs="Times New Roman"/>
          <w:color w:val="000000"/>
        </w:rPr>
        <w:t xml:space="preserve"> youth in this sample. Including youth who started smoking during the final wave, 6.1 percent of </w:t>
      </w:r>
      <w:r w:rsidR="00E1156E">
        <w:rPr>
          <w:rFonts w:eastAsia="Calibri" w:cs="Times New Roman"/>
          <w:color w:val="000000"/>
        </w:rPr>
        <w:t>White</w:t>
      </w:r>
      <w:r w:rsidRPr="00A0218A">
        <w:rPr>
          <w:rFonts w:eastAsia="Calibri" w:cs="Times New Roman"/>
          <w:color w:val="000000"/>
        </w:rPr>
        <w:t xml:space="preserve"> menthol smokers switched to non-menthol cigarettes, and 7.5 percent of </w:t>
      </w:r>
      <w:r w:rsidR="00E1156E">
        <w:rPr>
          <w:rFonts w:eastAsia="Calibri" w:cs="Times New Roman"/>
          <w:color w:val="000000"/>
        </w:rPr>
        <w:t>White</w:t>
      </w:r>
      <w:r w:rsidRPr="00A0218A">
        <w:rPr>
          <w:rFonts w:eastAsia="Calibri" w:cs="Times New Roman"/>
          <w:color w:val="000000"/>
        </w:rPr>
        <w:t xml:space="preserve"> non-menthol smokers switched to menthol cigarettes.</w:t>
      </w:r>
      <w:r w:rsidR="00D226AC">
        <w:rPr>
          <w:rFonts w:eastAsia="Calibri" w:cs="Times New Roman"/>
          <w:color w:val="000000"/>
        </w:rPr>
        <w:t xml:space="preserve"> </w:t>
      </w:r>
      <w:r w:rsidR="00D226AC" w:rsidRPr="00A0218A">
        <w:rPr>
          <w:rFonts w:eastAsia="Calibri" w:cs="Times New Roman"/>
          <w:color w:val="000000"/>
        </w:rPr>
        <w:t>It is unclear how much overlap there is in the samples used in the 2010 and 2012 publications.</w:t>
      </w:r>
    </w:p>
    <w:p w14:paraId="19B88B21" w14:textId="026841C3" w:rsidR="00D04C52" w:rsidRDefault="00D04C52" w:rsidP="006441A1">
      <w:pPr>
        <w:spacing w:after="240" w:line="240" w:lineRule="auto"/>
        <w:jc w:val="both"/>
        <w:rPr>
          <w:rFonts w:eastAsia="Calibri" w:cs="Times New Roman"/>
          <w:color w:val="000000"/>
        </w:rPr>
      </w:pPr>
      <w:r>
        <w:rPr>
          <w:rFonts w:eastAsia="Calibri" w:cs="Times New Roman"/>
          <w:color w:val="000000"/>
        </w:rPr>
        <w:t xml:space="preserve">Villanti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&lt;EndNote&gt;&lt;Cite&gt;&lt;Author&gt;Villanti&lt;/Author&gt;&lt;Year&gt;2012&lt;/Year&gt;&lt;RecNum&gt;37&lt;/RecNum&gt;&lt;DisplayText&gt;(86)&lt;/DisplayText&gt;&lt;record&gt;&lt;rec-number&gt;37&lt;/rec-number&gt;&lt;foreign-keys&gt;&lt;key app="EN" db-id="a2vz2dfp8xrad6exes75zwpiw5rxwa0vwapv" timestamp="0"&gt;37&lt;/key&gt;&lt;/foreign-keys&gt;&lt;ref-type name="Journal Article"&gt;17&lt;/ref-type&gt;&lt;contributors&gt;&lt;authors&gt;&lt;author&gt;Villanti, A. C. &lt;/author&gt;&lt;author&gt;Giovino, G. A.&lt;/author&gt;&lt;author&gt;Barker, D. C.&lt;/author&gt;&lt;author&gt;Mowery, P.&lt;/author&gt;&lt;author&gt;Sevilimedu, V.&lt;/author&gt;&lt;author&gt;Abrams, D. B.&lt;/author&gt;&lt;/authors&gt;&lt;/contributors&gt;&lt;titles&gt;&lt;title&gt;Menthol brand switching among adolescents and young adults in the national youth smoking cessation survey&lt;/title&gt;&lt;secondary-title&gt;Am J Public Health&lt;/secondary-title&gt;&lt;/titles&gt;&lt;periodical&gt;&lt;full-title&gt;Am J Public Health&lt;/full-title&gt;&lt;/periodical&gt;&lt;pages&gt;1310-12&lt;/pages&gt;&lt;volume&gt;102&lt;/volume&gt;&lt;number&gt;7&lt;/number&gt;&lt;dates&gt;&lt;year&gt;2012&lt;/year&gt;&lt;pub-dates&gt;&lt;date&gt;Oct&lt;/date&gt;&lt;/pub-dates&gt;&lt;/dates&gt;&lt;urls&gt;&lt;/urls&gt;&lt;research-notes&gt;#191&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86" w:tooltip="Villanti, 2012 #37" w:history="1">
        <w:r w:rsidR="00A234A9">
          <w:rPr>
            <w:rFonts w:eastAsia="Calibri" w:cs="Times New Roman"/>
            <w:noProof/>
            <w:color w:val="000000"/>
          </w:rPr>
          <w:t>86</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w:t>
      </w:r>
      <w:r>
        <w:rPr>
          <w:rFonts w:eastAsia="Calibri" w:cs="Times New Roman"/>
          <w:color w:val="000000"/>
        </w:rPr>
        <w:t>analyzed</w:t>
      </w:r>
      <w:r w:rsidRPr="00A0218A">
        <w:rPr>
          <w:rFonts w:eastAsia="Calibri" w:cs="Times New Roman"/>
          <w:color w:val="000000"/>
        </w:rPr>
        <w:t xml:space="preserve"> weighted data from the National Youth Smoking Cessation Survey, a prospective cohort study of 16 to 24</w:t>
      </w:r>
      <w:r w:rsidR="006441A1">
        <w:rPr>
          <w:rFonts w:eastAsia="Calibri" w:cs="Times New Roman"/>
          <w:color w:val="000000"/>
        </w:rPr>
        <w:t>-</w:t>
      </w:r>
      <w:r w:rsidRPr="00A0218A">
        <w:rPr>
          <w:rFonts w:eastAsia="Calibri" w:cs="Times New Roman"/>
          <w:color w:val="000000"/>
        </w:rPr>
        <w:t>year</w:t>
      </w:r>
      <w:r w:rsidR="006441A1">
        <w:rPr>
          <w:rFonts w:eastAsia="Calibri" w:cs="Times New Roman"/>
          <w:color w:val="000000"/>
        </w:rPr>
        <w:t>-</w:t>
      </w:r>
      <w:r w:rsidRPr="00A0218A">
        <w:rPr>
          <w:rFonts w:eastAsia="Calibri" w:cs="Times New Roman"/>
          <w:color w:val="000000"/>
        </w:rPr>
        <w:t xml:space="preserve">olds, to examine rates of switching between menthol and non-menthol cigarettes. 24 months after baseline, the authors found that significantly more non-Hispanic </w:t>
      </w:r>
      <w:r w:rsidR="00E1156E">
        <w:rPr>
          <w:rFonts w:eastAsia="Calibri" w:cs="Times New Roman"/>
          <w:color w:val="000000"/>
        </w:rPr>
        <w:t>White</w:t>
      </w:r>
      <w:r w:rsidRPr="00A0218A">
        <w:rPr>
          <w:rFonts w:eastAsia="Calibri" w:cs="Times New Roman"/>
          <w:color w:val="000000"/>
        </w:rPr>
        <w:t xml:space="preserve"> menthol smokers had switched to non-menthol (20.4%, 95% CI: 14.6% to 26.1%) compared with non-Hispanic </w:t>
      </w:r>
      <w:r w:rsidR="00E1156E">
        <w:rPr>
          <w:rFonts w:eastAsia="Calibri" w:cs="Times New Roman"/>
          <w:color w:val="000000"/>
        </w:rPr>
        <w:t>White</w:t>
      </w:r>
      <w:r w:rsidRPr="00A0218A">
        <w:rPr>
          <w:rFonts w:eastAsia="Calibri" w:cs="Times New Roman"/>
          <w:color w:val="000000"/>
        </w:rPr>
        <w:t xml:space="preserve"> non-menthol smokers who switched to menthol (5.6%, 95% CI: 3.6% </w:t>
      </w:r>
      <w:r w:rsidRPr="000F618F">
        <w:rPr>
          <w:rFonts w:eastAsia="Calibri" w:cs="Times New Roman"/>
          <w:color w:val="000000"/>
        </w:rPr>
        <w:t>to 7.5%).</w:t>
      </w:r>
    </w:p>
    <w:p w14:paraId="57BE2344" w14:textId="445AF6F3" w:rsidR="003C3DCC" w:rsidRPr="000F618F" w:rsidRDefault="003C3DCC" w:rsidP="003C3DCC">
      <w:pPr>
        <w:spacing w:after="120" w:line="240" w:lineRule="auto"/>
        <w:jc w:val="both"/>
        <w:rPr>
          <w:rFonts w:eastAsia="Calibri" w:cs="Times New Roman"/>
          <w:color w:val="000000"/>
        </w:rPr>
      </w:pPr>
      <w:r w:rsidRPr="00A0218A">
        <w:rPr>
          <w:rFonts w:eastAsia="Calibri" w:cs="Times New Roman"/>
          <w:color w:val="000000"/>
        </w:rPr>
        <w:t xml:space="preserve">In a cross-sectional study that enrolled </w:t>
      </w:r>
      <w:r>
        <w:rPr>
          <w:rFonts w:eastAsia="Calibri" w:cs="Times New Roman"/>
          <w:color w:val="000000"/>
        </w:rPr>
        <w:t>323</w:t>
      </w:r>
      <w:r w:rsidRPr="00A0218A">
        <w:rPr>
          <w:rFonts w:eastAsia="Calibri" w:cs="Times New Roman"/>
          <w:color w:val="000000"/>
        </w:rPr>
        <w:t xml:space="preserve"> </w:t>
      </w:r>
      <w:r>
        <w:rPr>
          <w:rFonts w:eastAsia="Calibri" w:cs="Times New Roman"/>
          <w:color w:val="000000"/>
        </w:rPr>
        <w:t>p</w:t>
      </w:r>
      <w:r w:rsidRPr="000D6704">
        <w:rPr>
          <w:rFonts w:eastAsia="Calibri" w:cs="Times New Roman"/>
          <w:color w:val="000000"/>
        </w:rPr>
        <w:t xml:space="preserve">regnant White women age </w:t>
      </w:r>
      <w:r>
        <w:rPr>
          <w:rFonts w:eastAsia="Calibri" w:cs="Times New Roman"/>
          <w:color w:val="000000"/>
        </w:rPr>
        <w:t xml:space="preserve">16 years or older, Oncken et al. </w:t>
      </w:r>
      <w:r w:rsidR="00D2134A">
        <w:rPr>
          <w:rFonts w:eastAsia="Calibri" w:cs="Times New Roman"/>
          <w:color w:val="000000"/>
        </w:rPr>
        <w:fldChar w:fldCharType="begin">
          <w:fldData xml:space="preserve">PEVuZE5vdGU+PENpdGU+PEF1dGhvcj5PbmNrZW48L0F1dGhvcj48WWVhcj4yMDE1PC9ZZWFyPjxS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PEVuZE5vdGU+PENpdGU+PEF1dGhvcj5PbmNrZW48L0F1dGhvcj48WWVhcj4yMDE1PC9ZZWFyPjxS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76" w:tooltip="Oncken, 2015 #6" w:history="1">
        <w:r w:rsidR="00A234A9">
          <w:rPr>
            <w:rFonts w:eastAsia="Calibri" w:cs="Times New Roman"/>
            <w:noProof/>
            <w:color w:val="000000"/>
          </w:rPr>
          <w:t>76</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w:t>
      </w:r>
      <w:r>
        <w:rPr>
          <w:rFonts w:eastAsia="Calibri" w:cs="Times New Roman"/>
          <w:color w:val="000000"/>
        </w:rPr>
        <w:t xml:space="preserve">reported that </w:t>
      </w:r>
      <w:r w:rsidRPr="00A0218A">
        <w:rPr>
          <w:rFonts w:eastAsia="Calibri" w:cs="Times New Roman"/>
          <w:color w:val="000000"/>
        </w:rPr>
        <w:t xml:space="preserve">non-Hispanic </w:t>
      </w:r>
      <w:r>
        <w:rPr>
          <w:rFonts w:eastAsia="Calibri" w:cs="Times New Roman"/>
          <w:color w:val="000000"/>
        </w:rPr>
        <w:t xml:space="preserve">White, female </w:t>
      </w:r>
      <w:r w:rsidRPr="00A0218A">
        <w:rPr>
          <w:rFonts w:eastAsia="Calibri" w:cs="Times New Roman"/>
          <w:color w:val="000000"/>
        </w:rPr>
        <w:t xml:space="preserve">menthol smokers </w:t>
      </w:r>
      <w:r>
        <w:rPr>
          <w:rFonts w:eastAsia="Calibri" w:cs="Times New Roman"/>
          <w:color w:val="000000"/>
        </w:rPr>
        <w:t xml:space="preserve">were no different from </w:t>
      </w:r>
      <w:r w:rsidRPr="00A0218A">
        <w:rPr>
          <w:rFonts w:eastAsia="Calibri" w:cs="Times New Roman"/>
          <w:color w:val="000000"/>
        </w:rPr>
        <w:t>non-menthol smokers</w:t>
      </w:r>
      <w:r>
        <w:rPr>
          <w:rFonts w:eastAsia="Calibri" w:cs="Times New Roman"/>
          <w:color w:val="000000"/>
        </w:rPr>
        <w:t xml:space="preserve"> in age at first cigarette (</w:t>
      </w:r>
      <w:r w:rsidRPr="00A0218A">
        <w:rPr>
          <w:rFonts w:eastAsia="Calibri" w:cs="Times New Roman"/>
          <w:color w:val="000000"/>
        </w:rPr>
        <w:t>15.0±3.6 years for menthol smokers and 15.6±2.9 years for non-menthol smokers</w:t>
      </w:r>
      <w:r>
        <w:rPr>
          <w:rFonts w:eastAsia="Calibri" w:cs="Times New Roman"/>
          <w:color w:val="000000"/>
        </w:rPr>
        <w:t>).</w:t>
      </w:r>
    </w:p>
    <w:p w14:paraId="345BBCF9" w14:textId="077C076F" w:rsidR="00915113" w:rsidRPr="000F618F" w:rsidRDefault="00915113" w:rsidP="000F618F">
      <w:r w:rsidRPr="000F618F">
        <w:t xml:space="preserve">Cubbin et al. </w:t>
      </w:r>
      <w:r w:rsidR="00D2134A">
        <w:fldChar w:fldCharType="begin"/>
      </w:r>
      <w:r w:rsidR="00D2134A">
        <w:instrText xml:space="preserve"> ADDIN EN.CITE &lt;EndNote&gt;&lt;Cite&gt;&lt;Author&gt;Cubbin&lt;/Author&gt;&lt;Year&gt;2010&lt;/Year&gt;&lt;RecNum&gt;53&lt;/RecNum&gt;&lt;DisplayText&gt;(50)&lt;/DisplayText&gt;&lt;record&gt;&lt;rec-number&gt;53&lt;/rec-number&gt;&lt;foreign-keys&gt;&lt;key app="EN" db-id="a2vz2dfp8xrad6exes75zwpiw5rxwa0vwapv" timestamp="0"&gt;53&lt;/key&gt;&lt;/foreign-keys&gt;&lt;ref-type name="Journal Article"&gt;17&lt;/ref-type&gt;&lt;contributors&gt;&lt;authors&gt;&lt;author&gt;Cubbin, C.&lt;/author&gt;&lt;author&gt;Soobader, M. J.&lt;/author&gt;&lt;author&gt;LeClere, F. B.&lt;/author&gt;&lt;/authors&gt;&lt;/contributors&gt;&lt;auth-address&gt;School of Social Work, University of Texas at Austin, Austin, TX 78712-0358, USA. ccubbin@austin.utexas.edu&lt;/auth-address&gt;&lt;titles&gt;&lt;title&gt;The intersection of gender and race/ethnicity in smoking behaviors among menthol and non-menthol smokers in the United States&lt;/title&gt;&lt;secondary-title&gt;Addiction&lt;/secondary-title&gt;&lt;/titles&gt;&lt;periodical&gt;&lt;full-title&gt;Addiction&lt;/full-title&gt;&lt;/periodical&gt;&lt;pages&gt;32-8&lt;/pages&gt;&lt;volume&gt;105 Suppl 1&lt;/volume&gt;&lt;keywords&gt;&lt;keyword&gt;Adult&lt;/keyword&gt;&lt;keyword&gt;African Americans/statistics &amp;amp; numerical data&lt;/keyword&gt;&lt;keyword&gt;Age of Onset&lt;/keyword&gt;&lt;keyword&gt;Cross-Sectional Studies&lt;/keyword&gt;&lt;keyword&gt;European Continental Ancestry Group/statistics &amp;amp; numerical data&lt;/keyword&gt;&lt;keyword&gt;Female&lt;/keyword&gt;&lt;keyword&gt;Hispanic Americans/statistics &amp;amp; numerical data&lt;/keyword&gt;&lt;keyword&gt;Humans&lt;/keyword&gt;&lt;keyword&gt;Male&lt;/keyword&gt;&lt;keyword&gt;*Menthol&lt;/keyword&gt;&lt;keyword&gt;Middle Aged&lt;/keyword&gt;&lt;keyword&gt;*Population Surveillance&lt;/keyword&gt;&lt;keyword&gt;Sex Factors&lt;/keyword&gt;&lt;keyword&gt;Smoking/*epidemiology/ethnology&lt;/keyword&gt;&lt;keyword&gt;Smoking Cessation/ethnology/statistics &amp;amp; numerical data&lt;/keyword&gt;&lt;keyword&gt;Socioeconomic Factors&lt;/keyword&gt;&lt;keyword&gt;United States/epidemiology&lt;/keyword&gt;&lt;/keywords&gt;&lt;dates&gt;&lt;year&gt;2010&lt;/year&gt;&lt;pub-dates&gt;&lt;date&gt;Dec&lt;/date&gt;&lt;/pub-dates&gt;&lt;/dates&gt;&lt;isbn&gt;1360-0443 (Electronic)&amp;#xD;0965-2140 (Linking)&lt;/isbn&gt;&lt;accession-num&gt;21059134&lt;/accession-num&gt;&lt;urls&gt;&lt;related-urls&gt;&lt;url&gt;http://www.ncbi.nlm.nih.gov/pubmed/21059134&lt;/url&gt;&lt;/related-urls&gt;&lt;/urls&gt;&lt;electronic-resource-num&gt;10.1111/j.1360-0443.2010.03191.x&lt;/electronic-resource-num&gt;&lt;research-notes&gt;#281&lt;/research-notes&gt;&lt;/record&gt;&lt;/Cite&gt;&lt;/EndNote&gt;</w:instrText>
      </w:r>
      <w:r w:rsidR="00D2134A">
        <w:fldChar w:fldCharType="separate"/>
      </w:r>
      <w:r w:rsidR="00D2134A">
        <w:rPr>
          <w:noProof/>
        </w:rPr>
        <w:t>(</w:t>
      </w:r>
      <w:hyperlink w:anchor="_ENREF_50" w:tooltip="Cubbin, 2010 #53" w:history="1">
        <w:r w:rsidR="00A234A9">
          <w:rPr>
            <w:noProof/>
          </w:rPr>
          <w:t>50</w:t>
        </w:r>
      </w:hyperlink>
      <w:r w:rsidR="00D2134A">
        <w:rPr>
          <w:noProof/>
        </w:rPr>
        <w:t>)</w:t>
      </w:r>
      <w:r w:rsidR="00D2134A">
        <w:fldChar w:fldCharType="end"/>
      </w:r>
      <w:r w:rsidRPr="000F618F">
        <w:t xml:space="preserve"> reported data from adults in the 2005 NHIS. Authors looked at distribution of daily and non-daily smoking in menthol and non-menthol smokers stratified by race</w:t>
      </w:r>
      <w:r w:rsidR="00BF13A5">
        <w:t>/ethnicity</w:t>
      </w:r>
      <w:r w:rsidRPr="000F618F">
        <w:t xml:space="preserve"> and gender. Authors reported that in White women population, for menthol use 0.9 percent were non-daily smokers and 4.7 percent were daily smokers, and for non-menthol use 2.9 percent were non-daily smokers and 14.4 percent were daily smokers; in White men population, for menthol use 0.4 percent were non-daily smokers and 3.4 percent were daily smokers, and for non-menthol use 3.5 percent were non-daily smokers and 19.8 percent were daily smokers.</w:t>
      </w:r>
    </w:p>
    <w:p w14:paraId="3E6D6B0F" w14:textId="77777777" w:rsidR="00D04C52" w:rsidRPr="000F618F" w:rsidRDefault="00D04C52" w:rsidP="000F618F">
      <w:pPr>
        <w:spacing w:after="120" w:line="240" w:lineRule="auto"/>
        <w:jc w:val="both"/>
        <w:outlineLvl w:val="2"/>
        <w:rPr>
          <w:rFonts w:eastAsia="Calibri" w:cs="Times New Roman"/>
          <w:b/>
          <w:i/>
          <w:color w:val="000000"/>
        </w:rPr>
      </w:pPr>
      <w:r w:rsidRPr="000F618F">
        <w:rPr>
          <w:rFonts w:eastAsia="Calibri" w:cs="Times New Roman"/>
          <w:b/>
          <w:i/>
          <w:color w:val="000000"/>
        </w:rPr>
        <w:t>Blacks</w:t>
      </w:r>
    </w:p>
    <w:p w14:paraId="06B0E6AF" w14:textId="0D9F9A70" w:rsidR="007E1CAC" w:rsidRPr="000F618F" w:rsidRDefault="00095BCF" w:rsidP="00B46744">
      <w:pPr>
        <w:spacing w:after="120" w:line="240" w:lineRule="auto"/>
        <w:jc w:val="both"/>
        <w:rPr>
          <w:rFonts w:eastAsia="Calibri" w:cs="Times New Roman"/>
          <w:i/>
          <w:color w:val="000000"/>
        </w:rPr>
      </w:pPr>
      <w:r w:rsidRPr="000F618F">
        <w:rPr>
          <w:rFonts w:eastAsia="Calibri" w:cs="Times New Roman"/>
          <w:i/>
          <w:color w:val="000000"/>
        </w:rPr>
        <w:t xml:space="preserve">Among a total of </w:t>
      </w:r>
      <w:r w:rsidR="007E1CAC" w:rsidRPr="000F618F">
        <w:rPr>
          <w:rFonts w:eastAsia="Calibri" w:cs="Times New Roman"/>
          <w:i/>
          <w:color w:val="000000"/>
        </w:rPr>
        <w:t xml:space="preserve">seven </w:t>
      </w:r>
      <w:r w:rsidRPr="000F618F">
        <w:rPr>
          <w:rFonts w:eastAsia="Calibri" w:cs="Times New Roman"/>
          <w:i/>
          <w:color w:val="000000"/>
        </w:rPr>
        <w:t>studies</w:t>
      </w:r>
      <w:r w:rsidR="009C29ED" w:rsidRPr="000F618F">
        <w:rPr>
          <w:rFonts w:eastAsia="Calibri" w:cs="Times New Roman"/>
          <w:i/>
          <w:color w:val="000000"/>
        </w:rPr>
        <w:t xml:space="preserve"> </w:t>
      </w:r>
      <w:r w:rsidR="00D2134A">
        <w:rPr>
          <w:rFonts w:eastAsia="Calibri" w:cs="Times New Roman"/>
          <w:i/>
          <w:color w:val="000000"/>
        </w:rPr>
        <w:fldChar w:fldCharType="begin">
          <w:fldData xml:space="preserve">PEVuZE5vdGU+PENpdGU+PEF1dGhvcj5DdWJiaW48L0F1dGhvcj48WWVhcj4yMDEwPC9ZZWFyPjxS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PEVuZE5vdGU+PENpdGU+PEF1dGhvcj5DdWJiaW48L0F1dGhvcj48WWVhcj4yMDEwPC9ZZWFyPjxS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50" w:tooltip="Cubbin, 2010 #53" w:history="1">
        <w:r w:rsidR="00A234A9">
          <w:rPr>
            <w:rFonts w:eastAsia="Calibri" w:cs="Times New Roman"/>
            <w:i/>
            <w:noProof/>
            <w:color w:val="000000"/>
          </w:rPr>
          <w:t>50</w:t>
        </w:r>
      </w:hyperlink>
      <w:r w:rsidR="00D2134A">
        <w:rPr>
          <w:rFonts w:eastAsia="Calibri" w:cs="Times New Roman"/>
          <w:i/>
          <w:noProof/>
          <w:color w:val="000000"/>
        </w:rPr>
        <w:t xml:space="preserve">, </w:t>
      </w:r>
      <w:hyperlink w:anchor="_ENREF_58" w:tooltip="Faseru, 2011 #40" w:history="1">
        <w:r w:rsidR="00A234A9">
          <w:rPr>
            <w:rFonts w:eastAsia="Calibri" w:cs="Times New Roman"/>
            <w:i/>
            <w:noProof/>
            <w:color w:val="000000"/>
          </w:rPr>
          <w:t>58</w:t>
        </w:r>
      </w:hyperlink>
      <w:r w:rsidR="00D2134A">
        <w:rPr>
          <w:rFonts w:eastAsia="Calibri" w:cs="Times New Roman"/>
          <w:i/>
          <w:noProof/>
          <w:color w:val="000000"/>
        </w:rPr>
        <w:t xml:space="preserve">, </w:t>
      </w:r>
      <w:hyperlink w:anchor="_ENREF_72" w:tooltip="Nonnemaker, 2012 #31" w:history="1">
        <w:r w:rsidR="00A234A9">
          <w:rPr>
            <w:rFonts w:eastAsia="Calibri" w:cs="Times New Roman"/>
            <w:i/>
            <w:noProof/>
            <w:color w:val="000000"/>
          </w:rPr>
          <w:t>72-75</w:t>
        </w:r>
      </w:hyperlink>
      <w:r w:rsidR="00D2134A">
        <w:rPr>
          <w:rFonts w:eastAsia="Calibri" w:cs="Times New Roman"/>
          <w:i/>
          <w:noProof/>
          <w:color w:val="000000"/>
        </w:rPr>
        <w:t xml:space="preserve">, </w:t>
      </w:r>
      <w:hyperlink w:anchor="_ENREF_79" w:tooltip="Rath, 2015 #3" w:history="1">
        <w:r w:rsidR="00A234A9">
          <w:rPr>
            <w:rFonts w:eastAsia="Calibri" w:cs="Times New Roman"/>
            <w:i/>
            <w:noProof/>
            <w:color w:val="000000"/>
          </w:rPr>
          <w:t>79</w:t>
        </w:r>
      </w:hyperlink>
      <w:r w:rsidR="00D2134A">
        <w:rPr>
          <w:rFonts w:eastAsia="Calibri" w:cs="Times New Roman"/>
          <w:i/>
          <w:noProof/>
          <w:color w:val="000000"/>
        </w:rPr>
        <w:t>)</w:t>
      </w:r>
      <w:r w:rsidR="00D2134A">
        <w:rPr>
          <w:rFonts w:eastAsia="Calibri" w:cs="Times New Roman"/>
          <w:i/>
          <w:color w:val="000000"/>
        </w:rPr>
        <w:fldChar w:fldCharType="end"/>
      </w:r>
      <w:r w:rsidR="009C29ED" w:rsidRPr="000F618F">
        <w:rPr>
          <w:rFonts w:eastAsia="Calibri" w:cs="Times New Roman"/>
          <w:i/>
          <w:color w:val="000000"/>
        </w:rPr>
        <w:t>,</w:t>
      </w:r>
      <w:r w:rsidRPr="000F618F">
        <w:rPr>
          <w:rFonts w:eastAsia="Calibri" w:cs="Times New Roman"/>
          <w:i/>
          <w:color w:val="000000"/>
        </w:rPr>
        <w:t xml:space="preserve"> t</w:t>
      </w:r>
      <w:r w:rsidR="00D04C52" w:rsidRPr="000F618F">
        <w:rPr>
          <w:rFonts w:eastAsia="Calibri" w:cs="Times New Roman"/>
          <w:i/>
          <w:color w:val="000000"/>
        </w:rPr>
        <w:t xml:space="preserve">wo studies that enrolled only </w:t>
      </w:r>
      <w:r w:rsidR="00E1156E" w:rsidRPr="000F618F">
        <w:rPr>
          <w:rFonts w:eastAsia="Calibri" w:cs="Times New Roman"/>
          <w:i/>
          <w:color w:val="000000"/>
        </w:rPr>
        <w:t>Black</w:t>
      </w:r>
      <w:r w:rsidR="00D04C52" w:rsidRPr="000F618F">
        <w:rPr>
          <w:rFonts w:eastAsia="Calibri" w:cs="Times New Roman"/>
          <w:i/>
          <w:color w:val="000000"/>
        </w:rPr>
        <w:t xml:space="preserve"> smokers found that menthol smokers were slightly younger than non-menthol smokers at initiation</w:t>
      </w:r>
      <w:r w:rsidR="00DA1E49" w:rsidRPr="000F618F">
        <w:rPr>
          <w:rFonts w:eastAsia="Calibri" w:cs="Times New Roman"/>
          <w:i/>
          <w:color w:val="000000"/>
        </w:rPr>
        <w:t xml:space="preserve"> </w:t>
      </w:r>
      <w:r w:rsidR="00D2134A">
        <w:rPr>
          <w:rFonts w:eastAsia="Calibri" w:cs="Times New Roman"/>
          <w:i/>
          <w:color w:val="000000"/>
        </w:rPr>
        <w:fldChar w:fldCharType="begin">
          <w:fldData xml:space="preserve">PEVuZE5vdGU+PENpdGU+PEF1dGhvcj5GYXNlcnU8L0F1dGhvcj48WWVhcj4yMDExPC9ZZWFyPjxS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PEVuZE5vdGU+PENpdGU+PEF1dGhvcj5GYXNlcnU8L0F1dGhvcj48WWVhcj4yMDExPC9ZZWFyPjxS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58" w:tooltip="Faseru, 2011 #40" w:history="1">
        <w:r w:rsidR="00A234A9">
          <w:rPr>
            <w:rFonts w:eastAsia="Calibri" w:cs="Times New Roman"/>
            <w:i/>
            <w:noProof/>
            <w:color w:val="000000"/>
          </w:rPr>
          <w:t>58</w:t>
        </w:r>
      </w:hyperlink>
      <w:r w:rsidR="00D2134A">
        <w:rPr>
          <w:rFonts w:eastAsia="Calibri" w:cs="Times New Roman"/>
          <w:i/>
          <w:noProof/>
          <w:color w:val="000000"/>
        </w:rPr>
        <w:t xml:space="preserve">, </w:t>
      </w:r>
      <w:hyperlink w:anchor="_ENREF_75" w:tooltip="Okuyemi, 2004 #81" w:history="1">
        <w:r w:rsidR="00A234A9">
          <w:rPr>
            <w:rFonts w:eastAsia="Calibri" w:cs="Times New Roman"/>
            <w:i/>
            <w:noProof/>
            <w:color w:val="000000"/>
          </w:rPr>
          <w:t>75</w:t>
        </w:r>
      </w:hyperlink>
      <w:r w:rsidR="00D2134A">
        <w:rPr>
          <w:rFonts w:eastAsia="Calibri" w:cs="Times New Roman"/>
          <w:i/>
          <w:noProof/>
          <w:color w:val="000000"/>
        </w:rPr>
        <w:t>)</w:t>
      </w:r>
      <w:r w:rsidR="00D2134A">
        <w:rPr>
          <w:rFonts w:eastAsia="Calibri" w:cs="Times New Roman"/>
          <w:i/>
          <w:color w:val="000000"/>
        </w:rPr>
        <w:fldChar w:fldCharType="end"/>
      </w:r>
      <w:r w:rsidR="00D04C52" w:rsidRPr="000F618F">
        <w:rPr>
          <w:rFonts w:eastAsia="Calibri" w:cs="Times New Roman"/>
          <w:i/>
          <w:color w:val="000000"/>
        </w:rPr>
        <w:t>; a third found that menthol smokers were slightly older</w:t>
      </w:r>
      <w:r w:rsidRPr="000F618F">
        <w:rPr>
          <w:rFonts w:eastAsia="Calibri" w:cs="Times New Roman"/>
          <w:i/>
          <w:color w:val="000000"/>
        </w:rPr>
        <w:t xml:space="preserve"> </w:t>
      </w:r>
      <w:r w:rsidR="00D2134A">
        <w:rPr>
          <w:rFonts w:eastAsia="Calibri" w:cs="Times New Roman"/>
          <w:i/>
          <w:color w:val="000000"/>
        </w:rPr>
        <w:fldChar w:fldCharType="begin"/>
      </w:r>
      <w:r w:rsidR="00D2134A">
        <w:rPr>
          <w:rFonts w:eastAsia="Calibri" w:cs="Times New Roman"/>
          <w:i/>
          <w:color w:val="000000"/>
        </w:rPr>
        <w:instrText xml:space="preserve"> ADDIN EN.CITE &lt;EndNote&gt;&lt;Cite&gt;&lt;Author&gt;Okuyemi&lt;/Author&gt;&lt;Year&gt;2007&lt;/Year&gt;&lt;RecNum&gt;74&lt;/RecNum&gt;&lt;DisplayText&gt;(74)&lt;/DisplayText&gt;&lt;record&gt;&lt;rec-number&gt;74&lt;/rec-number&gt;&lt;foreign-keys&gt;&lt;key app="EN" db-id="a2vz2dfp8xrad6exes75zwpiw5rxwa0vwapv" timestamp="0"&gt;74&lt;/key&gt;&lt;/foreign-keys&gt;&lt;ref-type name="Journal Article"&gt;17&lt;/ref-type&gt;&lt;contributors&gt;&lt;authors&gt;&lt;author&gt;Okuyemi, K. S.&lt;/author&gt;&lt;author&gt;Faseru, B.&lt;/author&gt;&lt;author&gt;Sanderson Cox, L.&lt;/author&gt;&lt;author&gt;Bronars, C. A.&lt;/author&gt;&lt;author&gt;Ahluwalia, J. S.&lt;/author&gt;&lt;/authors&gt;&lt;/contributors&gt;&lt;auth-address&gt;Program in Health Disparities Research, University of Minnesota Medical School, Minneapolis, MN 55455, USA. kokuyemi@umn.edu&lt;/auth-address&gt;&lt;titles&gt;&lt;title&gt;Relationship between menthol cigarettes and smoking cessation among African American light smokers&lt;/title&gt;&lt;secondary-title&gt;Addiction&lt;/secondary-title&gt;&lt;/titles&gt;&lt;periodical&gt;&lt;full-title&gt;Addiction&lt;/full-title&gt;&lt;/periodical&gt;&lt;pages&gt;1979-86&lt;/pages&gt;&lt;volume&gt;102&lt;/volume&gt;&lt;number&gt;12&lt;/number&gt;&lt;keywords&gt;&lt;keyword&gt;Adult&lt;/keyword&gt;&lt;keyword&gt;African Americans/*ethnology/psychology&lt;/keyword&gt;&lt;keyword&gt;Age Factors&lt;/keyword&gt;&lt;keyword&gt;Female&lt;/keyword&gt;&lt;keyword&gt;Health Education&lt;/keyword&gt;&lt;keyword&gt;Humans&lt;/keyword&gt;&lt;keyword&gt;Male&lt;/keyword&gt;&lt;keyword&gt;*Menthol&lt;/keyword&gt;&lt;keyword&gt;Middle Aged&lt;/keyword&gt;&lt;keyword&gt;Regression Analysis&lt;/keyword&gt;&lt;keyword&gt;Smoking/*adverse effects&lt;/keyword&gt;&lt;keyword&gt;Smoking Cessation/*ethnology/psychology/statistics &amp;amp; numerical data&lt;/keyword&gt;&lt;keyword&gt;Tobacco/*adverse effects&lt;/keyword&gt;&lt;/keywords&gt;&lt;dates&gt;&lt;year&gt;2007&lt;/year&gt;&lt;pub-dates&gt;&lt;date&gt;Dec&lt;/date&gt;&lt;/pub-dates&gt;&lt;/dates&gt;&lt;isbn&gt;0965-2140 (Print)&amp;#xD;0965-2140 (Linking)&lt;/isbn&gt;&lt;accession-num&gt;17916223&lt;/accession-num&gt;&lt;urls&gt;&lt;related-urls&gt;&lt;url&gt;http://www.ncbi.nlm.nih.gov/pubmed/17916223&lt;/url&gt;&lt;/related-urls&gt;&lt;/urls&gt;&lt;electronic-resource-num&gt;10.1111/j.1360-0443.2007.02010.x&lt;/electronic-resource-num&gt;&lt;research-notes&gt;#367&lt;/research-notes&gt;&lt;/record&gt;&lt;/Cite&gt;&lt;/EndNote&gt;</w:instrText>
      </w:r>
      <w:r w:rsidR="00D2134A">
        <w:rPr>
          <w:rFonts w:eastAsia="Calibri" w:cs="Times New Roman"/>
          <w:i/>
          <w:color w:val="000000"/>
        </w:rPr>
        <w:fldChar w:fldCharType="separate"/>
      </w:r>
      <w:r w:rsidR="00D2134A">
        <w:rPr>
          <w:rFonts w:eastAsia="Calibri" w:cs="Times New Roman"/>
          <w:i/>
          <w:noProof/>
          <w:color w:val="000000"/>
        </w:rPr>
        <w:t>(</w:t>
      </w:r>
      <w:hyperlink w:anchor="_ENREF_74" w:tooltip="Okuyemi, 2007 #74" w:history="1">
        <w:r w:rsidR="00A234A9">
          <w:rPr>
            <w:rFonts w:eastAsia="Calibri" w:cs="Times New Roman"/>
            <w:i/>
            <w:noProof/>
            <w:color w:val="000000"/>
          </w:rPr>
          <w:t>74</w:t>
        </w:r>
      </w:hyperlink>
      <w:r w:rsidR="00D2134A">
        <w:rPr>
          <w:rFonts w:eastAsia="Calibri" w:cs="Times New Roman"/>
          <w:i/>
          <w:noProof/>
          <w:color w:val="000000"/>
        </w:rPr>
        <w:t>)</w:t>
      </w:r>
      <w:r w:rsidR="00D2134A">
        <w:rPr>
          <w:rFonts w:eastAsia="Calibri" w:cs="Times New Roman"/>
          <w:i/>
          <w:color w:val="000000"/>
        </w:rPr>
        <w:fldChar w:fldCharType="end"/>
      </w:r>
      <w:r w:rsidR="00D04C52" w:rsidRPr="000F618F">
        <w:rPr>
          <w:rFonts w:eastAsia="Calibri" w:cs="Times New Roman"/>
          <w:i/>
          <w:color w:val="000000"/>
        </w:rPr>
        <w:t xml:space="preserve">. Among youth, approximately half of </w:t>
      </w:r>
      <w:r w:rsidR="00E1156E" w:rsidRPr="000F618F">
        <w:rPr>
          <w:rFonts w:eastAsia="Calibri" w:cs="Times New Roman"/>
          <w:i/>
          <w:color w:val="000000"/>
        </w:rPr>
        <w:t>Black</w:t>
      </w:r>
      <w:r w:rsidR="00D04C52" w:rsidRPr="000F618F">
        <w:rPr>
          <w:rFonts w:eastAsia="Calibri" w:cs="Times New Roman"/>
          <w:i/>
          <w:color w:val="000000"/>
        </w:rPr>
        <w:t xml:space="preserve"> smokers initiated to menthol cigarettes</w:t>
      </w:r>
      <w:r w:rsidR="00DA1E49" w:rsidRPr="000F618F">
        <w:rPr>
          <w:rFonts w:eastAsia="Calibri" w:cs="Times New Roman"/>
          <w:i/>
          <w:color w:val="000000"/>
        </w:rPr>
        <w:t xml:space="preserve"> </w:t>
      </w:r>
      <w:r w:rsidR="00D2134A">
        <w:rPr>
          <w:rFonts w:eastAsia="Calibri" w:cs="Times New Roman"/>
          <w:i/>
          <w:color w:val="000000"/>
        </w:rPr>
        <w:fldChar w:fldCharType="begin"/>
      </w:r>
      <w:r w:rsidR="00D2134A">
        <w:rPr>
          <w:rFonts w:eastAsia="Calibri" w:cs="Times New Roman"/>
          <w:i/>
          <w:color w:val="000000"/>
        </w:rPr>
        <w:instrText xml:space="preserve"> ADDIN EN.CITE &lt;EndNote&gt;&lt;Cite&gt;&lt;Author&gt;Nonnemaker&lt;/Author&gt;&lt;Year&gt;2010&lt;/Year&gt;&lt;RecNum&gt;97&lt;/RecNum&gt;&lt;DisplayText&gt;(73)&lt;/DisplayText&gt;&lt;record&gt;&lt;rec-number&gt;97&lt;/rec-number&gt;&lt;foreign-keys&gt;&lt;key app="EN" db-id="a2vz2dfp8xrad6exes75zwpiw5rxwa0vwapv" timestamp="0"&gt;97&lt;/key&gt;&lt;/foreign-keys&gt;&lt;ref-type name="Report"&gt;27&lt;/ref-type&gt;&lt;contributors&gt;&lt;authors&gt;&lt;author&gt;Nonnemaker, J.&lt;/author&gt;&lt;author&gt;Hersey, J.&lt;/author&gt;&lt;author&gt;Homsi, G.&lt;/author&gt;&lt;author&gt;Busey, A.&lt;/author&gt;&lt;/authors&gt;&lt;/contributors&gt;&lt;titles&gt;&lt;title&gt;Menthol cigarettes and youth smoking updake&lt;/title&gt;&lt;/titles&gt;&lt;dates&gt;&lt;year&gt;2010&lt;/year&gt;&lt;/dates&gt;&lt;pub-location&gt;RTI International&lt;/pub-location&gt;&lt;urls&gt;&lt;/urls&gt;&lt;research-notes&gt;#812&lt;/research-notes&gt;&lt;/record&gt;&lt;/Cite&gt;&lt;/EndNote&gt;</w:instrText>
      </w:r>
      <w:r w:rsidR="00D2134A">
        <w:rPr>
          <w:rFonts w:eastAsia="Calibri" w:cs="Times New Roman"/>
          <w:i/>
          <w:color w:val="000000"/>
        </w:rPr>
        <w:fldChar w:fldCharType="separate"/>
      </w:r>
      <w:r w:rsidR="00D2134A">
        <w:rPr>
          <w:rFonts w:eastAsia="Calibri" w:cs="Times New Roman"/>
          <w:i/>
          <w:noProof/>
          <w:color w:val="000000"/>
        </w:rPr>
        <w:t>(</w:t>
      </w:r>
      <w:hyperlink w:anchor="_ENREF_73" w:tooltip="Nonnemaker, 2010 #97" w:history="1">
        <w:r w:rsidR="00A234A9">
          <w:rPr>
            <w:rFonts w:eastAsia="Calibri" w:cs="Times New Roman"/>
            <w:i/>
            <w:noProof/>
            <w:color w:val="000000"/>
          </w:rPr>
          <w:t>73</w:t>
        </w:r>
      </w:hyperlink>
      <w:r w:rsidR="00D2134A">
        <w:rPr>
          <w:rFonts w:eastAsia="Calibri" w:cs="Times New Roman"/>
          <w:i/>
          <w:noProof/>
          <w:color w:val="000000"/>
        </w:rPr>
        <w:t>)</w:t>
      </w:r>
      <w:r w:rsidR="00D2134A">
        <w:rPr>
          <w:rFonts w:eastAsia="Calibri" w:cs="Times New Roman"/>
          <w:i/>
          <w:color w:val="000000"/>
        </w:rPr>
        <w:fldChar w:fldCharType="end"/>
      </w:r>
      <w:r w:rsidR="00D04C52" w:rsidRPr="000F618F">
        <w:rPr>
          <w:rFonts w:eastAsia="Calibri" w:cs="Times New Roman"/>
          <w:i/>
          <w:color w:val="000000"/>
        </w:rPr>
        <w:t xml:space="preserve">. Among youth and young adults, </w:t>
      </w:r>
      <w:r w:rsidR="00E1156E" w:rsidRPr="000F618F">
        <w:rPr>
          <w:rFonts w:eastAsia="Calibri" w:cs="Times New Roman"/>
          <w:i/>
          <w:color w:val="000000"/>
        </w:rPr>
        <w:t>Black</w:t>
      </w:r>
      <w:r w:rsidR="00D04C52" w:rsidRPr="000F618F">
        <w:rPr>
          <w:rFonts w:eastAsia="Calibri" w:cs="Times New Roman"/>
          <w:i/>
          <w:color w:val="000000"/>
        </w:rPr>
        <w:t xml:space="preserve"> smokers </w:t>
      </w:r>
      <w:r w:rsidR="00DA1E49" w:rsidRPr="000F618F">
        <w:rPr>
          <w:rFonts w:eastAsia="Calibri" w:cs="Times New Roman"/>
          <w:i/>
          <w:color w:val="000000"/>
        </w:rPr>
        <w:t>had a higher rate of</w:t>
      </w:r>
      <w:r w:rsidR="00D04C52" w:rsidRPr="000F618F">
        <w:rPr>
          <w:rFonts w:eastAsia="Calibri" w:cs="Times New Roman"/>
          <w:i/>
          <w:color w:val="000000"/>
        </w:rPr>
        <w:t xml:space="preserve"> switch</w:t>
      </w:r>
      <w:r w:rsidR="00DA1E49" w:rsidRPr="000F618F">
        <w:rPr>
          <w:rFonts w:eastAsia="Calibri" w:cs="Times New Roman"/>
          <w:i/>
          <w:color w:val="000000"/>
        </w:rPr>
        <w:t>ing</w:t>
      </w:r>
      <w:r w:rsidR="00D04C52" w:rsidRPr="000F618F">
        <w:rPr>
          <w:rFonts w:eastAsia="Calibri" w:cs="Times New Roman"/>
          <w:i/>
          <w:color w:val="000000"/>
        </w:rPr>
        <w:t xml:space="preserve"> </w:t>
      </w:r>
      <w:r w:rsidR="00D04C52" w:rsidRPr="000F618F">
        <w:rPr>
          <w:rFonts w:eastAsia="Calibri" w:cs="Times New Roman"/>
          <w:i/>
          <w:color w:val="000000"/>
        </w:rPr>
        <w:lastRenderedPageBreak/>
        <w:t>from non-menthol to menthol cigarettes</w:t>
      </w:r>
      <w:r w:rsidR="00FB3684" w:rsidRPr="000F618F">
        <w:rPr>
          <w:rFonts w:eastAsia="Calibri" w:cs="Times New Roman"/>
          <w:i/>
          <w:color w:val="000000"/>
        </w:rPr>
        <w:t xml:space="preserve"> </w:t>
      </w:r>
      <w:r w:rsidR="00D2134A">
        <w:rPr>
          <w:rFonts w:eastAsia="Calibri" w:cs="Times New Roman"/>
          <w:i/>
          <w:color w:val="000000"/>
        </w:rPr>
        <w:fldChar w:fldCharType="begin">
          <w:fldData xml:space="preserve">PEVuZE5vdGU+PENpdGU+PEF1dGhvcj5Ob25uZW1ha2VyPC9BdXRob3I+PFllYXI+MjAxMjwvWWVh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PEVuZE5vdGU+PENpdGU+PEF1dGhvcj5Ob25uZW1ha2VyPC9BdXRob3I+PFllYXI+MjAxMjwvWWVh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2" w:tooltip="Nonnemaker, 2012 #31" w:history="1">
        <w:r w:rsidR="00A234A9">
          <w:rPr>
            <w:rFonts w:eastAsia="Calibri" w:cs="Times New Roman"/>
            <w:i/>
            <w:noProof/>
            <w:color w:val="000000"/>
          </w:rPr>
          <w:t>72</w:t>
        </w:r>
      </w:hyperlink>
      <w:r w:rsidR="00D2134A">
        <w:rPr>
          <w:rFonts w:eastAsia="Calibri" w:cs="Times New Roman"/>
          <w:i/>
          <w:noProof/>
          <w:color w:val="000000"/>
        </w:rPr>
        <w:t xml:space="preserve">, </w:t>
      </w:r>
      <w:hyperlink w:anchor="_ENREF_79" w:tooltip="Rath, 2015 #3" w:history="1">
        <w:r w:rsidR="00A234A9">
          <w:rPr>
            <w:rFonts w:eastAsia="Calibri" w:cs="Times New Roman"/>
            <w:i/>
            <w:noProof/>
            <w:color w:val="000000"/>
          </w:rPr>
          <w:t>79</w:t>
        </w:r>
      </w:hyperlink>
      <w:r w:rsidR="00D2134A">
        <w:rPr>
          <w:rFonts w:eastAsia="Calibri" w:cs="Times New Roman"/>
          <w:i/>
          <w:noProof/>
          <w:color w:val="000000"/>
        </w:rPr>
        <w:t>)</w:t>
      </w:r>
      <w:r w:rsidR="00D2134A">
        <w:rPr>
          <w:rFonts w:eastAsia="Calibri" w:cs="Times New Roman"/>
          <w:i/>
          <w:color w:val="000000"/>
        </w:rPr>
        <w:fldChar w:fldCharType="end"/>
      </w:r>
      <w:r w:rsidR="00FB3684" w:rsidRPr="000F618F">
        <w:rPr>
          <w:rFonts w:eastAsia="Calibri" w:cs="Times New Roman"/>
          <w:i/>
          <w:color w:val="000000"/>
        </w:rPr>
        <w:t>.</w:t>
      </w:r>
      <w:r w:rsidR="007E1CAC" w:rsidRPr="000F618F">
        <w:rPr>
          <w:rFonts w:eastAsia="Calibri" w:cs="Times New Roman"/>
          <w:i/>
          <w:color w:val="000000"/>
        </w:rPr>
        <w:t xml:space="preserve"> </w:t>
      </w:r>
      <w:r w:rsidR="00801E52" w:rsidRPr="000F618F">
        <w:rPr>
          <w:i/>
        </w:rPr>
        <w:t>Among Black respondents in one study reporting</w:t>
      </w:r>
      <w:r w:rsidR="00801E52" w:rsidRPr="000F618F">
        <w:rPr>
          <w:i/>
          <w:color w:val="000000"/>
        </w:rPr>
        <w:t xml:space="preserve"> </w:t>
      </w:r>
      <w:r w:rsidR="00801E52" w:rsidRPr="000F618F">
        <w:rPr>
          <w:rFonts w:eastAsia="Calibri"/>
          <w:i/>
          <w:color w:val="000000"/>
        </w:rPr>
        <w:t>an analysis</w:t>
      </w:r>
      <w:r w:rsidR="00801E52" w:rsidRPr="000F618F">
        <w:rPr>
          <w:rFonts w:eastAsia="Calibri"/>
          <w:color w:val="000000"/>
        </w:rPr>
        <w:t xml:space="preserve"> </w:t>
      </w:r>
      <w:r w:rsidR="00801E52" w:rsidRPr="000F618F">
        <w:rPr>
          <w:rFonts w:eastAsia="Calibri"/>
          <w:i/>
          <w:noProof/>
          <w:color w:val="000000"/>
        </w:rPr>
        <w:t xml:space="preserve">on </w:t>
      </w:r>
      <w:r w:rsidR="00801E52" w:rsidRPr="000F618F">
        <w:rPr>
          <w:rFonts w:eastAsia="Calibri"/>
          <w:bCs/>
          <w:i/>
          <w:noProof/>
          <w:color w:val="000000"/>
        </w:rPr>
        <w:t>initiation and progression to regular smoking/increase in smoking over time</w:t>
      </w:r>
      <w:r w:rsidR="00801E52" w:rsidRPr="000F618F">
        <w:rPr>
          <w:i/>
        </w:rPr>
        <w:t xml:space="preserve"> presenting </w:t>
      </w:r>
      <w:r w:rsidR="007E1CAC" w:rsidRPr="000F618F">
        <w:rPr>
          <w:i/>
        </w:rPr>
        <w:t xml:space="preserve">daily versus non-daily results </w:t>
      </w:r>
      <w:r w:rsidR="00D2134A">
        <w:rPr>
          <w:i/>
        </w:rPr>
        <w:fldChar w:fldCharType="begin"/>
      </w:r>
      <w:r w:rsidR="00D2134A">
        <w:rPr>
          <w:i/>
        </w:rPr>
        <w:instrText xml:space="preserve"> ADDIN EN.CITE &lt;EndNote&gt;&lt;Cite&gt;&lt;Author&gt;Cubbin&lt;/Author&gt;&lt;Year&gt;2010&lt;/Year&gt;&lt;RecNum&gt;53&lt;/RecNum&gt;&lt;DisplayText&gt;(50)&lt;/DisplayText&gt;&lt;record&gt;&lt;rec-number&gt;53&lt;/rec-number&gt;&lt;foreign-keys&gt;&lt;key app="EN" db-id="a2vz2dfp8xrad6exes75zwpiw5rxwa0vwapv" timestamp="0"&gt;53&lt;/key&gt;&lt;/foreign-keys&gt;&lt;ref-type name="Journal Article"&gt;17&lt;/ref-type&gt;&lt;contributors&gt;&lt;authors&gt;&lt;author&gt;Cubbin, C.&lt;/author&gt;&lt;author&gt;Soobader, M. J.&lt;/author&gt;&lt;author&gt;LeClere, F. B.&lt;/author&gt;&lt;/authors&gt;&lt;/contributors&gt;&lt;auth-address&gt;School of Social Work, University of Texas at Austin, Austin, TX 78712-0358, USA. ccubbin@austin.utexas.edu&lt;/auth-address&gt;&lt;titles&gt;&lt;title&gt;The intersection of gender and race/ethnicity in smoking behaviors among menthol and non-menthol smokers in the United States&lt;/title&gt;&lt;secondary-title&gt;Addiction&lt;/secondary-title&gt;&lt;/titles&gt;&lt;periodical&gt;&lt;full-title&gt;Addiction&lt;/full-title&gt;&lt;/periodical&gt;&lt;pages&gt;32-8&lt;/pages&gt;&lt;volume&gt;105 Suppl 1&lt;/volume&gt;&lt;keywords&gt;&lt;keyword&gt;Adult&lt;/keyword&gt;&lt;keyword&gt;African Americans/statistics &amp;amp; numerical data&lt;/keyword&gt;&lt;keyword&gt;Age of Onset&lt;/keyword&gt;&lt;keyword&gt;Cross-Sectional Studies&lt;/keyword&gt;&lt;keyword&gt;European Continental Ancestry Group/statistics &amp;amp; numerical data&lt;/keyword&gt;&lt;keyword&gt;Female&lt;/keyword&gt;&lt;keyword&gt;Hispanic Americans/statistics &amp;amp; numerical data&lt;/keyword&gt;&lt;keyword&gt;Humans&lt;/keyword&gt;&lt;keyword&gt;Male&lt;/keyword&gt;&lt;keyword&gt;*Menthol&lt;/keyword&gt;&lt;keyword&gt;Middle Aged&lt;/keyword&gt;&lt;keyword&gt;*Population Surveillance&lt;/keyword&gt;&lt;keyword&gt;Sex Factors&lt;/keyword&gt;&lt;keyword&gt;Smoking/*epidemiology/ethnology&lt;/keyword&gt;&lt;keyword&gt;Smoking Cessation/ethnology/statistics &amp;amp; numerical data&lt;/keyword&gt;&lt;keyword&gt;Socioeconomic Factors&lt;/keyword&gt;&lt;keyword&gt;United States/epidemiology&lt;/keyword&gt;&lt;/keywords&gt;&lt;dates&gt;&lt;year&gt;2010&lt;/year&gt;&lt;pub-dates&gt;&lt;date&gt;Dec&lt;/date&gt;&lt;/pub-dates&gt;&lt;/dates&gt;&lt;isbn&gt;1360-0443 (Electronic)&amp;#xD;0965-2140 (Linking)&lt;/isbn&gt;&lt;accession-num&gt;21059134&lt;/accession-num&gt;&lt;urls&gt;&lt;related-urls&gt;&lt;url&gt;http://www.ncbi.nlm.nih.gov/pubmed/21059134&lt;/url&gt;&lt;/related-urls&gt;&lt;/urls&gt;&lt;electronic-resource-num&gt;10.1111/j.1360-0443.2010.03191.x&lt;/electronic-resource-num&gt;&lt;research-notes&gt;#281&lt;/research-notes&gt;&lt;/record&gt;&lt;/Cite&gt;&lt;/EndNote&gt;</w:instrText>
      </w:r>
      <w:r w:rsidR="00D2134A">
        <w:rPr>
          <w:i/>
        </w:rPr>
        <w:fldChar w:fldCharType="separate"/>
      </w:r>
      <w:r w:rsidR="00D2134A">
        <w:rPr>
          <w:i/>
          <w:noProof/>
        </w:rPr>
        <w:t>(</w:t>
      </w:r>
      <w:hyperlink w:anchor="_ENREF_50" w:tooltip="Cubbin, 2010 #53" w:history="1">
        <w:r w:rsidR="00A234A9">
          <w:rPr>
            <w:i/>
            <w:noProof/>
          </w:rPr>
          <w:t>50</w:t>
        </w:r>
      </w:hyperlink>
      <w:r w:rsidR="00D2134A">
        <w:rPr>
          <w:i/>
          <w:noProof/>
        </w:rPr>
        <w:t>)</w:t>
      </w:r>
      <w:r w:rsidR="00D2134A">
        <w:rPr>
          <w:i/>
        </w:rPr>
        <w:fldChar w:fldCharType="end"/>
      </w:r>
      <w:r w:rsidR="007E1CAC" w:rsidRPr="000F618F">
        <w:rPr>
          <w:i/>
        </w:rPr>
        <w:t>, men and women had similar results, with a higher proportion of daily smokers reported</w:t>
      </w:r>
      <w:r w:rsidR="00470E72" w:rsidRPr="000F618F">
        <w:rPr>
          <w:i/>
        </w:rPr>
        <w:t xml:space="preserve"> compared to </w:t>
      </w:r>
      <w:r w:rsidR="00BF13A5">
        <w:rPr>
          <w:i/>
        </w:rPr>
        <w:t>non-daily</w:t>
      </w:r>
      <w:r w:rsidR="00470E72" w:rsidRPr="000F618F">
        <w:rPr>
          <w:i/>
        </w:rPr>
        <w:t xml:space="preserve"> smokers</w:t>
      </w:r>
      <w:r w:rsidR="007E1CAC" w:rsidRPr="000F618F">
        <w:rPr>
          <w:i/>
        </w:rPr>
        <w:t xml:space="preserve">. Unlike the Hispanic and White samples, daily smokers </w:t>
      </w:r>
      <w:r w:rsidR="00470E72" w:rsidRPr="000F618F">
        <w:rPr>
          <w:i/>
        </w:rPr>
        <w:t xml:space="preserve">in the sample of Black respondents </w:t>
      </w:r>
      <w:r w:rsidR="007E1CAC" w:rsidRPr="000F618F">
        <w:rPr>
          <w:i/>
        </w:rPr>
        <w:t xml:space="preserve">had higher proportion of menthol smokers than non-menthol smokers in both men and women. Similarly, </w:t>
      </w:r>
      <w:r w:rsidR="00BF13A5">
        <w:rPr>
          <w:i/>
        </w:rPr>
        <w:t>non-daily</w:t>
      </w:r>
      <w:r w:rsidR="007E1CAC" w:rsidRPr="000F618F">
        <w:rPr>
          <w:i/>
        </w:rPr>
        <w:t xml:space="preserve"> smokers had a higher proportion of menthol smokers compared to non-menthol smokers in both Black men and women.</w:t>
      </w:r>
    </w:p>
    <w:p w14:paraId="4B8E7EF2" w14:textId="7652F563" w:rsidR="00D04C52" w:rsidRPr="00A0218A" w:rsidRDefault="00D04C52" w:rsidP="00B46744">
      <w:pPr>
        <w:spacing w:after="120" w:line="240" w:lineRule="auto"/>
        <w:jc w:val="both"/>
        <w:rPr>
          <w:rFonts w:eastAsia="Calibri" w:cs="Times New Roman"/>
          <w:color w:val="000000"/>
        </w:rPr>
      </w:pPr>
      <w:r w:rsidRPr="00A0218A">
        <w:rPr>
          <w:rFonts w:eastAsia="Calibri" w:cs="Times New Roman"/>
          <w:color w:val="000000"/>
        </w:rPr>
        <w:t>In the LYAC study of young adults, Rath et al</w:t>
      </w:r>
      <w:r w:rsidR="008B4742">
        <w:rPr>
          <w:rFonts w:eastAsia="Calibri" w:cs="Times New Roman"/>
          <w:color w:val="000000"/>
        </w:rPr>
        <w:t xml:space="preserve">. </w:t>
      </w:r>
      <w:r w:rsidR="00D2134A">
        <w:rPr>
          <w:rFonts w:eastAsia="Calibri" w:cs="Times New Roman"/>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79" w:tooltip="Rath, 2015 #3" w:history="1">
        <w:r w:rsidR="00A234A9">
          <w:rPr>
            <w:rFonts w:eastAsia="Calibri" w:cs="Times New Roman"/>
            <w:noProof/>
            <w:color w:val="000000"/>
          </w:rPr>
          <w:t>79</w:t>
        </w:r>
      </w:hyperlink>
      <w:r w:rsidR="00D2134A">
        <w:rPr>
          <w:rFonts w:eastAsia="Calibri" w:cs="Times New Roman"/>
          <w:noProof/>
          <w:color w:val="000000"/>
        </w:rPr>
        <w:t>)</w:t>
      </w:r>
      <w:r w:rsidR="00D2134A">
        <w:rPr>
          <w:rFonts w:eastAsia="Calibri" w:cs="Times New Roman"/>
          <w:color w:val="000000"/>
        </w:rPr>
        <w:fldChar w:fldCharType="end"/>
      </w:r>
      <w:r w:rsidR="008B4742">
        <w:rPr>
          <w:rFonts w:eastAsia="Calibri" w:cs="Times New Roman"/>
          <w:color w:val="000000"/>
        </w:rPr>
        <w:t xml:space="preserve"> f</w:t>
      </w:r>
      <w:r>
        <w:rPr>
          <w:rFonts w:eastAsia="Calibri" w:cs="Times New Roman"/>
          <w:color w:val="000000"/>
        </w:rPr>
        <w:t>ound that among</w:t>
      </w:r>
      <w:r w:rsidRPr="00A0218A">
        <w:rPr>
          <w:rFonts w:eastAsia="Calibri" w:cs="Times New Roman"/>
          <w:color w:val="000000"/>
        </w:rPr>
        <w:t xml:space="preserve"> participants who switc</w:t>
      </w:r>
      <w:r>
        <w:rPr>
          <w:rFonts w:eastAsia="Calibri" w:cs="Times New Roman"/>
          <w:color w:val="000000"/>
        </w:rPr>
        <w:t xml:space="preserve">hed from menthol to non-menthol, </w:t>
      </w:r>
      <w:r w:rsidRPr="00A0218A">
        <w:rPr>
          <w:rFonts w:eastAsia="Calibri" w:cs="Times New Roman"/>
          <w:color w:val="000000"/>
        </w:rPr>
        <w:t xml:space="preserve">5.3 percent were non-Hispanic </w:t>
      </w:r>
      <w:r w:rsidR="00E1156E">
        <w:rPr>
          <w:rFonts w:eastAsia="Calibri" w:cs="Times New Roman"/>
          <w:color w:val="000000"/>
        </w:rPr>
        <w:t>Black</w:t>
      </w:r>
      <w:r>
        <w:rPr>
          <w:rFonts w:eastAsia="Calibri" w:cs="Times New Roman"/>
          <w:color w:val="000000"/>
        </w:rPr>
        <w:t xml:space="preserve"> </w:t>
      </w:r>
      <w:r w:rsidR="00D2134A">
        <w:rPr>
          <w:rFonts w:eastAsia="Calibri" w:cs="Times New Roman"/>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79" w:tooltip="Rath, 2015 #3" w:history="1">
        <w:r w:rsidR="00A234A9">
          <w:rPr>
            <w:rFonts w:eastAsia="Calibri" w:cs="Times New Roman"/>
            <w:noProof/>
            <w:color w:val="000000"/>
          </w:rPr>
          <w:t>79</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Of participants who switched from non-menthol to menthol, 11.1 percent were non-Hispanic </w:t>
      </w:r>
      <w:r w:rsidR="00E1156E">
        <w:rPr>
          <w:rFonts w:eastAsia="Calibri" w:cs="Times New Roman"/>
          <w:color w:val="000000"/>
        </w:rPr>
        <w:t>Black</w:t>
      </w:r>
      <w:r w:rsidRPr="00A0218A">
        <w:rPr>
          <w:rFonts w:eastAsia="Calibri" w:cs="Times New Roman"/>
          <w:color w:val="000000"/>
        </w:rPr>
        <w:t xml:space="preserve">. The significance of the difference among </w:t>
      </w:r>
      <w:r w:rsidR="00E1156E">
        <w:rPr>
          <w:rFonts w:eastAsia="Calibri" w:cs="Times New Roman"/>
          <w:color w:val="000000"/>
        </w:rPr>
        <w:t>Black</w:t>
      </w:r>
      <w:r w:rsidRPr="00A0218A">
        <w:rPr>
          <w:rFonts w:eastAsia="Calibri" w:cs="Times New Roman"/>
          <w:color w:val="000000"/>
        </w:rPr>
        <w:t>s only was not reported; the overall difference in switching for all races/ethnicities was significant (p&lt;0.001).</w:t>
      </w:r>
    </w:p>
    <w:p w14:paraId="34A8ECAC" w14:textId="2FD2FA76" w:rsidR="00D04C52" w:rsidRPr="00A0218A" w:rsidRDefault="00D04C52" w:rsidP="00B46744">
      <w:pPr>
        <w:spacing w:after="120" w:line="240" w:lineRule="auto"/>
        <w:jc w:val="both"/>
        <w:rPr>
          <w:rFonts w:eastAsia="Calibri" w:cs="Times New Roman"/>
          <w:color w:val="000000"/>
        </w:rPr>
      </w:pPr>
      <w:r w:rsidRPr="00A0218A">
        <w:rPr>
          <w:rFonts w:eastAsia="Calibri" w:cs="Times New Roman"/>
          <w:color w:val="000000"/>
        </w:rPr>
        <w:t>As described in the adjus</w:t>
      </w:r>
      <w:r>
        <w:rPr>
          <w:rFonts w:eastAsia="Calibri" w:cs="Times New Roman"/>
          <w:color w:val="000000"/>
        </w:rPr>
        <w:t>ted results, Nonnemaker et al</w:t>
      </w:r>
      <w:r w:rsidR="00095BCF">
        <w:rPr>
          <w:rFonts w:eastAsia="Calibri" w:cs="Times New Roman"/>
          <w:color w:val="000000"/>
        </w:rPr>
        <w:t xml:space="preserve">.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&lt;EndNote&gt;&lt;Cite&gt;&lt;Author&gt;Nonnemaker&lt;/Author&gt;&lt;Year&gt;2012&lt;/Year&gt;&lt;RecNum&gt;31&lt;/RecNum&gt;&lt;DisplayText&gt;(72)&lt;/DisplayText&gt;&lt;record&gt;&lt;rec-number&gt;31&lt;/rec-number&gt;&lt;foreign-keys&gt;&lt;key app="EN" db-id="a2vz2dfp8xrad6exes75zwpiw5rxwa0vwapv" timestamp="0"&gt;31&lt;/key&gt;&lt;/foreign-keys&gt;&lt;ref-type name="Journal Article"&gt;17&lt;/ref-type&gt;&lt;contributors&gt;&lt;authors&gt;&lt;author&gt;Nonnemaker, J.&lt;/author&gt;&lt;author&gt;Hersey, J.&lt;/author&gt;&lt;author&gt;Homsi, G.&lt;/author&gt;&lt;author&gt;Busey, A.&lt;/author&gt;&lt;author&gt;Allen, J.&lt;/author&gt;&lt;author&gt;Vallone, D.&lt;/author&gt;&lt;/authors&gt;&lt;/contributors&gt;&lt;auth-address&gt;RTI International, Research Triangle Park, NC 27709-2194, USA. jnonnemaker@rti.org&lt;/auth-address&gt;&lt;titles&gt;&lt;title&gt;Initiation with menthol cigarettes and youth smoking uptake&lt;/title&gt;&lt;secondary-title&gt;Addiction&lt;/secondary-title&gt;&lt;/titles&gt;&lt;periodical&gt;&lt;full-title&gt;Addiction&lt;/full-title&gt;&lt;/periodical&gt;&lt;pages&gt;171-8&lt;/pages&gt;&lt;volume&gt;108&lt;/volume&gt;&lt;number&gt;1&lt;/number&gt;&lt;keywords&gt;&lt;keyword&gt;Adolescent&lt;/keyword&gt;&lt;keyword&gt;Age Distribution&lt;/keyword&gt;&lt;keyword&gt;Child&lt;/keyword&gt;&lt;keyword&gt;Female&lt;/keyword&gt;&lt;keyword&gt;Flavoring Agents/*adverse effects&lt;/keyword&gt;&lt;keyword&gt;Humans&lt;/keyword&gt;&lt;keyword&gt;Longitudinal Studies&lt;/keyword&gt;&lt;keyword&gt;Male&lt;/keyword&gt;&lt;keyword&gt;Menthol/*adverse effects&lt;/keyword&gt;&lt;keyword&gt;Risk Factors&lt;/keyword&gt;&lt;keyword&gt;Sex Distribution&lt;/keyword&gt;&lt;keyword&gt;Smoking/*adverse effects&lt;/keyword&gt;&lt;keyword&gt;Smoking Cessation/psychology/statistics &amp;amp; numerical data&lt;/keyword&gt;&lt;keyword&gt;Tobacco Products/*adverse effects&lt;/keyword&gt;&lt;keyword&gt;Tobacco Use Disorder/*etiology&lt;/keyword&gt;&lt;keyword&gt;United States&lt;/keyword&gt;&lt;/keywords&gt;&lt;dates&gt;&lt;year&gt;2012&lt;/year&gt;&lt;pub-dates&gt;&lt;date&gt;Jan&lt;/date&gt;&lt;/pub-dates&gt;&lt;/dates&gt;&lt;isbn&gt;1360-0443 (Electronic)&amp;#xD;0965-2140 (Linking)&lt;/isbn&gt;&lt;accession-num&gt;22862154&lt;/accession-num&gt;&lt;urls&gt;&lt;related-urls&gt;&lt;url&gt;http://www.ncbi.nlm.nih.gov/pubmed/22862154&lt;/url&gt;&lt;/related-urls&gt;&lt;/urls&gt;&lt;electronic-resource-num&gt;10.1111/j.1360-0443.2012.04045.x&lt;/electronic-resource-num&gt;&lt;research-notes&gt;#160&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2" w:tooltip="Nonnemaker, 2012 #31" w:history="1">
        <w:r w:rsidR="00A234A9">
          <w:rPr>
            <w:rFonts w:eastAsia="Calibri" w:cs="Times New Roman"/>
            <w:noProof/>
            <w:color w:val="000000"/>
          </w:rPr>
          <w:t>72</w:t>
        </w:r>
      </w:hyperlink>
      <w:r w:rsidR="00D2134A">
        <w:rPr>
          <w:rFonts w:eastAsia="Calibri" w:cs="Times New Roman"/>
          <w:noProof/>
          <w:color w:val="000000"/>
        </w:rPr>
        <w:t>)</w:t>
      </w:r>
      <w:r w:rsidR="00D2134A">
        <w:rPr>
          <w:rFonts w:eastAsia="Calibri" w:cs="Times New Roman"/>
          <w:color w:val="000000"/>
        </w:rPr>
        <w:fldChar w:fldCharType="end"/>
      </w:r>
      <w:r w:rsidR="00095BCF">
        <w:rPr>
          <w:rFonts w:eastAsia="Calibri" w:cs="Times New Roman"/>
          <w:color w:val="000000"/>
        </w:rPr>
        <w:t xml:space="preserve"> a</w:t>
      </w:r>
      <w:r w:rsidRPr="00A0218A">
        <w:rPr>
          <w:rFonts w:eastAsia="Calibri" w:cs="Times New Roman"/>
          <w:color w:val="000000"/>
        </w:rPr>
        <w:t>nalyzed data from youth who participated in the ALLTURS</w:t>
      </w:r>
      <w:r>
        <w:rPr>
          <w:rFonts w:eastAsia="Calibri" w:cs="Times New Roman"/>
          <w:color w:val="000000"/>
        </w:rPr>
        <w:t xml:space="preserve">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&lt;EndNote&gt;&lt;Cite&gt;&lt;Author&gt;Nonnemaker&lt;/Author&gt;&lt;Year&gt;2010&lt;/Year&gt;&lt;RecNum&gt;97&lt;/RecNum&gt;&lt;DisplayText&gt;(73)&lt;/DisplayText&gt;&lt;record&gt;&lt;rec-number&gt;97&lt;/rec-number&gt;&lt;foreign-keys&gt;&lt;key app="EN" db-id="a2vz2dfp8xrad6exes75zwpiw5rxwa0vwapv" timestamp="0"&gt;97&lt;/key&gt;&lt;/foreign-keys&gt;&lt;ref-type name="Report"&gt;27&lt;/ref-type&gt;&lt;contributors&gt;&lt;authors&gt;&lt;author&gt;Nonnemaker, J.&lt;/author&gt;&lt;author&gt;Hersey, J.&lt;/author&gt;&lt;author&gt;Homsi, G.&lt;/author&gt;&lt;author&gt;Busey, A.&lt;/author&gt;&lt;/authors&gt;&lt;/contributors&gt;&lt;titles&gt;&lt;title&gt;Menthol cigarettes and youth smoking updake&lt;/title&gt;&lt;/titles&gt;&lt;dates&gt;&lt;year&gt;2010&lt;/year&gt;&lt;/dates&gt;&lt;pub-location&gt;RTI International&lt;/pub-location&gt;&lt;urls&gt;&lt;/urls&gt;&lt;research-notes&gt;#812&lt;/research-notes&gt;&lt;/record&gt;&lt;/Cite&gt;&lt;/EndNote&gt;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3" w:tooltip="Nonnemaker, 2010 #97" w:history="1">
        <w:r w:rsidR="00A234A9">
          <w:rPr>
            <w:rFonts w:eastAsia="Calibri" w:cs="Times New Roman"/>
            <w:noProof/>
            <w:color w:val="000000"/>
          </w:rPr>
          <w:t>73</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Among </w:t>
      </w:r>
      <w:r w:rsidR="00E1156E">
        <w:rPr>
          <w:rFonts w:eastAsia="Calibri" w:cs="Times New Roman"/>
          <w:color w:val="000000"/>
        </w:rPr>
        <w:t>Black</w:t>
      </w:r>
      <w:r w:rsidRPr="00A0218A">
        <w:rPr>
          <w:rFonts w:eastAsia="Calibri" w:cs="Times New Roman"/>
          <w:color w:val="000000"/>
        </w:rPr>
        <w:t xml:space="preserve"> current smokers, 51.8 percent initiated </w:t>
      </w:r>
      <w:r w:rsidR="00BC523B">
        <w:rPr>
          <w:rFonts w:eastAsia="Calibri" w:cs="Times New Roman"/>
          <w:color w:val="000000"/>
        </w:rPr>
        <w:t>with</w:t>
      </w:r>
      <w:r w:rsidR="00BC523B" w:rsidRPr="00A0218A">
        <w:rPr>
          <w:rFonts w:eastAsia="Calibri" w:cs="Times New Roman"/>
          <w:color w:val="000000"/>
        </w:rPr>
        <w:t xml:space="preserve"> </w:t>
      </w:r>
      <w:r w:rsidRPr="00A0218A">
        <w:rPr>
          <w:rFonts w:eastAsia="Calibri" w:cs="Times New Roman"/>
          <w:color w:val="000000"/>
        </w:rPr>
        <w:t xml:space="preserve">menthol, and 48.2 percent </w:t>
      </w:r>
      <w:r w:rsidR="00BC523B">
        <w:rPr>
          <w:rFonts w:eastAsia="Calibri" w:cs="Times New Roman"/>
          <w:color w:val="000000"/>
        </w:rPr>
        <w:t>with</w:t>
      </w:r>
      <w:r w:rsidR="00BC523B" w:rsidRPr="00A0218A">
        <w:rPr>
          <w:rFonts w:eastAsia="Calibri" w:cs="Times New Roman"/>
          <w:color w:val="000000"/>
        </w:rPr>
        <w:t xml:space="preserve"> </w:t>
      </w:r>
      <w:r w:rsidRPr="00A0218A">
        <w:rPr>
          <w:rFonts w:eastAsia="Calibri" w:cs="Times New Roman"/>
          <w:color w:val="000000"/>
        </w:rPr>
        <w:t xml:space="preserve">non-menthol. A subset of the sample was characterized as non-established smokers (smoking on fewer than 20 of the past 30 days). Among </w:t>
      </w:r>
      <w:r w:rsidR="00E1156E">
        <w:rPr>
          <w:rFonts w:eastAsia="Calibri" w:cs="Times New Roman"/>
          <w:color w:val="000000"/>
        </w:rPr>
        <w:t>Black</w:t>
      </w:r>
      <w:r w:rsidRPr="00A0218A">
        <w:rPr>
          <w:rFonts w:eastAsia="Calibri" w:cs="Times New Roman"/>
          <w:color w:val="000000"/>
        </w:rPr>
        <w:t xml:space="preserve"> non-established smokers, 26.7 percent initiated </w:t>
      </w:r>
      <w:r w:rsidR="00BC523B">
        <w:rPr>
          <w:rFonts w:eastAsia="Calibri" w:cs="Times New Roman"/>
          <w:color w:val="000000"/>
        </w:rPr>
        <w:t>with</w:t>
      </w:r>
      <w:r w:rsidR="00BC523B" w:rsidRPr="00A0218A">
        <w:rPr>
          <w:rFonts w:eastAsia="Calibri" w:cs="Times New Roman"/>
          <w:color w:val="000000"/>
        </w:rPr>
        <w:t xml:space="preserve"> </w:t>
      </w:r>
      <w:r w:rsidRPr="00A0218A">
        <w:rPr>
          <w:rFonts w:eastAsia="Calibri" w:cs="Times New Roman"/>
          <w:color w:val="000000"/>
        </w:rPr>
        <w:t xml:space="preserve">menthol, compared with 73.3 percent </w:t>
      </w:r>
      <w:r w:rsidR="00BC523B">
        <w:rPr>
          <w:rFonts w:eastAsia="Calibri" w:cs="Times New Roman"/>
          <w:color w:val="000000"/>
        </w:rPr>
        <w:t>with</w:t>
      </w:r>
      <w:r w:rsidR="00BC523B" w:rsidRPr="00A0218A">
        <w:rPr>
          <w:rFonts w:eastAsia="Calibri" w:cs="Times New Roman"/>
          <w:color w:val="000000"/>
        </w:rPr>
        <w:t xml:space="preserve"> </w:t>
      </w:r>
      <w:r>
        <w:rPr>
          <w:rFonts w:eastAsia="Calibri" w:cs="Times New Roman"/>
          <w:color w:val="000000"/>
        </w:rPr>
        <w:t>non-menthol. Nonnemaker et al.</w:t>
      </w:r>
      <w:r w:rsidR="00DA1E49">
        <w:rPr>
          <w:rFonts w:eastAsia="Calibri" w:cs="Times New Roman"/>
          <w:color w:val="000000"/>
        </w:rPr>
        <w:t xml:space="preserve">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&lt;EndNote&gt;&lt;Cite&gt;&lt;Author&gt;Nonnemaker&lt;/Author&gt;&lt;Year&gt;2012&lt;/Year&gt;&lt;RecNum&gt;31&lt;/RecNum&gt;&lt;DisplayText&gt;(72)&lt;/DisplayText&gt;&lt;record&gt;&lt;rec-number&gt;31&lt;/rec-number&gt;&lt;foreign-keys&gt;&lt;key app="EN" db-id="a2vz2dfp8xrad6exes75zwpiw5rxwa0vwapv" timestamp="0"&gt;31&lt;/key&gt;&lt;/foreign-keys&gt;&lt;ref-type name="Journal Article"&gt;17&lt;/ref-type&gt;&lt;contributors&gt;&lt;authors&gt;&lt;author&gt;Nonnemaker, J.&lt;/author&gt;&lt;author&gt;Hersey, J.&lt;/author&gt;&lt;author&gt;Homsi, G.&lt;/author&gt;&lt;author&gt;Busey, A.&lt;/author&gt;&lt;author&gt;Allen, J.&lt;/author&gt;&lt;author&gt;Vallone, D.&lt;/author&gt;&lt;/authors&gt;&lt;/contributors&gt;&lt;auth-address&gt;RTI International, Research Triangle Park, NC 27709-2194, USA. jnonnemaker@rti.org&lt;/auth-address&gt;&lt;titles&gt;&lt;title&gt;Initiation with menthol cigarettes and youth smoking uptake&lt;/title&gt;&lt;secondary-title&gt;Addiction&lt;/secondary-title&gt;&lt;/titles&gt;&lt;periodical&gt;&lt;full-title&gt;Addiction&lt;/full-title&gt;&lt;/periodical&gt;&lt;pages&gt;171-8&lt;/pages&gt;&lt;volume&gt;108&lt;/volume&gt;&lt;number&gt;1&lt;/number&gt;&lt;keywords&gt;&lt;keyword&gt;Adolescent&lt;/keyword&gt;&lt;keyword&gt;Age Distribution&lt;/keyword&gt;&lt;keyword&gt;Child&lt;/keyword&gt;&lt;keyword&gt;Female&lt;/keyword&gt;&lt;keyword&gt;Flavoring Agents/*adverse effects&lt;/keyword&gt;&lt;keyword&gt;Humans&lt;/keyword&gt;&lt;keyword&gt;Longitudinal Studies&lt;/keyword&gt;&lt;keyword&gt;Male&lt;/keyword&gt;&lt;keyword&gt;Menthol/*adverse effects&lt;/keyword&gt;&lt;keyword&gt;Risk Factors&lt;/keyword&gt;&lt;keyword&gt;Sex Distribution&lt;/keyword&gt;&lt;keyword&gt;Smoking/*adverse effects&lt;/keyword&gt;&lt;keyword&gt;Smoking Cessation/psychology/statistics &amp;amp; numerical data&lt;/keyword&gt;&lt;keyword&gt;Tobacco Products/*adverse effects&lt;/keyword&gt;&lt;keyword&gt;Tobacco Use Disorder/*etiology&lt;/keyword&gt;&lt;keyword&gt;United States&lt;/keyword&gt;&lt;/keywords&gt;&lt;dates&gt;&lt;year&gt;2012&lt;/year&gt;&lt;pub-dates&gt;&lt;date&gt;Jan&lt;/date&gt;&lt;/pub-dates&gt;&lt;/dates&gt;&lt;isbn&gt;1360-0443 (Electronic)&amp;#xD;0965-2140 (Linking)&lt;/isbn&gt;&lt;accession-num&gt;22862154&lt;/accession-num&gt;&lt;urls&gt;&lt;related-urls&gt;&lt;url&gt;http://www.ncbi.nlm.nih.gov/pubmed/22862154&lt;/url&gt;&lt;/related-urls&gt;&lt;/urls&gt;&lt;electronic-resource-num&gt;10.1111/j.1360-0443.2012.04045.x&lt;/electronic-resource-num&gt;&lt;research-notes&gt;#160&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2" w:tooltip="Nonnemaker, 2012 #31" w:history="1">
        <w:r w:rsidR="00A234A9">
          <w:rPr>
            <w:rFonts w:eastAsia="Calibri" w:cs="Times New Roman"/>
            <w:noProof/>
            <w:color w:val="000000"/>
          </w:rPr>
          <w:t>72</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also reported percentages of youth who remained current smokers at </w:t>
      </w:r>
      <w:r w:rsidR="00BC523B">
        <w:rPr>
          <w:rFonts w:eastAsia="Calibri" w:cs="Times New Roman"/>
          <w:color w:val="000000"/>
        </w:rPr>
        <w:t>wave three</w:t>
      </w:r>
      <w:r w:rsidRPr="00A0218A">
        <w:rPr>
          <w:rFonts w:eastAsia="Calibri" w:cs="Times New Roman"/>
          <w:color w:val="000000"/>
        </w:rPr>
        <w:t xml:space="preserve"> of the ALLTURS study by switching status. Among </w:t>
      </w:r>
      <w:r w:rsidR="00E1156E">
        <w:rPr>
          <w:rFonts w:eastAsia="Calibri" w:cs="Times New Roman"/>
          <w:color w:val="000000"/>
        </w:rPr>
        <w:t>Black</w:t>
      </w:r>
      <w:r w:rsidRPr="00A0218A">
        <w:rPr>
          <w:rFonts w:eastAsia="Calibri" w:cs="Times New Roman"/>
          <w:color w:val="000000"/>
        </w:rPr>
        <w:t xml:space="preserve"> smokers, 10.0 percent of menthol initiators switched to non-menthol by </w:t>
      </w:r>
      <w:r w:rsidR="00FB3684">
        <w:rPr>
          <w:rFonts w:eastAsia="Calibri" w:cs="Times New Roman"/>
          <w:color w:val="000000"/>
        </w:rPr>
        <w:t>the third wave</w:t>
      </w:r>
      <w:r w:rsidRPr="00A0218A">
        <w:rPr>
          <w:rFonts w:eastAsia="Calibri" w:cs="Times New Roman"/>
          <w:color w:val="000000"/>
        </w:rPr>
        <w:t>, and 13.0 percent of non-menthol initiators switched to menthol.</w:t>
      </w:r>
      <w:r w:rsidR="006F4C1D">
        <w:rPr>
          <w:rFonts w:eastAsia="Calibri" w:cs="Times New Roman"/>
          <w:color w:val="000000"/>
        </w:rPr>
        <w:t xml:space="preserve"> Tests of statistical significance were not reported for these rates.</w:t>
      </w:r>
    </w:p>
    <w:p w14:paraId="4F8C4565" w14:textId="7E544C02" w:rsidR="00A20AE4" w:rsidRDefault="00D04C52" w:rsidP="00B46744">
      <w:pPr>
        <w:spacing w:after="120" w:line="240" w:lineRule="auto"/>
        <w:jc w:val="both"/>
        <w:rPr>
          <w:rFonts w:eastAsia="Calibri" w:cs="Times New Roman"/>
          <w:color w:val="000000"/>
        </w:rPr>
      </w:pPr>
      <w:r>
        <w:rPr>
          <w:rFonts w:eastAsia="Calibri" w:cs="Times New Roman"/>
          <w:color w:val="000000"/>
        </w:rPr>
        <w:t>Faseru et al</w:t>
      </w:r>
      <w:r w:rsidR="008B4742">
        <w:rPr>
          <w:rFonts w:eastAsia="Calibri" w:cs="Times New Roman"/>
          <w:color w:val="000000"/>
        </w:rPr>
        <w:t xml:space="preserve">. </w:t>
      </w:r>
      <w:r w:rsidR="00D2134A">
        <w:rPr>
          <w:rFonts w:eastAsia="Calibri" w:cs="Times New Roman"/>
          <w:color w:val="000000"/>
        </w:rPr>
        <w:fldChar w:fldCharType="begin">
          <w:fldData xml:space="preserve">PEVuZE5vdGU+PENpdGU+PEF1dGhvcj5GYXNlcnU8L0F1dGhvcj48WWVhcj4yMDExPC9ZZWFyPjxS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PEVuZE5vdGU+PENpdGU+PEF1dGhvcj5GYXNlcnU8L0F1dGhvcj48WWVhcj4yMDExPC9ZZWFyPjxS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58" w:tooltip="Faseru, 2011 #40" w:history="1">
        <w:r w:rsidR="00A234A9">
          <w:rPr>
            <w:rFonts w:eastAsia="Calibri" w:cs="Times New Roman"/>
            <w:noProof/>
            <w:color w:val="000000"/>
          </w:rPr>
          <w:t>58</w:t>
        </w:r>
      </w:hyperlink>
      <w:r w:rsidR="00D2134A">
        <w:rPr>
          <w:rFonts w:eastAsia="Calibri" w:cs="Times New Roman"/>
          <w:noProof/>
          <w:color w:val="000000"/>
        </w:rPr>
        <w:t>)</w:t>
      </w:r>
      <w:r w:rsidR="00D2134A">
        <w:rPr>
          <w:rFonts w:eastAsia="Calibri" w:cs="Times New Roman"/>
          <w:color w:val="000000"/>
        </w:rPr>
        <w:fldChar w:fldCharType="end"/>
      </w:r>
      <w:r w:rsidR="008B4742">
        <w:rPr>
          <w:rFonts w:eastAsia="Calibri" w:cs="Times New Roman"/>
          <w:color w:val="000000"/>
        </w:rPr>
        <w:t xml:space="preserve"> ex</w:t>
      </w:r>
      <w:r w:rsidRPr="00A0218A">
        <w:rPr>
          <w:rFonts w:eastAsia="Calibri" w:cs="Times New Roman"/>
          <w:color w:val="000000"/>
        </w:rPr>
        <w:t xml:space="preserve">amined baseline data from 540 participants in a smoking cessation trial that enrolled only </w:t>
      </w:r>
      <w:r w:rsidR="00E1156E">
        <w:rPr>
          <w:rFonts w:eastAsia="Calibri" w:cs="Times New Roman"/>
          <w:color w:val="000000"/>
        </w:rPr>
        <w:t>Black</w:t>
      </w:r>
      <w:r w:rsidRPr="00A0218A">
        <w:rPr>
          <w:rFonts w:eastAsia="Calibri" w:cs="Times New Roman"/>
          <w:color w:val="000000"/>
        </w:rPr>
        <w:t xml:space="preserve"> smokers who smoked ten or fewer cigarettes per day (“light smokers”). The authors found that menthol smokers were slightly younger than non-menthol smokers at both age at first cigarette (17.7±6.8 </w:t>
      </w:r>
      <w:r>
        <w:rPr>
          <w:rFonts w:eastAsia="Calibri" w:cs="Times New Roman"/>
          <w:color w:val="000000"/>
        </w:rPr>
        <w:t>versus</w:t>
      </w:r>
      <w:r w:rsidRPr="00A0218A">
        <w:rPr>
          <w:rFonts w:eastAsia="Calibri" w:cs="Times New Roman"/>
          <w:color w:val="000000"/>
        </w:rPr>
        <w:t xml:space="preserve"> 17.9±5.8 years, p=0.67) and age at the start of regular smoking (21.2±7.7 </w:t>
      </w:r>
      <w:r>
        <w:rPr>
          <w:rFonts w:eastAsia="Calibri" w:cs="Times New Roman"/>
          <w:color w:val="000000"/>
        </w:rPr>
        <w:t>versus</w:t>
      </w:r>
      <w:r w:rsidRPr="00A0218A">
        <w:rPr>
          <w:rFonts w:eastAsia="Calibri" w:cs="Times New Roman"/>
          <w:color w:val="000000"/>
        </w:rPr>
        <w:t xml:space="preserve"> 21.7±6.8 years, p=0.38)</w:t>
      </w:r>
      <w:r w:rsidR="006F4C1D">
        <w:rPr>
          <w:rFonts w:eastAsia="Calibri" w:cs="Times New Roman"/>
          <w:color w:val="000000"/>
        </w:rPr>
        <w:t>. These findings were not statistically significant</w:t>
      </w:r>
      <w:r w:rsidR="00A20AE4">
        <w:rPr>
          <w:rFonts w:eastAsia="Calibri" w:cs="Times New Roman"/>
          <w:color w:val="000000"/>
        </w:rPr>
        <w:t>.</w:t>
      </w:r>
    </w:p>
    <w:p w14:paraId="534F1566" w14:textId="7145F1C7" w:rsidR="00D04C52" w:rsidRPr="00A0218A" w:rsidRDefault="00D04C52" w:rsidP="00B46744">
      <w:pPr>
        <w:spacing w:after="120" w:line="240" w:lineRule="auto"/>
        <w:jc w:val="both"/>
        <w:rPr>
          <w:rFonts w:eastAsia="Calibri" w:cs="Times New Roman"/>
          <w:color w:val="000000"/>
        </w:rPr>
      </w:pPr>
      <w:r w:rsidRPr="00A0218A">
        <w:rPr>
          <w:rFonts w:eastAsia="Calibri" w:cs="Times New Roman"/>
          <w:color w:val="000000"/>
        </w:rPr>
        <w:t xml:space="preserve">In another publication that analyzed data from </w:t>
      </w:r>
      <w:r>
        <w:rPr>
          <w:rFonts w:eastAsia="Calibri" w:cs="Times New Roman"/>
          <w:color w:val="000000"/>
        </w:rPr>
        <w:t xml:space="preserve">the ALLTURS, Nonnemaker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&lt;EndNote&gt;&lt;Cite&gt;&lt;Author&gt;Nonnemaker&lt;/Author&gt;&lt;Year&gt;2010&lt;/Year&gt;&lt;RecNum&gt;97&lt;/RecNum&gt;&lt;DisplayText&gt;(73)&lt;/DisplayText&gt;&lt;record&gt;&lt;rec-number&gt;97&lt;/rec-number&gt;&lt;foreign-keys&gt;&lt;key app="EN" db-id="a2vz2dfp8xrad6exes75zwpiw5rxwa0vwapv" timestamp="0"&gt;97&lt;/key&gt;&lt;/foreign-keys&gt;&lt;ref-type name="Report"&gt;27&lt;/ref-type&gt;&lt;contributors&gt;&lt;authors&gt;&lt;author&gt;Nonnemaker, J.&lt;/author&gt;&lt;author&gt;Hersey, J.&lt;/author&gt;&lt;author&gt;Homsi, G.&lt;/author&gt;&lt;author&gt;Busey, A.&lt;/author&gt;&lt;/authors&gt;&lt;/contributors&gt;&lt;titles&gt;&lt;title&gt;Menthol cigarettes and youth smoking updake&lt;/title&gt;&lt;/titles&gt;&lt;dates&gt;&lt;year&gt;2010&lt;/year&gt;&lt;/dates&gt;&lt;pub-location&gt;RTI International&lt;/pub-location&gt;&lt;urls&gt;&lt;/urls&gt;&lt;research-notes&gt;#812&lt;/research-notes&gt;&lt;/record&gt;&lt;/Cite&gt;&lt;/EndNote&gt;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3" w:tooltip="Nonnemaker, 2010 #97" w:history="1">
        <w:r w:rsidR="00A234A9">
          <w:rPr>
            <w:rFonts w:eastAsia="Calibri" w:cs="Times New Roman"/>
            <w:noProof/>
            <w:color w:val="000000"/>
          </w:rPr>
          <w:t>73</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assessed the percentage of </w:t>
      </w:r>
      <w:r w:rsidR="00E1156E">
        <w:rPr>
          <w:rFonts w:eastAsia="Calibri" w:cs="Times New Roman"/>
          <w:color w:val="000000"/>
        </w:rPr>
        <w:t>Black</w:t>
      </w:r>
      <w:r w:rsidRPr="00A0218A">
        <w:rPr>
          <w:rFonts w:eastAsia="Calibri" w:cs="Times New Roman"/>
          <w:color w:val="000000"/>
        </w:rPr>
        <w:t xml:space="preserve"> current smokers at </w:t>
      </w:r>
      <w:r w:rsidR="00095BCF">
        <w:rPr>
          <w:rFonts w:eastAsia="Calibri" w:cs="Times New Roman"/>
          <w:color w:val="000000"/>
        </w:rPr>
        <w:t>wave</w:t>
      </w:r>
      <w:r w:rsidR="00095BCF" w:rsidRPr="00A0218A">
        <w:rPr>
          <w:rFonts w:eastAsia="Calibri" w:cs="Times New Roman"/>
          <w:color w:val="000000"/>
        </w:rPr>
        <w:t xml:space="preserve"> </w:t>
      </w:r>
      <w:r w:rsidR="00095BCF">
        <w:rPr>
          <w:rFonts w:eastAsia="Calibri" w:cs="Times New Roman"/>
          <w:color w:val="000000"/>
        </w:rPr>
        <w:t>three</w:t>
      </w:r>
      <w:r w:rsidR="00095BCF" w:rsidRPr="00A0218A">
        <w:rPr>
          <w:rFonts w:eastAsia="Calibri" w:cs="Times New Roman"/>
          <w:color w:val="000000"/>
        </w:rPr>
        <w:t xml:space="preserve"> </w:t>
      </w:r>
      <w:r w:rsidRPr="00A0218A">
        <w:rPr>
          <w:rFonts w:eastAsia="Calibri" w:cs="Times New Roman"/>
          <w:color w:val="000000"/>
        </w:rPr>
        <w:t xml:space="preserve">who initiated to menthol cigarettes. The authors analyzed two sets of smokers: one that included youth who started smoking during the final </w:t>
      </w:r>
      <w:r w:rsidR="00095BCF">
        <w:rPr>
          <w:rFonts w:eastAsia="Calibri" w:cs="Times New Roman"/>
          <w:color w:val="000000"/>
        </w:rPr>
        <w:t xml:space="preserve">third </w:t>
      </w:r>
      <w:r w:rsidRPr="00A0218A">
        <w:rPr>
          <w:rFonts w:eastAsia="Calibri" w:cs="Times New Roman"/>
          <w:color w:val="000000"/>
        </w:rPr>
        <w:t xml:space="preserve">wave and one that </w:t>
      </w:r>
      <w:r w:rsidR="00095BCF">
        <w:rPr>
          <w:rFonts w:eastAsia="Calibri" w:cs="Times New Roman"/>
          <w:color w:val="000000"/>
        </w:rPr>
        <w:t>excluded wave three initiators</w:t>
      </w:r>
      <w:r w:rsidRPr="00A0218A">
        <w:rPr>
          <w:rFonts w:eastAsia="Calibri" w:cs="Times New Roman"/>
          <w:color w:val="000000"/>
        </w:rPr>
        <w:t xml:space="preserve">. </w:t>
      </w:r>
      <w:r w:rsidR="00DA1E49">
        <w:rPr>
          <w:rFonts w:eastAsia="Calibri" w:cs="Times New Roman"/>
          <w:color w:val="000000"/>
        </w:rPr>
        <w:t>When including wave three initiators</w:t>
      </w:r>
      <w:r w:rsidRPr="00A0218A">
        <w:rPr>
          <w:rFonts w:eastAsia="Calibri" w:cs="Times New Roman"/>
          <w:color w:val="000000"/>
        </w:rPr>
        <w:t xml:space="preserve">, 50.0 percent of </w:t>
      </w:r>
      <w:r w:rsidR="00E1156E">
        <w:rPr>
          <w:rFonts w:eastAsia="Calibri" w:cs="Times New Roman"/>
          <w:color w:val="000000"/>
        </w:rPr>
        <w:t>Black</w:t>
      </w:r>
      <w:r w:rsidRPr="00A0218A">
        <w:rPr>
          <w:rFonts w:eastAsia="Calibri" w:cs="Times New Roman"/>
          <w:color w:val="000000"/>
        </w:rPr>
        <w:t xml:space="preserve"> current smokers initiated to menthol; in the second set</w:t>
      </w:r>
      <w:r w:rsidR="00DA1E49">
        <w:rPr>
          <w:rFonts w:eastAsia="Calibri" w:cs="Times New Roman"/>
          <w:color w:val="000000"/>
        </w:rPr>
        <w:t xml:space="preserve"> that excludes wave three initiators</w:t>
      </w:r>
      <w:r w:rsidRPr="00A0218A">
        <w:rPr>
          <w:rFonts w:eastAsia="Calibri" w:cs="Times New Roman"/>
          <w:color w:val="000000"/>
        </w:rPr>
        <w:t xml:space="preserve">, 51.8 percent initiated to menthol. </w:t>
      </w:r>
      <w:r>
        <w:rPr>
          <w:rFonts w:eastAsia="Calibri" w:cs="Times New Roman"/>
          <w:color w:val="000000"/>
        </w:rPr>
        <w:t xml:space="preserve">The authors </w:t>
      </w:r>
      <w:r w:rsidRPr="00A0218A">
        <w:rPr>
          <w:rFonts w:eastAsia="Calibri" w:cs="Times New Roman"/>
          <w:color w:val="000000"/>
        </w:rPr>
        <w:t xml:space="preserve">also examined rates of switching cigarette type among </w:t>
      </w:r>
      <w:r w:rsidR="00E1156E">
        <w:rPr>
          <w:rFonts w:eastAsia="Calibri" w:cs="Times New Roman"/>
          <w:color w:val="000000"/>
        </w:rPr>
        <w:t>Black</w:t>
      </w:r>
      <w:r w:rsidRPr="00A0218A">
        <w:rPr>
          <w:rFonts w:eastAsia="Calibri" w:cs="Times New Roman"/>
          <w:color w:val="000000"/>
        </w:rPr>
        <w:t xml:space="preserve"> youth in this sample. Including youth who started smoking during the </w:t>
      </w:r>
      <w:r w:rsidR="00DA1E49">
        <w:rPr>
          <w:rFonts w:eastAsia="Calibri" w:cs="Times New Roman"/>
          <w:color w:val="000000"/>
        </w:rPr>
        <w:t>third</w:t>
      </w:r>
      <w:r w:rsidR="00DA1E49" w:rsidRPr="00A0218A">
        <w:rPr>
          <w:rFonts w:eastAsia="Calibri" w:cs="Times New Roman"/>
          <w:color w:val="000000"/>
        </w:rPr>
        <w:t xml:space="preserve"> </w:t>
      </w:r>
      <w:r w:rsidRPr="00A0218A">
        <w:rPr>
          <w:rFonts w:eastAsia="Calibri" w:cs="Times New Roman"/>
          <w:color w:val="000000"/>
        </w:rPr>
        <w:t xml:space="preserve">wave, 3.9 percent of </w:t>
      </w:r>
      <w:r w:rsidR="00E1156E">
        <w:rPr>
          <w:rFonts w:eastAsia="Calibri" w:cs="Times New Roman"/>
          <w:color w:val="000000"/>
        </w:rPr>
        <w:t>Black</w:t>
      </w:r>
      <w:r w:rsidRPr="00A0218A">
        <w:rPr>
          <w:rFonts w:eastAsia="Calibri" w:cs="Times New Roman"/>
          <w:color w:val="000000"/>
        </w:rPr>
        <w:t xml:space="preserve"> menthol smokers switched to non-menthol cigarettes, and 5.1 percent of </w:t>
      </w:r>
      <w:r w:rsidR="00E1156E">
        <w:rPr>
          <w:rFonts w:eastAsia="Calibri" w:cs="Times New Roman"/>
          <w:color w:val="000000"/>
        </w:rPr>
        <w:t>Black</w:t>
      </w:r>
      <w:r w:rsidRPr="00A0218A">
        <w:rPr>
          <w:rFonts w:eastAsia="Calibri" w:cs="Times New Roman"/>
          <w:color w:val="000000"/>
        </w:rPr>
        <w:t xml:space="preserve"> non-menthol smokers switched to menthol cigarettes.</w:t>
      </w:r>
      <w:r w:rsidR="00DA1E49">
        <w:rPr>
          <w:rFonts w:eastAsia="Calibri" w:cs="Times New Roman"/>
          <w:color w:val="000000"/>
        </w:rPr>
        <w:t xml:space="preserve"> </w:t>
      </w:r>
      <w:r w:rsidR="006F4C1D">
        <w:rPr>
          <w:rFonts w:eastAsia="Calibri" w:cs="Times New Roman"/>
          <w:color w:val="000000"/>
        </w:rPr>
        <w:t>Tests of statistical significance were not reported for these rates and i</w:t>
      </w:r>
      <w:r w:rsidR="00DA1E49" w:rsidRPr="00A0218A">
        <w:rPr>
          <w:rFonts w:eastAsia="Calibri" w:cs="Times New Roman"/>
          <w:color w:val="000000"/>
        </w:rPr>
        <w:t>t is unclear how much overlap there is in the samples used in the 2010 and 2012 publications.</w:t>
      </w:r>
    </w:p>
    <w:p w14:paraId="1BF4BE80" w14:textId="64209C8F" w:rsidR="00D04C52" w:rsidRPr="00A0218A" w:rsidRDefault="00D04C52" w:rsidP="00B46744">
      <w:pPr>
        <w:spacing w:after="120" w:line="240" w:lineRule="auto"/>
        <w:jc w:val="both"/>
        <w:rPr>
          <w:rFonts w:eastAsia="Calibri" w:cs="Times New Roman"/>
          <w:i/>
          <w:color w:val="000000"/>
        </w:rPr>
      </w:pPr>
      <w:r>
        <w:rPr>
          <w:rFonts w:eastAsia="Calibri" w:cs="Times New Roman"/>
          <w:color w:val="000000"/>
        </w:rPr>
        <w:t xml:space="preserve">Okuyemi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&lt;EndNote&gt;&lt;Cite&gt;&lt;Author&gt;Okuyemi&lt;/Author&gt;&lt;Year&gt;2007&lt;/Year&gt;&lt;RecNum&gt;74&lt;/RecNum&gt;&lt;DisplayText&gt;(74)&lt;/DisplayText&gt;&lt;record&gt;&lt;rec-number&gt;74&lt;/rec-number&gt;&lt;foreign-keys&gt;&lt;key app="EN" db-id="a2vz2dfp8xrad6exes75zwpiw5rxwa0vwapv" timestamp="0"&gt;74&lt;/key&gt;&lt;/foreign-keys&gt;&lt;ref-type name="Journal Article"&gt;17&lt;/ref-type&gt;&lt;contributors&gt;&lt;authors&gt;&lt;author&gt;Okuyemi, K. S.&lt;/author&gt;&lt;author&gt;Faseru, B.&lt;/author&gt;&lt;author&gt;Sanderson Cox, L.&lt;/author&gt;&lt;author&gt;Bronars, C. A.&lt;/author&gt;&lt;author&gt;Ahluwalia, J. S.&lt;/author&gt;&lt;/authors&gt;&lt;/contributors&gt;&lt;auth-address&gt;Program in Health Disparities Research, University of Minnesota Medical School, Minneapolis, MN 55455, USA. kokuyemi@umn.edu&lt;/auth-address&gt;&lt;titles&gt;&lt;title&gt;Relationship between menthol cigarettes and smoking cessation among African American light smokers&lt;/title&gt;&lt;secondary-title&gt;Addiction&lt;/secondary-title&gt;&lt;/titles&gt;&lt;periodical&gt;&lt;full-title&gt;Addiction&lt;/full-title&gt;&lt;/periodical&gt;&lt;pages&gt;1979-86&lt;/pages&gt;&lt;volume&gt;102&lt;/volume&gt;&lt;number&gt;12&lt;/number&gt;&lt;keywords&gt;&lt;keyword&gt;Adult&lt;/keyword&gt;&lt;keyword&gt;African Americans/*ethnology/psychology&lt;/keyword&gt;&lt;keyword&gt;Age Factors&lt;/keyword&gt;&lt;keyword&gt;Female&lt;/keyword&gt;&lt;keyword&gt;Health Education&lt;/keyword&gt;&lt;keyword&gt;Humans&lt;/keyword&gt;&lt;keyword&gt;Male&lt;/keyword&gt;&lt;keyword&gt;*Menthol&lt;/keyword&gt;&lt;keyword&gt;Middle Aged&lt;/keyword&gt;&lt;keyword&gt;Regression Analysis&lt;/keyword&gt;&lt;keyword&gt;Smoking/*adverse effects&lt;/keyword&gt;&lt;keyword&gt;Smoking Cessation/*ethnology/psychology/statistics &amp;amp; numerical data&lt;/keyword&gt;&lt;keyword&gt;Tobacco/*adverse effects&lt;/keyword&gt;&lt;/keywords&gt;&lt;dates&gt;&lt;year&gt;2007&lt;/year&gt;&lt;pub-dates&gt;&lt;date&gt;Dec&lt;/date&gt;&lt;/pub-dates&gt;&lt;/dates&gt;&lt;isbn&gt;0965-2140 (Print)&amp;#xD;0965-2140 (Linking)&lt;/isbn&gt;&lt;accession-num&gt;17916223&lt;/accession-num&gt;&lt;urls&gt;&lt;related-urls&gt;&lt;url&gt;http://www.ncbi.nlm.nih.gov/pubmed/17916223&lt;/url&gt;&lt;/related-urls&gt;&lt;/urls&gt;&lt;electronic-resource-num&gt;10.1111/j.1360-0443.2007.02010.x&lt;/electronic-resource-num&gt;&lt;research-notes&gt;#367&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4" w:tooltip="Okuyemi, 2007 #74" w:history="1">
        <w:r w:rsidR="00A234A9">
          <w:rPr>
            <w:rFonts w:eastAsia="Calibri" w:cs="Times New Roman"/>
            <w:noProof/>
            <w:color w:val="000000"/>
          </w:rPr>
          <w:t>74</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reported baseline data from a smoking cessation trial that enrolled 755 </w:t>
      </w:r>
      <w:r w:rsidR="00E1156E">
        <w:rPr>
          <w:rFonts w:eastAsia="Calibri" w:cs="Times New Roman"/>
          <w:color w:val="000000"/>
        </w:rPr>
        <w:t>Black</w:t>
      </w:r>
      <w:r w:rsidRPr="00A0218A">
        <w:rPr>
          <w:rFonts w:eastAsia="Calibri" w:cs="Times New Roman"/>
          <w:color w:val="000000"/>
        </w:rPr>
        <w:t xml:space="preserve"> “light smokers” (&lt;10 cigarettes per day). Menthol smokers started smoking regularly at a slightly older age (21.2±6.8 years), compared with non-menthol smokers (21.1±7.3 years, p=0.97)</w:t>
      </w:r>
      <w:r w:rsidR="006F4C1D">
        <w:rPr>
          <w:rFonts w:eastAsia="Calibri" w:cs="Times New Roman"/>
          <w:color w:val="000000"/>
        </w:rPr>
        <w:t>. These findings were not statistically significant</w:t>
      </w:r>
      <w:r w:rsidRPr="00A0218A">
        <w:rPr>
          <w:rFonts w:eastAsia="Calibri" w:cs="Times New Roman"/>
          <w:color w:val="000000"/>
        </w:rPr>
        <w:t>.</w:t>
      </w:r>
    </w:p>
    <w:p w14:paraId="173D032D" w14:textId="15B4408B" w:rsidR="00D04C52" w:rsidRDefault="00D04C52" w:rsidP="00B46744">
      <w:pPr>
        <w:spacing w:after="240" w:line="240" w:lineRule="auto"/>
        <w:jc w:val="both"/>
        <w:rPr>
          <w:rFonts w:eastAsia="Calibri" w:cs="Times New Roman"/>
          <w:color w:val="000000"/>
        </w:rPr>
      </w:pPr>
      <w:r w:rsidRPr="00A0218A">
        <w:rPr>
          <w:rFonts w:eastAsia="Calibri" w:cs="Times New Roman"/>
          <w:color w:val="000000"/>
        </w:rPr>
        <w:t>In 2004, Okuyemi et al.</w:t>
      </w:r>
      <w:r>
        <w:rPr>
          <w:rFonts w:eastAsia="Calibri" w:cs="Times New Roman"/>
          <w:color w:val="000000"/>
        </w:rPr>
        <w:t xml:space="preserve">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&lt;EndNote&gt;&lt;Cite&gt;&lt;Author&gt;Okuyemi&lt;/Author&gt;&lt;Year&gt;2004&lt;/Year&gt;&lt;RecNum&gt;81&lt;/RecNum&gt;&lt;DisplayText&gt;(75)&lt;/DisplayText&gt;&lt;record&gt;&lt;rec-number&gt;81&lt;/rec-number&gt;&lt;foreign-keys&gt;&lt;key app="EN" db-id="a2vz2dfp8xrad6exes75zwpiw5rxwa0vwapv" timestamp="0"&gt;81&lt;/key&gt;&lt;/foreign-keys&gt;&lt;ref-type name="Journal Article"&gt;17&lt;/ref-type&gt;&lt;contributors&gt;&lt;authors&gt;&lt;author&gt;Okuyemi, K. S.&lt;/author&gt;&lt;author&gt;Ebersole-Robinson, M. &lt;/author&gt;&lt;author&gt;Nazir, N. &lt;/author&gt;&lt;author&gt;Ahluwalia, J. S.&lt;/author&gt;&lt;/authors&gt;&lt;/contributors&gt;&lt;titles&gt;&lt;title&gt;African-American menthol and nonmenthol smokers: Differences in smoking and cessation experiences&lt;/title&gt;&lt;secondary-title&gt;J Natl Med Assoc&lt;/secondary-title&gt;&lt;/titles&gt;&lt;pages&gt;1208-1211&lt;/pages&gt;&lt;volume&gt;96&lt;/volume&gt;&lt;number&gt;9&lt;/number&gt;&lt;section&gt;1208&lt;/section&gt;&lt;dates&gt;&lt;year&gt;2004&lt;/year&gt;&lt;/dates&gt;&lt;urls&gt;&lt;/urls&gt;&lt;research-notes&gt;#405&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5" w:tooltip="Okuyemi, 2004 #81" w:history="1">
        <w:r w:rsidR="00A234A9">
          <w:rPr>
            <w:rFonts w:eastAsia="Calibri" w:cs="Times New Roman"/>
            <w:noProof/>
            <w:color w:val="000000"/>
          </w:rPr>
          <w:t>75</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conducted a survey of 480 </w:t>
      </w:r>
      <w:r w:rsidR="00E1156E">
        <w:rPr>
          <w:rFonts w:eastAsia="Calibri" w:cs="Times New Roman"/>
          <w:color w:val="000000"/>
        </w:rPr>
        <w:t>Black</w:t>
      </w:r>
      <w:r w:rsidRPr="00A0218A">
        <w:rPr>
          <w:rFonts w:eastAsia="Calibri" w:cs="Times New Roman"/>
          <w:color w:val="000000"/>
        </w:rPr>
        <w:t xml:space="preserve"> smokers who had smoked a cigarette in the last 30 days and at least 100 lifetime cigarettes. The median age at first cigarette was 15 </w:t>
      </w:r>
      <w:r>
        <w:rPr>
          <w:rFonts w:eastAsia="Calibri" w:cs="Times New Roman"/>
          <w:color w:val="000000"/>
        </w:rPr>
        <w:t xml:space="preserve">years old </w:t>
      </w:r>
      <w:r w:rsidRPr="00A0218A">
        <w:rPr>
          <w:rFonts w:eastAsia="Calibri" w:cs="Times New Roman"/>
          <w:color w:val="000000"/>
        </w:rPr>
        <w:t xml:space="preserve">for menthol smokers and 16 </w:t>
      </w:r>
      <w:r>
        <w:rPr>
          <w:rFonts w:eastAsia="Calibri" w:cs="Times New Roman"/>
          <w:color w:val="000000"/>
        </w:rPr>
        <w:t xml:space="preserve">years old </w:t>
      </w:r>
      <w:r w:rsidRPr="00A0218A">
        <w:rPr>
          <w:rFonts w:eastAsia="Calibri" w:cs="Times New Roman"/>
          <w:color w:val="000000"/>
        </w:rPr>
        <w:t xml:space="preserve">for non-menthol smokers (p=0.69). The median age at start of regular smoking was 18 </w:t>
      </w:r>
      <w:r>
        <w:rPr>
          <w:rFonts w:eastAsia="Calibri" w:cs="Times New Roman"/>
          <w:color w:val="000000"/>
        </w:rPr>
        <w:t xml:space="preserve">years old </w:t>
      </w:r>
      <w:r w:rsidRPr="00A0218A">
        <w:rPr>
          <w:rFonts w:eastAsia="Calibri" w:cs="Times New Roman"/>
          <w:color w:val="000000"/>
        </w:rPr>
        <w:t>for both menthol and non-menthol smokers (p=0.88)</w:t>
      </w:r>
      <w:r w:rsidR="006F4C1D">
        <w:rPr>
          <w:rFonts w:eastAsia="Calibri" w:cs="Times New Roman"/>
          <w:color w:val="000000"/>
        </w:rPr>
        <w:t>. These findings were not statistically significant</w:t>
      </w:r>
      <w:r w:rsidRPr="00A0218A">
        <w:rPr>
          <w:rFonts w:eastAsia="Calibri" w:cs="Times New Roman"/>
          <w:color w:val="000000"/>
        </w:rPr>
        <w:t>.</w:t>
      </w:r>
    </w:p>
    <w:p w14:paraId="1AAFA48D" w14:textId="6DCAD16C" w:rsidR="00915113" w:rsidRPr="000F618F" w:rsidRDefault="00915113" w:rsidP="000F618F">
      <w:r>
        <w:rPr>
          <w:rFonts w:eastAsia="Calibri" w:cs="Times New Roman"/>
          <w:color w:val="000000"/>
        </w:rPr>
        <w:lastRenderedPageBreak/>
        <w:t xml:space="preserve">Lastly, </w:t>
      </w:r>
      <w:r w:rsidRPr="001A4FE3">
        <w:t xml:space="preserve">Cubbin et al. </w:t>
      </w:r>
      <w:r w:rsidR="00D2134A">
        <w:fldChar w:fldCharType="begin"/>
      </w:r>
      <w:r w:rsidR="00D2134A">
        <w:instrText xml:space="preserve"> ADDIN EN.CITE &lt;EndNote&gt;&lt;Cite&gt;&lt;Author&gt;Cubbin&lt;/Author&gt;&lt;Year&gt;2010&lt;/Year&gt;&lt;RecNum&gt;53&lt;/RecNum&gt;&lt;DisplayText&gt;(50)&lt;/DisplayText&gt;&lt;record&gt;&lt;rec-number&gt;53&lt;/rec-number&gt;&lt;foreign-keys&gt;&lt;key app="EN" db-id="a2vz2dfp8xrad6exes75zwpiw5rxwa0vwapv" timestamp="0"&gt;53&lt;/key&gt;&lt;/foreign-keys&gt;&lt;ref-type name="Journal Article"&gt;17&lt;/ref-type&gt;&lt;contributors&gt;&lt;authors&gt;&lt;author&gt;Cubbin, C.&lt;/author&gt;&lt;author&gt;Soobader, M. J.&lt;/author&gt;&lt;author&gt;LeClere, F. B.&lt;/author&gt;&lt;/authors&gt;&lt;/contributors&gt;&lt;auth-address&gt;School of Social Work, University of Texas at Austin, Austin, TX 78712-0358, USA. ccubbin@austin.utexas.edu&lt;/auth-address&gt;&lt;titles&gt;&lt;title&gt;The intersection of gender and race/ethnicity in smoking behaviors among menthol and non-menthol smokers in the United States&lt;/title&gt;&lt;secondary-title&gt;Addiction&lt;/secondary-title&gt;&lt;/titles&gt;&lt;periodical&gt;&lt;full-title&gt;Addiction&lt;/full-title&gt;&lt;/periodical&gt;&lt;pages&gt;32-8&lt;/pages&gt;&lt;volume&gt;105 Suppl 1&lt;/volume&gt;&lt;keywords&gt;&lt;keyword&gt;Adult&lt;/keyword&gt;&lt;keyword&gt;African Americans/statistics &amp;amp; numerical data&lt;/keyword&gt;&lt;keyword&gt;Age of Onset&lt;/keyword&gt;&lt;keyword&gt;Cross-Sectional Studies&lt;/keyword&gt;&lt;keyword&gt;European Continental Ancestry Group/statistics &amp;amp; numerical data&lt;/keyword&gt;&lt;keyword&gt;Female&lt;/keyword&gt;&lt;keyword&gt;Hispanic Americans/statistics &amp;amp; numerical data&lt;/keyword&gt;&lt;keyword&gt;Humans&lt;/keyword&gt;&lt;keyword&gt;Male&lt;/keyword&gt;&lt;keyword&gt;*Menthol&lt;/keyword&gt;&lt;keyword&gt;Middle Aged&lt;/keyword&gt;&lt;keyword&gt;*Population Surveillance&lt;/keyword&gt;&lt;keyword&gt;Sex Factors&lt;/keyword&gt;&lt;keyword&gt;Smoking/*epidemiology/ethnology&lt;/keyword&gt;&lt;keyword&gt;Smoking Cessation/ethnology/statistics &amp;amp; numerical data&lt;/keyword&gt;&lt;keyword&gt;Socioeconomic Factors&lt;/keyword&gt;&lt;keyword&gt;United States/epidemiology&lt;/keyword&gt;&lt;/keywords&gt;&lt;dates&gt;&lt;year&gt;2010&lt;/year&gt;&lt;pub-dates&gt;&lt;date&gt;Dec&lt;/date&gt;&lt;/pub-dates&gt;&lt;/dates&gt;&lt;isbn&gt;1360-0443 (Electronic)&amp;#xD;0965-2140 (Linking)&lt;/isbn&gt;&lt;accession-num&gt;21059134&lt;/accession-num&gt;&lt;urls&gt;&lt;related-urls&gt;&lt;url&gt;http://www.ncbi.nlm.nih.gov/pubmed/21059134&lt;/url&gt;&lt;/related-urls&gt;&lt;/urls&gt;&lt;electronic-resource-num&gt;10.1111/j.1360-0443.2010.03191.x&lt;/electronic-resource-num&gt;&lt;research-notes&gt;#281&lt;/research-notes&gt;&lt;/record&gt;&lt;/Cite&gt;&lt;/EndNote&gt;</w:instrText>
      </w:r>
      <w:r w:rsidR="00D2134A">
        <w:fldChar w:fldCharType="separate"/>
      </w:r>
      <w:r w:rsidR="00D2134A">
        <w:rPr>
          <w:noProof/>
        </w:rPr>
        <w:t>(</w:t>
      </w:r>
      <w:hyperlink w:anchor="_ENREF_50" w:tooltip="Cubbin, 2010 #53" w:history="1">
        <w:r w:rsidR="00A234A9">
          <w:rPr>
            <w:noProof/>
          </w:rPr>
          <w:t>50</w:t>
        </w:r>
      </w:hyperlink>
      <w:r w:rsidR="00D2134A">
        <w:rPr>
          <w:noProof/>
        </w:rPr>
        <w:t>)</w:t>
      </w:r>
      <w:r w:rsidR="00D2134A">
        <w:fldChar w:fldCharType="end"/>
      </w:r>
      <w:r w:rsidRPr="001A4FE3">
        <w:t xml:space="preserve"> reported data from adults in the 2005 NHIS. Authors looked at distribution of daily and non-daily smoking in menthol and non-menthol smokers stratified by race</w:t>
      </w:r>
      <w:r w:rsidR="00BF13A5">
        <w:t>/ethnicity</w:t>
      </w:r>
      <w:r w:rsidRPr="001A4FE3">
        <w:t xml:space="preserve"> and gender. Authors reported that in</w:t>
      </w:r>
      <w:r>
        <w:t xml:space="preserve"> </w:t>
      </w:r>
      <w:r w:rsidRPr="001A4FE3">
        <w:t>Black women population, for menthol use 3.1 percent were non-daily smokers and 11.2 percent were daily smokers, and for non-menthol use 0.9 percent were non-daily smokers and 3.3</w:t>
      </w:r>
      <w:r>
        <w:t xml:space="preserve"> percent were daily smokers; in </w:t>
      </w:r>
      <w:r w:rsidRPr="001A4FE3">
        <w:t>Black men population, for menthol use 5.2 percent were non-daily smokers and 14.9 percent were daily smokers, and for non-menthol use 2.1 percent were non-daily smokers and 6.1</w:t>
      </w:r>
      <w:r>
        <w:t xml:space="preserve"> percent were daily smokers.</w:t>
      </w:r>
    </w:p>
    <w:p w14:paraId="5F486879" w14:textId="77777777" w:rsidR="00D04C52" w:rsidRPr="00A0218A" w:rsidRDefault="00D04C52" w:rsidP="000F618F">
      <w:pPr>
        <w:spacing w:after="120" w:line="240" w:lineRule="auto"/>
        <w:jc w:val="both"/>
        <w:outlineLvl w:val="2"/>
        <w:rPr>
          <w:rFonts w:eastAsia="Calibri" w:cs="Times New Roman"/>
          <w:b/>
          <w:i/>
          <w:color w:val="000000"/>
        </w:rPr>
      </w:pPr>
      <w:r w:rsidRPr="00A0218A">
        <w:rPr>
          <w:rFonts w:eastAsia="Calibri" w:cs="Times New Roman"/>
          <w:b/>
          <w:i/>
          <w:color w:val="000000"/>
        </w:rPr>
        <w:t>Hispanics</w:t>
      </w:r>
    </w:p>
    <w:p w14:paraId="77DCCD16" w14:textId="357608AC" w:rsidR="00915113" w:rsidRDefault="00D04C52" w:rsidP="000F618F">
      <w:pPr>
        <w:spacing w:after="120" w:line="240" w:lineRule="auto"/>
        <w:jc w:val="both"/>
        <w:rPr>
          <w:i/>
        </w:rPr>
      </w:pPr>
      <w:r w:rsidRPr="00A0218A">
        <w:rPr>
          <w:rFonts w:eastAsia="Calibri" w:cs="Times New Roman"/>
          <w:i/>
          <w:color w:val="000000"/>
        </w:rPr>
        <w:t xml:space="preserve">Three studies reported unadjusted data from Hispanic </w:t>
      </w:r>
      <w:r>
        <w:rPr>
          <w:rFonts w:eastAsia="Calibri" w:cs="Times New Roman"/>
          <w:i/>
          <w:color w:val="000000"/>
        </w:rPr>
        <w:t xml:space="preserve">youth and young adult </w:t>
      </w:r>
      <w:r w:rsidRPr="00A0218A">
        <w:rPr>
          <w:rFonts w:eastAsia="Calibri" w:cs="Times New Roman"/>
          <w:i/>
          <w:color w:val="000000"/>
        </w:rPr>
        <w:t>smokers</w:t>
      </w:r>
      <w:r w:rsidR="006F4C1D">
        <w:rPr>
          <w:rFonts w:eastAsia="Calibri" w:cs="Times New Roman"/>
          <w:i/>
          <w:color w:val="000000"/>
        </w:rPr>
        <w:t xml:space="preserve"> </w:t>
      </w:r>
      <w:r w:rsidR="00D2134A">
        <w:rPr>
          <w:rFonts w:eastAsia="Calibri" w:cs="Times New Roman"/>
          <w:i/>
          <w:color w:val="000000"/>
        </w:rPr>
        <w:fldChar w:fldCharType="begin">
          <w:fldData xml:space="preserve">PEVuZE5vdGU+PENpdGU+PEF1dGhvcj5Ob25uZW1ha2VyPC9BdXRob3I+PFllYXI+MjAxMDwvWWVh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PEVuZE5vdGU+PENpdGU+PEF1dGhvcj5Ob25uZW1ha2VyPC9BdXRob3I+PFllYXI+MjAxMDwvWWVh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2" w:tooltip="Nonnemaker, 2012 #31" w:history="1">
        <w:r w:rsidR="00A234A9">
          <w:rPr>
            <w:rFonts w:eastAsia="Calibri" w:cs="Times New Roman"/>
            <w:i/>
            <w:noProof/>
            <w:color w:val="000000"/>
          </w:rPr>
          <w:t>72</w:t>
        </w:r>
      </w:hyperlink>
      <w:r w:rsidR="00D2134A">
        <w:rPr>
          <w:rFonts w:eastAsia="Calibri" w:cs="Times New Roman"/>
          <w:i/>
          <w:noProof/>
          <w:color w:val="000000"/>
        </w:rPr>
        <w:t xml:space="preserve">, </w:t>
      </w:r>
      <w:hyperlink w:anchor="_ENREF_73" w:tooltip="Nonnemaker, 2010 #97" w:history="1">
        <w:r w:rsidR="00A234A9">
          <w:rPr>
            <w:rFonts w:eastAsia="Calibri" w:cs="Times New Roman"/>
            <w:i/>
            <w:noProof/>
            <w:color w:val="000000"/>
          </w:rPr>
          <w:t>73</w:t>
        </w:r>
      </w:hyperlink>
      <w:r w:rsidR="00D2134A">
        <w:rPr>
          <w:rFonts w:eastAsia="Calibri" w:cs="Times New Roman"/>
          <w:i/>
          <w:noProof/>
          <w:color w:val="000000"/>
        </w:rPr>
        <w:t xml:space="preserve">, </w:t>
      </w:r>
      <w:hyperlink w:anchor="_ENREF_79" w:tooltip="Rath, 2015 #3" w:history="1">
        <w:r w:rsidR="00A234A9">
          <w:rPr>
            <w:rFonts w:eastAsia="Calibri" w:cs="Times New Roman"/>
            <w:i/>
            <w:noProof/>
            <w:color w:val="000000"/>
          </w:rPr>
          <w:t>79</w:t>
        </w:r>
      </w:hyperlink>
      <w:r w:rsidR="00D2134A">
        <w:rPr>
          <w:rFonts w:eastAsia="Calibri" w:cs="Times New Roman"/>
          <w:i/>
          <w:noProof/>
          <w:color w:val="000000"/>
        </w:rPr>
        <w:t>)</w:t>
      </w:r>
      <w:r w:rsidR="00D2134A">
        <w:rPr>
          <w:rFonts w:eastAsia="Calibri" w:cs="Times New Roman"/>
          <w:i/>
          <w:color w:val="000000"/>
        </w:rPr>
        <w:fldChar w:fldCharType="end"/>
      </w:r>
      <w:r w:rsidRPr="00A0218A">
        <w:rPr>
          <w:rFonts w:eastAsia="Calibri" w:cs="Times New Roman"/>
          <w:i/>
          <w:color w:val="000000"/>
        </w:rPr>
        <w:t>. In the study of young adults, the proportions of menthol and non-menthol smokers who switched was approximately equivalent</w:t>
      </w:r>
      <w:r w:rsidR="006F4C1D">
        <w:rPr>
          <w:rFonts w:eastAsia="Calibri" w:cs="Times New Roman"/>
          <w:i/>
          <w:color w:val="000000"/>
        </w:rPr>
        <w:t xml:space="preserve"> </w:t>
      </w:r>
      <w:r w:rsidR="00D2134A">
        <w:rPr>
          <w:rFonts w:eastAsia="Calibri" w:cs="Times New Roman"/>
          <w:i/>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9" w:tooltip="Rath, 2015 #3" w:history="1">
        <w:r w:rsidR="00A234A9">
          <w:rPr>
            <w:rFonts w:eastAsia="Calibri" w:cs="Times New Roman"/>
            <w:i/>
            <w:noProof/>
            <w:color w:val="000000"/>
          </w:rPr>
          <w:t>79</w:t>
        </w:r>
      </w:hyperlink>
      <w:r w:rsidR="00D2134A">
        <w:rPr>
          <w:rFonts w:eastAsia="Calibri" w:cs="Times New Roman"/>
          <w:i/>
          <w:noProof/>
          <w:color w:val="000000"/>
        </w:rPr>
        <w:t>)</w:t>
      </w:r>
      <w:r w:rsidR="00D2134A">
        <w:rPr>
          <w:rFonts w:eastAsia="Calibri" w:cs="Times New Roman"/>
          <w:i/>
          <w:color w:val="000000"/>
        </w:rPr>
        <w:fldChar w:fldCharType="end"/>
      </w:r>
      <w:r w:rsidRPr="00A0218A">
        <w:rPr>
          <w:rFonts w:eastAsia="Calibri" w:cs="Times New Roman"/>
          <w:i/>
          <w:color w:val="000000"/>
        </w:rPr>
        <w:t>. In the two studies among youth (whose samples are likely to overlap significantly), between 35 and 44 percent of smokers initiated to menthol</w:t>
      </w:r>
      <w:r w:rsidR="006F4C1D">
        <w:rPr>
          <w:rFonts w:eastAsia="Calibri" w:cs="Times New Roman"/>
          <w:i/>
          <w:color w:val="000000"/>
        </w:rPr>
        <w:t xml:space="preserve"> </w:t>
      </w:r>
      <w:r w:rsidR="00D2134A">
        <w:rPr>
          <w:rFonts w:eastAsia="Calibri" w:cs="Times New Roman"/>
          <w:i/>
          <w:color w:val="000000"/>
        </w:rPr>
        <w:fldChar w:fldCharType="begin">
          <w:fldData xml:space="preserve">PEVuZE5vdGU+PENpdGU+PEF1dGhvcj5Ob25uZW1ha2VyPC9BdXRob3I+PFllYXI+MjAxMDwvWWVh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PEVuZE5vdGU+PENpdGU+PEF1dGhvcj5Ob25uZW1ha2VyPC9BdXRob3I+PFllYXI+MjAxMDwvWWVh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2" w:tooltip="Nonnemaker, 2012 #31" w:history="1">
        <w:r w:rsidR="00A234A9">
          <w:rPr>
            <w:rFonts w:eastAsia="Calibri" w:cs="Times New Roman"/>
            <w:i/>
            <w:noProof/>
            <w:color w:val="000000"/>
          </w:rPr>
          <w:t>72</w:t>
        </w:r>
      </w:hyperlink>
      <w:r w:rsidR="00D2134A">
        <w:rPr>
          <w:rFonts w:eastAsia="Calibri" w:cs="Times New Roman"/>
          <w:i/>
          <w:noProof/>
          <w:color w:val="000000"/>
        </w:rPr>
        <w:t xml:space="preserve">, </w:t>
      </w:r>
      <w:hyperlink w:anchor="_ENREF_73" w:tooltip="Nonnemaker, 2010 #97" w:history="1">
        <w:r w:rsidR="00A234A9">
          <w:rPr>
            <w:rFonts w:eastAsia="Calibri" w:cs="Times New Roman"/>
            <w:i/>
            <w:noProof/>
            <w:color w:val="000000"/>
          </w:rPr>
          <w:t>73</w:t>
        </w:r>
      </w:hyperlink>
      <w:r w:rsidR="00D2134A">
        <w:rPr>
          <w:rFonts w:eastAsia="Calibri" w:cs="Times New Roman"/>
          <w:i/>
          <w:noProof/>
          <w:color w:val="000000"/>
        </w:rPr>
        <w:t>)</w:t>
      </w:r>
      <w:r w:rsidR="00D2134A">
        <w:rPr>
          <w:rFonts w:eastAsia="Calibri" w:cs="Times New Roman"/>
          <w:i/>
          <w:color w:val="000000"/>
        </w:rPr>
        <w:fldChar w:fldCharType="end"/>
      </w:r>
      <w:r w:rsidRPr="00A0218A">
        <w:rPr>
          <w:rFonts w:eastAsia="Calibri" w:cs="Times New Roman"/>
          <w:i/>
          <w:color w:val="000000"/>
        </w:rPr>
        <w:t xml:space="preserve">. </w:t>
      </w:r>
      <w:r w:rsidR="006F4C1D">
        <w:rPr>
          <w:rFonts w:eastAsia="Calibri" w:cs="Times New Roman"/>
          <w:i/>
          <w:color w:val="000000"/>
        </w:rPr>
        <w:t>These r</w:t>
      </w:r>
      <w:r w:rsidRPr="00A0218A">
        <w:rPr>
          <w:rFonts w:eastAsia="Calibri" w:cs="Times New Roman"/>
          <w:i/>
          <w:color w:val="000000"/>
        </w:rPr>
        <w:t>esults for switching were inconsistent</w:t>
      </w:r>
      <w:r w:rsidR="006F4C1D">
        <w:rPr>
          <w:rFonts w:eastAsia="Calibri" w:cs="Times New Roman"/>
          <w:i/>
          <w:color w:val="000000"/>
        </w:rPr>
        <w:t xml:space="preserve"> and tests of statistical significance were not reported</w:t>
      </w:r>
      <w:r w:rsidRPr="00A0218A">
        <w:rPr>
          <w:rFonts w:eastAsia="Calibri" w:cs="Times New Roman"/>
          <w:i/>
          <w:color w:val="000000"/>
        </w:rPr>
        <w:t>.</w:t>
      </w:r>
      <w:r w:rsidR="008E041E">
        <w:rPr>
          <w:rFonts w:eastAsia="Calibri" w:cs="Times New Roman"/>
          <w:i/>
          <w:color w:val="000000"/>
        </w:rPr>
        <w:t xml:space="preserve"> </w:t>
      </w:r>
      <w:r w:rsidR="00915113">
        <w:rPr>
          <w:rFonts w:eastAsia="Calibri" w:cs="Times New Roman"/>
          <w:i/>
          <w:color w:val="000000"/>
        </w:rPr>
        <w:t xml:space="preserve">A fourth study investigating adults from the 2005 NHIS </w:t>
      </w:r>
      <w:r w:rsidR="00D2134A">
        <w:rPr>
          <w:i/>
        </w:rPr>
        <w:fldChar w:fldCharType="begin"/>
      </w:r>
      <w:r w:rsidR="00D2134A">
        <w:rPr>
          <w:i/>
        </w:rPr>
        <w:instrText xml:space="preserve"> ADDIN EN.CITE &lt;EndNote&gt;&lt;Cite&gt;&lt;Author&gt;Cubbin&lt;/Author&gt;&lt;Year&gt;2010&lt;/Year&gt;&lt;RecNum&gt;53&lt;/RecNum&gt;&lt;DisplayText&gt;(50)&lt;/DisplayText&gt;&lt;record&gt;&lt;rec-number&gt;53&lt;/rec-number&gt;&lt;foreign-keys&gt;&lt;key app="EN" db-id="a2vz2dfp8xrad6exes75zwpiw5rxwa0vwapv" timestamp="0"&gt;53&lt;/key&gt;&lt;/foreign-keys&gt;&lt;ref-type name="Journal Article"&gt;17&lt;/ref-type&gt;&lt;contributors&gt;&lt;authors&gt;&lt;author&gt;Cubbin, C.&lt;/author&gt;&lt;author&gt;Soobader, M. J.&lt;/author&gt;&lt;author&gt;LeClere, F. B.&lt;/author&gt;&lt;/authors&gt;&lt;/contributors&gt;&lt;auth-address&gt;School of Social Work, University of Texas at Austin, Austin, TX 78712-0358, USA. ccubbin@austin.utexas.edu&lt;/auth-address&gt;&lt;titles&gt;&lt;title&gt;The intersection of gender and race/ethnicity in smoking behaviors among menthol and non-menthol smokers in the United States&lt;/title&gt;&lt;secondary-title&gt;Addiction&lt;/secondary-title&gt;&lt;/titles&gt;&lt;periodical&gt;&lt;full-title&gt;Addiction&lt;/full-title&gt;&lt;/periodical&gt;&lt;pages&gt;32-8&lt;/pages&gt;&lt;volume&gt;105 Suppl 1&lt;/volume&gt;&lt;keywords&gt;&lt;keyword&gt;Adult&lt;/keyword&gt;&lt;keyword&gt;African Americans/statistics &amp;amp; numerical data&lt;/keyword&gt;&lt;keyword&gt;Age of Onset&lt;/keyword&gt;&lt;keyword&gt;Cross-Sectional Studies&lt;/keyword&gt;&lt;keyword&gt;European Continental Ancestry Group/statistics &amp;amp; numerical data&lt;/keyword&gt;&lt;keyword&gt;Female&lt;/keyword&gt;&lt;keyword&gt;Hispanic Americans/statistics &amp;amp; numerical data&lt;/keyword&gt;&lt;keyword&gt;Humans&lt;/keyword&gt;&lt;keyword&gt;Male&lt;/keyword&gt;&lt;keyword&gt;*Menthol&lt;/keyword&gt;&lt;keyword&gt;Middle Aged&lt;/keyword&gt;&lt;keyword&gt;*Population Surveillance&lt;/keyword&gt;&lt;keyword&gt;Sex Factors&lt;/keyword&gt;&lt;keyword&gt;Smoking/*epidemiology/ethnology&lt;/keyword&gt;&lt;keyword&gt;Smoking Cessation/ethnology/statistics &amp;amp; numerical data&lt;/keyword&gt;&lt;keyword&gt;Socioeconomic Factors&lt;/keyword&gt;&lt;keyword&gt;United States/epidemiology&lt;/keyword&gt;&lt;/keywords&gt;&lt;dates&gt;&lt;year&gt;2010&lt;/year&gt;&lt;pub-dates&gt;&lt;date&gt;Dec&lt;/date&gt;&lt;/pub-dates&gt;&lt;/dates&gt;&lt;isbn&gt;1360-0443 (Electronic)&amp;#xD;0965-2140 (Linking)&lt;/isbn&gt;&lt;accession-num&gt;21059134&lt;/accession-num&gt;&lt;urls&gt;&lt;related-urls&gt;&lt;url&gt;http://www.ncbi.nlm.nih.gov/pubmed/21059134&lt;/url&gt;&lt;/related-urls&gt;&lt;/urls&gt;&lt;electronic-resource-num&gt;10.1111/j.1360-0443.2010.03191.x&lt;/electronic-resource-num&gt;&lt;research-notes&gt;#281&lt;/research-notes&gt;&lt;/record&gt;&lt;/Cite&gt;&lt;/EndNote&gt;</w:instrText>
      </w:r>
      <w:r w:rsidR="00D2134A">
        <w:rPr>
          <w:i/>
        </w:rPr>
        <w:fldChar w:fldCharType="separate"/>
      </w:r>
      <w:r w:rsidR="00D2134A">
        <w:rPr>
          <w:i/>
          <w:noProof/>
        </w:rPr>
        <w:t>(</w:t>
      </w:r>
      <w:hyperlink w:anchor="_ENREF_50" w:tooltip="Cubbin, 2010 #53" w:history="1">
        <w:r w:rsidR="00A234A9">
          <w:rPr>
            <w:i/>
            <w:noProof/>
          </w:rPr>
          <w:t>50</w:t>
        </w:r>
      </w:hyperlink>
      <w:r w:rsidR="00D2134A">
        <w:rPr>
          <w:i/>
          <w:noProof/>
        </w:rPr>
        <w:t>)</w:t>
      </w:r>
      <w:r w:rsidR="00D2134A">
        <w:rPr>
          <w:i/>
        </w:rPr>
        <w:fldChar w:fldCharType="end"/>
      </w:r>
      <w:r w:rsidR="00915113">
        <w:rPr>
          <w:rFonts w:eastAsia="Calibri" w:cs="Times New Roman"/>
          <w:i/>
          <w:color w:val="000000"/>
        </w:rPr>
        <w:t xml:space="preserve"> report</w:t>
      </w:r>
      <w:r w:rsidR="000F618F">
        <w:rPr>
          <w:rFonts w:eastAsia="Calibri" w:cs="Times New Roman"/>
          <w:i/>
          <w:color w:val="000000"/>
        </w:rPr>
        <w:t>ed</w:t>
      </w:r>
      <w:r w:rsidR="00915113">
        <w:rPr>
          <w:rFonts w:eastAsia="Calibri" w:cs="Times New Roman"/>
          <w:i/>
          <w:color w:val="000000"/>
        </w:rPr>
        <w:t xml:space="preserve"> that a</w:t>
      </w:r>
      <w:r w:rsidR="00915113" w:rsidRPr="004D338F">
        <w:rPr>
          <w:i/>
        </w:rPr>
        <w:t>mong Hispanic respondents</w:t>
      </w:r>
      <w:r w:rsidR="008E041E">
        <w:rPr>
          <w:i/>
        </w:rPr>
        <w:t xml:space="preserve"> there was</w:t>
      </w:r>
      <w:r w:rsidR="00915113" w:rsidRPr="004D338F">
        <w:rPr>
          <w:i/>
        </w:rPr>
        <w:t xml:space="preserve"> a higher proportion of daily versus non-daily smokers</w:t>
      </w:r>
      <w:r w:rsidR="00915113">
        <w:rPr>
          <w:i/>
        </w:rPr>
        <w:t xml:space="preserve"> reported</w:t>
      </w:r>
      <w:r w:rsidR="000F618F" w:rsidRPr="000F618F">
        <w:rPr>
          <w:i/>
        </w:rPr>
        <w:t xml:space="preserve"> </w:t>
      </w:r>
      <w:r w:rsidR="000F618F">
        <w:rPr>
          <w:i/>
        </w:rPr>
        <w:t xml:space="preserve">for both </w:t>
      </w:r>
      <w:r w:rsidR="000F618F" w:rsidRPr="004D338F">
        <w:rPr>
          <w:i/>
        </w:rPr>
        <w:t>men and women</w:t>
      </w:r>
      <w:r w:rsidR="00915113" w:rsidRPr="004D338F">
        <w:rPr>
          <w:i/>
        </w:rPr>
        <w:t xml:space="preserve">. Among daily smokers, there was a higher proportion of non-menthol smokers than menthol smokers </w:t>
      </w:r>
      <w:r w:rsidR="008E041E">
        <w:rPr>
          <w:i/>
        </w:rPr>
        <w:t>for</w:t>
      </w:r>
      <w:r w:rsidR="00915113" w:rsidRPr="004D338F">
        <w:rPr>
          <w:i/>
        </w:rPr>
        <w:t xml:space="preserve"> both men and women. Likewise, non-daily smokers had a higher proportion of non-menthol smokers compared </w:t>
      </w:r>
      <w:r w:rsidR="008E041E">
        <w:rPr>
          <w:i/>
        </w:rPr>
        <w:t>to menthol smokers for</w:t>
      </w:r>
      <w:r w:rsidR="00915113" w:rsidRPr="004D338F">
        <w:rPr>
          <w:i/>
        </w:rPr>
        <w:t xml:space="preserve"> both men and women.</w:t>
      </w:r>
      <w:r w:rsidR="003C3DCC">
        <w:rPr>
          <w:i/>
        </w:rPr>
        <w:t xml:space="preserve"> Finally, a fifth study </w:t>
      </w:r>
      <w:r w:rsidR="003C3DCC" w:rsidRPr="00A0218A">
        <w:rPr>
          <w:rFonts w:eastAsia="Calibri" w:cs="Times New Roman"/>
          <w:i/>
          <w:color w:val="000000"/>
        </w:rPr>
        <w:t xml:space="preserve">found </w:t>
      </w:r>
      <w:r w:rsidR="003C3DCC">
        <w:rPr>
          <w:rFonts w:eastAsia="Calibri" w:cs="Times New Roman"/>
          <w:i/>
          <w:color w:val="000000"/>
        </w:rPr>
        <w:t xml:space="preserve">no difference between </w:t>
      </w:r>
      <w:r w:rsidR="003C3DCC" w:rsidRPr="00A0218A">
        <w:rPr>
          <w:rFonts w:eastAsia="Calibri" w:cs="Times New Roman"/>
          <w:i/>
          <w:color w:val="000000"/>
        </w:rPr>
        <w:t xml:space="preserve">menthol </w:t>
      </w:r>
      <w:r w:rsidR="003C3DCC">
        <w:rPr>
          <w:rFonts w:eastAsia="Calibri" w:cs="Times New Roman"/>
          <w:i/>
          <w:color w:val="000000"/>
        </w:rPr>
        <w:t>and non-menthol pregnant female smokers and initiation age, when stratifying by Hispanic</w:t>
      </w:r>
      <w:r w:rsidR="00F8523A">
        <w:rPr>
          <w:rFonts w:eastAsia="Calibri" w:cs="Times New Roman"/>
          <w:i/>
          <w:color w:val="000000"/>
        </w:rPr>
        <w:t xml:space="preserve"> and non-Hispanic race/ethnicity </w:t>
      </w:r>
      <w:r w:rsidR="00D2134A">
        <w:rPr>
          <w:rFonts w:eastAsia="Calibri" w:cs="Times New Roman"/>
          <w:i/>
          <w:color w:val="000000"/>
        </w:rPr>
        <w:fldChar w:fldCharType="begin">
          <w:fldData xml:space="preserve">PEVuZE5vdGU+PENpdGU+PEF1dGhvcj5PbmNrZW48L0F1dGhvcj48WWVhcj4yMDE1PC9ZZWFyPjxS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PEVuZE5vdGU+PENpdGU+PEF1dGhvcj5PbmNrZW48L0F1dGhvcj48WWVhcj4yMDE1PC9ZZWFyPjxS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6" w:tooltip="Oncken, 2015 #6" w:history="1">
        <w:r w:rsidR="00A234A9">
          <w:rPr>
            <w:rFonts w:eastAsia="Calibri" w:cs="Times New Roman"/>
            <w:i/>
            <w:noProof/>
            <w:color w:val="000000"/>
          </w:rPr>
          <w:t>76</w:t>
        </w:r>
      </w:hyperlink>
      <w:r w:rsidR="00D2134A">
        <w:rPr>
          <w:rFonts w:eastAsia="Calibri" w:cs="Times New Roman"/>
          <w:i/>
          <w:noProof/>
          <w:color w:val="000000"/>
        </w:rPr>
        <w:t>)</w:t>
      </w:r>
      <w:r w:rsidR="00D2134A">
        <w:rPr>
          <w:rFonts w:eastAsia="Calibri" w:cs="Times New Roman"/>
          <w:i/>
          <w:color w:val="000000"/>
        </w:rPr>
        <w:fldChar w:fldCharType="end"/>
      </w:r>
      <w:r w:rsidR="003C3DCC">
        <w:rPr>
          <w:rFonts w:eastAsia="Calibri" w:cs="Times New Roman"/>
          <w:i/>
          <w:color w:val="000000"/>
        </w:rPr>
        <w:t>.</w:t>
      </w:r>
    </w:p>
    <w:p w14:paraId="6CB4AABE" w14:textId="16F3C9E9" w:rsidR="00D04C52" w:rsidRPr="00A0218A" w:rsidRDefault="00D04C52" w:rsidP="00B46744">
      <w:pPr>
        <w:spacing w:after="120" w:line="240" w:lineRule="auto"/>
        <w:jc w:val="both"/>
        <w:rPr>
          <w:rFonts w:eastAsia="Calibri" w:cs="Times New Roman"/>
          <w:color w:val="000000"/>
        </w:rPr>
      </w:pPr>
      <w:r w:rsidRPr="00A0218A">
        <w:rPr>
          <w:rFonts w:eastAsia="Calibri" w:cs="Times New Roman"/>
          <w:color w:val="000000"/>
        </w:rPr>
        <w:t>In the LYAC st</w:t>
      </w:r>
      <w:r w:rsidR="008B4742">
        <w:rPr>
          <w:rFonts w:eastAsia="Calibri" w:cs="Times New Roman"/>
          <w:color w:val="000000"/>
        </w:rPr>
        <w:t xml:space="preserve">udy of young adults, Rath et al. </w:t>
      </w:r>
      <w:r w:rsidR="00D2134A">
        <w:rPr>
          <w:rFonts w:eastAsia="Calibri" w:cs="Times New Roman"/>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79" w:tooltip="Rath, 2015 #3" w:history="1">
        <w:r w:rsidR="00A234A9">
          <w:rPr>
            <w:rFonts w:eastAsia="Calibri" w:cs="Times New Roman"/>
            <w:noProof/>
            <w:color w:val="000000"/>
          </w:rPr>
          <w:t>79</w:t>
        </w:r>
      </w:hyperlink>
      <w:r w:rsidR="00D2134A">
        <w:rPr>
          <w:rFonts w:eastAsia="Calibri" w:cs="Times New Roman"/>
          <w:noProof/>
          <w:color w:val="000000"/>
        </w:rPr>
        <w:t>)</w:t>
      </w:r>
      <w:r w:rsidR="00D2134A">
        <w:rPr>
          <w:rFonts w:eastAsia="Calibri" w:cs="Times New Roman"/>
          <w:color w:val="000000"/>
        </w:rPr>
        <w:fldChar w:fldCharType="end"/>
      </w:r>
      <w:r w:rsidR="008B4742">
        <w:rPr>
          <w:rFonts w:eastAsia="Calibri" w:cs="Times New Roman"/>
          <w:color w:val="000000"/>
        </w:rPr>
        <w:t xml:space="preserve"> f</w:t>
      </w:r>
      <w:r w:rsidRPr="00A0218A">
        <w:rPr>
          <w:rFonts w:eastAsia="Calibri" w:cs="Times New Roman"/>
          <w:color w:val="000000"/>
        </w:rPr>
        <w:t>ound that—of participants who switched from menthol to non-menthol—21.1 percent were Hispanic</w:t>
      </w:r>
      <w:r>
        <w:rPr>
          <w:rFonts w:eastAsia="Calibri" w:cs="Times New Roman"/>
          <w:color w:val="000000"/>
        </w:rPr>
        <w:t xml:space="preserve"> </w:t>
      </w:r>
      <w:r w:rsidR="00D2134A">
        <w:rPr>
          <w:rFonts w:eastAsia="Calibri" w:cs="Times New Roman"/>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79" w:tooltip="Rath, 2015 #3" w:history="1">
        <w:r w:rsidR="00A234A9">
          <w:rPr>
            <w:rFonts w:eastAsia="Calibri" w:cs="Times New Roman"/>
            <w:noProof/>
            <w:color w:val="000000"/>
          </w:rPr>
          <w:t>79</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Of participants who switched from non-menthol to menthol, 22.2 percent were Hispanic. The significance of the difference among Hispanics only was not reported; the overall difference in switching for all races/ethnicities was significant (p&lt;0.001).</w:t>
      </w:r>
    </w:p>
    <w:p w14:paraId="6A072EA3" w14:textId="667893FC" w:rsidR="00D04C52" w:rsidRPr="00A0218A" w:rsidRDefault="00D04C52" w:rsidP="00B46744">
      <w:pPr>
        <w:spacing w:after="120" w:line="240" w:lineRule="auto"/>
        <w:jc w:val="both"/>
        <w:rPr>
          <w:rFonts w:eastAsia="Calibri" w:cs="Times New Roman"/>
          <w:b/>
          <w:i/>
          <w:color w:val="000000"/>
        </w:rPr>
      </w:pPr>
      <w:r>
        <w:rPr>
          <w:rFonts w:eastAsia="Calibri" w:cs="Times New Roman"/>
          <w:color w:val="000000"/>
        </w:rPr>
        <w:t>As</w:t>
      </w:r>
      <w:r w:rsidRPr="00A0218A">
        <w:rPr>
          <w:rFonts w:eastAsia="Calibri" w:cs="Times New Roman"/>
          <w:color w:val="000000"/>
        </w:rPr>
        <w:t xml:space="preserve"> </w:t>
      </w:r>
      <w:r>
        <w:rPr>
          <w:rFonts w:eastAsia="Calibri" w:cs="Times New Roman"/>
          <w:color w:val="000000"/>
        </w:rPr>
        <w:t xml:space="preserve">previously described </w:t>
      </w:r>
      <w:r w:rsidR="006F4C1D">
        <w:rPr>
          <w:rFonts w:eastAsia="Calibri" w:cs="Times New Roman"/>
          <w:color w:val="000000"/>
        </w:rPr>
        <w:t xml:space="preserve">in the </w:t>
      </w:r>
      <w:r w:rsidRPr="00A0218A">
        <w:rPr>
          <w:rFonts w:eastAsia="Calibri" w:cs="Times New Roman"/>
          <w:color w:val="000000"/>
        </w:rPr>
        <w:t>adjusted results</w:t>
      </w:r>
      <w:r>
        <w:rPr>
          <w:rFonts w:eastAsia="Calibri" w:cs="Times New Roman"/>
          <w:color w:val="000000"/>
        </w:rPr>
        <w:t xml:space="preserve"> from</w:t>
      </w:r>
      <w:r w:rsidR="00C56F21">
        <w:rPr>
          <w:rFonts w:eastAsia="Calibri" w:cs="Times New Roman"/>
          <w:color w:val="000000"/>
        </w:rPr>
        <w:t xml:space="preserve"> Nonnemaker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&lt;EndNote&gt;&lt;Cite&gt;&lt;Author&gt;Nonnemaker&lt;/Author&gt;&lt;Year&gt;2012&lt;/Year&gt;&lt;RecNum&gt;31&lt;/RecNum&gt;&lt;DisplayText&gt;(72)&lt;/DisplayText&gt;&lt;record&gt;&lt;rec-number&gt;31&lt;/rec-number&gt;&lt;foreign-keys&gt;&lt;key app="EN" db-id="a2vz2dfp8xrad6exes75zwpiw5rxwa0vwapv" timestamp="0"&gt;31&lt;/key&gt;&lt;/foreign-keys&gt;&lt;ref-type name="Journal Article"&gt;17&lt;/ref-type&gt;&lt;contributors&gt;&lt;authors&gt;&lt;author&gt;Nonnemaker, J.&lt;/author&gt;&lt;author&gt;Hersey, J.&lt;/author&gt;&lt;author&gt;Homsi, G.&lt;/author&gt;&lt;author&gt;Busey, A.&lt;/author&gt;&lt;author&gt;Allen, J.&lt;/author&gt;&lt;author&gt;Vallone, D.&lt;/author&gt;&lt;/authors&gt;&lt;/contributors&gt;&lt;auth-address&gt;RTI International, Research Triangle Park, NC 27709-2194, USA. jnonnemaker@rti.org&lt;/auth-address&gt;&lt;titles&gt;&lt;title&gt;Initiation with menthol cigarettes and youth smoking uptake&lt;/title&gt;&lt;secondary-title&gt;Addiction&lt;/secondary-title&gt;&lt;/titles&gt;&lt;periodical&gt;&lt;full-title&gt;Addiction&lt;/full-title&gt;&lt;/periodical&gt;&lt;pages&gt;171-8&lt;/pages&gt;&lt;volume&gt;108&lt;/volume&gt;&lt;number&gt;1&lt;/number&gt;&lt;keywords&gt;&lt;keyword&gt;Adolescent&lt;/keyword&gt;&lt;keyword&gt;Age Distribution&lt;/keyword&gt;&lt;keyword&gt;Child&lt;/keyword&gt;&lt;keyword&gt;Female&lt;/keyword&gt;&lt;keyword&gt;Flavoring Agents/*adverse effects&lt;/keyword&gt;&lt;keyword&gt;Humans&lt;/keyword&gt;&lt;keyword&gt;Longitudinal Studies&lt;/keyword&gt;&lt;keyword&gt;Male&lt;/keyword&gt;&lt;keyword&gt;Menthol/*adverse effects&lt;/keyword&gt;&lt;keyword&gt;Risk Factors&lt;/keyword&gt;&lt;keyword&gt;Sex Distribution&lt;/keyword&gt;&lt;keyword&gt;Smoking/*adverse effects&lt;/keyword&gt;&lt;keyword&gt;Smoking Cessation/psychology/statistics &amp;amp; numerical data&lt;/keyword&gt;&lt;keyword&gt;Tobacco Products/*adverse effects&lt;/keyword&gt;&lt;keyword&gt;Tobacco Use Disorder/*etiology&lt;/keyword&gt;&lt;keyword&gt;United States&lt;/keyword&gt;&lt;/keywords&gt;&lt;dates&gt;&lt;year&gt;2012&lt;/year&gt;&lt;pub-dates&gt;&lt;date&gt;Jan&lt;/date&gt;&lt;/pub-dates&gt;&lt;/dates&gt;&lt;isbn&gt;1360-0443 (Electronic)&amp;#xD;0965-2140 (Linking)&lt;/isbn&gt;&lt;accession-num&gt;22862154&lt;/accession-num&gt;&lt;urls&gt;&lt;related-urls&gt;&lt;url&gt;http://www.ncbi.nlm.nih.gov/pubmed/22862154&lt;/url&gt;&lt;/related-urls&gt;&lt;/urls&gt;&lt;electronic-resource-num&gt;10.1111/j.1360-0443.2012.04045.x&lt;/electronic-resource-num&gt;&lt;research-notes&gt;#160&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2" w:tooltip="Nonnemaker, 2012 #31" w:history="1">
        <w:r w:rsidR="00A234A9">
          <w:rPr>
            <w:rFonts w:eastAsia="Calibri" w:cs="Times New Roman"/>
            <w:noProof/>
            <w:color w:val="000000"/>
          </w:rPr>
          <w:t>72</w:t>
        </w:r>
      </w:hyperlink>
      <w:r w:rsidR="00D2134A">
        <w:rPr>
          <w:rFonts w:eastAsia="Calibri" w:cs="Times New Roman"/>
          <w:noProof/>
          <w:color w:val="000000"/>
        </w:rPr>
        <w:t>)</w:t>
      </w:r>
      <w:r w:rsidR="00D2134A">
        <w:rPr>
          <w:rFonts w:eastAsia="Calibri" w:cs="Times New Roman"/>
          <w:color w:val="000000"/>
        </w:rPr>
        <w:fldChar w:fldCharType="end"/>
      </w:r>
      <w:r w:rsidR="006F4C1D">
        <w:rPr>
          <w:rFonts w:eastAsia="Calibri" w:cs="Times New Roman"/>
          <w:color w:val="000000"/>
        </w:rPr>
        <w:t xml:space="preserve"> and ALLTURS data</w:t>
      </w:r>
      <w:r w:rsidR="00C56F21">
        <w:rPr>
          <w:rFonts w:eastAsia="Calibri" w:cs="Times New Roman"/>
          <w:color w:val="000000"/>
        </w:rPr>
        <w:t xml:space="preserve">, </w:t>
      </w:r>
      <w:r>
        <w:rPr>
          <w:rFonts w:eastAsia="Calibri" w:cs="Times New Roman"/>
          <w:color w:val="000000"/>
        </w:rPr>
        <w:t xml:space="preserve">the authors found that among the Hispanic current smokers in the total sample of </w:t>
      </w:r>
      <w:r w:rsidRPr="00A0218A">
        <w:rPr>
          <w:rFonts w:eastAsia="Calibri" w:cs="Times New Roman"/>
          <w:color w:val="000000"/>
        </w:rPr>
        <w:t>middle school and high school students age 12 to 17 at baseline</w:t>
      </w:r>
      <w:r>
        <w:rPr>
          <w:rFonts w:eastAsia="Calibri" w:cs="Times New Roman"/>
          <w:color w:val="000000"/>
        </w:rPr>
        <w:t xml:space="preserve">, </w:t>
      </w:r>
      <w:r w:rsidRPr="00A0218A">
        <w:rPr>
          <w:rFonts w:eastAsia="Calibri" w:cs="Times New Roman"/>
          <w:color w:val="000000"/>
        </w:rPr>
        <w:t xml:space="preserve">44.2 percent initiated to menthol, and 55.8 percent to non-menthol. A subset of the sample was characterized as non-established smokers (smoking on fewer than 20 of the past 30 days). Among Hispanic non-established smokers, 34.8 percent initiated </w:t>
      </w:r>
      <w:r w:rsidR="00BC523B">
        <w:rPr>
          <w:rFonts w:eastAsia="Calibri" w:cs="Times New Roman"/>
          <w:color w:val="000000"/>
        </w:rPr>
        <w:t>with</w:t>
      </w:r>
      <w:r w:rsidR="00BC523B" w:rsidRPr="00A0218A">
        <w:rPr>
          <w:rFonts w:eastAsia="Calibri" w:cs="Times New Roman"/>
          <w:color w:val="000000"/>
        </w:rPr>
        <w:t xml:space="preserve"> </w:t>
      </w:r>
      <w:r w:rsidRPr="00A0218A">
        <w:rPr>
          <w:rFonts w:eastAsia="Calibri" w:cs="Times New Roman"/>
          <w:color w:val="000000"/>
        </w:rPr>
        <w:t xml:space="preserve">menthol, compared with 65.2 percent </w:t>
      </w:r>
      <w:r w:rsidR="00BC523B">
        <w:rPr>
          <w:rFonts w:eastAsia="Calibri" w:cs="Times New Roman"/>
          <w:color w:val="000000"/>
        </w:rPr>
        <w:t>with</w:t>
      </w:r>
      <w:r w:rsidR="00BC523B" w:rsidRPr="00A0218A">
        <w:rPr>
          <w:rFonts w:eastAsia="Calibri" w:cs="Times New Roman"/>
          <w:color w:val="000000"/>
        </w:rPr>
        <w:t xml:space="preserve"> </w:t>
      </w:r>
      <w:r w:rsidRPr="00A0218A">
        <w:rPr>
          <w:rFonts w:eastAsia="Calibri" w:cs="Times New Roman"/>
          <w:color w:val="000000"/>
        </w:rPr>
        <w:t>non-menthol. Nonnemaker et al.</w:t>
      </w:r>
      <w:r>
        <w:rPr>
          <w:rFonts w:eastAsia="Calibri" w:cs="Times New Roman"/>
          <w:color w:val="000000"/>
        </w:rPr>
        <w:t xml:space="preserve">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&lt;EndNote&gt;&lt;Cite&gt;&lt;Author&gt;Nonnemaker&lt;/Author&gt;&lt;Year&gt;2012&lt;/Year&gt;&lt;RecNum&gt;31&lt;/RecNum&gt;&lt;DisplayText&gt;(72)&lt;/DisplayText&gt;&lt;record&gt;&lt;rec-number&gt;31&lt;/rec-number&gt;&lt;foreign-keys&gt;&lt;key app="EN" db-id="a2vz2dfp8xrad6exes75zwpiw5rxwa0vwapv" timestamp="0"&gt;31&lt;/key&gt;&lt;/foreign-keys&gt;&lt;ref-type name="Journal Article"&gt;17&lt;/ref-type&gt;&lt;contributors&gt;&lt;authors&gt;&lt;author&gt;Nonnemaker, J.&lt;/author&gt;&lt;author&gt;Hersey, J.&lt;/author&gt;&lt;author&gt;Homsi, G.&lt;/author&gt;&lt;author&gt;Busey, A.&lt;/author&gt;&lt;author&gt;Allen, J.&lt;/author&gt;&lt;author&gt;Vallone, D.&lt;/author&gt;&lt;/authors&gt;&lt;/contributors&gt;&lt;auth-address&gt;RTI International, Research Triangle Park, NC 27709-2194, USA. jnonnemaker@rti.org&lt;/auth-address&gt;&lt;titles&gt;&lt;title&gt;Initiation with menthol cigarettes and youth smoking uptake&lt;/title&gt;&lt;secondary-title&gt;Addiction&lt;/secondary-title&gt;&lt;/titles&gt;&lt;periodical&gt;&lt;full-title&gt;Addiction&lt;/full-title&gt;&lt;/periodical&gt;&lt;pages&gt;171-8&lt;/pages&gt;&lt;volume&gt;108&lt;/volume&gt;&lt;number&gt;1&lt;/number&gt;&lt;keywords&gt;&lt;keyword&gt;Adolescent&lt;/keyword&gt;&lt;keyword&gt;Age Distribution&lt;/keyword&gt;&lt;keyword&gt;Child&lt;/keyword&gt;&lt;keyword&gt;Female&lt;/keyword&gt;&lt;keyword&gt;Flavoring Agents/*adverse effects&lt;/keyword&gt;&lt;keyword&gt;Humans&lt;/keyword&gt;&lt;keyword&gt;Longitudinal Studies&lt;/keyword&gt;&lt;keyword&gt;Male&lt;/keyword&gt;&lt;keyword&gt;Menthol/*adverse effects&lt;/keyword&gt;&lt;keyword&gt;Risk Factors&lt;/keyword&gt;&lt;keyword&gt;Sex Distribution&lt;/keyword&gt;&lt;keyword&gt;Smoking/*adverse effects&lt;/keyword&gt;&lt;keyword&gt;Smoking Cessation/psychology/statistics &amp;amp; numerical data&lt;/keyword&gt;&lt;keyword&gt;Tobacco Products/*adverse effects&lt;/keyword&gt;&lt;keyword&gt;Tobacco Use Disorder/*etiology&lt;/keyword&gt;&lt;keyword&gt;United States&lt;/keyword&gt;&lt;/keywords&gt;&lt;dates&gt;&lt;year&gt;2012&lt;/year&gt;&lt;pub-dates&gt;&lt;date&gt;Jan&lt;/date&gt;&lt;/pub-dates&gt;&lt;/dates&gt;&lt;isbn&gt;1360-0443 (Electronic)&amp;#xD;0965-2140 (Linking)&lt;/isbn&gt;&lt;accession-num&gt;22862154&lt;/accession-num&gt;&lt;urls&gt;&lt;related-urls&gt;&lt;url&gt;http://www.ncbi.nlm.nih.gov/pubmed/22862154&lt;/url&gt;&lt;/related-urls&gt;&lt;/urls&gt;&lt;electronic-resource-num&gt;10.1111/j.1360-0443.2012.04045.x&lt;/electronic-resource-num&gt;&lt;research-notes&gt;#160&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2" w:tooltip="Nonnemaker, 2012 #31" w:history="1">
        <w:r w:rsidR="00A234A9">
          <w:rPr>
            <w:rFonts w:eastAsia="Calibri" w:cs="Times New Roman"/>
            <w:noProof/>
            <w:color w:val="000000"/>
          </w:rPr>
          <w:t>72</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also reported percentages of youth who remained current smokers at </w:t>
      </w:r>
      <w:r w:rsidR="006F4C1D">
        <w:rPr>
          <w:rFonts w:eastAsia="Calibri" w:cs="Times New Roman"/>
          <w:color w:val="000000"/>
        </w:rPr>
        <w:t xml:space="preserve">wave three of the </w:t>
      </w:r>
      <w:r w:rsidRPr="00A0218A">
        <w:rPr>
          <w:rFonts w:eastAsia="Calibri" w:cs="Times New Roman"/>
          <w:color w:val="000000"/>
        </w:rPr>
        <w:t xml:space="preserve">study by switching status. Among Hispanic smokers, 22.0 percent of menthol initiators switched to non-menthol by </w:t>
      </w:r>
      <w:r w:rsidR="006F4C1D">
        <w:rPr>
          <w:rFonts w:eastAsia="Calibri" w:cs="Times New Roman"/>
          <w:color w:val="000000"/>
        </w:rPr>
        <w:t>the third wave</w:t>
      </w:r>
      <w:r w:rsidRPr="00A0218A">
        <w:rPr>
          <w:rFonts w:eastAsia="Calibri" w:cs="Times New Roman"/>
          <w:color w:val="000000"/>
        </w:rPr>
        <w:t>, and 18.2 percent of non-menthol initiators switched to menthol.</w:t>
      </w:r>
      <w:r w:rsidR="006F4C1D">
        <w:rPr>
          <w:rFonts w:eastAsia="Calibri" w:cs="Times New Roman"/>
          <w:color w:val="000000"/>
        </w:rPr>
        <w:t xml:space="preserve"> Tests of statistical significance for these results were not reported.</w:t>
      </w:r>
    </w:p>
    <w:p w14:paraId="3095078C" w14:textId="73F6F87B" w:rsidR="00D04C52" w:rsidRDefault="00D04C52" w:rsidP="00B46744">
      <w:pPr>
        <w:spacing w:after="240" w:line="240" w:lineRule="auto"/>
        <w:jc w:val="both"/>
        <w:rPr>
          <w:rFonts w:eastAsia="Calibri" w:cs="Times New Roman"/>
          <w:color w:val="000000"/>
        </w:rPr>
      </w:pPr>
      <w:r w:rsidRPr="00A0218A">
        <w:rPr>
          <w:rFonts w:eastAsia="Calibri" w:cs="Times New Roman"/>
          <w:color w:val="000000"/>
        </w:rPr>
        <w:t>In a 2010 publication that analyzed data from the A</w:t>
      </w:r>
      <w:r>
        <w:rPr>
          <w:rFonts w:eastAsia="Calibri" w:cs="Times New Roman"/>
          <w:color w:val="000000"/>
        </w:rPr>
        <w:t xml:space="preserve">LLTURS, Nonnemaker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&lt;EndNote&gt;&lt;Cite&gt;&lt;Author&gt;Nonnemaker&lt;/Author&gt;&lt;Year&gt;2010&lt;/Year&gt;&lt;RecNum&gt;97&lt;/RecNum&gt;&lt;DisplayText&gt;(73)&lt;/DisplayText&gt;&lt;record&gt;&lt;rec-number&gt;97&lt;/rec-number&gt;&lt;foreign-keys&gt;&lt;key app="EN" db-id="a2vz2dfp8xrad6exes75zwpiw5rxwa0vwapv" timestamp="0"&gt;97&lt;/key&gt;&lt;/foreign-keys&gt;&lt;ref-type name="Report"&gt;27&lt;/ref-type&gt;&lt;contributors&gt;&lt;authors&gt;&lt;author&gt;Nonnemaker, J.&lt;/author&gt;&lt;author&gt;Hersey, J.&lt;/author&gt;&lt;author&gt;Homsi, G.&lt;/author&gt;&lt;author&gt;Busey, A.&lt;/author&gt;&lt;/authors&gt;&lt;/contributors&gt;&lt;titles&gt;&lt;title&gt;Menthol cigarettes and youth smoking updake&lt;/title&gt;&lt;/titles&gt;&lt;dates&gt;&lt;year&gt;2010&lt;/year&gt;&lt;/dates&gt;&lt;pub-location&gt;RTI International&lt;/pub-location&gt;&lt;urls&gt;&lt;/urls&gt;&lt;research-notes&gt;#812&lt;/research-notes&gt;&lt;/record&gt;&lt;/Cite&gt;&lt;/EndNote&gt;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3" w:tooltip="Nonnemaker, 2010 #97" w:history="1">
        <w:r w:rsidR="00A234A9">
          <w:rPr>
            <w:rFonts w:eastAsia="Calibri" w:cs="Times New Roman"/>
            <w:noProof/>
            <w:color w:val="000000"/>
          </w:rPr>
          <w:t>73</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assessed the percentage of Hispanic current smokers at </w:t>
      </w:r>
      <w:r w:rsidR="006F4C1D">
        <w:rPr>
          <w:rFonts w:eastAsia="Calibri" w:cs="Times New Roman"/>
          <w:color w:val="000000"/>
        </w:rPr>
        <w:t>wave three</w:t>
      </w:r>
      <w:r w:rsidRPr="00A0218A">
        <w:rPr>
          <w:rFonts w:eastAsia="Calibri" w:cs="Times New Roman"/>
          <w:color w:val="000000"/>
        </w:rPr>
        <w:t xml:space="preserve"> who initiated to menthol cigarettes. The authors analyzed two sets of smokers: one that included youth who started smoking during the final wave (year three) and one that </w:t>
      </w:r>
      <w:r w:rsidR="006F4C1D">
        <w:rPr>
          <w:rFonts w:eastAsia="Calibri" w:cs="Times New Roman"/>
          <w:color w:val="000000"/>
        </w:rPr>
        <w:t>excluded wave three initiators</w:t>
      </w:r>
      <w:r w:rsidRPr="00A0218A">
        <w:rPr>
          <w:rFonts w:eastAsia="Calibri" w:cs="Times New Roman"/>
          <w:color w:val="000000"/>
        </w:rPr>
        <w:t xml:space="preserve">. </w:t>
      </w:r>
      <w:r w:rsidR="006F4C1D">
        <w:rPr>
          <w:rFonts w:eastAsia="Calibri" w:cs="Times New Roman"/>
          <w:color w:val="000000"/>
        </w:rPr>
        <w:t>When including wave three init</w:t>
      </w:r>
      <w:r w:rsidR="004F0775">
        <w:rPr>
          <w:rFonts w:eastAsia="Calibri" w:cs="Times New Roman"/>
          <w:color w:val="000000"/>
        </w:rPr>
        <w:t>i</w:t>
      </w:r>
      <w:r w:rsidR="006F4C1D">
        <w:rPr>
          <w:rFonts w:eastAsia="Calibri" w:cs="Times New Roman"/>
          <w:color w:val="000000"/>
        </w:rPr>
        <w:t>ators</w:t>
      </w:r>
      <w:r w:rsidRPr="00A0218A">
        <w:rPr>
          <w:rFonts w:eastAsia="Calibri" w:cs="Times New Roman"/>
          <w:color w:val="000000"/>
        </w:rPr>
        <w:t xml:space="preserve">, 41.9 percent of Hispanic current smokers initiated to menthol; </w:t>
      </w:r>
      <w:r w:rsidR="006F4C1D">
        <w:rPr>
          <w:rFonts w:eastAsia="Calibri" w:cs="Times New Roman"/>
          <w:color w:val="000000"/>
        </w:rPr>
        <w:t>excluding wave three initiators</w:t>
      </w:r>
      <w:r w:rsidRPr="00A0218A">
        <w:rPr>
          <w:rFonts w:eastAsia="Calibri" w:cs="Times New Roman"/>
          <w:color w:val="000000"/>
        </w:rPr>
        <w:t xml:space="preserve">, 44.2 percent initiated to menthol. </w:t>
      </w:r>
      <w:r>
        <w:rPr>
          <w:rFonts w:eastAsia="Calibri" w:cs="Times New Roman"/>
          <w:color w:val="000000"/>
        </w:rPr>
        <w:t xml:space="preserve">The authors </w:t>
      </w:r>
      <w:r w:rsidRPr="00A0218A">
        <w:rPr>
          <w:rFonts w:eastAsia="Calibri" w:cs="Times New Roman"/>
          <w:color w:val="000000"/>
        </w:rPr>
        <w:t xml:space="preserve">also examined rates of switching cigarette type among Hispanic youth in this sample. Including youth who started smoking during the </w:t>
      </w:r>
      <w:r w:rsidR="006F4C1D">
        <w:rPr>
          <w:rFonts w:eastAsia="Calibri" w:cs="Times New Roman"/>
          <w:color w:val="000000"/>
        </w:rPr>
        <w:t>third</w:t>
      </w:r>
      <w:r w:rsidR="006F4C1D" w:rsidRPr="00A0218A">
        <w:rPr>
          <w:rFonts w:eastAsia="Calibri" w:cs="Times New Roman"/>
          <w:color w:val="000000"/>
        </w:rPr>
        <w:t xml:space="preserve"> </w:t>
      </w:r>
      <w:r w:rsidRPr="00A0218A">
        <w:rPr>
          <w:rFonts w:eastAsia="Calibri" w:cs="Times New Roman"/>
          <w:color w:val="000000"/>
        </w:rPr>
        <w:t>wave, 3.9 percent of Hispanic menthol smokers switched to non-menthol cigarettes, and 7.5 percent of Hispanic non-menthol smokers switched to menthol cigarettes.</w:t>
      </w:r>
      <w:r w:rsidR="006F4C1D">
        <w:rPr>
          <w:rFonts w:eastAsia="Calibri" w:cs="Times New Roman"/>
          <w:color w:val="000000"/>
        </w:rPr>
        <w:t xml:space="preserve"> Tests of statistical significance for these results were not reported.</w:t>
      </w:r>
    </w:p>
    <w:p w14:paraId="604F41A7" w14:textId="2B4B3F98" w:rsidR="00915113" w:rsidRDefault="00915113" w:rsidP="000F618F">
      <w:r w:rsidRPr="001A4FE3">
        <w:t xml:space="preserve">Cubbin et al. </w:t>
      </w:r>
      <w:r w:rsidR="00D2134A">
        <w:fldChar w:fldCharType="begin"/>
      </w:r>
      <w:r w:rsidR="00D2134A">
        <w:instrText xml:space="preserve"> ADDIN EN.CITE &lt;EndNote&gt;&lt;Cite&gt;&lt;Author&gt;Cubbin&lt;/Author&gt;&lt;Year&gt;2010&lt;/Year&gt;&lt;RecNum&gt;53&lt;/RecNum&gt;&lt;DisplayText&gt;(50)&lt;/DisplayText&gt;&lt;record&gt;&lt;rec-number&gt;53&lt;/rec-number&gt;&lt;foreign-keys&gt;&lt;key app="EN" db-id="a2vz2dfp8xrad6exes75zwpiw5rxwa0vwapv" timestamp="0"&gt;53&lt;/key&gt;&lt;/foreign-keys&gt;&lt;ref-type name="Journal Article"&gt;17&lt;/ref-type&gt;&lt;contributors&gt;&lt;authors&gt;&lt;author&gt;Cubbin, C.&lt;/author&gt;&lt;author&gt;Soobader, M. J.&lt;/author&gt;&lt;author&gt;LeClere, F. B.&lt;/author&gt;&lt;/authors&gt;&lt;/contributors&gt;&lt;auth-address&gt;School of Social Work, University of Texas at Austin, Austin, TX 78712-0358, USA. ccubbin@austin.utexas.edu&lt;/auth-address&gt;&lt;titles&gt;&lt;title&gt;The intersection of gender and race/ethnicity in smoking behaviors among menthol and non-menthol smokers in the United States&lt;/title&gt;&lt;secondary-title&gt;Addiction&lt;/secondary-title&gt;&lt;/titles&gt;&lt;periodical&gt;&lt;full-title&gt;Addiction&lt;/full-title&gt;&lt;/periodical&gt;&lt;pages&gt;32-8&lt;/pages&gt;&lt;volume&gt;105 Suppl 1&lt;/volume&gt;&lt;keywords&gt;&lt;keyword&gt;Adult&lt;/keyword&gt;&lt;keyword&gt;African Americans/statistics &amp;amp; numerical data&lt;/keyword&gt;&lt;keyword&gt;Age of Onset&lt;/keyword&gt;&lt;keyword&gt;Cross-Sectional Studies&lt;/keyword&gt;&lt;keyword&gt;European Continental Ancestry Group/statistics &amp;amp; numerical data&lt;/keyword&gt;&lt;keyword&gt;Female&lt;/keyword&gt;&lt;keyword&gt;Hispanic Americans/statistics &amp;amp; numerical data&lt;/keyword&gt;&lt;keyword&gt;Humans&lt;/keyword&gt;&lt;keyword&gt;Male&lt;/keyword&gt;&lt;keyword&gt;*Menthol&lt;/keyword&gt;&lt;keyword&gt;Middle Aged&lt;/keyword&gt;&lt;keyword&gt;*Population Surveillance&lt;/keyword&gt;&lt;keyword&gt;Sex Factors&lt;/keyword&gt;&lt;keyword&gt;Smoking/*epidemiology/ethnology&lt;/keyword&gt;&lt;keyword&gt;Smoking Cessation/ethnology/statistics &amp;amp; numerical data&lt;/keyword&gt;&lt;keyword&gt;Socioeconomic Factors&lt;/keyword&gt;&lt;keyword&gt;United States/epidemiology&lt;/keyword&gt;&lt;/keywords&gt;&lt;dates&gt;&lt;year&gt;2010&lt;/year&gt;&lt;pub-dates&gt;&lt;date&gt;Dec&lt;/date&gt;&lt;/pub-dates&gt;&lt;/dates&gt;&lt;isbn&gt;1360-0443 (Electronic)&amp;#xD;0965-2140 (Linking)&lt;/isbn&gt;&lt;accession-num&gt;21059134&lt;/accession-num&gt;&lt;urls&gt;&lt;related-urls&gt;&lt;url&gt;http://www.ncbi.nlm.nih.gov/pubmed/21059134&lt;/url&gt;&lt;/related-urls&gt;&lt;/urls&gt;&lt;electronic-resource-num&gt;10.1111/j.1360-0443.2010.03191.x&lt;/electronic-resource-num&gt;&lt;research-notes&gt;#281&lt;/research-notes&gt;&lt;/record&gt;&lt;/Cite&gt;&lt;/EndNote&gt;</w:instrText>
      </w:r>
      <w:r w:rsidR="00D2134A">
        <w:fldChar w:fldCharType="separate"/>
      </w:r>
      <w:r w:rsidR="00D2134A">
        <w:rPr>
          <w:noProof/>
        </w:rPr>
        <w:t>(</w:t>
      </w:r>
      <w:hyperlink w:anchor="_ENREF_50" w:tooltip="Cubbin, 2010 #53" w:history="1">
        <w:r w:rsidR="00A234A9">
          <w:rPr>
            <w:noProof/>
          </w:rPr>
          <w:t>50</w:t>
        </w:r>
      </w:hyperlink>
      <w:r w:rsidR="00D2134A">
        <w:rPr>
          <w:noProof/>
        </w:rPr>
        <w:t>)</w:t>
      </w:r>
      <w:r w:rsidR="00D2134A">
        <w:fldChar w:fldCharType="end"/>
      </w:r>
      <w:r w:rsidRPr="001A4FE3">
        <w:t xml:space="preserve"> reported data from adults in the 2005 NHIS. Authors looked at distribution of daily and non-daily smoking in menthol and non-menthol smokers stratified by race</w:t>
      </w:r>
      <w:r w:rsidR="00BF13A5">
        <w:t>/</w:t>
      </w:r>
      <w:r w:rsidR="0072753E">
        <w:t>ethnicity</w:t>
      </w:r>
      <w:r w:rsidRPr="001A4FE3">
        <w:t xml:space="preserve"> and gender. </w:t>
      </w:r>
      <w:r w:rsidRPr="001A4FE3">
        <w:lastRenderedPageBreak/>
        <w:t>Authors reported that in</w:t>
      </w:r>
      <w:r>
        <w:rPr>
          <w:i/>
        </w:rPr>
        <w:t xml:space="preserve"> </w:t>
      </w:r>
      <w:r w:rsidRPr="001A4FE3">
        <w:t>Hispanic women population, for menthol use 1.5 percent were non-daily smokers and 3.1 percent were daily smokers, and for non-menthol use 2.1 percent were non-daily smokers and 5.7 percent were daily smokers; Hispanic men population, for menthol use 1.3 percent were non-daily smokers and 2.1 percent were daily smokers, and for non-menthol use 6.9 percent were non-daily smokers and 10.7</w:t>
      </w:r>
      <w:r>
        <w:t xml:space="preserve"> percent were daily smokers.</w:t>
      </w:r>
    </w:p>
    <w:p w14:paraId="5B967B8F" w14:textId="1D285BEF" w:rsidR="003C3DCC" w:rsidRDefault="003C3DCC" w:rsidP="003C3DCC">
      <w:pPr>
        <w:spacing w:after="120" w:line="240" w:lineRule="auto"/>
        <w:jc w:val="both"/>
        <w:rPr>
          <w:rFonts w:eastAsia="Calibri" w:cs="Times New Roman"/>
          <w:color w:val="000000"/>
        </w:rPr>
      </w:pPr>
      <w:r w:rsidRPr="00A0218A">
        <w:rPr>
          <w:rFonts w:eastAsia="Calibri" w:cs="Times New Roman"/>
          <w:color w:val="000000"/>
        </w:rPr>
        <w:t xml:space="preserve">In a cross-sectional study that enrolled </w:t>
      </w:r>
      <w:r>
        <w:rPr>
          <w:rFonts w:eastAsia="Calibri" w:cs="Times New Roman"/>
          <w:color w:val="000000"/>
        </w:rPr>
        <w:t>323</w:t>
      </w:r>
      <w:r w:rsidRPr="00A0218A">
        <w:rPr>
          <w:rFonts w:eastAsia="Calibri" w:cs="Times New Roman"/>
          <w:color w:val="000000"/>
        </w:rPr>
        <w:t xml:space="preserve"> </w:t>
      </w:r>
      <w:r>
        <w:rPr>
          <w:rFonts w:eastAsia="Calibri" w:cs="Times New Roman"/>
          <w:color w:val="000000"/>
        </w:rPr>
        <w:t>p</w:t>
      </w:r>
      <w:r w:rsidRPr="000D6704">
        <w:rPr>
          <w:rFonts w:eastAsia="Calibri" w:cs="Times New Roman"/>
          <w:color w:val="000000"/>
        </w:rPr>
        <w:t xml:space="preserve">regnant White women age </w:t>
      </w:r>
      <w:r>
        <w:rPr>
          <w:rFonts w:eastAsia="Calibri" w:cs="Times New Roman"/>
          <w:color w:val="000000"/>
        </w:rPr>
        <w:t xml:space="preserve">16 years or older, Oncken et al. </w:t>
      </w:r>
      <w:r w:rsidR="00D2134A">
        <w:rPr>
          <w:rFonts w:eastAsia="Calibri" w:cs="Times New Roman"/>
          <w:color w:val="000000"/>
        </w:rPr>
        <w:fldChar w:fldCharType="begin">
          <w:fldData xml:space="preserve">PEVuZE5vdGU+PENpdGU+PEF1dGhvcj5PbmNrZW48L0F1dGhvcj48WWVhcj4yMDE1PC9ZZWFyPjxS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PEVuZE5vdGU+PENpdGU+PEF1dGhvcj5PbmNrZW48L0F1dGhvcj48WWVhcj4yMDE1PC9ZZWFyPjxS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76" w:tooltip="Oncken, 2015 #6" w:history="1">
        <w:r w:rsidR="00A234A9">
          <w:rPr>
            <w:rFonts w:eastAsia="Calibri" w:cs="Times New Roman"/>
            <w:noProof/>
            <w:color w:val="000000"/>
          </w:rPr>
          <w:t>76</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w:t>
      </w:r>
      <w:r>
        <w:rPr>
          <w:rFonts w:eastAsia="Calibri" w:cs="Times New Roman"/>
          <w:color w:val="000000"/>
        </w:rPr>
        <w:t>found that</w:t>
      </w:r>
      <w:r w:rsidRPr="00A0218A">
        <w:rPr>
          <w:rFonts w:eastAsia="Calibri" w:cs="Times New Roman"/>
          <w:color w:val="000000"/>
        </w:rPr>
        <w:t xml:space="preserve"> </w:t>
      </w:r>
      <w:r>
        <w:rPr>
          <w:rFonts w:eastAsia="Calibri" w:cs="Times New Roman"/>
          <w:color w:val="000000"/>
        </w:rPr>
        <w:t xml:space="preserve">among </w:t>
      </w:r>
      <w:r w:rsidRPr="00A0218A">
        <w:rPr>
          <w:rFonts w:eastAsia="Calibri" w:cs="Times New Roman"/>
          <w:color w:val="000000"/>
        </w:rPr>
        <w:t>bot</w:t>
      </w:r>
      <w:r>
        <w:rPr>
          <w:rFonts w:eastAsia="Calibri" w:cs="Times New Roman"/>
          <w:color w:val="000000"/>
        </w:rPr>
        <w:t>h White and Hispanic pregnant women</w:t>
      </w:r>
      <w:r w:rsidRPr="00A0218A">
        <w:rPr>
          <w:rFonts w:eastAsia="Calibri" w:cs="Times New Roman"/>
          <w:color w:val="000000"/>
        </w:rPr>
        <w:t>, age at initiation was lower</w:t>
      </w:r>
      <w:r>
        <w:rPr>
          <w:rFonts w:eastAsia="Calibri" w:cs="Times New Roman"/>
          <w:color w:val="000000"/>
        </w:rPr>
        <w:t>, but non-significant,</w:t>
      </w:r>
      <w:r w:rsidRPr="00A0218A">
        <w:rPr>
          <w:rFonts w:eastAsia="Calibri" w:cs="Times New Roman"/>
          <w:color w:val="000000"/>
        </w:rPr>
        <w:t xml:space="preserve"> among menthol smokers. Among Hispanic women, the mean age at first cigarette was 15.8±3.2 years for menthol smokers, compared with 17.7±3.6 years for non-menthol smokers</w:t>
      </w:r>
      <w:r>
        <w:rPr>
          <w:rFonts w:eastAsia="Calibri" w:cs="Times New Roman"/>
          <w:color w:val="000000"/>
        </w:rPr>
        <w:t>.</w:t>
      </w:r>
    </w:p>
    <w:p w14:paraId="370EF943" w14:textId="77777777" w:rsidR="00D04C52" w:rsidRPr="00A0218A" w:rsidRDefault="00D04C52" w:rsidP="000F618F">
      <w:pPr>
        <w:spacing w:after="120" w:line="240" w:lineRule="auto"/>
        <w:jc w:val="both"/>
        <w:outlineLvl w:val="2"/>
        <w:rPr>
          <w:rFonts w:eastAsia="Calibri" w:cs="Times New Roman"/>
          <w:b/>
          <w:i/>
          <w:color w:val="000000"/>
        </w:rPr>
      </w:pPr>
      <w:r w:rsidRPr="00A0218A">
        <w:rPr>
          <w:rFonts w:eastAsia="Calibri" w:cs="Times New Roman"/>
          <w:b/>
          <w:i/>
          <w:color w:val="000000"/>
        </w:rPr>
        <w:t>Other or Multiple Races/Ethnicities</w:t>
      </w:r>
    </w:p>
    <w:p w14:paraId="547D50C9" w14:textId="1D1A68B1" w:rsidR="00D04C52" w:rsidRPr="00A0218A" w:rsidRDefault="00053010" w:rsidP="00B46744">
      <w:pPr>
        <w:spacing w:after="120" w:line="240" w:lineRule="auto"/>
        <w:jc w:val="both"/>
        <w:rPr>
          <w:rFonts w:eastAsia="Calibri" w:cs="Times New Roman"/>
          <w:i/>
          <w:color w:val="000000"/>
        </w:rPr>
      </w:pPr>
      <w:r>
        <w:rPr>
          <w:rFonts w:eastAsia="Calibri" w:cs="Times New Roman"/>
          <w:i/>
          <w:color w:val="000000"/>
        </w:rPr>
        <w:t>Across</w:t>
      </w:r>
      <w:r w:rsidRPr="00A0218A">
        <w:rPr>
          <w:rFonts w:eastAsia="Calibri" w:cs="Times New Roman"/>
          <w:i/>
          <w:color w:val="000000"/>
        </w:rPr>
        <w:t xml:space="preserve"> </w:t>
      </w:r>
      <w:r>
        <w:rPr>
          <w:rFonts w:eastAsia="Calibri" w:cs="Times New Roman"/>
          <w:i/>
          <w:color w:val="000000"/>
        </w:rPr>
        <w:t xml:space="preserve">three studies </w:t>
      </w:r>
      <w:r w:rsidR="00D2134A">
        <w:rPr>
          <w:rFonts w:eastAsia="Calibri" w:cs="Times New Roman"/>
          <w:i/>
          <w:color w:val="000000"/>
        </w:rPr>
        <w:fldChar w:fldCharType="begin">
          <w:fldData xml:space="preserve">PEVuZE5vdGU+PENpdGU+PEF1dGhvcj5Ob25uZW1ha2VyPC9BdXRob3I+PFllYXI+MjAxMDwvWWVh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PEVuZE5vdGU+PENpdGU+PEF1dGhvcj5Ob25uZW1ha2VyPC9BdXRob3I+PFllYXI+MjAxMDwvWWVh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2" w:tooltip="Nonnemaker, 2012 #31" w:history="1">
        <w:r w:rsidR="00A234A9">
          <w:rPr>
            <w:rFonts w:eastAsia="Calibri" w:cs="Times New Roman"/>
            <w:i/>
            <w:noProof/>
            <w:color w:val="000000"/>
          </w:rPr>
          <w:t>72</w:t>
        </w:r>
      </w:hyperlink>
      <w:r w:rsidR="00D2134A">
        <w:rPr>
          <w:rFonts w:eastAsia="Calibri" w:cs="Times New Roman"/>
          <w:i/>
          <w:noProof/>
          <w:color w:val="000000"/>
        </w:rPr>
        <w:t xml:space="preserve">, </w:t>
      </w:r>
      <w:hyperlink w:anchor="_ENREF_73" w:tooltip="Nonnemaker, 2010 #97" w:history="1">
        <w:r w:rsidR="00A234A9">
          <w:rPr>
            <w:rFonts w:eastAsia="Calibri" w:cs="Times New Roman"/>
            <w:i/>
            <w:noProof/>
            <w:color w:val="000000"/>
          </w:rPr>
          <w:t>73</w:t>
        </w:r>
      </w:hyperlink>
      <w:r w:rsidR="00D2134A">
        <w:rPr>
          <w:rFonts w:eastAsia="Calibri" w:cs="Times New Roman"/>
          <w:i/>
          <w:noProof/>
          <w:color w:val="000000"/>
        </w:rPr>
        <w:t xml:space="preserve">, </w:t>
      </w:r>
      <w:hyperlink w:anchor="_ENREF_79" w:tooltip="Rath, 2015 #3" w:history="1">
        <w:r w:rsidR="00A234A9">
          <w:rPr>
            <w:rFonts w:eastAsia="Calibri" w:cs="Times New Roman"/>
            <w:i/>
            <w:noProof/>
            <w:color w:val="000000"/>
          </w:rPr>
          <w:t>79</w:t>
        </w:r>
      </w:hyperlink>
      <w:r w:rsidR="00D2134A">
        <w:rPr>
          <w:rFonts w:eastAsia="Calibri" w:cs="Times New Roman"/>
          <w:i/>
          <w:noProof/>
          <w:color w:val="000000"/>
        </w:rPr>
        <w:t>)</w:t>
      </w:r>
      <w:r w:rsidR="00D2134A">
        <w:rPr>
          <w:rFonts w:eastAsia="Calibri" w:cs="Times New Roman"/>
          <w:i/>
          <w:color w:val="000000"/>
        </w:rPr>
        <w:fldChar w:fldCharType="end"/>
      </w:r>
      <w:r>
        <w:rPr>
          <w:rFonts w:eastAsia="Calibri" w:cs="Times New Roman"/>
          <w:i/>
          <w:color w:val="000000"/>
        </w:rPr>
        <w:t xml:space="preserve">, two studies found that among </w:t>
      </w:r>
      <w:r w:rsidR="00D04C52" w:rsidRPr="00A0218A">
        <w:rPr>
          <w:rFonts w:eastAsia="Calibri" w:cs="Times New Roman"/>
          <w:i/>
          <w:color w:val="000000"/>
        </w:rPr>
        <w:t xml:space="preserve">youth of races/ethnicities other than </w:t>
      </w:r>
      <w:r w:rsidR="00E1156E">
        <w:rPr>
          <w:rFonts w:eastAsia="Calibri" w:cs="Times New Roman"/>
          <w:i/>
          <w:color w:val="000000"/>
        </w:rPr>
        <w:t>White</w:t>
      </w:r>
      <w:r w:rsidR="00D04C52" w:rsidRPr="00A0218A">
        <w:rPr>
          <w:rFonts w:eastAsia="Calibri" w:cs="Times New Roman"/>
          <w:i/>
          <w:color w:val="000000"/>
        </w:rPr>
        <w:t xml:space="preserve">, </w:t>
      </w:r>
      <w:r w:rsidR="00E1156E">
        <w:rPr>
          <w:rFonts w:eastAsia="Calibri" w:cs="Times New Roman"/>
          <w:i/>
          <w:color w:val="000000"/>
        </w:rPr>
        <w:t>Black</w:t>
      </w:r>
      <w:r w:rsidR="00D04C52" w:rsidRPr="00A0218A">
        <w:rPr>
          <w:rFonts w:eastAsia="Calibri" w:cs="Times New Roman"/>
          <w:i/>
          <w:color w:val="000000"/>
        </w:rPr>
        <w:t xml:space="preserve"> or Hispanic, 39 to 51 percent initiated with menthol</w:t>
      </w:r>
      <w:r w:rsidR="000C5CF5">
        <w:rPr>
          <w:rFonts w:eastAsia="Calibri" w:cs="Times New Roman"/>
          <w:i/>
          <w:color w:val="000000"/>
        </w:rPr>
        <w:t xml:space="preserve"> </w:t>
      </w:r>
      <w:r w:rsidR="00D2134A">
        <w:rPr>
          <w:rFonts w:eastAsia="Calibri" w:cs="Times New Roman"/>
          <w:i/>
          <w:color w:val="000000"/>
        </w:rPr>
        <w:fldChar w:fldCharType="begin">
          <w:fldData xml:space="preserve">PEVuZE5vdGU+PENpdGU+PEF1dGhvcj5Ob25uZW1ha2VyPC9BdXRob3I+PFllYXI+MjAxMDwvWWVh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PEVuZE5vdGU+PENpdGU+PEF1dGhvcj5Ob25uZW1ha2VyPC9BdXRob3I+PFllYXI+MjAxMDwvWWVh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2" w:tooltip="Nonnemaker, 2012 #31" w:history="1">
        <w:r w:rsidR="00A234A9">
          <w:rPr>
            <w:rFonts w:eastAsia="Calibri" w:cs="Times New Roman"/>
            <w:i/>
            <w:noProof/>
            <w:color w:val="000000"/>
          </w:rPr>
          <w:t>72</w:t>
        </w:r>
      </w:hyperlink>
      <w:r w:rsidR="00D2134A">
        <w:rPr>
          <w:rFonts w:eastAsia="Calibri" w:cs="Times New Roman"/>
          <w:i/>
          <w:noProof/>
          <w:color w:val="000000"/>
        </w:rPr>
        <w:t xml:space="preserve">, </w:t>
      </w:r>
      <w:hyperlink w:anchor="_ENREF_73" w:tooltip="Nonnemaker, 2010 #97" w:history="1">
        <w:r w:rsidR="00A234A9">
          <w:rPr>
            <w:rFonts w:eastAsia="Calibri" w:cs="Times New Roman"/>
            <w:i/>
            <w:noProof/>
            <w:color w:val="000000"/>
          </w:rPr>
          <w:t>73</w:t>
        </w:r>
      </w:hyperlink>
      <w:r w:rsidR="00D2134A">
        <w:rPr>
          <w:rFonts w:eastAsia="Calibri" w:cs="Times New Roman"/>
          <w:i/>
          <w:noProof/>
          <w:color w:val="000000"/>
        </w:rPr>
        <w:t>)</w:t>
      </w:r>
      <w:r w:rsidR="00D2134A">
        <w:rPr>
          <w:rFonts w:eastAsia="Calibri" w:cs="Times New Roman"/>
          <w:i/>
          <w:color w:val="000000"/>
        </w:rPr>
        <w:fldChar w:fldCharType="end"/>
      </w:r>
      <w:r w:rsidR="00D04C52" w:rsidRPr="00A0218A">
        <w:rPr>
          <w:rFonts w:eastAsia="Calibri" w:cs="Times New Roman"/>
          <w:i/>
          <w:color w:val="000000"/>
        </w:rPr>
        <w:t xml:space="preserve">. </w:t>
      </w:r>
      <w:r w:rsidR="004F0775">
        <w:rPr>
          <w:rFonts w:eastAsia="Calibri" w:cs="Times New Roman"/>
          <w:i/>
          <w:color w:val="000000"/>
        </w:rPr>
        <w:t>Y</w:t>
      </w:r>
      <w:r>
        <w:rPr>
          <w:rFonts w:eastAsia="Calibri" w:cs="Times New Roman"/>
          <w:i/>
          <w:color w:val="000000"/>
        </w:rPr>
        <w:t xml:space="preserve">oung adults </w:t>
      </w:r>
      <w:r w:rsidR="00D04C52" w:rsidRPr="00A0218A">
        <w:rPr>
          <w:rFonts w:eastAsia="Calibri" w:cs="Times New Roman"/>
          <w:i/>
          <w:color w:val="000000"/>
        </w:rPr>
        <w:t>of other races/ethnicities switched from non-menthol to menthol at a higher rate than vice versa</w:t>
      </w:r>
      <w:r>
        <w:rPr>
          <w:rFonts w:eastAsia="Calibri" w:cs="Times New Roman"/>
          <w:i/>
          <w:color w:val="000000"/>
        </w:rPr>
        <w:t xml:space="preserve"> </w:t>
      </w:r>
      <w:r w:rsidR="00D2134A">
        <w:rPr>
          <w:rFonts w:eastAsia="Calibri" w:cs="Times New Roman"/>
          <w:i/>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9" w:tooltip="Rath, 2015 #3" w:history="1">
        <w:r w:rsidR="00A234A9">
          <w:rPr>
            <w:rFonts w:eastAsia="Calibri" w:cs="Times New Roman"/>
            <w:i/>
            <w:noProof/>
            <w:color w:val="000000"/>
          </w:rPr>
          <w:t>79</w:t>
        </w:r>
      </w:hyperlink>
      <w:r w:rsidR="00D2134A">
        <w:rPr>
          <w:rFonts w:eastAsia="Calibri" w:cs="Times New Roman"/>
          <w:i/>
          <w:noProof/>
          <w:color w:val="000000"/>
        </w:rPr>
        <w:t>)</w:t>
      </w:r>
      <w:r w:rsidR="00D2134A">
        <w:rPr>
          <w:rFonts w:eastAsia="Calibri" w:cs="Times New Roman"/>
          <w:i/>
          <w:color w:val="000000"/>
        </w:rPr>
        <w:fldChar w:fldCharType="end"/>
      </w:r>
      <w:r w:rsidR="00D04C52" w:rsidRPr="00A0218A">
        <w:rPr>
          <w:rFonts w:eastAsia="Calibri" w:cs="Times New Roman"/>
          <w:i/>
          <w:color w:val="000000"/>
        </w:rPr>
        <w:t>.</w:t>
      </w:r>
    </w:p>
    <w:p w14:paraId="669119DE" w14:textId="1E226F49" w:rsidR="00D04C52" w:rsidRPr="00A0218A" w:rsidRDefault="00D04C52" w:rsidP="00B46744">
      <w:pPr>
        <w:spacing w:after="120" w:line="240" w:lineRule="auto"/>
        <w:jc w:val="both"/>
        <w:rPr>
          <w:rFonts w:eastAsia="Calibri" w:cs="Times New Roman"/>
          <w:color w:val="000000"/>
        </w:rPr>
      </w:pPr>
      <w:r w:rsidRPr="00A0218A">
        <w:rPr>
          <w:rFonts w:eastAsia="Calibri" w:cs="Times New Roman"/>
          <w:color w:val="000000"/>
        </w:rPr>
        <w:t>In the LYAC study of young adults, Rath et al.</w:t>
      </w:r>
      <w:r>
        <w:rPr>
          <w:rFonts w:eastAsia="Calibri" w:cs="Times New Roman"/>
          <w:color w:val="000000"/>
        </w:rPr>
        <w:t xml:space="preserve"> </w:t>
      </w:r>
      <w:r w:rsidR="00D2134A">
        <w:rPr>
          <w:rFonts w:eastAsia="Calibri" w:cs="Times New Roman"/>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79" w:tooltip="Rath, 2015 #3" w:history="1">
        <w:r w:rsidR="00A234A9">
          <w:rPr>
            <w:rFonts w:eastAsia="Calibri" w:cs="Times New Roman"/>
            <w:noProof/>
            <w:color w:val="000000"/>
          </w:rPr>
          <w:t>79</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found that—of participants who switched from menthol to non-menthol—none were a race/ethnicity other than </w:t>
      </w:r>
      <w:r w:rsidR="00E1156E">
        <w:rPr>
          <w:rFonts w:eastAsia="Calibri" w:cs="Times New Roman"/>
          <w:color w:val="000000"/>
        </w:rPr>
        <w:t>Black</w:t>
      </w:r>
      <w:r w:rsidRPr="00A0218A">
        <w:rPr>
          <w:rFonts w:eastAsia="Calibri" w:cs="Times New Roman"/>
          <w:color w:val="000000"/>
        </w:rPr>
        <w:t xml:space="preserve">, </w:t>
      </w:r>
      <w:r w:rsidR="00E1156E">
        <w:rPr>
          <w:rFonts w:eastAsia="Calibri" w:cs="Times New Roman"/>
          <w:color w:val="000000"/>
        </w:rPr>
        <w:t>White</w:t>
      </w:r>
      <w:r w:rsidRPr="00A0218A">
        <w:rPr>
          <w:rFonts w:eastAsia="Calibri" w:cs="Times New Roman"/>
          <w:color w:val="000000"/>
        </w:rPr>
        <w:t xml:space="preserve"> or Hispanic. Of participants who switched from non-menthol to menthol, 8.9 percent were a race/ethnicity other than </w:t>
      </w:r>
      <w:r w:rsidR="00E1156E">
        <w:rPr>
          <w:rFonts w:eastAsia="Calibri" w:cs="Times New Roman"/>
          <w:color w:val="000000"/>
        </w:rPr>
        <w:t>Black</w:t>
      </w:r>
      <w:r w:rsidRPr="00A0218A">
        <w:rPr>
          <w:rFonts w:eastAsia="Calibri" w:cs="Times New Roman"/>
          <w:color w:val="000000"/>
        </w:rPr>
        <w:t xml:space="preserve">, </w:t>
      </w:r>
      <w:r w:rsidR="00E1156E">
        <w:rPr>
          <w:rFonts w:eastAsia="Calibri" w:cs="Times New Roman"/>
          <w:color w:val="000000"/>
        </w:rPr>
        <w:t>White</w:t>
      </w:r>
      <w:r w:rsidRPr="00A0218A">
        <w:rPr>
          <w:rFonts w:eastAsia="Calibri" w:cs="Times New Roman"/>
          <w:color w:val="000000"/>
        </w:rPr>
        <w:t>, or Hispanic. The overall difference in switching for all races/ethnicities was significant (p&lt;0.001).</w:t>
      </w:r>
    </w:p>
    <w:p w14:paraId="679A343C" w14:textId="0DAC3042" w:rsidR="00D04C52" w:rsidRPr="00A0218A" w:rsidRDefault="00D04C52" w:rsidP="00B46744">
      <w:pPr>
        <w:spacing w:after="120" w:line="240" w:lineRule="auto"/>
        <w:jc w:val="both"/>
        <w:rPr>
          <w:rFonts w:eastAsia="Calibri" w:cs="Times New Roman"/>
          <w:color w:val="000000"/>
        </w:rPr>
      </w:pPr>
      <w:r>
        <w:rPr>
          <w:rFonts w:eastAsia="Calibri" w:cs="Times New Roman"/>
          <w:color w:val="000000"/>
        </w:rPr>
        <w:t>Nonnemaker et al</w:t>
      </w:r>
      <w:r w:rsidR="00C56F21">
        <w:rPr>
          <w:rFonts w:eastAsia="Calibri" w:cs="Times New Roman"/>
          <w:color w:val="000000"/>
        </w:rPr>
        <w:t xml:space="preserve">.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&lt;EndNote&gt;&lt;Cite&gt;&lt;Author&gt;Nonnemaker&lt;/Author&gt;&lt;Year&gt;2012&lt;/Year&gt;&lt;RecNum&gt;31&lt;/RecNum&gt;&lt;DisplayText&gt;(72)&lt;/DisplayText&gt;&lt;record&gt;&lt;rec-number&gt;31&lt;/rec-number&gt;&lt;foreign-keys&gt;&lt;key app="EN" db-id="a2vz2dfp8xrad6exes75zwpiw5rxwa0vwapv" timestamp="0"&gt;31&lt;/key&gt;&lt;/foreign-keys&gt;&lt;ref-type name="Journal Article"&gt;17&lt;/ref-type&gt;&lt;contributors&gt;&lt;authors&gt;&lt;author&gt;Nonnemaker, J.&lt;/author&gt;&lt;author&gt;Hersey, J.&lt;/author&gt;&lt;author&gt;Homsi, G.&lt;/author&gt;&lt;author&gt;Busey, A.&lt;/author&gt;&lt;author&gt;Allen, J.&lt;/author&gt;&lt;author&gt;Vallone, D.&lt;/author&gt;&lt;/authors&gt;&lt;/contributors&gt;&lt;auth-address&gt;RTI International, Research Triangle Park, NC 27709-2194, USA. jnonnemaker@rti.org&lt;/auth-address&gt;&lt;titles&gt;&lt;title&gt;Initiation with menthol cigarettes and youth smoking uptake&lt;/title&gt;&lt;secondary-title&gt;Addiction&lt;/secondary-title&gt;&lt;/titles&gt;&lt;periodical&gt;&lt;full-title&gt;Addiction&lt;/full-title&gt;&lt;/periodical&gt;&lt;pages&gt;171-8&lt;/pages&gt;&lt;volume&gt;108&lt;/volume&gt;&lt;number&gt;1&lt;/number&gt;&lt;keywords&gt;&lt;keyword&gt;Adolescent&lt;/keyword&gt;&lt;keyword&gt;Age Distribution&lt;/keyword&gt;&lt;keyword&gt;Child&lt;/keyword&gt;&lt;keyword&gt;Female&lt;/keyword&gt;&lt;keyword&gt;Flavoring Agents/*adverse effects&lt;/keyword&gt;&lt;keyword&gt;Humans&lt;/keyword&gt;&lt;keyword&gt;Longitudinal Studies&lt;/keyword&gt;&lt;keyword&gt;Male&lt;/keyword&gt;&lt;keyword&gt;Menthol/*adverse effects&lt;/keyword&gt;&lt;keyword&gt;Risk Factors&lt;/keyword&gt;&lt;keyword&gt;Sex Distribution&lt;/keyword&gt;&lt;keyword&gt;Smoking/*adverse effects&lt;/keyword&gt;&lt;keyword&gt;Smoking Cessation/psychology/statistics &amp;amp; numerical data&lt;/keyword&gt;&lt;keyword&gt;Tobacco Products/*adverse effects&lt;/keyword&gt;&lt;keyword&gt;Tobacco Use Disorder/*etiology&lt;/keyword&gt;&lt;keyword&gt;United States&lt;/keyword&gt;&lt;/keywords&gt;&lt;dates&gt;&lt;year&gt;2012&lt;/year&gt;&lt;pub-dates&gt;&lt;date&gt;Jan&lt;/date&gt;&lt;/pub-dates&gt;&lt;/dates&gt;&lt;isbn&gt;1360-0443 (Electronic)&amp;#xD;0965-2140 (Linking)&lt;/isbn&gt;&lt;accession-num&gt;22862154&lt;/accession-num&gt;&lt;urls&gt;&lt;related-urls&gt;&lt;url&gt;http://www.ncbi.nlm.nih.gov/pubmed/22862154&lt;/url&gt;&lt;/related-urls&gt;&lt;/urls&gt;&lt;electronic-resource-num&gt;10.1111/j.1360-0443.2012.04045.x&lt;/electronic-resource-num&gt;&lt;research-notes&gt;#160&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2" w:tooltip="Nonnemaker, 2012 #31" w:history="1">
        <w:r w:rsidR="00A234A9">
          <w:rPr>
            <w:rFonts w:eastAsia="Calibri" w:cs="Times New Roman"/>
            <w:noProof/>
            <w:color w:val="000000"/>
          </w:rPr>
          <w:t>72</w:t>
        </w:r>
      </w:hyperlink>
      <w:r w:rsidR="00D2134A">
        <w:rPr>
          <w:rFonts w:eastAsia="Calibri" w:cs="Times New Roman"/>
          <w:noProof/>
          <w:color w:val="000000"/>
        </w:rPr>
        <w:t>)</w:t>
      </w:r>
      <w:r w:rsidR="00D2134A">
        <w:rPr>
          <w:rFonts w:eastAsia="Calibri" w:cs="Times New Roman"/>
          <w:color w:val="000000"/>
        </w:rPr>
        <w:fldChar w:fldCharType="end"/>
      </w:r>
      <w:r w:rsidR="00C56F21">
        <w:rPr>
          <w:rFonts w:eastAsia="Calibri" w:cs="Times New Roman"/>
          <w:color w:val="000000"/>
        </w:rPr>
        <w:t>, a</w:t>
      </w:r>
      <w:r>
        <w:rPr>
          <w:rFonts w:eastAsia="Calibri" w:cs="Times New Roman"/>
          <w:color w:val="000000"/>
        </w:rPr>
        <w:t>s previously described in the adjusted results, found that a</w:t>
      </w:r>
      <w:r w:rsidRPr="00A0218A">
        <w:rPr>
          <w:rFonts w:eastAsia="Calibri" w:cs="Times New Roman"/>
          <w:color w:val="000000"/>
        </w:rPr>
        <w:t xml:space="preserve">mong current smokers who reported a race/ethnicity other than </w:t>
      </w:r>
      <w:r w:rsidR="00E1156E">
        <w:rPr>
          <w:rFonts w:eastAsia="Calibri" w:cs="Times New Roman"/>
          <w:color w:val="000000"/>
        </w:rPr>
        <w:t>Black</w:t>
      </w:r>
      <w:r w:rsidRPr="00A0218A">
        <w:rPr>
          <w:rFonts w:eastAsia="Calibri" w:cs="Times New Roman"/>
          <w:color w:val="000000"/>
        </w:rPr>
        <w:t xml:space="preserve">, </w:t>
      </w:r>
      <w:r w:rsidR="00E1156E">
        <w:rPr>
          <w:rFonts w:eastAsia="Calibri" w:cs="Times New Roman"/>
          <w:color w:val="000000"/>
        </w:rPr>
        <w:t>White</w:t>
      </w:r>
      <w:r w:rsidRPr="00A0218A">
        <w:rPr>
          <w:rFonts w:eastAsia="Calibri" w:cs="Times New Roman"/>
          <w:color w:val="000000"/>
        </w:rPr>
        <w:t xml:space="preserve">, or Hispanic, 39.2 percent initiated </w:t>
      </w:r>
      <w:r w:rsidR="00BC523B">
        <w:rPr>
          <w:rFonts w:eastAsia="Calibri" w:cs="Times New Roman"/>
          <w:color w:val="000000"/>
        </w:rPr>
        <w:t>with</w:t>
      </w:r>
      <w:r w:rsidR="00BC523B" w:rsidRPr="00A0218A">
        <w:rPr>
          <w:rFonts w:eastAsia="Calibri" w:cs="Times New Roman"/>
          <w:color w:val="000000"/>
        </w:rPr>
        <w:t xml:space="preserve"> </w:t>
      </w:r>
      <w:r w:rsidRPr="00A0218A">
        <w:rPr>
          <w:rFonts w:eastAsia="Calibri" w:cs="Times New Roman"/>
          <w:color w:val="000000"/>
        </w:rPr>
        <w:t xml:space="preserve">menthol, and 60.8 percent to non-menthol. A subset of the sample was characterized as non-established smokers (smoking on fewer than 20 of the past 30 days). Among non-established smokers who reported a race/ethnicity other than </w:t>
      </w:r>
      <w:r w:rsidR="00E1156E">
        <w:rPr>
          <w:rFonts w:eastAsia="Calibri" w:cs="Times New Roman"/>
          <w:color w:val="000000"/>
        </w:rPr>
        <w:t>Black</w:t>
      </w:r>
      <w:r w:rsidRPr="00A0218A">
        <w:rPr>
          <w:rFonts w:eastAsia="Calibri" w:cs="Times New Roman"/>
          <w:color w:val="000000"/>
        </w:rPr>
        <w:t xml:space="preserve">, </w:t>
      </w:r>
      <w:r w:rsidR="00E1156E">
        <w:rPr>
          <w:rFonts w:eastAsia="Calibri" w:cs="Times New Roman"/>
          <w:color w:val="000000"/>
        </w:rPr>
        <w:t>White</w:t>
      </w:r>
      <w:r w:rsidRPr="00A0218A">
        <w:rPr>
          <w:rFonts w:eastAsia="Calibri" w:cs="Times New Roman"/>
          <w:color w:val="000000"/>
        </w:rPr>
        <w:t xml:space="preserve">, or Hispanic, 39.3 percent initiated to menthol, compared with 60.7 percent to </w:t>
      </w:r>
      <w:r>
        <w:rPr>
          <w:rFonts w:eastAsia="Calibri" w:cs="Times New Roman"/>
          <w:color w:val="000000"/>
        </w:rPr>
        <w:t xml:space="preserve">non-menthol. Nonnemaker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&lt;EndNote&gt;&lt;Cite&gt;&lt;Author&gt;Nonnemaker&lt;/Author&gt;&lt;Year&gt;2012&lt;/Year&gt;&lt;RecNum&gt;31&lt;/RecNum&gt;&lt;DisplayText&gt;(72)&lt;/DisplayText&gt;&lt;record&gt;&lt;rec-number&gt;31&lt;/rec-number&gt;&lt;foreign-keys&gt;&lt;key app="EN" db-id="a2vz2dfp8xrad6exes75zwpiw5rxwa0vwapv" timestamp="0"&gt;31&lt;/key&gt;&lt;/foreign-keys&gt;&lt;ref-type name="Journal Article"&gt;17&lt;/ref-type&gt;&lt;contributors&gt;&lt;authors&gt;&lt;author&gt;Nonnemaker, J.&lt;/author&gt;&lt;author&gt;Hersey, J.&lt;/author&gt;&lt;author&gt;Homsi, G.&lt;/author&gt;&lt;author&gt;Busey, A.&lt;/author&gt;&lt;author&gt;Allen, J.&lt;/author&gt;&lt;author&gt;Vallone, D.&lt;/author&gt;&lt;/authors&gt;&lt;/contributors&gt;&lt;auth-address&gt;RTI International, Research Triangle Park, NC 27709-2194, USA. jnonnemaker@rti.org&lt;/auth-address&gt;&lt;titles&gt;&lt;title&gt;Initiation with menthol cigarettes and youth smoking uptake&lt;/title&gt;&lt;secondary-title&gt;Addiction&lt;/secondary-title&gt;&lt;/titles&gt;&lt;periodical&gt;&lt;full-title&gt;Addiction&lt;/full-title&gt;&lt;/periodical&gt;&lt;pages&gt;171-8&lt;/pages&gt;&lt;volume&gt;108&lt;/volume&gt;&lt;number&gt;1&lt;/number&gt;&lt;keywords&gt;&lt;keyword&gt;Adolescent&lt;/keyword&gt;&lt;keyword&gt;Age Distribution&lt;/keyword&gt;&lt;keyword&gt;Child&lt;/keyword&gt;&lt;keyword&gt;Female&lt;/keyword&gt;&lt;keyword&gt;Flavoring Agents/*adverse effects&lt;/keyword&gt;&lt;keyword&gt;Humans&lt;/keyword&gt;&lt;keyword&gt;Longitudinal Studies&lt;/keyword&gt;&lt;keyword&gt;Male&lt;/keyword&gt;&lt;keyword&gt;Menthol/*adverse effects&lt;/keyword&gt;&lt;keyword&gt;Risk Factors&lt;/keyword&gt;&lt;keyword&gt;Sex Distribution&lt;/keyword&gt;&lt;keyword&gt;Smoking/*adverse effects&lt;/keyword&gt;&lt;keyword&gt;Smoking Cessation/psychology/statistics &amp;amp; numerical data&lt;/keyword&gt;&lt;keyword&gt;Tobacco Products/*adverse effects&lt;/keyword&gt;&lt;keyword&gt;Tobacco Use Disorder/*etiology&lt;/keyword&gt;&lt;keyword&gt;United States&lt;/keyword&gt;&lt;/keywords&gt;&lt;dates&gt;&lt;year&gt;2012&lt;/year&gt;&lt;pub-dates&gt;&lt;date&gt;Jan&lt;/date&gt;&lt;/pub-dates&gt;&lt;/dates&gt;&lt;isbn&gt;1360-0443 (Electronic)&amp;#xD;0965-2140 (Linking)&lt;/isbn&gt;&lt;accession-num&gt;22862154&lt;/accession-num&gt;&lt;urls&gt;&lt;related-urls&gt;&lt;url&gt;http://www.ncbi.nlm.nih.gov/pubmed/22862154&lt;/url&gt;&lt;/related-urls&gt;&lt;/urls&gt;&lt;electronic-resource-num&gt;10.1111/j.1360-0443.2012.04045.x&lt;/electronic-resource-num&gt;&lt;research-notes&gt;#160&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2" w:tooltip="Nonnemaker, 2012 #31" w:history="1">
        <w:r w:rsidR="00A234A9">
          <w:rPr>
            <w:rFonts w:eastAsia="Calibri" w:cs="Times New Roman"/>
            <w:noProof/>
            <w:color w:val="000000"/>
          </w:rPr>
          <w:t>72</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also reported percentages of youth who remained current smokers at </w:t>
      </w:r>
      <w:r w:rsidR="004F0775">
        <w:rPr>
          <w:rFonts w:eastAsia="Calibri" w:cs="Times New Roman"/>
          <w:color w:val="000000"/>
        </w:rPr>
        <w:t>wave three</w:t>
      </w:r>
      <w:r w:rsidRPr="00A0218A">
        <w:rPr>
          <w:rFonts w:eastAsia="Calibri" w:cs="Times New Roman"/>
          <w:color w:val="000000"/>
        </w:rPr>
        <w:t xml:space="preserve"> of the ALLTURS study by switching status. Among current smokers who reported a race/ethnicity other than </w:t>
      </w:r>
      <w:r w:rsidR="00E1156E">
        <w:rPr>
          <w:rFonts w:eastAsia="Calibri" w:cs="Times New Roman"/>
          <w:color w:val="000000"/>
        </w:rPr>
        <w:t>White</w:t>
      </w:r>
      <w:r w:rsidRPr="00A0218A">
        <w:rPr>
          <w:rFonts w:eastAsia="Calibri" w:cs="Times New Roman"/>
          <w:color w:val="000000"/>
        </w:rPr>
        <w:t xml:space="preserve">, </w:t>
      </w:r>
      <w:r w:rsidR="00E1156E">
        <w:rPr>
          <w:rFonts w:eastAsia="Calibri" w:cs="Times New Roman"/>
          <w:color w:val="000000"/>
        </w:rPr>
        <w:t>Black</w:t>
      </w:r>
      <w:r w:rsidRPr="00A0218A">
        <w:rPr>
          <w:rFonts w:eastAsia="Calibri" w:cs="Times New Roman"/>
          <w:color w:val="000000"/>
        </w:rPr>
        <w:t xml:space="preserve">, or Hispanic, 10.0 percent of menthol initiators switched to non-menthol by </w:t>
      </w:r>
      <w:r w:rsidR="000C5CF5">
        <w:rPr>
          <w:rFonts w:eastAsia="Calibri" w:cs="Times New Roman"/>
          <w:color w:val="000000"/>
        </w:rPr>
        <w:t>wave three</w:t>
      </w:r>
      <w:r w:rsidRPr="00A0218A">
        <w:rPr>
          <w:rFonts w:eastAsia="Calibri" w:cs="Times New Roman"/>
          <w:color w:val="000000"/>
        </w:rPr>
        <w:t>, and 28.5 percent of non-menthol initiators switched to menthol.</w:t>
      </w:r>
      <w:r w:rsidR="004722B0">
        <w:rPr>
          <w:rFonts w:eastAsia="Calibri" w:cs="Times New Roman"/>
          <w:color w:val="000000"/>
        </w:rPr>
        <w:t xml:space="preserve"> Tests of statistical significance for these results were not reported.</w:t>
      </w:r>
    </w:p>
    <w:p w14:paraId="21D2D2CA" w14:textId="260BF156" w:rsidR="00D04C52" w:rsidRPr="00A0218A" w:rsidRDefault="00D04C52" w:rsidP="00B46744">
      <w:pPr>
        <w:spacing w:after="240" w:line="240" w:lineRule="auto"/>
        <w:jc w:val="both"/>
        <w:rPr>
          <w:rFonts w:eastAsia="Calibri" w:cs="Times New Roman"/>
          <w:color w:val="70AD47"/>
          <w:u w:val="single"/>
        </w:rPr>
      </w:pPr>
      <w:r w:rsidRPr="00A0218A">
        <w:rPr>
          <w:rFonts w:eastAsia="Calibri" w:cs="Times New Roman"/>
          <w:color w:val="000000"/>
        </w:rPr>
        <w:t xml:space="preserve">In another publication that analyzed data from </w:t>
      </w:r>
      <w:r>
        <w:rPr>
          <w:rFonts w:eastAsia="Calibri" w:cs="Times New Roman"/>
          <w:color w:val="000000"/>
        </w:rPr>
        <w:t xml:space="preserve">the ALLTURS, Nonnemaker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&lt;EndNote&gt;&lt;Cite&gt;&lt;Author&gt;Nonnemaker&lt;/Author&gt;&lt;Year&gt;2010&lt;/Year&gt;&lt;RecNum&gt;97&lt;/RecNum&gt;&lt;DisplayText&gt;(73)&lt;/DisplayText&gt;&lt;record&gt;&lt;rec-number&gt;97&lt;/rec-number&gt;&lt;foreign-keys&gt;&lt;key app="EN" db-id="a2vz2dfp8xrad6exes75zwpiw5rxwa0vwapv" timestamp="0"&gt;97&lt;/key&gt;&lt;/foreign-keys&gt;&lt;ref-type name="Report"&gt;27&lt;/ref-type&gt;&lt;contributors&gt;&lt;authors&gt;&lt;author&gt;Nonnemaker, J.&lt;/author&gt;&lt;author&gt;Hersey, J.&lt;/author&gt;&lt;author&gt;Homsi, G.&lt;/author&gt;&lt;author&gt;Busey, A.&lt;/author&gt;&lt;/authors&gt;&lt;/contributors&gt;&lt;titles&gt;&lt;title&gt;Menthol cigarettes and youth smoking updake&lt;/title&gt;&lt;/titles&gt;&lt;dates&gt;&lt;year&gt;2010&lt;/year&gt;&lt;/dates&gt;&lt;pub-location&gt;RTI International&lt;/pub-location&gt;&lt;urls&gt;&lt;/urls&gt;&lt;research-notes&gt;#812&lt;/research-notes&gt;&lt;/record&gt;&lt;/Cite&gt;&lt;/EndNote&gt;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3" w:tooltip="Nonnemaker, 2010 #97" w:history="1">
        <w:r w:rsidR="00A234A9">
          <w:rPr>
            <w:rFonts w:eastAsia="Calibri" w:cs="Times New Roman"/>
            <w:noProof/>
            <w:color w:val="000000"/>
          </w:rPr>
          <w:t>73</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assessed the percentage of participants who reported a race/ethnicity other than </w:t>
      </w:r>
      <w:r w:rsidR="00E1156E">
        <w:rPr>
          <w:rFonts w:eastAsia="Calibri" w:cs="Times New Roman"/>
          <w:color w:val="000000"/>
        </w:rPr>
        <w:t>White</w:t>
      </w:r>
      <w:r w:rsidRPr="00A0218A">
        <w:rPr>
          <w:rFonts w:eastAsia="Calibri" w:cs="Times New Roman"/>
          <w:color w:val="000000"/>
        </w:rPr>
        <w:t xml:space="preserve">, </w:t>
      </w:r>
      <w:r w:rsidR="00E1156E">
        <w:rPr>
          <w:rFonts w:eastAsia="Calibri" w:cs="Times New Roman"/>
          <w:color w:val="000000"/>
        </w:rPr>
        <w:t>Black</w:t>
      </w:r>
      <w:r w:rsidRPr="00A0218A">
        <w:rPr>
          <w:rFonts w:eastAsia="Calibri" w:cs="Times New Roman"/>
          <w:color w:val="000000"/>
        </w:rPr>
        <w:t xml:space="preserve">, or Hispanic (“other non-Hispanic”) current smokers at </w:t>
      </w:r>
      <w:r w:rsidR="004F0775">
        <w:rPr>
          <w:rFonts w:eastAsia="Calibri" w:cs="Times New Roman"/>
          <w:color w:val="000000"/>
        </w:rPr>
        <w:t>wave three</w:t>
      </w:r>
      <w:r w:rsidRPr="00A0218A">
        <w:rPr>
          <w:rFonts w:eastAsia="Calibri" w:cs="Times New Roman"/>
          <w:color w:val="000000"/>
        </w:rPr>
        <w:t xml:space="preserve"> who initiated to menthol cigarettes. The authors analyzed two sets of smokers: one that included youth who started smoking during the final wave (year three) and one that </w:t>
      </w:r>
      <w:r w:rsidR="004722B0">
        <w:rPr>
          <w:rFonts w:eastAsia="Calibri" w:cs="Times New Roman"/>
          <w:color w:val="000000"/>
        </w:rPr>
        <w:t>excluded wave three initiators</w:t>
      </w:r>
      <w:r w:rsidRPr="00A0218A">
        <w:rPr>
          <w:rFonts w:eastAsia="Calibri" w:cs="Times New Roman"/>
          <w:color w:val="000000"/>
        </w:rPr>
        <w:t xml:space="preserve">. </w:t>
      </w:r>
      <w:r w:rsidR="004722B0">
        <w:rPr>
          <w:rFonts w:eastAsia="Calibri" w:cs="Times New Roman"/>
          <w:color w:val="000000"/>
        </w:rPr>
        <w:t>When including wave three initiators</w:t>
      </w:r>
      <w:r w:rsidRPr="00A0218A">
        <w:rPr>
          <w:rFonts w:eastAsia="Calibri" w:cs="Times New Roman"/>
          <w:color w:val="000000"/>
        </w:rPr>
        <w:t xml:space="preserve">, 51.3 percent of other non-Hispanic current smokers initiated to menthol; </w:t>
      </w:r>
      <w:r w:rsidR="004722B0">
        <w:rPr>
          <w:rFonts w:eastAsia="Calibri" w:cs="Times New Roman"/>
          <w:color w:val="000000"/>
        </w:rPr>
        <w:t>when excluding wave three initiators</w:t>
      </w:r>
      <w:r w:rsidRPr="00A0218A">
        <w:rPr>
          <w:rFonts w:eastAsia="Calibri" w:cs="Times New Roman"/>
          <w:color w:val="000000"/>
        </w:rPr>
        <w:t xml:space="preserve">, 40.5 percent initiated to menthol. </w:t>
      </w:r>
      <w:r>
        <w:rPr>
          <w:rFonts w:eastAsia="Calibri" w:cs="Times New Roman"/>
          <w:color w:val="000000"/>
        </w:rPr>
        <w:t xml:space="preserve">The authors </w:t>
      </w:r>
      <w:r w:rsidRPr="00A0218A">
        <w:rPr>
          <w:rFonts w:eastAsia="Calibri" w:cs="Times New Roman"/>
          <w:color w:val="000000"/>
        </w:rPr>
        <w:t>also examined rates of switching cigarette type among other non-Hispanic youth in this sample. Including youth who started smoking during the final wave, 4.2 percent of other non-Hispanic menthol smokers switched to non-menthol cigarettes, and 12.0 percent of other non-Hispanic non-menthol smokers switched to menthol cigarettes.</w:t>
      </w:r>
      <w:r w:rsidR="004F0775">
        <w:rPr>
          <w:rFonts w:eastAsia="Calibri" w:cs="Times New Roman"/>
          <w:color w:val="000000"/>
        </w:rPr>
        <w:t xml:space="preserve"> </w:t>
      </w:r>
      <w:r w:rsidR="004722B0">
        <w:rPr>
          <w:rFonts w:eastAsia="Calibri" w:cs="Times New Roman"/>
          <w:color w:val="000000"/>
        </w:rPr>
        <w:t>Tests of statistical significance were not reported for these rates and i</w:t>
      </w:r>
      <w:r w:rsidR="004F0775" w:rsidRPr="00A0218A">
        <w:rPr>
          <w:rFonts w:eastAsia="Calibri" w:cs="Times New Roman"/>
          <w:color w:val="000000"/>
        </w:rPr>
        <w:t>t is unclear how much overlap there is in the samples used in the 2010 and 2012 publications.</w:t>
      </w:r>
    </w:p>
    <w:p w14:paraId="2FED65ED" w14:textId="77777777" w:rsidR="00D04C52" w:rsidRPr="00A0218A" w:rsidRDefault="00D04C52" w:rsidP="008E041E">
      <w:pPr>
        <w:spacing w:after="120" w:line="240" w:lineRule="auto"/>
        <w:jc w:val="both"/>
        <w:outlineLvl w:val="1"/>
        <w:rPr>
          <w:rFonts w:eastAsia="Calibri" w:cs="Times New Roman"/>
          <w:i/>
          <w:color w:val="000000"/>
          <w:u w:val="single"/>
        </w:rPr>
      </w:pPr>
      <w:r w:rsidRPr="00A0218A">
        <w:rPr>
          <w:rFonts w:eastAsia="Calibri" w:cs="Times New Roman"/>
          <w:i/>
          <w:color w:val="000000"/>
          <w:u w:val="single"/>
        </w:rPr>
        <w:t>Unadjusted Results: Initiation and Progression by Age</w:t>
      </w:r>
    </w:p>
    <w:p w14:paraId="416C0712" w14:textId="77777777" w:rsidR="00D04C52" w:rsidRPr="00A0218A" w:rsidRDefault="00D04C52" w:rsidP="008E041E">
      <w:pPr>
        <w:spacing w:after="120" w:line="240" w:lineRule="auto"/>
        <w:jc w:val="both"/>
        <w:outlineLvl w:val="2"/>
        <w:rPr>
          <w:rFonts w:eastAsia="Calibri" w:cs="Times New Roman"/>
          <w:b/>
          <w:i/>
          <w:color w:val="000000"/>
        </w:rPr>
      </w:pPr>
      <w:r w:rsidRPr="00A0218A">
        <w:rPr>
          <w:rFonts w:eastAsia="Calibri" w:cs="Times New Roman"/>
          <w:b/>
          <w:i/>
          <w:color w:val="000000"/>
        </w:rPr>
        <w:t>Youth</w:t>
      </w:r>
    </w:p>
    <w:p w14:paraId="68580C70" w14:textId="14F230AC" w:rsidR="00915113" w:rsidRPr="008E041E" w:rsidRDefault="00171800" w:rsidP="00B46744">
      <w:pPr>
        <w:spacing w:after="120" w:line="240" w:lineRule="auto"/>
        <w:jc w:val="both"/>
        <w:rPr>
          <w:i/>
          <w:color w:val="000000" w:themeColor="text1"/>
        </w:rPr>
      </w:pPr>
      <w:r>
        <w:rPr>
          <w:rFonts w:eastAsia="Calibri" w:cs="Times New Roman"/>
          <w:i/>
          <w:color w:val="000000"/>
        </w:rPr>
        <w:lastRenderedPageBreak/>
        <w:t xml:space="preserve">Across a total of six studies </w:t>
      </w:r>
      <w:r w:rsidR="00D2134A">
        <w:rPr>
          <w:rFonts w:eastAsia="Calibri" w:cs="Times New Roman"/>
          <w:i/>
          <w:color w:val="000000"/>
        </w:rPr>
        <w:fldChar w:fldCharType="begin">
          <w:fldData xml:space="preserve">PEVuZE5vdGU+PENpdGU+PEF1dGhvcj5DYXJhYmFsbG88L0F1dGhvcj48WWVhcj4yMDExPC9ZZWFy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==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PEVuZE5vdGU+PENpdGU+PEF1dGhvcj5DYXJhYmFsbG88L0F1dGhvcj48WWVhcj4yMDExPC9ZZWFy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==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49" w:tooltip="Caraballo, 2011 #47" w:history="1">
        <w:r w:rsidR="00A234A9">
          <w:rPr>
            <w:rFonts w:eastAsia="Calibri" w:cs="Times New Roman"/>
            <w:i/>
            <w:noProof/>
            <w:color w:val="000000"/>
          </w:rPr>
          <w:t>49</w:t>
        </w:r>
      </w:hyperlink>
      <w:r w:rsidR="00D2134A">
        <w:rPr>
          <w:rFonts w:eastAsia="Calibri" w:cs="Times New Roman"/>
          <w:i/>
          <w:noProof/>
          <w:color w:val="000000"/>
        </w:rPr>
        <w:t xml:space="preserve">, </w:t>
      </w:r>
      <w:hyperlink w:anchor="_ENREF_51" w:tooltip="Curtin, 2014 #13" w:history="1">
        <w:r w:rsidR="00A234A9">
          <w:rPr>
            <w:rFonts w:eastAsia="Calibri" w:cs="Times New Roman"/>
            <w:i/>
            <w:noProof/>
            <w:color w:val="000000"/>
          </w:rPr>
          <w:t>51</w:t>
        </w:r>
      </w:hyperlink>
      <w:r w:rsidR="00D2134A">
        <w:rPr>
          <w:rFonts w:eastAsia="Calibri" w:cs="Times New Roman"/>
          <w:i/>
          <w:noProof/>
          <w:color w:val="000000"/>
        </w:rPr>
        <w:t xml:space="preserve">, </w:t>
      </w:r>
      <w:hyperlink w:anchor="_ENREF_54" w:tooltip="DiFranza, 2004 #83" w:history="1">
        <w:r w:rsidR="00A234A9">
          <w:rPr>
            <w:rFonts w:eastAsia="Calibri" w:cs="Times New Roman"/>
            <w:i/>
            <w:noProof/>
            <w:color w:val="000000"/>
          </w:rPr>
          <w:t>54</w:t>
        </w:r>
      </w:hyperlink>
      <w:r w:rsidR="00D2134A">
        <w:rPr>
          <w:rFonts w:eastAsia="Calibri" w:cs="Times New Roman"/>
          <w:i/>
          <w:noProof/>
          <w:color w:val="000000"/>
        </w:rPr>
        <w:t xml:space="preserve">, </w:t>
      </w:r>
      <w:hyperlink w:anchor="_ENREF_63" w:tooltip="Hersey, 2010 #103" w:history="1">
        <w:r w:rsidR="00A234A9">
          <w:rPr>
            <w:rFonts w:eastAsia="Calibri" w:cs="Times New Roman"/>
            <w:i/>
            <w:noProof/>
            <w:color w:val="000000"/>
          </w:rPr>
          <w:t>63</w:t>
        </w:r>
      </w:hyperlink>
      <w:r w:rsidR="00D2134A">
        <w:rPr>
          <w:rFonts w:eastAsia="Calibri" w:cs="Times New Roman"/>
          <w:i/>
          <w:noProof/>
          <w:color w:val="000000"/>
        </w:rPr>
        <w:t xml:space="preserve">, </w:t>
      </w:r>
      <w:hyperlink w:anchor="_ENREF_72" w:tooltip="Nonnemaker, 2012 #31" w:history="1">
        <w:r w:rsidR="00A234A9">
          <w:rPr>
            <w:rFonts w:eastAsia="Calibri" w:cs="Times New Roman"/>
            <w:i/>
            <w:noProof/>
            <w:color w:val="000000"/>
          </w:rPr>
          <w:t>72</w:t>
        </w:r>
      </w:hyperlink>
      <w:r w:rsidR="00D2134A">
        <w:rPr>
          <w:rFonts w:eastAsia="Calibri" w:cs="Times New Roman"/>
          <w:i/>
          <w:noProof/>
          <w:color w:val="000000"/>
        </w:rPr>
        <w:t xml:space="preserve">, </w:t>
      </w:r>
      <w:hyperlink w:anchor="_ENREF_73" w:tooltip="Nonnemaker, 2010 #97" w:history="1">
        <w:r w:rsidR="00A234A9">
          <w:rPr>
            <w:rFonts w:eastAsia="Calibri" w:cs="Times New Roman"/>
            <w:i/>
            <w:noProof/>
            <w:color w:val="000000"/>
          </w:rPr>
          <w:t>73</w:t>
        </w:r>
      </w:hyperlink>
      <w:r w:rsidR="00D2134A">
        <w:rPr>
          <w:rFonts w:eastAsia="Calibri" w:cs="Times New Roman"/>
          <w:i/>
          <w:noProof/>
          <w:color w:val="000000"/>
        </w:rPr>
        <w:t>)</w:t>
      </w:r>
      <w:r w:rsidR="00D2134A">
        <w:rPr>
          <w:rFonts w:eastAsia="Calibri" w:cs="Times New Roman"/>
          <w:i/>
          <w:color w:val="000000"/>
        </w:rPr>
        <w:fldChar w:fldCharType="end"/>
      </w:r>
      <w:r>
        <w:rPr>
          <w:rFonts w:eastAsia="Calibri" w:cs="Times New Roman"/>
          <w:i/>
          <w:color w:val="000000"/>
        </w:rPr>
        <w:t>, t</w:t>
      </w:r>
      <w:r w:rsidRPr="00A0218A">
        <w:rPr>
          <w:rFonts w:eastAsia="Calibri" w:cs="Times New Roman"/>
          <w:i/>
          <w:color w:val="000000"/>
        </w:rPr>
        <w:t xml:space="preserve">hree </w:t>
      </w:r>
      <w:r w:rsidR="00D04C52" w:rsidRPr="00A0218A">
        <w:rPr>
          <w:rFonts w:eastAsia="Calibri" w:cs="Times New Roman"/>
          <w:i/>
          <w:color w:val="000000"/>
        </w:rPr>
        <w:t>studies (two of which had overlapping samples) reported proportions of youth who initiated to or with menthol</w:t>
      </w:r>
      <w:r w:rsidR="004722B0">
        <w:rPr>
          <w:rFonts w:eastAsia="Calibri" w:cs="Times New Roman"/>
          <w:i/>
          <w:color w:val="000000"/>
        </w:rPr>
        <w:t xml:space="preserve"> </w:t>
      </w:r>
      <w:r w:rsidR="00D2134A">
        <w:rPr>
          <w:rFonts w:eastAsia="Calibri" w:cs="Times New Roman"/>
          <w:i/>
          <w:color w:val="000000"/>
        </w:rPr>
        <w:fldChar w:fldCharType="begin">
          <w:fldData xml:space="preserve">PEVuZE5vdGU+PENpdGU+PEF1dGhvcj5EaUZyYW56YTwvQXV0aG9yPjxZZWFyPjIwMDQ8L1llYXI+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PEVuZE5vdGU+PENpdGU+PEF1dGhvcj5EaUZyYW56YTwvQXV0aG9yPjxZZWFyPjIwMDQ8L1llYXI+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54" w:tooltip="DiFranza, 2004 #83" w:history="1">
        <w:r w:rsidR="00A234A9">
          <w:rPr>
            <w:rFonts w:eastAsia="Calibri" w:cs="Times New Roman"/>
            <w:i/>
            <w:noProof/>
            <w:color w:val="000000"/>
          </w:rPr>
          <w:t>54</w:t>
        </w:r>
      </w:hyperlink>
      <w:r w:rsidR="00D2134A">
        <w:rPr>
          <w:rFonts w:eastAsia="Calibri" w:cs="Times New Roman"/>
          <w:i/>
          <w:noProof/>
          <w:color w:val="000000"/>
        </w:rPr>
        <w:t xml:space="preserve">, </w:t>
      </w:r>
      <w:hyperlink w:anchor="_ENREF_72" w:tooltip="Nonnemaker, 2012 #31" w:history="1">
        <w:r w:rsidR="00A234A9">
          <w:rPr>
            <w:rFonts w:eastAsia="Calibri" w:cs="Times New Roman"/>
            <w:i/>
            <w:noProof/>
            <w:color w:val="000000"/>
          </w:rPr>
          <w:t>72</w:t>
        </w:r>
      </w:hyperlink>
      <w:r w:rsidR="00D2134A">
        <w:rPr>
          <w:rFonts w:eastAsia="Calibri" w:cs="Times New Roman"/>
          <w:i/>
          <w:noProof/>
          <w:color w:val="000000"/>
        </w:rPr>
        <w:t xml:space="preserve">, </w:t>
      </w:r>
      <w:hyperlink w:anchor="_ENREF_73" w:tooltip="Nonnemaker, 2010 #97" w:history="1">
        <w:r w:rsidR="00A234A9">
          <w:rPr>
            <w:rFonts w:eastAsia="Calibri" w:cs="Times New Roman"/>
            <w:i/>
            <w:noProof/>
            <w:color w:val="000000"/>
          </w:rPr>
          <w:t>73</w:t>
        </w:r>
      </w:hyperlink>
      <w:r w:rsidR="00D2134A">
        <w:rPr>
          <w:rFonts w:eastAsia="Calibri" w:cs="Times New Roman"/>
          <w:i/>
          <w:noProof/>
          <w:color w:val="000000"/>
        </w:rPr>
        <w:t>)</w:t>
      </w:r>
      <w:r w:rsidR="00D2134A">
        <w:rPr>
          <w:rFonts w:eastAsia="Calibri" w:cs="Times New Roman"/>
          <w:i/>
          <w:color w:val="000000"/>
        </w:rPr>
        <w:fldChar w:fldCharType="end"/>
      </w:r>
      <w:r w:rsidR="00D04C52" w:rsidRPr="00A0218A">
        <w:rPr>
          <w:rFonts w:eastAsia="Calibri" w:cs="Times New Roman"/>
          <w:i/>
          <w:color w:val="000000"/>
        </w:rPr>
        <w:t>, which ranged from 33 percent to 43 percent. One of the analyses found that 42 percent initiated with menthol</w:t>
      </w:r>
      <w:r w:rsidR="004722B0">
        <w:rPr>
          <w:rFonts w:eastAsia="Calibri" w:cs="Times New Roman"/>
          <w:i/>
          <w:color w:val="000000"/>
        </w:rPr>
        <w:t xml:space="preserve"> </w:t>
      </w:r>
      <w:r w:rsidR="00D2134A">
        <w:rPr>
          <w:rFonts w:eastAsia="Calibri" w:cs="Times New Roman"/>
          <w:i/>
          <w:color w:val="000000"/>
        </w:rPr>
        <w:fldChar w:fldCharType="begin"/>
      </w:r>
      <w:r w:rsidR="00D2134A">
        <w:rPr>
          <w:rFonts w:eastAsia="Calibri" w:cs="Times New Roman"/>
          <w:i/>
          <w:color w:val="000000"/>
        </w:rPr>
        <w:instrText xml:space="preserve"> ADDIN EN.CITE &lt;EndNote&gt;&lt;Cite&gt;&lt;Author&gt;DiFranza&lt;/Author&gt;&lt;Year&gt;2004&lt;/Year&gt;&lt;RecNum&gt;83&lt;/RecNum&gt;&lt;DisplayText&gt;(54)&lt;/DisplayText&gt;&lt;record&gt;&lt;rec-number&gt;83&lt;/rec-number&gt;&lt;foreign-keys&gt;&lt;key app="EN" db-id="a2vz2dfp8xrad6exes75zwpiw5rxwa0vwapv" timestamp="0"&gt;83&lt;/key&gt;&lt;/foreign-keys&gt;&lt;ref-type name="Journal Article"&gt;17&lt;/ref-type&gt;&lt;contributors&gt;&lt;authors&gt;&lt;author&gt;DiFranza, J.R.&lt;/author&gt;&lt;author&gt;Savageau, J.A.&lt;/author&gt;&lt;author&gt;Fletcher, K.&lt;/author&gt;&lt;author&gt;Ockene, J.K.&lt;/author&gt;&lt;author&gt;Rigotti, N.A.&lt;/author&gt;&lt;author&gt;McNeill, A.D.&lt;/author&gt;&lt;author&gt;Coleman, M.&lt;/author&gt;&lt;author&gt;Wood, C.&lt;/author&gt;&lt;/authors&gt;&lt;/contributors&gt;&lt;titles&gt;&lt;title&gt;Recollections and repercussions of the first inhaled cigarette&lt;/title&gt;&lt;secondary-title&gt;Addictive Behaviors&lt;/secondary-title&gt;&lt;/titles&gt;&lt;periodical&gt;&lt;full-title&gt;Addictive Behaviors&lt;/full-title&gt;&lt;/periodical&gt;&lt;pages&gt;261-272&lt;/pages&gt;&lt;volume&gt;29&lt;/volume&gt;&lt;number&gt;2&lt;/number&gt;&lt;dates&gt;&lt;year&gt;2004&lt;/year&gt;&lt;/dates&gt;&lt;isbn&gt;03064603&lt;/isbn&gt;&lt;urls&gt;&lt;/urls&gt;&lt;electronic-resource-num&gt;10.1016/j.addbeh.2003.08.002&lt;/electronic-resource-num&gt;&lt;research-notes&gt;#413&lt;/research-notes&gt;&lt;/record&gt;&lt;/Cite&gt;&lt;/EndNote&gt;</w:instrText>
      </w:r>
      <w:r w:rsidR="00D2134A">
        <w:rPr>
          <w:rFonts w:eastAsia="Calibri" w:cs="Times New Roman"/>
          <w:i/>
          <w:color w:val="000000"/>
        </w:rPr>
        <w:fldChar w:fldCharType="separate"/>
      </w:r>
      <w:r w:rsidR="00D2134A">
        <w:rPr>
          <w:rFonts w:eastAsia="Calibri" w:cs="Times New Roman"/>
          <w:i/>
          <w:noProof/>
          <w:color w:val="000000"/>
        </w:rPr>
        <w:t>(</w:t>
      </w:r>
      <w:hyperlink w:anchor="_ENREF_54" w:tooltip="DiFranza, 2004 #83" w:history="1">
        <w:r w:rsidR="00A234A9">
          <w:rPr>
            <w:rFonts w:eastAsia="Calibri" w:cs="Times New Roman"/>
            <w:i/>
            <w:noProof/>
            <w:color w:val="000000"/>
          </w:rPr>
          <w:t>54</w:t>
        </w:r>
      </w:hyperlink>
      <w:r w:rsidR="00D2134A">
        <w:rPr>
          <w:rFonts w:eastAsia="Calibri" w:cs="Times New Roman"/>
          <w:i/>
          <w:noProof/>
          <w:color w:val="000000"/>
        </w:rPr>
        <w:t>)</w:t>
      </w:r>
      <w:r w:rsidR="00D2134A">
        <w:rPr>
          <w:rFonts w:eastAsia="Calibri" w:cs="Times New Roman"/>
          <w:i/>
          <w:color w:val="000000"/>
        </w:rPr>
        <w:fldChar w:fldCharType="end"/>
      </w:r>
      <w:r w:rsidR="00D04C52" w:rsidRPr="00A0218A">
        <w:rPr>
          <w:rFonts w:eastAsia="Calibri" w:cs="Times New Roman"/>
          <w:i/>
          <w:color w:val="000000"/>
        </w:rPr>
        <w:t xml:space="preserve">. The other studies (which had overlapping </w:t>
      </w:r>
      <w:r w:rsidR="00793B28">
        <w:rPr>
          <w:rFonts w:eastAsia="Calibri" w:cs="Times New Roman"/>
          <w:i/>
          <w:color w:val="000000"/>
        </w:rPr>
        <w:t xml:space="preserve">ALLTURS </w:t>
      </w:r>
      <w:r w:rsidR="00D04C52" w:rsidRPr="00A0218A">
        <w:rPr>
          <w:rFonts w:eastAsia="Calibri" w:cs="Times New Roman"/>
          <w:i/>
          <w:color w:val="000000"/>
        </w:rPr>
        <w:t>samples) reported proportions of youth who initiated to menthol, which ranged from 33 percent to 43 percent</w:t>
      </w:r>
      <w:r w:rsidR="00793B28">
        <w:rPr>
          <w:rFonts w:eastAsia="Calibri" w:cs="Times New Roman"/>
          <w:i/>
          <w:color w:val="000000"/>
        </w:rPr>
        <w:t xml:space="preserve"> </w:t>
      </w:r>
      <w:r w:rsidR="00D2134A">
        <w:rPr>
          <w:rFonts w:eastAsia="Calibri" w:cs="Times New Roman"/>
          <w:i/>
          <w:color w:val="000000"/>
        </w:rPr>
        <w:fldChar w:fldCharType="begin">
          <w:fldData xml:space="preserve">PEVuZE5vdGU+PENpdGU+PEF1dGhvcj5Ob25uZW1ha2VyPC9BdXRob3I+PFllYXI+MjAxMDwvWWVh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PEVuZE5vdGU+PENpdGU+PEF1dGhvcj5Ob25uZW1ha2VyPC9BdXRob3I+PFllYXI+MjAxMDwvWWVh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2" w:tooltip="Nonnemaker, 2012 #31" w:history="1">
        <w:r w:rsidR="00A234A9">
          <w:rPr>
            <w:rFonts w:eastAsia="Calibri" w:cs="Times New Roman"/>
            <w:i/>
            <w:noProof/>
            <w:color w:val="000000"/>
          </w:rPr>
          <w:t>72</w:t>
        </w:r>
      </w:hyperlink>
      <w:r w:rsidR="00D2134A">
        <w:rPr>
          <w:rFonts w:eastAsia="Calibri" w:cs="Times New Roman"/>
          <w:i/>
          <w:noProof/>
          <w:color w:val="000000"/>
        </w:rPr>
        <w:t xml:space="preserve">, </w:t>
      </w:r>
      <w:hyperlink w:anchor="_ENREF_73" w:tooltip="Nonnemaker, 2010 #97" w:history="1">
        <w:r w:rsidR="00A234A9">
          <w:rPr>
            <w:rFonts w:eastAsia="Calibri" w:cs="Times New Roman"/>
            <w:i/>
            <w:noProof/>
            <w:color w:val="000000"/>
          </w:rPr>
          <w:t>73</w:t>
        </w:r>
      </w:hyperlink>
      <w:r w:rsidR="00D2134A">
        <w:rPr>
          <w:rFonts w:eastAsia="Calibri" w:cs="Times New Roman"/>
          <w:i/>
          <w:noProof/>
          <w:color w:val="000000"/>
        </w:rPr>
        <w:t>)</w:t>
      </w:r>
      <w:r w:rsidR="00D2134A">
        <w:rPr>
          <w:rFonts w:eastAsia="Calibri" w:cs="Times New Roman"/>
          <w:i/>
          <w:color w:val="000000"/>
        </w:rPr>
        <w:fldChar w:fldCharType="end"/>
      </w:r>
      <w:r w:rsidR="00D04C52" w:rsidRPr="00A0218A">
        <w:rPr>
          <w:rFonts w:eastAsia="Calibri" w:cs="Times New Roman"/>
          <w:i/>
          <w:color w:val="000000"/>
        </w:rPr>
        <w:t xml:space="preserve">. In two </w:t>
      </w:r>
      <w:r w:rsidR="00D04C52">
        <w:rPr>
          <w:rFonts w:eastAsia="Calibri" w:cs="Times New Roman"/>
          <w:i/>
          <w:color w:val="000000"/>
        </w:rPr>
        <w:t xml:space="preserve">of the </w:t>
      </w:r>
      <w:r w:rsidR="00D04C52" w:rsidRPr="00A0218A">
        <w:rPr>
          <w:rFonts w:eastAsia="Calibri" w:cs="Times New Roman"/>
          <w:i/>
          <w:color w:val="000000"/>
        </w:rPr>
        <w:t>studies, no association was found between menthol smoking and a proxy measure of progression along a smoking “trajectory” among youth</w:t>
      </w:r>
      <w:r w:rsidR="00793B28">
        <w:rPr>
          <w:rFonts w:eastAsia="Calibri" w:cs="Times New Roman"/>
          <w:i/>
          <w:color w:val="000000"/>
        </w:rPr>
        <w:t xml:space="preserve"> </w:t>
      </w:r>
      <w:r w:rsidR="00D2134A">
        <w:rPr>
          <w:rFonts w:eastAsia="Calibri" w:cs="Times New Roman"/>
          <w:i/>
          <w:color w:val="000000"/>
        </w:rPr>
        <w:fldChar w:fldCharType="begin">
          <w:fldData xml:space="preserve">PEVuZE5vdGU+PENpdGU+PEF1dGhvcj5DdXJ0aW48L0F1dGhvcj48WWVhcj4yMDE0PC9ZZWFyPjxS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PEVuZE5vdGU+PENpdGU+PEF1dGhvcj5DdXJ0aW48L0F1dGhvcj48WWVhcj4yMDE0PC9ZZWFyPjxS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51" w:tooltip="Curtin, 2014 #13" w:history="1">
        <w:r w:rsidR="00A234A9">
          <w:rPr>
            <w:rFonts w:eastAsia="Calibri" w:cs="Times New Roman"/>
            <w:i/>
            <w:noProof/>
            <w:color w:val="000000"/>
          </w:rPr>
          <w:t>51</w:t>
        </w:r>
      </w:hyperlink>
      <w:r w:rsidR="00D2134A">
        <w:rPr>
          <w:rFonts w:eastAsia="Calibri" w:cs="Times New Roman"/>
          <w:i/>
          <w:noProof/>
          <w:color w:val="000000"/>
        </w:rPr>
        <w:t xml:space="preserve">, </w:t>
      </w:r>
      <w:hyperlink w:anchor="_ENREF_63" w:tooltip="Hersey, 2010 #103" w:history="1">
        <w:r w:rsidR="00A234A9">
          <w:rPr>
            <w:rFonts w:eastAsia="Calibri" w:cs="Times New Roman"/>
            <w:i/>
            <w:noProof/>
            <w:color w:val="000000"/>
          </w:rPr>
          <w:t>63</w:t>
        </w:r>
      </w:hyperlink>
      <w:r w:rsidR="00D2134A">
        <w:rPr>
          <w:rFonts w:eastAsia="Calibri" w:cs="Times New Roman"/>
          <w:i/>
          <w:noProof/>
          <w:color w:val="000000"/>
        </w:rPr>
        <w:t>)</w:t>
      </w:r>
      <w:r w:rsidR="00D2134A">
        <w:rPr>
          <w:rFonts w:eastAsia="Calibri" w:cs="Times New Roman"/>
          <w:i/>
          <w:color w:val="000000"/>
        </w:rPr>
        <w:fldChar w:fldCharType="end"/>
      </w:r>
      <w:r w:rsidR="00D04C52" w:rsidRPr="00A0218A">
        <w:rPr>
          <w:rFonts w:eastAsia="Calibri" w:cs="Times New Roman"/>
          <w:i/>
          <w:color w:val="000000"/>
        </w:rPr>
        <w:t xml:space="preserve">. </w:t>
      </w:r>
      <w:r w:rsidR="00D04C52">
        <w:rPr>
          <w:rFonts w:eastAsia="Calibri" w:cs="Times New Roman"/>
          <w:i/>
          <w:color w:val="000000"/>
        </w:rPr>
        <w:t>The third</w:t>
      </w:r>
      <w:r w:rsidR="00D04C52" w:rsidRPr="00A0218A">
        <w:rPr>
          <w:rFonts w:eastAsia="Calibri" w:cs="Times New Roman"/>
          <w:i/>
          <w:color w:val="000000"/>
        </w:rPr>
        <w:t xml:space="preserve"> study found that early-stage youth menthol smokers may progress to more frequent smoking at a faster rate than early-stage non-menthol smokers</w:t>
      </w:r>
      <w:r w:rsidR="00793B28">
        <w:rPr>
          <w:rFonts w:eastAsia="Calibri" w:cs="Times New Roman"/>
          <w:i/>
          <w:color w:val="000000"/>
        </w:rPr>
        <w:t xml:space="preserve"> </w:t>
      </w:r>
      <w:r w:rsidR="00D2134A">
        <w:rPr>
          <w:rFonts w:eastAsia="Calibri" w:cs="Times New Roman"/>
          <w:i/>
          <w:color w:val="000000"/>
        </w:rPr>
        <w:fldChar w:fldCharType="begin"/>
      </w:r>
      <w:r w:rsidR="00D2134A">
        <w:rPr>
          <w:rFonts w:eastAsia="Calibri" w:cs="Times New Roman"/>
          <w:i/>
          <w:color w:val="000000"/>
        </w:rPr>
        <w:instrText xml:space="preserve"> ADDIN EN.CITE &lt;EndNote&gt;&lt;Cite&gt;&lt;Author&gt;Caraballo&lt;/Author&gt;&lt;Year&gt;2011&lt;/Year&gt;&lt;RecNum&gt;47&lt;/RecNum&gt;&lt;DisplayText&gt;(49)&lt;/DisplayText&gt;&lt;record&gt;&lt;rec-number&gt;47&lt;/rec-number&gt;&lt;foreign-keys&gt;&lt;key app="EN" db-id="a2vz2dfp8xrad6exes75zwpiw5rxwa0vwapv" timestamp="0"&gt;47&lt;/key&gt;&lt;/foreign-keys&gt;&lt;ref-type name="Journal Article"&gt;17&lt;/ref-type&gt;&lt;contributors&gt;&lt;authors&gt;&lt;author&gt;Caraballo, R. S.&lt;/author&gt;&lt;author&gt;Asman, K.&lt;/author&gt;&lt;/authors&gt;&lt;/contributors&gt;&lt;auth-address&gt;Mail Stop K-50, Office on Smoking and Health, National Center for Chronic Disease Prevention and Health Promotion, Centers for Disease Control and Prevention, 4770 Buford Highway, N,E,, Atlanta, GA, USA. rfc8@cdc.gov.&lt;/auth-address&gt;&lt;titles&gt;&lt;title&gt;Epidemiology of menthol cigarette use in the United States&lt;/title&gt;&lt;secondary-title&gt;Tob Induc Dis&lt;/secondary-title&gt;&lt;/titles&gt;&lt;periodical&gt;&lt;full-title&gt;Tob Induc Dis&lt;/full-title&gt;&lt;/periodical&gt;&lt;pages&gt;S1&lt;/pages&gt;&lt;volume&gt;9 Suppl 1&lt;/volume&gt;&lt;dates&gt;&lt;year&gt;2011&lt;/year&gt;&lt;/dates&gt;&lt;isbn&gt;1617-9625 (Electronic)&amp;#xD;1617-9625 (Linking)&lt;/isbn&gt;&lt;accession-num&gt;21624147&lt;/accession-num&gt;&lt;urls&gt;&lt;related-urls&gt;&lt;url&gt;http://www.ncbi.nlm.nih.gov/pubmed/21624147&lt;/url&gt;&lt;/related-urls&gt;&lt;/urls&gt;&lt;custom2&gt;PMC3102900&lt;/custom2&gt;&lt;electronic-resource-num&gt;10.1186/1617-9625-9-S1-S1&lt;/electronic-resource-num&gt;&lt;research-notes&gt;#247&lt;/research-notes&gt;&lt;/record&gt;&lt;/Cite&gt;&lt;/EndNote&gt;</w:instrText>
      </w:r>
      <w:r w:rsidR="00D2134A">
        <w:rPr>
          <w:rFonts w:eastAsia="Calibri" w:cs="Times New Roman"/>
          <w:i/>
          <w:color w:val="000000"/>
        </w:rPr>
        <w:fldChar w:fldCharType="separate"/>
      </w:r>
      <w:r w:rsidR="00D2134A">
        <w:rPr>
          <w:rFonts w:eastAsia="Calibri" w:cs="Times New Roman"/>
          <w:i/>
          <w:noProof/>
          <w:color w:val="000000"/>
        </w:rPr>
        <w:t>(</w:t>
      </w:r>
      <w:hyperlink w:anchor="_ENREF_49" w:tooltip="Caraballo, 2011 #47" w:history="1">
        <w:r w:rsidR="00A234A9">
          <w:rPr>
            <w:rFonts w:eastAsia="Calibri" w:cs="Times New Roman"/>
            <w:i/>
            <w:noProof/>
            <w:color w:val="000000"/>
          </w:rPr>
          <w:t>49</w:t>
        </w:r>
      </w:hyperlink>
      <w:r w:rsidR="00D2134A">
        <w:rPr>
          <w:rFonts w:eastAsia="Calibri" w:cs="Times New Roman"/>
          <w:i/>
          <w:noProof/>
          <w:color w:val="000000"/>
        </w:rPr>
        <w:t>)</w:t>
      </w:r>
      <w:r w:rsidR="00D2134A">
        <w:rPr>
          <w:rFonts w:eastAsia="Calibri" w:cs="Times New Roman"/>
          <w:i/>
          <w:color w:val="000000"/>
        </w:rPr>
        <w:fldChar w:fldCharType="end"/>
      </w:r>
      <w:r w:rsidR="00A20AE4">
        <w:rPr>
          <w:rFonts w:eastAsia="Calibri" w:cs="Times New Roman"/>
          <w:i/>
          <w:color w:val="000000"/>
        </w:rPr>
        <w:t>.</w:t>
      </w:r>
      <w:r w:rsidR="00915113">
        <w:rPr>
          <w:rFonts w:eastAsia="Calibri" w:cs="Times New Roman"/>
          <w:i/>
          <w:color w:val="000000"/>
        </w:rPr>
        <w:t xml:space="preserve"> </w:t>
      </w:r>
      <w:r w:rsidR="00801E52">
        <w:rPr>
          <w:rFonts w:eastAsia="Calibri"/>
          <w:i/>
          <w:color w:val="000000"/>
        </w:rPr>
        <w:t xml:space="preserve">Finally, in terms of </w:t>
      </w:r>
      <w:r w:rsidR="00801E52" w:rsidRPr="00EE32FF">
        <w:rPr>
          <w:rFonts w:eastAsia="Calibri"/>
          <w:bCs/>
          <w:i/>
          <w:noProof/>
          <w:color w:val="000000"/>
        </w:rPr>
        <w:t xml:space="preserve">initiation and progression to regular smoking/increase in </w:t>
      </w:r>
      <w:r w:rsidR="00801E52">
        <w:rPr>
          <w:rFonts w:eastAsia="Calibri"/>
          <w:bCs/>
          <w:i/>
          <w:noProof/>
          <w:color w:val="000000"/>
        </w:rPr>
        <w:t>s</w:t>
      </w:r>
      <w:r w:rsidR="00801E52" w:rsidRPr="00EE32FF">
        <w:rPr>
          <w:rFonts w:eastAsia="Calibri"/>
          <w:bCs/>
          <w:i/>
          <w:noProof/>
          <w:color w:val="000000"/>
        </w:rPr>
        <w:t>moking over time</w:t>
      </w:r>
      <w:r w:rsidR="00801E52">
        <w:rPr>
          <w:rFonts w:eastAsia="Calibri"/>
          <w:bCs/>
          <w:i/>
          <w:noProof/>
          <w:color w:val="000000"/>
        </w:rPr>
        <w:t xml:space="preserve"> presenting re</w:t>
      </w:r>
      <w:r w:rsidR="00BF13A5">
        <w:rPr>
          <w:rFonts w:eastAsia="Calibri"/>
          <w:bCs/>
          <w:i/>
          <w:noProof/>
          <w:color w:val="000000"/>
        </w:rPr>
        <w:t>s</w:t>
      </w:r>
      <w:r w:rsidR="00801E52">
        <w:rPr>
          <w:rFonts w:eastAsia="Calibri"/>
          <w:bCs/>
          <w:i/>
          <w:noProof/>
          <w:color w:val="000000"/>
        </w:rPr>
        <w:t>ults for</w:t>
      </w:r>
      <w:r w:rsidR="00801E52">
        <w:rPr>
          <w:rFonts w:eastAsia="Calibri"/>
          <w:i/>
          <w:color w:val="000000"/>
        </w:rPr>
        <w:t xml:space="preserve"> </w:t>
      </w:r>
      <w:r w:rsidR="00915113">
        <w:rPr>
          <w:rFonts w:eastAsia="Calibri" w:cs="Times New Roman"/>
          <w:i/>
          <w:color w:val="000000"/>
        </w:rPr>
        <w:t>daily versus non-daily smoking between menthol and non-menthol smokers t</w:t>
      </w:r>
      <w:r w:rsidR="003C3DCC">
        <w:rPr>
          <w:i/>
          <w:color w:val="000000" w:themeColor="text1"/>
        </w:rPr>
        <w:t>hree</w:t>
      </w:r>
      <w:r w:rsidR="00915113" w:rsidRPr="00663BEC">
        <w:rPr>
          <w:i/>
          <w:color w:val="000000" w:themeColor="text1"/>
        </w:rPr>
        <w:t xml:space="preserve"> </w:t>
      </w:r>
      <w:r w:rsidR="00915113">
        <w:rPr>
          <w:i/>
          <w:color w:val="000000" w:themeColor="text1"/>
        </w:rPr>
        <w:t xml:space="preserve">analyses from </w:t>
      </w:r>
      <w:r w:rsidR="003C3DCC">
        <w:rPr>
          <w:i/>
          <w:color w:val="000000" w:themeColor="text1"/>
        </w:rPr>
        <w:t xml:space="preserve">three </w:t>
      </w:r>
      <w:r w:rsidR="00915113">
        <w:rPr>
          <w:i/>
          <w:color w:val="000000" w:themeColor="text1"/>
        </w:rPr>
        <w:t>studies reported on youth populations: one analysis</w:t>
      </w:r>
      <w:r w:rsidR="00915113" w:rsidRPr="00C2790C">
        <w:rPr>
          <w:i/>
          <w:color w:val="000000" w:themeColor="text1"/>
        </w:rPr>
        <w:t xml:space="preserve"> did not directly compare daily versus non-daily smoking</w:t>
      </w:r>
      <w:r w:rsidR="00915113">
        <w:rPr>
          <w:i/>
          <w:color w:val="000000" w:themeColor="text1"/>
        </w:rPr>
        <w:t>, but</w:t>
      </w:r>
      <w:r w:rsidR="00915113" w:rsidRPr="00C2790C">
        <w:rPr>
          <w:i/>
          <w:color w:val="000000" w:themeColor="text1"/>
        </w:rPr>
        <w:t xml:space="preserve"> presented similar distributions of menthol to </w:t>
      </w:r>
      <w:r w:rsidR="00915113">
        <w:rPr>
          <w:i/>
          <w:color w:val="000000" w:themeColor="text1"/>
        </w:rPr>
        <w:t>n</w:t>
      </w:r>
      <w:r w:rsidR="00915113" w:rsidRPr="00C2790C">
        <w:rPr>
          <w:i/>
          <w:color w:val="000000" w:themeColor="text1"/>
        </w:rPr>
        <w:t>on-menthol smokers within past-month, regular, and daily smokers</w:t>
      </w:r>
      <w:r w:rsidR="00915113">
        <w:rPr>
          <w:i/>
          <w:color w:val="000000" w:themeColor="text1"/>
        </w:rPr>
        <w:t xml:space="preserve"> </w:t>
      </w:r>
      <w:r w:rsidR="00D2134A">
        <w:rPr>
          <w:i/>
        </w:rPr>
        <w:fldChar w:fldCharType="begin">
          <w:fldData xml:space="preserve">PEVuZE5vdGU+PENpdGU+PEF1dGhvcj5DdXJ0aW48L0F1dGhvcj48WWVhcj4yMDE0PC9ZZWFyPjxS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</w:fldData>
        </w:fldChar>
      </w:r>
      <w:r w:rsidR="00D2134A">
        <w:rPr>
          <w:i/>
        </w:rPr>
        <w:instrText xml:space="preserve"> ADDIN EN.CITE </w:instrText>
      </w:r>
      <w:r w:rsidR="00D2134A">
        <w:rPr>
          <w:i/>
        </w:rPr>
        <w:fldChar w:fldCharType="begin">
          <w:fldData xml:space="preserve">PEVuZE5vdGU+PENpdGU+PEF1dGhvcj5DdXJ0aW48L0F1dGhvcj48WWVhcj4yMDE0PC9ZZWFyPjxS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</w:fldData>
        </w:fldChar>
      </w:r>
      <w:r w:rsidR="00D2134A">
        <w:rPr>
          <w:i/>
        </w:rPr>
        <w:instrText xml:space="preserve"> ADDIN EN.CITE.DATA </w:instrText>
      </w:r>
      <w:r w:rsidR="00D2134A">
        <w:rPr>
          <w:i/>
        </w:rPr>
      </w:r>
      <w:r w:rsidR="00D2134A">
        <w:rPr>
          <w:i/>
        </w:rPr>
        <w:fldChar w:fldCharType="end"/>
      </w:r>
      <w:r w:rsidR="00D2134A">
        <w:rPr>
          <w:i/>
        </w:rPr>
        <w:fldChar w:fldCharType="separate"/>
      </w:r>
      <w:r w:rsidR="00D2134A">
        <w:rPr>
          <w:i/>
          <w:noProof/>
        </w:rPr>
        <w:t>(</w:t>
      </w:r>
      <w:hyperlink w:anchor="_ENREF_52" w:tooltip="Curtin, 2014 #14" w:history="1">
        <w:r w:rsidR="00A234A9">
          <w:rPr>
            <w:i/>
            <w:noProof/>
          </w:rPr>
          <w:t>52</w:t>
        </w:r>
      </w:hyperlink>
      <w:r w:rsidR="00D2134A">
        <w:rPr>
          <w:i/>
          <w:noProof/>
        </w:rPr>
        <w:t>)</w:t>
      </w:r>
      <w:r w:rsidR="00D2134A">
        <w:rPr>
          <w:i/>
        </w:rPr>
        <w:fldChar w:fldCharType="end"/>
      </w:r>
      <w:r w:rsidR="00915113" w:rsidRPr="006F08C4">
        <w:rPr>
          <w:i/>
          <w:color w:val="000000" w:themeColor="text1"/>
        </w:rPr>
        <w:t xml:space="preserve">. The second analysis, that looked at daily smokers within menthol and non-menthol users, observed similar proportions </w:t>
      </w:r>
      <w:r w:rsidR="00D2134A">
        <w:rPr>
          <w:rFonts w:eastAsia="Calibri" w:cs="Times New Roman"/>
          <w:i/>
          <w:color w:val="000000"/>
        </w:rPr>
        <w:fldChar w:fldCharType="begin"/>
      </w:r>
      <w:r w:rsidR="00D2134A">
        <w:rPr>
          <w:rFonts w:eastAsia="Calibri" w:cs="Times New Roman"/>
          <w:i/>
          <w:color w:val="000000"/>
        </w:rPr>
        <w:instrText xml:space="preserve"> ADDIN EN.CITE &lt;EndNote&gt;&lt;Cite&gt;&lt;Author&gt;Caraballo&lt;/Author&gt;&lt;Year&gt;2011&lt;/Year&gt;&lt;RecNum&gt;47&lt;/RecNum&gt;&lt;DisplayText&gt;(49)&lt;/DisplayText&gt;&lt;record&gt;&lt;rec-number&gt;47&lt;/rec-number&gt;&lt;foreign-keys&gt;&lt;key app="EN" db-id="a2vz2dfp8xrad6exes75zwpiw5rxwa0vwapv" timestamp="0"&gt;47&lt;/key&gt;&lt;/foreign-keys&gt;&lt;ref-type name="Journal Article"&gt;17&lt;/ref-type&gt;&lt;contributors&gt;&lt;authors&gt;&lt;author&gt;Caraballo, R. S.&lt;/author&gt;&lt;author&gt;Asman, K.&lt;/author&gt;&lt;/authors&gt;&lt;/contributors&gt;&lt;auth-address&gt;Mail Stop K-50, Office on Smoking and Health, National Center for Chronic Disease Prevention and Health Promotion, Centers for Disease Control and Prevention, 4770 Buford Highway, N,E,, Atlanta, GA, USA. rfc8@cdc.gov.&lt;/auth-address&gt;&lt;titles&gt;&lt;title&gt;Epidemiology of menthol cigarette use in the United States&lt;/title&gt;&lt;secondary-title&gt;Tob Induc Dis&lt;/secondary-title&gt;&lt;/titles&gt;&lt;periodical&gt;&lt;full-title&gt;Tob Induc Dis&lt;/full-title&gt;&lt;/periodical&gt;&lt;pages&gt;S1&lt;/pages&gt;&lt;volume&gt;9 Suppl 1&lt;/volume&gt;&lt;dates&gt;&lt;year&gt;2011&lt;/year&gt;&lt;/dates&gt;&lt;isbn&gt;1617-9625 (Electronic)&amp;#xD;1617-9625 (Linking)&lt;/isbn&gt;&lt;accession-num&gt;21624147&lt;/accession-num&gt;&lt;urls&gt;&lt;related-urls&gt;&lt;url&gt;http://www.ncbi.nlm.nih.gov/pubmed/21624147&lt;/url&gt;&lt;/related-urls&gt;&lt;/urls&gt;&lt;custom2&gt;PMC3102900&lt;/custom2&gt;&lt;electronic-resource-num&gt;10.1186/1617-9625-9-S1-S1&lt;/electronic-resource-num&gt;&lt;research-notes&gt;#247&lt;/research-notes&gt;&lt;/record&gt;&lt;/Cite&gt;&lt;/EndNote&gt;</w:instrText>
      </w:r>
      <w:r w:rsidR="00D2134A">
        <w:rPr>
          <w:rFonts w:eastAsia="Calibri" w:cs="Times New Roman"/>
          <w:i/>
          <w:color w:val="000000"/>
        </w:rPr>
        <w:fldChar w:fldCharType="separate"/>
      </w:r>
      <w:r w:rsidR="00D2134A">
        <w:rPr>
          <w:rFonts w:eastAsia="Calibri" w:cs="Times New Roman"/>
          <w:i/>
          <w:noProof/>
          <w:color w:val="000000"/>
        </w:rPr>
        <w:t>(</w:t>
      </w:r>
      <w:hyperlink w:anchor="_ENREF_49" w:tooltip="Caraballo, 2011 #47" w:history="1">
        <w:r w:rsidR="00A234A9">
          <w:rPr>
            <w:rFonts w:eastAsia="Calibri" w:cs="Times New Roman"/>
            <w:i/>
            <w:noProof/>
            <w:color w:val="000000"/>
          </w:rPr>
          <w:t>49</w:t>
        </w:r>
      </w:hyperlink>
      <w:r w:rsidR="00D2134A">
        <w:rPr>
          <w:rFonts w:eastAsia="Calibri" w:cs="Times New Roman"/>
          <w:i/>
          <w:noProof/>
          <w:color w:val="000000"/>
        </w:rPr>
        <w:t>)</w:t>
      </w:r>
      <w:r w:rsidR="00D2134A">
        <w:rPr>
          <w:rFonts w:eastAsia="Calibri" w:cs="Times New Roman"/>
          <w:i/>
          <w:color w:val="000000"/>
        </w:rPr>
        <w:fldChar w:fldCharType="end"/>
      </w:r>
      <w:r w:rsidR="00915113" w:rsidRPr="006F08C4">
        <w:rPr>
          <w:i/>
          <w:color w:val="000000" w:themeColor="text1"/>
        </w:rPr>
        <w:t>.</w:t>
      </w:r>
      <w:r w:rsidR="003C3DCC">
        <w:rPr>
          <w:i/>
          <w:color w:val="000000" w:themeColor="text1"/>
        </w:rPr>
        <w:t xml:space="preserve"> </w:t>
      </w:r>
      <w:r w:rsidR="003C3DCC" w:rsidRPr="00EE3BCF">
        <w:rPr>
          <w:i/>
          <w:color w:val="000000" w:themeColor="text1"/>
        </w:rPr>
        <w:t>The third analysis r</w:t>
      </w:r>
      <w:r w:rsidR="003C3DCC" w:rsidRPr="00EE3BCF">
        <w:rPr>
          <w:rFonts w:eastAsia="Calibri" w:cs="Times New Roman"/>
          <w:i/>
          <w:noProof/>
          <w:color w:val="000000"/>
        </w:rPr>
        <w:t>eported significantly greater odds of ever having been a daily smoker among youth menthol smokers</w:t>
      </w:r>
      <w:r w:rsidR="003C3DCC">
        <w:rPr>
          <w:rFonts w:eastAsia="Calibri" w:cs="Times New Roman"/>
          <w:i/>
          <w:noProof/>
          <w:color w:val="000000"/>
        </w:rPr>
        <w:t xml:space="preserve"> </w:t>
      </w:r>
      <w:r w:rsidR="00D2134A">
        <w:rPr>
          <w:rFonts w:eastAsia="Times New Roman" w:cs="Times New Roman"/>
          <w:i/>
          <w:color w:val="000000"/>
        </w:rPr>
        <w:fldChar w:fldCharType="begin"/>
      </w:r>
      <w:r w:rsidR="00D2134A">
        <w:rPr>
          <w:rFonts w:eastAsia="Times New Roman" w:cs="Times New Roman"/>
          <w:i/>
          <w:color w:val="000000"/>
        </w:rPr>
        <w:instrText xml:space="preserve"> ADDIN EN.CITE &lt;EndNote&gt;&lt;Cite&gt;&lt;Author&gt;Muilenburg&lt;/Author&gt;&lt;Year&gt;2008&lt;/Year&gt;&lt;RecNum&gt;71&lt;/RecNum&gt;&lt;DisplayText&gt;(71)&lt;/DisplayText&gt;&lt;record&gt;&lt;rec-number&gt;71&lt;/rec-number&gt;&lt;foreign-keys&gt;&lt;key app="EN" db-id="a2vz2dfp8xrad6exes75zwpiw5rxwa0vwapv" timestamp="0"&gt;71&lt;/key&gt;&lt;/foreign-keys&gt;&lt;ref-type name="Journal Article"&gt;17&lt;/ref-type&gt;&lt;contributors&gt;&lt;authors&gt;&lt;author&gt;Muilenburg, J. L.&lt;/author&gt;&lt;author&gt;Legge, J. S., Jr.&lt;/author&gt;&lt;/authors&gt;&lt;/contributors&gt;&lt;auth-address&gt;Department of Health Promotion and Behavior, College of Public Health, University of Georgia, Athens, Georgia 30602, USA.&lt;/auth-address&gt;&lt;titles&gt;&lt;title&gt;African American adolescents and menthol cigarettes: smoking behavior among secondary school students&lt;/title&gt;&lt;secondary-title&gt;J Adolesc Health&lt;/secondary-title&gt;&lt;/titles&gt;&lt;pages&gt;570-5&lt;/pages&gt;&lt;volume&gt;43&lt;/volume&gt;&lt;number&gt;6&lt;/number&gt;&lt;keywords&gt;&lt;keyword&gt;Adolescent&lt;/keyword&gt;&lt;keyword&gt;Adolescent Behavior/*ethnology&lt;/keyword&gt;&lt;keyword&gt;African Americans/*statistics &amp;amp; numerical data&lt;/keyword&gt;&lt;keyword&gt;Age Distribution&lt;/keyword&gt;&lt;keyword&gt;Case-Control Studies&lt;/keyword&gt;&lt;keyword&gt;Child&lt;/keyword&gt;&lt;keyword&gt;European Continental Ancestry Group/statistics &amp;amp; numerical data&lt;/keyword&gt;&lt;keyword&gt;Female&lt;/keyword&gt;&lt;keyword&gt;Health Behavior/ethnology&lt;/keyword&gt;&lt;keyword&gt;Health Surveys&lt;/keyword&gt;&lt;keyword&gt;Humans&lt;/keyword&gt;&lt;keyword&gt;Male&lt;/keyword&gt;&lt;keyword&gt;Menthol&lt;/keyword&gt;&lt;keyword&gt;Sex Distribution&lt;/keyword&gt;&lt;keyword&gt;Smoking/*ethnology&lt;/keyword&gt;&lt;keyword&gt;Social Environment&lt;/keyword&gt;&lt;keyword&gt;Southeastern United States/epidemiology&lt;/keyword&gt;&lt;keyword&gt;Students/*statistics &amp;amp; numerical data&lt;/keyword&gt;&lt;keyword&gt;Young Adult&lt;/keyword&gt;&lt;/keywords&gt;&lt;dates&gt;&lt;year&gt;2008&lt;/year&gt;&lt;pub-dates&gt;&lt;date&gt;Dec&lt;/date&gt;&lt;/pub-dates&gt;&lt;/dates&gt;&lt;isbn&gt;1879-1972 (Electronic)&amp;#xD;1054-139X (Linking)&lt;/isbn&gt;&lt;accession-num&gt;19027645&lt;/accession-num&gt;&lt;urls&gt;&lt;related-urls&gt;&lt;url&gt;http://www.ncbi.nlm.nih.gov/pubmed/19027645&lt;/url&gt;&lt;/related-urls&gt;&lt;/urls&gt;&lt;electronic-resource-num&gt;10.1016/j.jadohealth.2008.08.017&lt;/electronic-resource-num&gt;&lt;research-notes&gt;#343&lt;/research-notes&gt;&lt;/record&gt;&lt;/Cite&gt;&lt;/EndNote&gt;</w:instrText>
      </w:r>
      <w:r w:rsidR="00D2134A">
        <w:rPr>
          <w:rFonts w:eastAsia="Times New Roman" w:cs="Times New Roman"/>
          <w:i/>
          <w:color w:val="000000"/>
        </w:rPr>
        <w:fldChar w:fldCharType="separate"/>
      </w:r>
      <w:r w:rsidR="00D2134A">
        <w:rPr>
          <w:rFonts w:eastAsia="Times New Roman" w:cs="Times New Roman"/>
          <w:i/>
          <w:noProof/>
          <w:color w:val="000000"/>
        </w:rPr>
        <w:t>(</w:t>
      </w:r>
      <w:hyperlink w:anchor="_ENREF_71" w:tooltip="Muilenburg, 2008 #71" w:history="1">
        <w:r w:rsidR="00A234A9">
          <w:rPr>
            <w:rFonts w:eastAsia="Times New Roman" w:cs="Times New Roman"/>
            <w:i/>
            <w:noProof/>
            <w:color w:val="000000"/>
          </w:rPr>
          <w:t>71</w:t>
        </w:r>
      </w:hyperlink>
      <w:r w:rsidR="00D2134A">
        <w:rPr>
          <w:rFonts w:eastAsia="Times New Roman" w:cs="Times New Roman"/>
          <w:i/>
          <w:noProof/>
          <w:color w:val="000000"/>
        </w:rPr>
        <w:t>)</w:t>
      </w:r>
      <w:r w:rsidR="00D2134A">
        <w:rPr>
          <w:rFonts w:eastAsia="Times New Roman" w:cs="Times New Roman"/>
          <w:i/>
          <w:color w:val="000000"/>
        </w:rPr>
        <w:fldChar w:fldCharType="end"/>
      </w:r>
      <w:r w:rsidR="003C3DCC" w:rsidRPr="00B627BA">
        <w:rPr>
          <w:rFonts w:eastAsia="Times New Roman" w:cs="Times New Roman"/>
          <w:i/>
          <w:color w:val="000000"/>
        </w:rPr>
        <w:t>.</w:t>
      </w:r>
    </w:p>
    <w:p w14:paraId="14E208CB" w14:textId="4D4F74FC" w:rsidR="00793B28" w:rsidRPr="00A0218A" w:rsidRDefault="00D04C52" w:rsidP="00793B28">
      <w:pPr>
        <w:spacing w:after="120" w:line="240" w:lineRule="auto"/>
        <w:jc w:val="both"/>
        <w:rPr>
          <w:rFonts w:eastAsia="Calibri" w:cs="Times New Roman"/>
          <w:color w:val="000000"/>
        </w:rPr>
      </w:pPr>
      <w:r>
        <w:rPr>
          <w:rFonts w:eastAsia="Calibri" w:cs="Times New Roman"/>
          <w:color w:val="000000"/>
        </w:rPr>
        <w:t xml:space="preserve">Curtin et al. </w:t>
      </w:r>
      <w:r w:rsidR="00D2134A">
        <w:rPr>
          <w:rFonts w:eastAsia="Calibri" w:cs="Times New Roman"/>
          <w:color w:val="000000"/>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51" w:tooltip="Curtin, 2014 #13" w:history="1">
        <w:r w:rsidR="00A234A9">
          <w:rPr>
            <w:rFonts w:eastAsia="Calibri" w:cs="Times New Roman"/>
            <w:noProof/>
            <w:color w:val="000000"/>
          </w:rPr>
          <w:t>51</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compared menthol cigarette use (prevalence and stage of smoking progression in terms of days per month and cigarettes per day) in youth participants in the 2003 and 2006/07 TUS-CPS who initiated smoking within the 2 years prior to the survey. Smoking progression was categorized using a composite of the number of days smoked during the past month (1 to 10 days; 11 to 29 days; daily) and number of cigarettes smoked per day (1 to 5; 6 to 19; 20 or more)</w:t>
      </w:r>
      <w:r w:rsidR="00793B28">
        <w:rPr>
          <w:rFonts w:eastAsia="Calibri" w:cs="Times New Roman"/>
          <w:color w:val="000000"/>
        </w:rPr>
        <w:t xml:space="preserve"> as </w:t>
      </w:r>
      <w:r w:rsidR="00793B28" w:rsidRPr="00A0218A">
        <w:rPr>
          <w:rFonts w:eastAsia="Calibri" w:cs="Times New Roman"/>
          <w:color w:val="000000"/>
        </w:rPr>
        <w:t>a “stage” o</w:t>
      </w:r>
      <w:r w:rsidR="00793B28">
        <w:rPr>
          <w:rFonts w:eastAsia="Calibri" w:cs="Times New Roman"/>
          <w:color w:val="000000"/>
        </w:rPr>
        <w:t>r “trajectory” model to serve as a proxy for measuring smoking progression</w:t>
      </w:r>
      <w:r w:rsidRPr="00A0218A">
        <w:rPr>
          <w:rFonts w:eastAsia="Calibri" w:cs="Times New Roman"/>
          <w:color w:val="000000"/>
        </w:rPr>
        <w:t>. The prevalence of menthol use was similar among the different stages of smoking progression: 36.9 percent (95% CI: 19.7% to 54.1%) among youth who smoked one to five cigarettes per day on 1 to 10 days per month (the lowest “stage” or “trajectory”); 39.5 percent (95% CI: 29.1% to 49.9%) among those who smoked one to five cigarettes per day on 11 to 29 days per month; and 35.5 percent (95% CI: 26.4% to 44.5%) among those who smoked 20 or more cigarettes daily (the highest “stage” or “trajectory”).</w:t>
      </w:r>
      <w:r w:rsidR="00793B28">
        <w:rPr>
          <w:rFonts w:eastAsia="Calibri" w:cs="Times New Roman"/>
          <w:color w:val="000000"/>
        </w:rPr>
        <w:t xml:space="preserve"> Tests of statistical significance for these results were not reported.</w:t>
      </w:r>
    </w:p>
    <w:p w14:paraId="3E7820FF" w14:textId="01514441" w:rsidR="00D04C52" w:rsidRPr="00A0218A" w:rsidRDefault="00C56F21" w:rsidP="00B46744">
      <w:pPr>
        <w:spacing w:after="120" w:line="240" w:lineRule="auto"/>
        <w:jc w:val="both"/>
        <w:rPr>
          <w:rFonts w:eastAsia="Calibri" w:cs="Times New Roman"/>
          <w:color w:val="000000"/>
        </w:rPr>
      </w:pPr>
      <w:r>
        <w:rPr>
          <w:rFonts w:eastAsia="Calibri" w:cs="Times New Roman"/>
          <w:color w:val="000000"/>
        </w:rPr>
        <w:t xml:space="preserve">In the same Nonnemaker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&lt;EndNote&gt;&lt;Cite&gt;&lt;Author&gt;Nonnemaker&lt;/Author&gt;&lt;Year&gt;2012&lt;/Year&gt;&lt;RecNum&gt;31&lt;/RecNum&gt;&lt;DisplayText&gt;(72)&lt;/DisplayText&gt;&lt;record&gt;&lt;rec-number&gt;31&lt;/rec-number&gt;&lt;foreign-keys&gt;&lt;key app="EN" db-id="a2vz2dfp8xrad6exes75zwpiw5rxwa0vwapv" timestamp="0"&gt;31&lt;/key&gt;&lt;/foreign-keys&gt;&lt;ref-type name="Journal Article"&gt;17&lt;/ref-type&gt;&lt;contributors&gt;&lt;authors&gt;&lt;author&gt;Nonnemaker, J.&lt;/author&gt;&lt;author&gt;Hersey, J.&lt;/author&gt;&lt;author&gt;Homsi, G.&lt;/author&gt;&lt;author&gt;Busey, A.&lt;/author&gt;&lt;author&gt;Allen, J.&lt;/author&gt;&lt;author&gt;Vallone, D.&lt;/author&gt;&lt;/authors&gt;&lt;/contributors&gt;&lt;auth-address&gt;RTI International, Research Triangle Park, NC 27709-2194, USA. jnonnemaker@rti.org&lt;/auth-address&gt;&lt;titles&gt;&lt;title&gt;Initiation with menthol cigarettes and youth smoking uptake&lt;/title&gt;&lt;secondary-title&gt;Addiction&lt;/secondary-title&gt;&lt;/titles&gt;&lt;periodical&gt;&lt;full-title&gt;Addiction&lt;/full-title&gt;&lt;/periodical&gt;&lt;pages&gt;171-8&lt;/pages&gt;&lt;volume&gt;108&lt;/volume&gt;&lt;number&gt;1&lt;/number&gt;&lt;keywords&gt;&lt;keyword&gt;Adolescent&lt;/keyword&gt;&lt;keyword&gt;Age Distribution&lt;/keyword&gt;&lt;keyword&gt;Child&lt;/keyword&gt;&lt;keyword&gt;Female&lt;/keyword&gt;&lt;keyword&gt;Flavoring Agents/*adverse effects&lt;/keyword&gt;&lt;keyword&gt;Humans&lt;/keyword&gt;&lt;keyword&gt;Longitudinal Studies&lt;/keyword&gt;&lt;keyword&gt;Male&lt;/keyword&gt;&lt;keyword&gt;Menthol/*adverse effects&lt;/keyword&gt;&lt;keyword&gt;Risk Factors&lt;/keyword&gt;&lt;keyword&gt;Sex Distribution&lt;/keyword&gt;&lt;keyword&gt;Smoking/*adverse effects&lt;/keyword&gt;&lt;keyword&gt;Smoking Cessation/psychology/statistics &amp;amp; numerical data&lt;/keyword&gt;&lt;keyword&gt;Tobacco Products/*adverse effects&lt;/keyword&gt;&lt;keyword&gt;Tobacco Use Disorder/*etiology&lt;/keyword&gt;&lt;keyword&gt;United States&lt;/keyword&gt;&lt;/keywords&gt;&lt;dates&gt;&lt;year&gt;2012&lt;/year&gt;&lt;pub-dates&gt;&lt;date&gt;Jan&lt;/date&gt;&lt;/pub-dates&gt;&lt;/dates&gt;&lt;isbn&gt;1360-0443 (Electronic)&amp;#xD;0965-2140 (Linking)&lt;/isbn&gt;&lt;accession-num&gt;22862154&lt;/accession-num&gt;&lt;urls&gt;&lt;related-urls&gt;&lt;url&gt;http://www.ncbi.nlm.nih.gov/pubmed/22862154&lt;/url&gt;&lt;/related-urls&gt;&lt;/urls&gt;&lt;electronic-resource-num&gt;10.1111/j.1360-0443.2012.04045.x&lt;/electronic-resource-num&gt;&lt;research-notes&gt;#160&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2" w:tooltip="Nonnemaker, 2012 #31" w:history="1">
        <w:r w:rsidR="00A234A9">
          <w:rPr>
            <w:rFonts w:eastAsia="Calibri" w:cs="Times New Roman"/>
            <w:noProof/>
            <w:color w:val="000000"/>
          </w:rPr>
          <w:t>72</w:t>
        </w:r>
      </w:hyperlink>
      <w:r w:rsidR="00D2134A">
        <w:rPr>
          <w:rFonts w:eastAsia="Calibri" w:cs="Times New Roman"/>
          <w:noProof/>
          <w:color w:val="000000"/>
        </w:rPr>
        <w:t>)</w:t>
      </w:r>
      <w:r w:rsidR="00D2134A">
        <w:rPr>
          <w:rFonts w:eastAsia="Calibri" w:cs="Times New Roman"/>
          <w:color w:val="000000"/>
        </w:rPr>
        <w:fldChar w:fldCharType="end"/>
      </w:r>
      <w:r>
        <w:rPr>
          <w:rFonts w:eastAsia="Calibri" w:cs="Times New Roman"/>
          <w:color w:val="000000"/>
        </w:rPr>
        <w:t xml:space="preserve"> s</w:t>
      </w:r>
      <w:r w:rsidR="00D04C52">
        <w:rPr>
          <w:rFonts w:eastAsia="Calibri" w:cs="Times New Roman"/>
          <w:color w:val="000000"/>
        </w:rPr>
        <w:t>tudy previously described, t</w:t>
      </w:r>
      <w:r w:rsidR="00D04C52" w:rsidRPr="00A0218A">
        <w:rPr>
          <w:rFonts w:eastAsia="Calibri" w:cs="Times New Roman"/>
          <w:color w:val="000000"/>
        </w:rPr>
        <w:t xml:space="preserve">he sample excluded youth who started smoking before baseline, meaning that all participants initiated smoking during the study period. The study defined initiation as the type of cigarette participants smoked </w:t>
      </w:r>
      <w:r w:rsidR="00D04C52" w:rsidRPr="00A0218A">
        <w:rPr>
          <w:rFonts w:eastAsia="Calibri" w:cs="Times New Roman"/>
          <w:i/>
          <w:color w:val="000000"/>
        </w:rPr>
        <w:t>at the first time point during which they were smokers.</w:t>
      </w:r>
      <w:r w:rsidR="00D04C52" w:rsidRPr="00A0218A">
        <w:rPr>
          <w:rFonts w:eastAsia="Calibri" w:cs="Times New Roman"/>
          <w:color w:val="000000"/>
        </w:rPr>
        <w:t xml:space="preserve"> Among current smokers in the ALLTURS, 38.7 percent initiated </w:t>
      </w:r>
      <w:r w:rsidR="00BC523B">
        <w:rPr>
          <w:rFonts w:eastAsia="Calibri" w:cs="Times New Roman"/>
          <w:color w:val="000000"/>
        </w:rPr>
        <w:t>with</w:t>
      </w:r>
      <w:r w:rsidR="00BC523B" w:rsidRPr="00A0218A">
        <w:rPr>
          <w:rFonts w:eastAsia="Calibri" w:cs="Times New Roman"/>
          <w:color w:val="000000"/>
        </w:rPr>
        <w:t xml:space="preserve"> </w:t>
      </w:r>
      <w:r w:rsidR="00D04C52" w:rsidRPr="00A0218A">
        <w:rPr>
          <w:rFonts w:eastAsia="Calibri" w:cs="Times New Roman"/>
          <w:color w:val="000000"/>
        </w:rPr>
        <w:t>menthol</w:t>
      </w:r>
      <w:r w:rsidR="00793B28">
        <w:rPr>
          <w:rFonts w:eastAsia="Calibri" w:cs="Times New Roman"/>
          <w:color w:val="000000"/>
        </w:rPr>
        <w:t xml:space="preserve"> (n=399)</w:t>
      </w:r>
      <w:r w:rsidR="00D04C52" w:rsidRPr="00A0218A">
        <w:rPr>
          <w:rFonts w:eastAsia="Calibri" w:cs="Times New Roman"/>
          <w:color w:val="000000"/>
        </w:rPr>
        <w:t xml:space="preserve">. A subset of the sample was characterized as non-established smokers (smoking on fewer than 20 of the past 30 days). Among non-established smokers, 32.6 percent initiated </w:t>
      </w:r>
      <w:r w:rsidR="00BC523B">
        <w:rPr>
          <w:rFonts w:eastAsia="Calibri" w:cs="Times New Roman"/>
          <w:color w:val="000000"/>
        </w:rPr>
        <w:t>with</w:t>
      </w:r>
      <w:r w:rsidR="00BC523B" w:rsidRPr="00A0218A">
        <w:rPr>
          <w:rFonts w:eastAsia="Calibri" w:cs="Times New Roman"/>
          <w:color w:val="000000"/>
        </w:rPr>
        <w:t xml:space="preserve"> </w:t>
      </w:r>
      <w:r w:rsidR="00D04C52" w:rsidRPr="00A0218A">
        <w:rPr>
          <w:rFonts w:eastAsia="Calibri" w:cs="Times New Roman"/>
          <w:color w:val="000000"/>
        </w:rPr>
        <w:t>menthol</w:t>
      </w:r>
      <w:r w:rsidR="0080062B">
        <w:rPr>
          <w:rFonts w:eastAsia="Calibri" w:cs="Times New Roman"/>
          <w:color w:val="000000"/>
        </w:rPr>
        <w:t xml:space="preserve"> (n=638)</w:t>
      </w:r>
      <w:r w:rsidR="00D04C52" w:rsidRPr="00A0218A">
        <w:rPr>
          <w:rFonts w:eastAsia="Calibri" w:cs="Times New Roman"/>
          <w:color w:val="000000"/>
        </w:rPr>
        <w:t xml:space="preserve">. The authors also reported percentages of youth who remained current smokers at </w:t>
      </w:r>
      <w:r w:rsidR="0080062B">
        <w:rPr>
          <w:rFonts w:eastAsia="Calibri" w:cs="Times New Roman"/>
          <w:color w:val="000000"/>
        </w:rPr>
        <w:t>wave three</w:t>
      </w:r>
      <w:r w:rsidR="00D04C52" w:rsidRPr="00A0218A">
        <w:rPr>
          <w:rFonts w:eastAsia="Calibri" w:cs="Times New Roman"/>
          <w:color w:val="000000"/>
        </w:rPr>
        <w:t xml:space="preserve"> of the ALLTURS study by switching status. Overall, 15.4 percent of menthol initiators switched to non-menthol by year 3, and 21.0 percent of non-menthol initiators switched to menthol.</w:t>
      </w:r>
      <w:r w:rsidR="00793B28">
        <w:rPr>
          <w:rFonts w:eastAsia="Calibri" w:cs="Times New Roman"/>
          <w:color w:val="000000"/>
        </w:rPr>
        <w:t xml:space="preserve"> Tests of statistical significance for these results were not reported.</w:t>
      </w:r>
    </w:p>
    <w:p w14:paraId="2196BAE5" w14:textId="504FFA31" w:rsidR="00D04C52" w:rsidRPr="00A0218A" w:rsidRDefault="00D04C52" w:rsidP="0080062B">
      <w:pPr>
        <w:spacing w:after="120" w:line="240" w:lineRule="auto"/>
        <w:jc w:val="both"/>
        <w:rPr>
          <w:rFonts w:eastAsia="Calibri" w:cs="Times New Roman"/>
          <w:color w:val="000000"/>
        </w:rPr>
      </w:pPr>
      <w:r w:rsidRPr="00A0218A">
        <w:rPr>
          <w:rFonts w:eastAsia="Calibri" w:cs="Times New Roman"/>
          <w:color w:val="000000"/>
        </w:rPr>
        <w:t>Similar to Curtin et al.</w:t>
      </w:r>
      <w:r>
        <w:rPr>
          <w:rFonts w:eastAsia="Calibri" w:cs="Times New Roman"/>
          <w:color w:val="000000"/>
        </w:rPr>
        <w:t xml:space="preserve"> </w:t>
      </w:r>
      <w:r w:rsidR="00D2134A">
        <w:rPr>
          <w:rFonts w:eastAsia="Calibri" w:cs="Times New Roman"/>
          <w:color w:val="000000"/>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51" w:tooltip="Curtin, 2014 #13" w:history="1">
        <w:r w:rsidR="00A234A9">
          <w:rPr>
            <w:rFonts w:eastAsia="Calibri" w:cs="Times New Roman"/>
            <w:noProof/>
            <w:color w:val="000000"/>
          </w:rPr>
          <w:t>51</w:t>
        </w:r>
      </w:hyperlink>
      <w:r w:rsidR="00D2134A">
        <w:rPr>
          <w:rFonts w:eastAsia="Calibri" w:cs="Times New Roman"/>
          <w:noProof/>
          <w:color w:val="000000"/>
        </w:rPr>
        <w:t>)</w:t>
      </w:r>
      <w:r w:rsidR="00D2134A">
        <w:rPr>
          <w:rFonts w:eastAsia="Calibri" w:cs="Times New Roman"/>
          <w:color w:val="000000"/>
        </w:rPr>
        <w:fldChar w:fldCharType="end"/>
      </w:r>
      <w:r>
        <w:rPr>
          <w:rFonts w:eastAsia="Calibri" w:cs="Times New Roman"/>
          <w:color w:val="000000"/>
        </w:rPr>
        <w:t xml:space="preserve">, Caraballo and Asman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&lt;EndNote&gt;&lt;Cite&gt;&lt;Author&gt;Caraballo&lt;/Author&gt;&lt;Year&gt;2011&lt;/Year&gt;&lt;RecNum&gt;47&lt;/RecNum&gt;&lt;DisplayText&gt;(49)&lt;/DisplayText&gt;&lt;record&gt;&lt;rec-number&gt;47&lt;/rec-number&gt;&lt;foreign-keys&gt;&lt;key app="EN" db-id="a2vz2dfp8xrad6exes75zwpiw5rxwa0vwapv" timestamp="0"&gt;47&lt;/key&gt;&lt;/foreign-keys&gt;&lt;ref-type name="Journal Article"&gt;17&lt;/ref-type&gt;&lt;contributors&gt;&lt;authors&gt;&lt;author&gt;Caraballo, R. S.&lt;/author&gt;&lt;author&gt;Asman, K.&lt;/author&gt;&lt;/authors&gt;&lt;/contributors&gt;&lt;auth-address&gt;Mail Stop K-50, Office on Smoking and Health, National Center for Chronic Disease Prevention and Health Promotion, Centers for Disease Control and Prevention, 4770 Buford Highway, N,E,, Atlanta, GA, USA. rfc8@cdc.gov.&lt;/auth-address&gt;&lt;titles&gt;&lt;title&gt;Epidemiology of menthol cigarette use in the United States&lt;/title&gt;&lt;secondary-title&gt;Tob Induc Dis&lt;/secondary-title&gt;&lt;/titles&gt;&lt;periodical&gt;&lt;full-title&gt;Tob Induc Dis&lt;/full-title&gt;&lt;/periodical&gt;&lt;pages&gt;S1&lt;/pages&gt;&lt;volume&gt;9 Suppl 1&lt;/volume&gt;&lt;dates&gt;&lt;year&gt;2011&lt;/year&gt;&lt;/dates&gt;&lt;isbn&gt;1617-9625 (Electronic)&amp;#xD;1617-9625 (Linking)&lt;/isbn&gt;&lt;accession-num&gt;21624147&lt;/accession-num&gt;&lt;urls&gt;&lt;related-urls&gt;&lt;url&gt;http://www.ncbi.nlm.nih.gov/pubmed/21624147&lt;/url&gt;&lt;/related-urls&gt;&lt;/urls&gt;&lt;custom2&gt;PMC3102900&lt;/custom2&gt;&lt;electronic-resource-num&gt;10.1186/1617-9625-9-S1-S1&lt;/electronic-resource-num&gt;&lt;research-notes&gt;#247&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49" w:tooltip="Caraballo, 2011 #47" w:history="1">
        <w:r w:rsidR="00A234A9">
          <w:rPr>
            <w:rFonts w:eastAsia="Calibri" w:cs="Times New Roman"/>
            <w:noProof/>
            <w:color w:val="000000"/>
          </w:rPr>
          <w:t>49</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also used a “stage” or “trajectory” methodology to analyze cross-sectional data from participants in the 2004, 2006, and 2009 NYTS who had started smoking within the </w:t>
      </w:r>
      <w:r w:rsidR="0080062B">
        <w:rPr>
          <w:rFonts w:eastAsia="Calibri" w:cs="Times New Roman"/>
          <w:color w:val="000000"/>
        </w:rPr>
        <w:t>two</w:t>
      </w:r>
      <w:r w:rsidR="0080062B" w:rsidRPr="00A0218A">
        <w:rPr>
          <w:rFonts w:eastAsia="Calibri" w:cs="Times New Roman"/>
          <w:color w:val="000000"/>
        </w:rPr>
        <w:t xml:space="preserve"> </w:t>
      </w:r>
      <w:r w:rsidRPr="00A0218A">
        <w:rPr>
          <w:rFonts w:eastAsia="Calibri" w:cs="Times New Roman"/>
          <w:color w:val="000000"/>
        </w:rPr>
        <w:t xml:space="preserve">years prior to the survey. The study authors posited that adolescents who had been smoking for fewer than </w:t>
      </w:r>
      <w:r w:rsidR="0080062B">
        <w:rPr>
          <w:rFonts w:eastAsia="Calibri" w:cs="Times New Roman"/>
          <w:color w:val="000000"/>
        </w:rPr>
        <w:t>two</w:t>
      </w:r>
      <w:r w:rsidR="0080062B" w:rsidRPr="00A0218A">
        <w:rPr>
          <w:rFonts w:eastAsia="Calibri" w:cs="Times New Roman"/>
          <w:color w:val="000000"/>
        </w:rPr>
        <w:t xml:space="preserve"> </w:t>
      </w:r>
      <w:r w:rsidRPr="00A0218A">
        <w:rPr>
          <w:rFonts w:eastAsia="Calibri" w:cs="Times New Roman"/>
          <w:color w:val="000000"/>
        </w:rPr>
        <w:t>years may not have become regular smokers and that being in the “lowest” stage may be a proxy for initiation. As the authors stated, “</w:t>
      </w:r>
      <w:r w:rsidRPr="00A0218A">
        <w:rPr>
          <w:rFonts w:eastAsia="Calibri" w:cs="Times New Roman"/>
          <w:i/>
          <w:color w:val="000000"/>
        </w:rPr>
        <w:t>If smoking a menthol cigarette is associated with smoking initiation, it would be expected to see a higher proportion of menthol cigarette smokers at the earlier stages.</w:t>
      </w:r>
      <w:r w:rsidRPr="00A0218A">
        <w:rPr>
          <w:rFonts w:eastAsia="Calibri" w:cs="Times New Roman"/>
          <w:color w:val="000000"/>
        </w:rPr>
        <w:t xml:space="preserve">” However, the prevalence of menthol use was 39.9 percent (95% CI: 37.4% to 42.5%) among youth who smoked less than one cigarette per day on 1 to 5 days per month (the lowest “stage” or “trajectory”); 44.2 percent (95% CI: 38.8% to 49.7%) among those who smoked one to five cigarettes </w:t>
      </w:r>
      <w:r w:rsidRPr="00A0218A">
        <w:rPr>
          <w:rFonts w:eastAsia="Calibri" w:cs="Times New Roman"/>
          <w:color w:val="000000"/>
        </w:rPr>
        <w:lastRenderedPageBreak/>
        <w:t>per day on 10 to 19 days per month; and 64.9 percent (95% CI: 59.4% to 70%) among those who smoked 20 or more cigarettes daily (the highest “stage” or “trajectory”).</w:t>
      </w:r>
      <w:r w:rsidR="0080062B">
        <w:rPr>
          <w:rFonts w:eastAsia="Calibri" w:cs="Times New Roman"/>
          <w:color w:val="000000"/>
        </w:rPr>
        <w:t xml:space="preserve"> The authors reported that </w:t>
      </w:r>
      <w:r w:rsidR="0080062B" w:rsidRPr="0080062B">
        <w:rPr>
          <w:rFonts w:eastAsia="Calibri" w:cs="Times New Roman"/>
          <w:color w:val="000000"/>
        </w:rPr>
        <w:t>no significant differences were</w:t>
      </w:r>
      <w:r w:rsidR="0080062B">
        <w:rPr>
          <w:rFonts w:eastAsia="Calibri" w:cs="Times New Roman"/>
          <w:color w:val="000000"/>
        </w:rPr>
        <w:t xml:space="preserve"> obse</w:t>
      </w:r>
      <w:r w:rsidR="0080062B" w:rsidRPr="0080062B">
        <w:rPr>
          <w:rFonts w:eastAsia="Calibri" w:cs="Times New Roman"/>
          <w:color w:val="000000"/>
        </w:rPr>
        <w:t xml:space="preserve">rved between </w:t>
      </w:r>
      <w:r w:rsidR="0080062B">
        <w:rPr>
          <w:rFonts w:eastAsia="Calibri" w:cs="Times New Roman"/>
          <w:color w:val="000000"/>
        </w:rPr>
        <w:t xml:space="preserve">stages" or trajectories and </w:t>
      </w:r>
      <w:r w:rsidR="0080062B" w:rsidRPr="0080062B">
        <w:rPr>
          <w:rFonts w:eastAsia="Calibri" w:cs="Times New Roman"/>
          <w:color w:val="000000"/>
        </w:rPr>
        <w:t>preva</w:t>
      </w:r>
      <w:r w:rsidR="0080062B">
        <w:rPr>
          <w:rFonts w:eastAsia="Calibri" w:cs="Times New Roman"/>
          <w:color w:val="000000"/>
        </w:rPr>
        <w:t xml:space="preserve">lence </w:t>
      </w:r>
      <w:r w:rsidR="0080062B" w:rsidRPr="0080062B">
        <w:rPr>
          <w:rFonts w:eastAsia="Calibri" w:cs="Times New Roman"/>
          <w:color w:val="000000"/>
        </w:rPr>
        <w:t>of smoking menthol cigarettes</w:t>
      </w:r>
      <w:r w:rsidR="0080062B">
        <w:rPr>
          <w:rFonts w:eastAsia="Calibri" w:cs="Times New Roman"/>
          <w:color w:val="000000"/>
        </w:rPr>
        <w:t>.</w:t>
      </w:r>
    </w:p>
    <w:p w14:paraId="2E8C9804" w14:textId="03852ECA" w:rsidR="00D04C52" w:rsidRPr="00A0218A" w:rsidRDefault="00D04C52" w:rsidP="00B46744">
      <w:pPr>
        <w:spacing w:after="120" w:line="240" w:lineRule="auto"/>
        <w:jc w:val="both"/>
        <w:rPr>
          <w:rFonts w:eastAsia="Calibri" w:cs="Times New Roman"/>
          <w:color w:val="000000"/>
        </w:rPr>
      </w:pPr>
      <w:r w:rsidRPr="00A0218A">
        <w:rPr>
          <w:rFonts w:eastAsia="Calibri" w:cs="Times New Roman"/>
          <w:color w:val="000000"/>
        </w:rPr>
        <w:t xml:space="preserve">In another publication that analyzed data from </w:t>
      </w:r>
      <w:r>
        <w:rPr>
          <w:rFonts w:eastAsia="Calibri" w:cs="Times New Roman"/>
          <w:color w:val="000000"/>
        </w:rPr>
        <w:t xml:space="preserve">the ALLTURS, Nonnemaker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&lt;EndNote&gt;&lt;Cite&gt;&lt;Author&gt;Nonnemaker&lt;/Author&gt;&lt;Year&gt;2010&lt;/Year&gt;&lt;RecNum&gt;97&lt;/RecNum&gt;&lt;DisplayText&gt;(73)&lt;/DisplayText&gt;&lt;record&gt;&lt;rec-number&gt;97&lt;/rec-number&gt;&lt;foreign-keys&gt;&lt;key app="EN" db-id="a2vz2dfp8xrad6exes75zwpiw5rxwa0vwapv" timestamp="0"&gt;97&lt;/key&gt;&lt;/foreign-keys&gt;&lt;ref-type name="Report"&gt;27&lt;/ref-type&gt;&lt;contributors&gt;&lt;authors&gt;&lt;author&gt;Nonnemaker, J.&lt;/author&gt;&lt;author&gt;Hersey, J.&lt;/author&gt;&lt;author&gt;Homsi, G.&lt;/author&gt;&lt;author&gt;Busey, A.&lt;/author&gt;&lt;/authors&gt;&lt;/contributors&gt;&lt;titles&gt;&lt;title&gt;Menthol cigarettes and youth smoking updake&lt;/title&gt;&lt;/titles&gt;&lt;dates&gt;&lt;year&gt;2010&lt;/year&gt;&lt;/dates&gt;&lt;pub-location&gt;RTI International&lt;/pub-location&gt;&lt;urls&gt;&lt;/urls&gt;&lt;research-notes&gt;#812&lt;/research-notes&gt;&lt;/record&gt;&lt;/Cite&gt;&lt;/EndNote&gt;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3" w:tooltip="Nonnemaker, 2010 #97" w:history="1">
        <w:r w:rsidR="00A234A9">
          <w:rPr>
            <w:rFonts w:eastAsia="Calibri" w:cs="Times New Roman"/>
            <w:noProof/>
            <w:color w:val="000000"/>
          </w:rPr>
          <w:t>73</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assessed the percentage of current smokers at </w:t>
      </w:r>
      <w:r w:rsidR="0080062B">
        <w:rPr>
          <w:rFonts w:eastAsia="Calibri" w:cs="Times New Roman"/>
          <w:color w:val="000000"/>
        </w:rPr>
        <w:t>wave three</w:t>
      </w:r>
      <w:r w:rsidRPr="00A0218A">
        <w:rPr>
          <w:rFonts w:eastAsia="Calibri" w:cs="Times New Roman"/>
          <w:color w:val="000000"/>
        </w:rPr>
        <w:t xml:space="preserve"> who initiated to menthol cigarettes. The authors analyzed two sets of smokers: one that included youth who started smoking during the final wave (year three) and one that </w:t>
      </w:r>
      <w:r w:rsidR="00BB50F9">
        <w:rPr>
          <w:rFonts w:eastAsia="Calibri" w:cs="Times New Roman"/>
          <w:color w:val="000000"/>
        </w:rPr>
        <w:t>excluded the wave three initiators</w:t>
      </w:r>
      <w:r w:rsidRPr="00A0218A">
        <w:rPr>
          <w:rFonts w:eastAsia="Calibri" w:cs="Times New Roman"/>
          <w:color w:val="000000"/>
        </w:rPr>
        <w:t xml:space="preserve">. </w:t>
      </w:r>
      <w:r w:rsidR="0080062B">
        <w:rPr>
          <w:rFonts w:eastAsia="Calibri" w:cs="Times New Roman"/>
          <w:color w:val="000000"/>
        </w:rPr>
        <w:t>When including wave three initiators</w:t>
      </w:r>
      <w:r w:rsidRPr="00A0218A">
        <w:rPr>
          <w:rFonts w:eastAsia="Calibri" w:cs="Times New Roman"/>
          <w:color w:val="000000"/>
        </w:rPr>
        <w:t xml:space="preserve">, 43.0 percent of current smokers initiated to menthol; </w:t>
      </w:r>
      <w:r w:rsidR="0080062B">
        <w:rPr>
          <w:rFonts w:eastAsia="Calibri" w:cs="Times New Roman"/>
          <w:color w:val="000000"/>
        </w:rPr>
        <w:t>excluding wave three initiators</w:t>
      </w:r>
      <w:r w:rsidRPr="00A0218A">
        <w:rPr>
          <w:rFonts w:eastAsia="Calibri" w:cs="Times New Roman"/>
          <w:color w:val="000000"/>
        </w:rPr>
        <w:t xml:space="preserve">, 38.8 percent initiated to menthol. Including youth who started smoking during the </w:t>
      </w:r>
      <w:r w:rsidR="0080062B">
        <w:rPr>
          <w:rFonts w:eastAsia="Calibri" w:cs="Times New Roman"/>
          <w:color w:val="000000"/>
        </w:rPr>
        <w:t>third</w:t>
      </w:r>
      <w:r w:rsidR="0080062B" w:rsidRPr="00A0218A">
        <w:rPr>
          <w:rFonts w:eastAsia="Calibri" w:cs="Times New Roman"/>
          <w:color w:val="000000"/>
        </w:rPr>
        <w:t xml:space="preserve"> </w:t>
      </w:r>
      <w:r w:rsidRPr="00A0218A">
        <w:rPr>
          <w:rFonts w:eastAsia="Calibri" w:cs="Times New Roman"/>
          <w:color w:val="000000"/>
        </w:rPr>
        <w:t>wave, 5.9 percent of menthol smokers switched to non-menthol cigarettes, and 8.0 percent of non-menthol smokers switched to menthol cigarettes.</w:t>
      </w:r>
      <w:r w:rsidR="0080062B">
        <w:rPr>
          <w:rFonts w:eastAsia="Calibri" w:cs="Times New Roman"/>
          <w:color w:val="000000"/>
        </w:rPr>
        <w:t xml:space="preserve"> </w:t>
      </w:r>
      <w:r w:rsidR="0080062B" w:rsidRPr="00A0218A">
        <w:rPr>
          <w:rFonts w:eastAsia="Calibri" w:cs="Times New Roman"/>
          <w:color w:val="000000"/>
        </w:rPr>
        <w:t>It is unclear how much overlap there is in the samples used in the 2010 and 2012 publications</w:t>
      </w:r>
      <w:r w:rsidR="0080062B">
        <w:rPr>
          <w:rFonts w:eastAsia="Calibri" w:cs="Times New Roman"/>
          <w:color w:val="000000"/>
        </w:rPr>
        <w:t xml:space="preserve"> and test of statistical significance were not reported for these rates</w:t>
      </w:r>
    </w:p>
    <w:p w14:paraId="62B0AD77" w14:textId="45DB531D" w:rsidR="003912DD" w:rsidRPr="00A0218A" w:rsidRDefault="003912DD" w:rsidP="006441A1">
      <w:pPr>
        <w:spacing w:after="120" w:line="240" w:lineRule="auto"/>
        <w:jc w:val="both"/>
        <w:rPr>
          <w:rFonts w:eastAsia="Calibri" w:cs="Times New Roman"/>
          <w:color w:val="000000"/>
        </w:rPr>
      </w:pPr>
      <w:r w:rsidRPr="00A0218A">
        <w:rPr>
          <w:rFonts w:eastAsia="Calibri" w:cs="Times New Roman"/>
          <w:color w:val="000000"/>
        </w:rPr>
        <w:t>In a 2010 report of data from the National Biochemical Validation Survey, Hersey et al.</w:t>
      </w:r>
      <w:r>
        <w:rPr>
          <w:rFonts w:eastAsia="Calibri" w:cs="Times New Roman"/>
          <w:color w:val="000000"/>
        </w:rPr>
        <w:t xml:space="preserve">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&lt;EndNote&gt;&lt;Cite&gt;&lt;Author&gt;Hersey&lt;/Author&gt;&lt;Year&gt;2010&lt;/Year&gt;&lt;RecNum&gt;103&lt;/RecNum&gt;&lt;DisplayText&gt;(63)&lt;/DisplayText&gt;&lt;record&gt;&lt;rec-number&gt;103&lt;/rec-number&gt;&lt;foreign-keys&gt;&lt;key app="EN" db-id="a2vz2dfp8xrad6exes75zwpiw5rxwa0vwapv" timestamp="0"&gt;103&lt;/key&gt;&lt;/foreign-keys&gt;&lt;ref-type name="Journal Article"&gt;17&lt;/ref-type&gt;&lt;contributors&gt;&lt;authors&gt;&lt;author&gt;Hersey, J. C.&lt;/author&gt;&lt;author&gt;Nonnemaker, J.&lt;/author&gt;&lt;author&gt;Homsi, G.&lt;/author&gt;&lt;author&gt;Allen, J.&lt;/author&gt;&lt;/authors&gt;&lt;/contributors&gt;&lt;titles&gt;&lt;title&gt;Menthol cigarettes, saliva cotinine, and nicotine dependence in adolescents&lt;/title&gt;&lt;/titles&gt;&lt;dates&gt;&lt;year&gt;2010&lt;/year&gt;&lt;/dates&gt;&lt;publisher&gt;RTI International&lt;/publisher&gt;&lt;urls&gt;&lt;/urls&gt;&lt;research-notes&gt;#827&lt;/research-notes&gt;&lt;/record&gt;&lt;/Cite&gt;&lt;/EndNote&gt;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63" w:tooltip="Hersey, 2010 #103" w:history="1">
        <w:r w:rsidR="00A234A9">
          <w:rPr>
            <w:rFonts w:eastAsia="Calibri" w:cs="Times New Roman"/>
            <w:noProof/>
            <w:color w:val="000000"/>
          </w:rPr>
          <w:t>63</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presented smoking data from youth menthol and non-menthol smokers by duration of smoking (&lt;1 year and ≥1 year). Of menthol smokers</w:t>
      </w:r>
      <w:r>
        <w:rPr>
          <w:rFonts w:eastAsia="Calibri" w:cs="Times New Roman"/>
          <w:color w:val="000000"/>
        </w:rPr>
        <w:t xml:space="preserve"> (n=216)</w:t>
      </w:r>
      <w:r w:rsidRPr="00A0218A">
        <w:rPr>
          <w:rFonts w:eastAsia="Calibri" w:cs="Times New Roman"/>
          <w:color w:val="000000"/>
        </w:rPr>
        <w:t>, 25.2 percent had smoked for less than one year at time of the interview</w:t>
      </w:r>
      <w:r>
        <w:rPr>
          <w:rFonts w:eastAsia="Calibri" w:cs="Times New Roman"/>
          <w:color w:val="000000"/>
        </w:rPr>
        <w:t xml:space="preserve"> compared to 21.2 percent of non-menthol smokers. Menthol s</w:t>
      </w:r>
      <w:r w:rsidRPr="00A0218A">
        <w:rPr>
          <w:rFonts w:eastAsia="Calibri" w:cs="Times New Roman"/>
          <w:color w:val="000000"/>
        </w:rPr>
        <w:t xml:space="preserve">mokers </w:t>
      </w:r>
      <w:r>
        <w:rPr>
          <w:rFonts w:eastAsia="Calibri" w:cs="Times New Roman"/>
          <w:color w:val="000000"/>
        </w:rPr>
        <w:t xml:space="preserve">of less than one year </w:t>
      </w:r>
      <w:r w:rsidRPr="00A0218A">
        <w:rPr>
          <w:rFonts w:eastAsia="Calibri" w:cs="Times New Roman"/>
          <w:color w:val="000000"/>
        </w:rPr>
        <w:t>reported a mean CPD of 3.94 (95% CI: 2.47 to 5.41)</w:t>
      </w:r>
      <w:r>
        <w:rPr>
          <w:rFonts w:eastAsia="Calibri" w:cs="Times New Roman"/>
          <w:color w:val="000000"/>
        </w:rPr>
        <w:t xml:space="preserve"> compared to </w:t>
      </w:r>
      <w:r w:rsidRPr="00A0218A">
        <w:rPr>
          <w:rFonts w:eastAsia="Calibri" w:cs="Times New Roman"/>
          <w:color w:val="000000"/>
        </w:rPr>
        <w:t>5.85 (95% CI: 4.30 to 7.39)</w:t>
      </w:r>
      <w:r>
        <w:rPr>
          <w:rFonts w:eastAsia="Calibri" w:cs="Times New Roman"/>
          <w:color w:val="000000"/>
        </w:rPr>
        <w:t xml:space="preserve"> for non-menthol smokers (p=0.08). No difference was found between menthol and non-menthol smokers who had smoked at least one year, with menthol smokers reporting a mean CPD of </w:t>
      </w:r>
      <w:r w:rsidRPr="00A0218A">
        <w:rPr>
          <w:rFonts w:eastAsia="Calibri" w:cs="Times New Roman"/>
          <w:color w:val="000000"/>
        </w:rPr>
        <w:t>6.56 (</w:t>
      </w:r>
      <w:r>
        <w:rPr>
          <w:rFonts w:eastAsia="Calibri" w:cs="Times New Roman"/>
          <w:color w:val="000000"/>
        </w:rPr>
        <w:t xml:space="preserve">95% CI: </w:t>
      </w:r>
      <w:r w:rsidRPr="00A0218A">
        <w:rPr>
          <w:rFonts w:eastAsia="Calibri" w:cs="Times New Roman"/>
          <w:color w:val="000000"/>
        </w:rPr>
        <w:t>5.59 to 7.53)</w:t>
      </w:r>
      <w:r>
        <w:rPr>
          <w:rFonts w:eastAsia="Calibri" w:cs="Times New Roman"/>
          <w:color w:val="000000"/>
        </w:rPr>
        <w:t xml:space="preserve"> and non-menthol smokers reporting a mean CPD of 7.21 (p=0.29) </w:t>
      </w:r>
      <w:r w:rsidRPr="00A0218A">
        <w:rPr>
          <w:rFonts w:eastAsia="Calibri" w:cs="Times New Roman"/>
          <w:color w:val="000000"/>
        </w:rPr>
        <w:t xml:space="preserve">In summary, </w:t>
      </w:r>
      <w:r>
        <w:rPr>
          <w:rFonts w:eastAsia="Calibri" w:cs="Times New Roman"/>
          <w:color w:val="000000"/>
        </w:rPr>
        <w:t>among smokers</w:t>
      </w:r>
      <w:r w:rsidRPr="00A0218A">
        <w:rPr>
          <w:rFonts w:eastAsia="Calibri" w:cs="Times New Roman"/>
          <w:color w:val="000000"/>
        </w:rPr>
        <w:t xml:space="preserve"> </w:t>
      </w:r>
      <w:r>
        <w:rPr>
          <w:rFonts w:eastAsia="Calibri" w:cs="Times New Roman"/>
          <w:color w:val="000000"/>
        </w:rPr>
        <w:t xml:space="preserve">of less than 1 year, menthol users </w:t>
      </w:r>
      <w:r w:rsidRPr="00A0218A">
        <w:rPr>
          <w:rFonts w:eastAsia="Calibri" w:cs="Times New Roman"/>
          <w:color w:val="000000"/>
        </w:rPr>
        <w:t xml:space="preserve">smoke fewer CPD compared </w:t>
      </w:r>
      <w:r>
        <w:rPr>
          <w:rFonts w:eastAsia="Calibri" w:cs="Times New Roman"/>
          <w:color w:val="000000"/>
        </w:rPr>
        <w:t>to their</w:t>
      </w:r>
      <w:r w:rsidRPr="00A0218A">
        <w:rPr>
          <w:rFonts w:eastAsia="Calibri" w:cs="Times New Roman"/>
          <w:color w:val="000000"/>
        </w:rPr>
        <w:t xml:space="preserve"> non-menthol </w:t>
      </w:r>
      <w:r>
        <w:rPr>
          <w:rFonts w:eastAsia="Calibri" w:cs="Times New Roman"/>
          <w:color w:val="000000"/>
        </w:rPr>
        <w:t>counterpart</w:t>
      </w:r>
      <w:r w:rsidRPr="00A0218A">
        <w:rPr>
          <w:rFonts w:eastAsia="Calibri" w:cs="Times New Roman"/>
          <w:color w:val="000000"/>
        </w:rPr>
        <w:t>s</w:t>
      </w:r>
      <w:r>
        <w:rPr>
          <w:rFonts w:eastAsia="Calibri" w:cs="Times New Roman"/>
          <w:color w:val="000000"/>
        </w:rPr>
        <w:t>; however, menthol and non-menthol smokers of 1 or more years are no different in terms of mean CPD.</w:t>
      </w:r>
    </w:p>
    <w:p w14:paraId="2EFB8A2B" w14:textId="403F2B35" w:rsidR="00D04C52" w:rsidRDefault="00D04C52" w:rsidP="00B46744">
      <w:pPr>
        <w:spacing w:after="240" w:line="240" w:lineRule="auto"/>
        <w:jc w:val="both"/>
        <w:rPr>
          <w:rFonts w:eastAsia="Calibri" w:cs="Times New Roman"/>
          <w:color w:val="000000"/>
        </w:rPr>
      </w:pPr>
      <w:r>
        <w:rPr>
          <w:rFonts w:eastAsia="Calibri" w:cs="Times New Roman"/>
          <w:color w:val="000000"/>
        </w:rPr>
        <w:t xml:space="preserve">DiFranza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&lt;EndNote&gt;&lt;Cite&gt;&lt;Author&gt;DiFranza&lt;/Author&gt;&lt;Year&gt;2004&lt;/Year&gt;&lt;RecNum&gt;83&lt;/RecNum&gt;&lt;DisplayText&gt;(54)&lt;/DisplayText&gt;&lt;record&gt;&lt;rec-number&gt;83&lt;/rec-number&gt;&lt;foreign-keys&gt;&lt;key app="EN" db-id="a2vz2dfp8xrad6exes75zwpiw5rxwa0vwapv" timestamp="0"&gt;83&lt;/key&gt;&lt;/foreign-keys&gt;&lt;ref-type name="Journal Article"&gt;17&lt;/ref-type&gt;&lt;contributors&gt;&lt;authors&gt;&lt;author&gt;DiFranza, J.R.&lt;/author&gt;&lt;author&gt;Savageau, J.A.&lt;/author&gt;&lt;author&gt;Fletcher, K.&lt;/author&gt;&lt;author&gt;Ockene, J.K.&lt;/author&gt;&lt;author&gt;Rigotti, N.A.&lt;/author&gt;&lt;author&gt;McNeill, A.D.&lt;/author&gt;&lt;author&gt;Coleman, M.&lt;/author&gt;&lt;author&gt;Wood, C.&lt;/author&gt;&lt;/authors&gt;&lt;/contributors&gt;&lt;titles&gt;&lt;title&gt;Recollections and repercussions of the first inhaled cigarette&lt;/title&gt;&lt;secondary-title&gt;Addictive Behaviors&lt;/secondary-title&gt;&lt;/titles&gt;&lt;periodical&gt;&lt;full-title&gt;Addictive Behaviors&lt;/full-title&gt;&lt;/periodical&gt;&lt;pages&gt;261-272&lt;/pages&gt;&lt;volume&gt;29&lt;/volume&gt;&lt;number&gt;2&lt;/number&gt;&lt;dates&gt;&lt;year&gt;2004&lt;/year&gt;&lt;/dates&gt;&lt;isbn&gt;03064603&lt;/isbn&gt;&lt;urls&gt;&lt;/urls&gt;&lt;electronic-resource-num&gt;10.1016/j.addbeh.2003.08.002&lt;/electronic-resource-num&gt;&lt;research-notes&gt;#413&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54" w:tooltip="DiFranza, 2004 #83" w:history="1">
        <w:r w:rsidR="00A234A9">
          <w:rPr>
            <w:rFonts w:eastAsia="Calibri" w:cs="Times New Roman"/>
            <w:noProof/>
            <w:color w:val="000000"/>
          </w:rPr>
          <w:t>54</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reported data from a longitudinal cohort study that enrolled youths in seventh grade at baseline. Initiation data were collected from youth who had ever inhaled a cigarette. A subset of 120 participants could recall whether the first cigarette they smoked was mentholated or not. Of those, 42 percent reported that the first cigarette was mentholated.</w:t>
      </w:r>
    </w:p>
    <w:p w14:paraId="02F06898" w14:textId="17699107" w:rsidR="00915113" w:rsidRDefault="00915113" w:rsidP="00915113">
      <w:pPr>
        <w:jc w:val="both"/>
        <w:rPr>
          <w:color w:val="000000" w:themeColor="text1"/>
        </w:rPr>
      </w:pPr>
      <w:r>
        <w:rPr>
          <w:color w:val="000000" w:themeColor="text1"/>
        </w:rPr>
        <w:t xml:space="preserve">For daily versus non-daily smoking between youth menthol and youth non-menthol smokers, </w:t>
      </w:r>
      <w:r w:rsidRPr="00BF15BA">
        <w:rPr>
          <w:color w:val="000000" w:themeColor="text1"/>
        </w:rPr>
        <w:t>Curtin et al.</w:t>
      </w:r>
      <w:r w:rsidRPr="00BF15BA">
        <w:rPr>
          <w:sz w:val="18"/>
          <w:szCs w:val="18"/>
        </w:rPr>
        <w:t xml:space="preserve"> </w:t>
      </w:r>
      <w:r w:rsidR="00D2134A">
        <w:fldChar w:fldCharType="begin">
          <w:fldData xml:space="preserve">PEVuZE5vdGU+PENpdGU+PEF1dGhvcj5DdXJ0aW48L0F1dGhvcj48WWVhcj4yMDE0PC9ZZWFyPjxS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</w:fldData>
        </w:fldChar>
      </w:r>
      <w:r w:rsidR="00D2134A">
        <w:instrText xml:space="preserve"> ADDIN EN.CITE </w:instrText>
      </w:r>
      <w:r w:rsidR="00D2134A">
        <w:fldChar w:fldCharType="begin">
          <w:fldData xml:space="preserve">PEVuZE5vdGU+PENpdGU+PEF1dGhvcj5DdXJ0aW48L0F1dGhvcj48WWVhcj4yMDE0PC9ZZWFyPjxS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</w:fldData>
        </w:fldChar>
      </w:r>
      <w:r w:rsidR="00D2134A">
        <w:instrText xml:space="preserve"> ADDIN EN.CITE.DATA </w:instrText>
      </w:r>
      <w:r w:rsidR="00D2134A">
        <w:fldChar w:fldCharType="end"/>
      </w:r>
      <w:r w:rsidR="00D2134A">
        <w:fldChar w:fldCharType="separate"/>
      </w:r>
      <w:r w:rsidR="00D2134A">
        <w:rPr>
          <w:noProof/>
        </w:rPr>
        <w:t>(</w:t>
      </w:r>
      <w:hyperlink w:anchor="_ENREF_52" w:tooltip="Curtin, 2014 #14" w:history="1">
        <w:r w:rsidR="00A234A9">
          <w:rPr>
            <w:noProof/>
          </w:rPr>
          <w:t>52</w:t>
        </w:r>
      </w:hyperlink>
      <w:r w:rsidR="00D2134A">
        <w:rPr>
          <w:noProof/>
        </w:rPr>
        <w:t>)</w:t>
      </w:r>
      <w:r w:rsidR="00D2134A">
        <w:fldChar w:fldCharType="end"/>
      </w:r>
      <w:r>
        <w:t xml:space="preserve"> </w:t>
      </w:r>
      <w:r>
        <w:rPr>
          <w:color w:val="000000" w:themeColor="text1"/>
        </w:rPr>
        <w:t>reported five analyses from four data sets; one analysis was exclusively among youth (NHANES). No comparative analysis was done between frequency of smoking among menthol and non-menthol smokers. However, the analysis presented similar distributions of menthol to non-menthol smokers within past-month (</w:t>
      </w:r>
      <w:r w:rsidRPr="00DF286A">
        <w:rPr>
          <w:color w:val="000000" w:themeColor="text1"/>
        </w:rPr>
        <w:t>22.1</w:t>
      </w:r>
      <w:r>
        <w:rPr>
          <w:color w:val="000000" w:themeColor="text1"/>
        </w:rPr>
        <w:t xml:space="preserve">%, 95% CI: 18.6 to </w:t>
      </w:r>
      <w:r w:rsidRPr="00DF286A">
        <w:rPr>
          <w:color w:val="000000" w:themeColor="text1"/>
        </w:rPr>
        <w:t>25.5</w:t>
      </w:r>
      <w:r>
        <w:rPr>
          <w:color w:val="000000" w:themeColor="text1"/>
        </w:rPr>
        <w:t xml:space="preserve"> versus 77.9%, 95% CI: 74.5 to 81.4, respectively), regular (17.6%, 95% CI: 13.4 to </w:t>
      </w:r>
      <w:r w:rsidRPr="00DF286A">
        <w:rPr>
          <w:color w:val="000000" w:themeColor="text1"/>
        </w:rPr>
        <w:t>21.7</w:t>
      </w:r>
      <w:r>
        <w:rPr>
          <w:color w:val="000000" w:themeColor="text1"/>
        </w:rPr>
        <w:t xml:space="preserve"> versus </w:t>
      </w:r>
      <w:r w:rsidRPr="00DF286A">
        <w:rPr>
          <w:color w:val="000000" w:themeColor="text1"/>
        </w:rPr>
        <w:t>82.4</w:t>
      </w:r>
      <w:r>
        <w:rPr>
          <w:color w:val="000000" w:themeColor="text1"/>
        </w:rPr>
        <w:t>%, 95% CI: 78.3 to 86.6, respectively</w:t>
      </w:r>
      <w:r w:rsidRPr="00DF286A">
        <w:rPr>
          <w:color w:val="000000" w:themeColor="text1"/>
        </w:rPr>
        <w:t>)</w:t>
      </w:r>
      <w:r>
        <w:rPr>
          <w:color w:val="000000" w:themeColor="text1"/>
        </w:rPr>
        <w:t xml:space="preserve">, and daily (18.2%, 95% CI: 13.4 to 23.1 versus </w:t>
      </w:r>
      <w:r w:rsidRPr="00DF286A">
        <w:rPr>
          <w:color w:val="000000" w:themeColor="text1"/>
        </w:rPr>
        <w:t>81.8</w:t>
      </w:r>
      <w:r>
        <w:rPr>
          <w:color w:val="000000" w:themeColor="text1"/>
        </w:rPr>
        <w:t>%, 95% CI: 76.9 to 86.6, respectively) smokers.</w:t>
      </w:r>
    </w:p>
    <w:p w14:paraId="5BE941F2" w14:textId="388AB3F0" w:rsidR="00915113" w:rsidRDefault="00915113" w:rsidP="008E041E">
      <w:pPr>
        <w:jc w:val="both"/>
        <w:rPr>
          <w:color w:val="000000" w:themeColor="text1"/>
        </w:rPr>
      </w:pPr>
      <w:r>
        <w:rPr>
          <w:rFonts w:eastAsia="Calibri" w:cs="Times New Roman"/>
          <w:color w:val="000000"/>
        </w:rPr>
        <w:t xml:space="preserve">Caraballo and Asman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&lt;EndNote&gt;&lt;Cite&gt;&lt;Author&gt;Caraballo&lt;/Author&gt;&lt;Year&gt;2011&lt;/Year&gt;&lt;RecNum&gt;47&lt;/RecNum&gt;&lt;DisplayText&gt;(49)&lt;/DisplayText&gt;&lt;record&gt;&lt;rec-number&gt;47&lt;/rec-number&gt;&lt;foreign-keys&gt;&lt;key app="EN" db-id="a2vz2dfp8xrad6exes75zwpiw5rxwa0vwapv" timestamp="0"&gt;47&lt;/key&gt;&lt;/foreign-keys&gt;&lt;ref-type name="Journal Article"&gt;17&lt;/ref-type&gt;&lt;contributors&gt;&lt;authors&gt;&lt;author&gt;Caraballo, R. S.&lt;/author&gt;&lt;author&gt;Asman, K.&lt;/author&gt;&lt;/authors&gt;&lt;/contributors&gt;&lt;auth-address&gt;Mail Stop K-50, Office on Smoking and Health, National Center for Chronic Disease Prevention and Health Promotion, Centers for Disease Control and Prevention, 4770 Buford Highway, N,E,, Atlanta, GA, USA. rfc8@cdc.gov.&lt;/auth-address&gt;&lt;titles&gt;&lt;title&gt;Epidemiology of menthol cigarette use in the United States&lt;/title&gt;&lt;secondary-title&gt;Tob Induc Dis&lt;/secondary-title&gt;&lt;/titles&gt;&lt;periodical&gt;&lt;full-title&gt;Tob Induc Dis&lt;/full-title&gt;&lt;/periodical&gt;&lt;pages&gt;S1&lt;/pages&gt;&lt;volume&gt;9 Suppl 1&lt;/volume&gt;&lt;dates&gt;&lt;year&gt;2011&lt;/year&gt;&lt;/dates&gt;&lt;isbn&gt;1617-9625 (Electronic)&amp;#xD;1617-9625 (Linking)&lt;/isbn&gt;&lt;accession-num&gt;21624147&lt;/accession-num&gt;&lt;urls&gt;&lt;related-urls&gt;&lt;url&gt;http://www.ncbi.nlm.nih.gov/pubmed/21624147&lt;/url&gt;&lt;/related-urls&gt;&lt;/urls&gt;&lt;custom2&gt;PMC3102900&lt;/custom2&gt;&lt;electronic-resource-num&gt;10.1186/1617-9625-9-S1-S1&lt;/electronic-resource-num&gt;&lt;research-notes&gt;#247&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49" w:tooltip="Caraballo, 2011 #47" w:history="1">
        <w:r w:rsidR="00A234A9">
          <w:rPr>
            <w:rFonts w:eastAsia="Calibri" w:cs="Times New Roman"/>
            <w:noProof/>
            <w:color w:val="000000"/>
          </w:rPr>
          <w:t>49</w:t>
        </w:r>
      </w:hyperlink>
      <w:r w:rsidR="00D2134A">
        <w:rPr>
          <w:rFonts w:eastAsia="Calibri" w:cs="Times New Roman"/>
          <w:noProof/>
          <w:color w:val="000000"/>
        </w:rPr>
        <w:t>)</w:t>
      </w:r>
      <w:r w:rsidR="00D2134A">
        <w:rPr>
          <w:rFonts w:eastAsia="Calibri" w:cs="Times New Roman"/>
          <w:color w:val="000000"/>
        </w:rPr>
        <w:fldChar w:fldCharType="end"/>
      </w:r>
      <w:r w:rsidRPr="00C1410C">
        <w:rPr>
          <w:color w:val="000000" w:themeColor="text1"/>
        </w:rPr>
        <w:t xml:space="preserve"> analyzed cross-sectional data from more than 8,000 middle and high school students who participated in the 2004, 2006, and 2009 National Youth Tobacco Survey (NYTS). Using weighted data, the authors found that 30.6 percent of menthol smokers were daily smokers, compared with 28.0 percent of non-me</w:t>
      </w:r>
      <w:r>
        <w:rPr>
          <w:color w:val="000000" w:themeColor="text1"/>
        </w:rPr>
        <w:t>nthol smokers.</w:t>
      </w:r>
    </w:p>
    <w:p w14:paraId="1E93B9A2" w14:textId="663C3C48" w:rsidR="003C3DCC" w:rsidRPr="00A561F7" w:rsidRDefault="003C3DCC" w:rsidP="003C3DCC">
      <w:pPr>
        <w:widowControl w:val="0"/>
        <w:spacing w:before="240" w:after="120" w:line="240" w:lineRule="auto"/>
        <w:rPr>
          <w:rFonts w:eastAsia="Calibri" w:cs="Times New Roman"/>
          <w:color w:val="000000"/>
        </w:rPr>
      </w:pPr>
      <w:r>
        <w:rPr>
          <w:rFonts w:eastAsia="Calibri" w:cs="Times New Roman"/>
          <w:color w:val="000000"/>
        </w:rPr>
        <w:t xml:space="preserve">Muilenburg and Legge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&lt;EndNote&gt;&lt;Cite&gt;&lt;Author&gt;Muilenburg&lt;/Author&gt;&lt;Year&gt;2008&lt;/Year&gt;&lt;RecNum&gt;71&lt;/RecNum&gt;&lt;DisplayText&gt;(71)&lt;/DisplayText&gt;&lt;record&gt;&lt;rec-number&gt;71&lt;/rec-number&gt;&lt;foreign-keys&gt;&lt;key app="EN" db-id="a2vz2dfp8xrad6exes75zwpiw5rxwa0vwapv" timestamp="0"&gt;71&lt;/key&gt;&lt;/foreign-keys&gt;&lt;ref-type name="Journal Article"&gt;17&lt;/ref-type&gt;&lt;contributors&gt;&lt;authors&gt;&lt;author&gt;Muilenburg, J. L.&lt;/author&gt;&lt;author&gt;Legge, J. S., Jr.&lt;/author&gt;&lt;/authors&gt;&lt;/contributors&gt;&lt;auth-address&gt;Department of Health Promotion and Behavior, College of Public Health, University of Georgia, Athens, Georgia 30602, USA.&lt;/auth-address&gt;&lt;titles&gt;&lt;title&gt;African American adolescents and menthol cigarettes: smoking behavior among secondary school students&lt;/title&gt;&lt;secondary-title&gt;J Adolesc Health&lt;/secondary-title&gt;&lt;/titles&gt;&lt;pages&gt;570-5&lt;/pages&gt;&lt;volume&gt;43&lt;/volume&gt;&lt;number&gt;6&lt;/number&gt;&lt;keywords&gt;&lt;keyword&gt;Adolescent&lt;/keyword&gt;&lt;keyword&gt;Adolescent Behavior/*ethnology&lt;/keyword&gt;&lt;keyword&gt;African Americans/*statistics &amp;amp; numerical data&lt;/keyword&gt;&lt;keyword&gt;Age Distribution&lt;/keyword&gt;&lt;keyword&gt;Case-Control Studies&lt;/keyword&gt;&lt;keyword&gt;Child&lt;/keyword&gt;&lt;keyword&gt;European Continental Ancestry Group/statistics &amp;amp; numerical data&lt;/keyword&gt;&lt;keyword&gt;Female&lt;/keyword&gt;&lt;keyword&gt;Health Behavior/ethnology&lt;/keyword&gt;&lt;keyword&gt;Health Surveys&lt;/keyword&gt;&lt;keyword&gt;Humans&lt;/keyword&gt;&lt;keyword&gt;Male&lt;/keyword&gt;&lt;keyword&gt;Menthol&lt;/keyword&gt;&lt;keyword&gt;Sex Distribution&lt;/keyword&gt;&lt;keyword&gt;Smoking/*ethnology&lt;/keyword&gt;&lt;keyword&gt;Social Environment&lt;/keyword&gt;&lt;keyword&gt;Southeastern United States/epidemiology&lt;/keyword&gt;&lt;keyword&gt;Students/*statistics &amp;amp; numerical data&lt;/keyword&gt;&lt;keyword&gt;Young Adult&lt;/keyword&gt;&lt;/keywords&gt;&lt;dates&gt;&lt;year&gt;2008&lt;/year&gt;&lt;pub-dates&gt;&lt;date&gt;Dec&lt;/date&gt;&lt;/pub-dates&gt;&lt;/dates&gt;&lt;isbn&gt;1879-1972 (Electronic)&amp;#xD;1054-139X (Linking)&lt;/isbn&gt;&lt;accession-num&gt;19027645&lt;/accession-num&gt;&lt;urls&gt;&lt;related-urls&gt;&lt;url&gt;http://www.ncbi.nlm.nih.gov/pubmed/19027645&lt;/url&gt;&lt;/related-urls&gt;&lt;/urls&gt;&lt;electronic-resource-num&gt;10.1016/j.jadohealth.2008.08.017&lt;/electronic-resource-num&gt;&lt;research-notes&gt;#343&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1" w:tooltip="Muilenburg, 2008 #71" w:history="1">
        <w:r w:rsidR="00A234A9">
          <w:rPr>
            <w:rFonts w:eastAsia="Calibri" w:cs="Times New Roman"/>
            <w:noProof/>
            <w:color w:val="000000"/>
          </w:rPr>
          <w:t>71</w:t>
        </w:r>
      </w:hyperlink>
      <w:r w:rsidR="00D2134A">
        <w:rPr>
          <w:rFonts w:eastAsia="Calibri" w:cs="Times New Roman"/>
          <w:noProof/>
          <w:color w:val="000000"/>
        </w:rPr>
        <w:t>)</w:t>
      </w:r>
      <w:r w:rsidR="00D2134A">
        <w:rPr>
          <w:rFonts w:eastAsia="Calibri" w:cs="Times New Roman"/>
          <w:color w:val="000000"/>
        </w:rPr>
        <w:fldChar w:fldCharType="end"/>
      </w:r>
      <w:r>
        <w:rPr>
          <w:rFonts w:eastAsia="Calibri" w:cs="Times New Roman"/>
          <w:color w:val="000000"/>
        </w:rPr>
        <w:t xml:space="preserve"> </w:t>
      </w:r>
      <w:r w:rsidRPr="00116A8C">
        <w:rPr>
          <w:rFonts w:eastAsia="Calibri" w:cs="Times New Roman"/>
          <w:color w:val="000000"/>
        </w:rPr>
        <w:t xml:space="preserve">surveyed more than 2,000 middle and high school students who had taken at least </w:t>
      </w:r>
      <w:r>
        <w:rPr>
          <w:rFonts w:eastAsia="Calibri" w:cs="Times New Roman"/>
          <w:color w:val="000000"/>
        </w:rPr>
        <w:t>one puff of</w:t>
      </w:r>
      <w:r w:rsidRPr="00116A8C">
        <w:rPr>
          <w:rFonts w:eastAsia="Calibri" w:cs="Times New Roman"/>
          <w:color w:val="000000"/>
        </w:rPr>
        <w:t xml:space="preserve"> a cigarette</w:t>
      </w:r>
      <w:r>
        <w:rPr>
          <w:rFonts w:eastAsia="Calibri" w:cs="Times New Roman"/>
          <w:color w:val="000000"/>
        </w:rPr>
        <w:t>. Youth m</w:t>
      </w:r>
      <w:r w:rsidRPr="00116A8C">
        <w:rPr>
          <w:rFonts w:eastAsia="Calibri" w:cs="Times New Roman"/>
          <w:color w:val="000000"/>
        </w:rPr>
        <w:t xml:space="preserve">enthol smokers had significantly greater odds of ever having been a daily smoker (at least one cigarette every day for 30 days), compared with </w:t>
      </w:r>
      <w:r>
        <w:rPr>
          <w:rFonts w:eastAsia="Calibri" w:cs="Times New Roman"/>
          <w:color w:val="000000"/>
        </w:rPr>
        <w:t xml:space="preserve">youth </w:t>
      </w:r>
      <w:r w:rsidRPr="00116A8C">
        <w:rPr>
          <w:rFonts w:eastAsia="Calibri" w:cs="Times New Roman"/>
          <w:color w:val="000000"/>
        </w:rPr>
        <w:t>non-menthol smokers (</w:t>
      </w:r>
      <w:r>
        <w:rPr>
          <w:rFonts w:eastAsia="Calibri" w:cs="Times New Roman"/>
          <w:color w:val="000000"/>
        </w:rPr>
        <w:t>A</w:t>
      </w:r>
      <w:r w:rsidRPr="00116A8C">
        <w:rPr>
          <w:rFonts w:eastAsia="Calibri" w:cs="Times New Roman"/>
          <w:color w:val="000000"/>
        </w:rPr>
        <w:t>OR=3.41, p≤0.01).</w:t>
      </w:r>
    </w:p>
    <w:p w14:paraId="244548BB" w14:textId="77777777" w:rsidR="00D04C52" w:rsidRPr="00A0218A" w:rsidRDefault="00D04C52" w:rsidP="008E041E">
      <w:pPr>
        <w:spacing w:after="120" w:line="240" w:lineRule="auto"/>
        <w:jc w:val="both"/>
        <w:outlineLvl w:val="2"/>
        <w:rPr>
          <w:rFonts w:eastAsia="Calibri" w:cs="Times New Roman"/>
          <w:b/>
          <w:i/>
          <w:color w:val="000000"/>
        </w:rPr>
      </w:pPr>
      <w:r w:rsidRPr="00A0218A">
        <w:rPr>
          <w:rFonts w:eastAsia="Calibri" w:cs="Times New Roman"/>
          <w:b/>
          <w:i/>
          <w:color w:val="000000"/>
        </w:rPr>
        <w:t>Young Adults</w:t>
      </w:r>
    </w:p>
    <w:p w14:paraId="1103EF59" w14:textId="37FEBFE5" w:rsidR="00D04C52" w:rsidRPr="00A0218A" w:rsidRDefault="00171800" w:rsidP="00B46744">
      <w:pPr>
        <w:spacing w:after="120" w:line="240" w:lineRule="auto"/>
        <w:jc w:val="both"/>
        <w:rPr>
          <w:rFonts w:eastAsia="Times New Roman" w:cs="Times New Roman"/>
          <w:i/>
          <w:color w:val="000000"/>
        </w:rPr>
      </w:pPr>
      <w:r>
        <w:rPr>
          <w:rFonts w:eastAsia="Times New Roman" w:cs="Times New Roman"/>
          <w:i/>
          <w:color w:val="000000"/>
        </w:rPr>
        <w:lastRenderedPageBreak/>
        <w:t xml:space="preserve">Among a total of four studies </w:t>
      </w:r>
      <w:r w:rsidR="00D2134A">
        <w:rPr>
          <w:rFonts w:eastAsia="Times New Roman" w:cs="Times New Roman"/>
          <w:i/>
          <w:color w:val="000000"/>
        </w:rPr>
        <w:fldChar w:fldCharType="begin">
          <w:fldData xml:space="preserve">PEVuZE5vdGU+PENpdGU+PEF1dGhvcj5GYWdhbjwvQXV0aG9yPjxZZWFyPjIwMTU8L1llYXI+PFJl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</w:fldData>
        </w:fldChar>
      </w:r>
      <w:r w:rsidR="00D2134A">
        <w:rPr>
          <w:rFonts w:eastAsia="Times New Roman" w:cs="Times New Roman"/>
          <w:i/>
          <w:color w:val="000000"/>
        </w:rPr>
        <w:instrText xml:space="preserve"> ADDIN EN.CITE </w:instrText>
      </w:r>
      <w:r w:rsidR="00D2134A">
        <w:rPr>
          <w:rFonts w:eastAsia="Times New Roman" w:cs="Times New Roman"/>
          <w:i/>
          <w:color w:val="000000"/>
        </w:rPr>
        <w:fldChar w:fldCharType="begin">
          <w:fldData xml:space="preserve">PEVuZE5vdGU+PENpdGU+PEF1dGhvcj5GYWdhbjwvQXV0aG9yPjxZZWFyPjIwMTU8L1llYXI+PFJl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</w:fldData>
        </w:fldChar>
      </w:r>
      <w:r w:rsidR="00D2134A">
        <w:rPr>
          <w:rFonts w:eastAsia="Times New Roman" w:cs="Times New Roman"/>
          <w:i/>
          <w:color w:val="000000"/>
        </w:rPr>
        <w:instrText xml:space="preserve"> ADDIN EN.CITE.DATA </w:instrText>
      </w:r>
      <w:r w:rsidR="00D2134A">
        <w:rPr>
          <w:rFonts w:eastAsia="Times New Roman" w:cs="Times New Roman"/>
          <w:i/>
          <w:color w:val="000000"/>
        </w:rPr>
      </w:r>
      <w:r w:rsidR="00D2134A">
        <w:rPr>
          <w:rFonts w:eastAsia="Times New Roman" w:cs="Times New Roman"/>
          <w:i/>
          <w:color w:val="000000"/>
        </w:rPr>
        <w:fldChar w:fldCharType="end"/>
      </w:r>
      <w:r w:rsidR="00D2134A">
        <w:rPr>
          <w:rFonts w:eastAsia="Times New Roman" w:cs="Times New Roman"/>
          <w:i/>
          <w:color w:val="000000"/>
        </w:rPr>
        <w:fldChar w:fldCharType="separate"/>
      </w:r>
      <w:r w:rsidR="00D2134A">
        <w:rPr>
          <w:rFonts w:eastAsia="Times New Roman" w:cs="Times New Roman"/>
          <w:i/>
          <w:noProof/>
          <w:color w:val="000000"/>
        </w:rPr>
        <w:t>(</w:t>
      </w:r>
      <w:hyperlink w:anchor="_ENREF_55" w:tooltip="Fagan, 2015 #5" w:history="1">
        <w:r w:rsidR="00A234A9">
          <w:rPr>
            <w:rFonts w:eastAsia="Times New Roman" w:cs="Times New Roman"/>
            <w:i/>
            <w:noProof/>
            <w:color w:val="000000"/>
          </w:rPr>
          <w:t>55</w:t>
        </w:r>
      </w:hyperlink>
      <w:r w:rsidR="00D2134A">
        <w:rPr>
          <w:rFonts w:eastAsia="Times New Roman" w:cs="Times New Roman"/>
          <w:i/>
          <w:noProof/>
          <w:color w:val="000000"/>
        </w:rPr>
        <w:t xml:space="preserve">, </w:t>
      </w:r>
      <w:hyperlink w:anchor="_ENREF_78" w:tooltip="Pletcher, 2006 #78" w:history="1">
        <w:r w:rsidR="00A234A9">
          <w:rPr>
            <w:rFonts w:eastAsia="Times New Roman" w:cs="Times New Roman"/>
            <w:i/>
            <w:noProof/>
            <w:color w:val="000000"/>
          </w:rPr>
          <w:t>78</w:t>
        </w:r>
      </w:hyperlink>
      <w:r w:rsidR="00D2134A">
        <w:rPr>
          <w:rFonts w:eastAsia="Times New Roman" w:cs="Times New Roman"/>
          <w:i/>
          <w:noProof/>
          <w:color w:val="000000"/>
        </w:rPr>
        <w:t xml:space="preserve">, </w:t>
      </w:r>
      <w:hyperlink w:anchor="_ENREF_79" w:tooltip="Rath, 2015 #3" w:history="1">
        <w:r w:rsidR="00A234A9">
          <w:rPr>
            <w:rFonts w:eastAsia="Times New Roman" w:cs="Times New Roman"/>
            <w:i/>
            <w:noProof/>
            <w:color w:val="000000"/>
          </w:rPr>
          <w:t>79</w:t>
        </w:r>
      </w:hyperlink>
      <w:r w:rsidR="00D2134A">
        <w:rPr>
          <w:rFonts w:eastAsia="Times New Roman" w:cs="Times New Roman"/>
          <w:i/>
          <w:noProof/>
          <w:color w:val="000000"/>
        </w:rPr>
        <w:t xml:space="preserve">, </w:t>
      </w:r>
      <w:hyperlink w:anchor="_ENREF_86" w:tooltip="Villanti, 2012 #37" w:history="1">
        <w:r w:rsidR="00A234A9">
          <w:rPr>
            <w:rFonts w:eastAsia="Times New Roman" w:cs="Times New Roman"/>
            <w:i/>
            <w:noProof/>
            <w:color w:val="000000"/>
          </w:rPr>
          <w:t>86</w:t>
        </w:r>
      </w:hyperlink>
      <w:r w:rsidR="00D2134A">
        <w:rPr>
          <w:rFonts w:eastAsia="Times New Roman" w:cs="Times New Roman"/>
          <w:i/>
          <w:noProof/>
          <w:color w:val="000000"/>
        </w:rPr>
        <w:t>)</w:t>
      </w:r>
      <w:r w:rsidR="00D2134A">
        <w:rPr>
          <w:rFonts w:eastAsia="Times New Roman" w:cs="Times New Roman"/>
          <w:i/>
          <w:color w:val="000000"/>
        </w:rPr>
        <w:fldChar w:fldCharType="end"/>
      </w:r>
      <w:r>
        <w:rPr>
          <w:rFonts w:eastAsia="Times New Roman" w:cs="Times New Roman"/>
          <w:i/>
          <w:color w:val="000000"/>
        </w:rPr>
        <w:t xml:space="preserve">, </w:t>
      </w:r>
      <w:r w:rsidR="00D04C52" w:rsidRPr="00A0218A">
        <w:rPr>
          <w:rFonts w:eastAsia="Times New Roman" w:cs="Times New Roman"/>
          <w:i/>
          <w:color w:val="000000"/>
        </w:rPr>
        <w:t>one study</w:t>
      </w:r>
      <w:r>
        <w:rPr>
          <w:rFonts w:eastAsia="Times New Roman" w:cs="Times New Roman"/>
          <w:i/>
          <w:color w:val="000000"/>
        </w:rPr>
        <w:t xml:space="preserve"> found that</w:t>
      </w:r>
      <w:r w:rsidR="00D04C52" w:rsidRPr="00A0218A">
        <w:rPr>
          <w:rFonts w:eastAsia="Times New Roman" w:cs="Times New Roman"/>
          <w:i/>
          <w:color w:val="000000"/>
        </w:rPr>
        <w:t xml:space="preserve"> menthol smokers initiated at a slightly younger age than non-menthol smokers</w:t>
      </w:r>
      <w:r>
        <w:rPr>
          <w:rFonts w:eastAsia="Times New Roman" w:cs="Times New Roman"/>
          <w:i/>
          <w:color w:val="000000"/>
        </w:rPr>
        <w:t xml:space="preserve"> </w:t>
      </w:r>
      <w:r w:rsidR="00D2134A">
        <w:rPr>
          <w:rFonts w:eastAsia="Times New Roman" w:cs="Times New Roman"/>
          <w:i/>
          <w:color w:val="000000"/>
        </w:rPr>
        <w:fldChar w:fldCharType="begin">
          <w:fldData xml:space="preserve">PEVuZE5vdGU+PENpdGU+PEF1dGhvcj5GYWdhbjwvQXV0aG9yPjxZZWFyPjIwMTU8L1llYXI+PFJl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</w:fldData>
        </w:fldChar>
      </w:r>
      <w:r w:rsidR="00D2134A">
        <w:rPr>
          <w:rFonts w:eastAsia="Times New Roman" w:cs="Times New Roman"/>
          <w:i/>
          <w:color w:val="000000"/>
        </w:rPr>
        <w:instrText xml:space="preserve"> ADDIN EN.CITE </w:instrText>
      </w:r>
      <w:r w:rsidR="00D2134A">
        <w:rPr>
          <w:rFonts w:eastAsia="Times New Roman" w:cs="Times New Roman"/>
          <w:i/>
          <w:color w:val="000000"/>
        </w:rPr>
        <w:fldChar w:fldCharType="begin">
          <w:fldData xml:space="preserve">PEVuZE5vdGU+PENpdGU+PEF1dGhvcj5GYWdhbjwvQXV0aG9yPjxZZWFyPjIwMTU8L1llYXI+PFJl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</w:fldData>
        </w:fldChar>
      </w:r>
      <w:r w:rsidR="00D2134A">
        <w:rPr>
          <w:rFonts w:eastAsia="Times New Roman" w:cs="Times New Roman"/>
          <w:i/>
          <w:color w:val="000000"/>
        </w:rPr>
        <w:instrText xml:space="preserve"> ADDIN EN.CITE.DATA </w:instrText>
      </w:r>
      <w:r w:rsidR="00D2134A">
        <w:rPr>
          <w:rFonts w:eastAsia="Times New Roman" w:cs="Times New Roman"/>
          <w:i/>
          <w:color w:val="000000"/>
        </w:rPr>
      </w:r>
      <w:r w:rsidR="00D2134A">
        <w:rPr>
          <w:rFonts w:eastAsia="Times New Roman" w:cs="Times New Roman"/>
          <w:i/>
          <w:color w:val="000000"/>
        </w:rPr>
        <w:fldChar w:fldCharType="end"/>
      </w:r>
      <w:r w:rsidR="00D2134A">
        <w:rPr>
          <w:rFonts w:eastAsia="Times New Roman" w:cs="Times New Roman"/>
          <w:i/>
          <w:color w:val="000000"/>
        </w:rPr>
        <w:fldChar w:fldCharType="separate"/>
      </w:r>
      <w:r w:rsidR="00D2134A">
        <w:rPr>
          <w:rFonts w:eastAsia="Times New Roman" w:cs="Times New Roman"/>
          <w:i/>
          <w:noProof/>
          <w:color w:val="000000"/>
        </w:rPr>
        <w:t>(</w:t>
      </w:r>
      <w:hyperlink w:anchor="_ENREF_55" w:tooltip="Fagan, 2015 #5" w:history="1">
        <w:r w:rsidR="00A234A9">
          <w:rPr>
            <w:rFonts w:eastAsia="Times New Roman" w:cs="Times New Roman"/>
            <w:i/>
            <w:noProof/>
            <w:color w:val="000000"/>
          </w:rPr>
          <w:t>55</w:t>
        </w:r>
      </w:hyperlink>
      <w:r w:rsidR="00D2134A">
        <w:rPr>
          <w:rFonts w:eastAsia="Times New Roman" w:cs="Times New Roman"/>
          <w:i/>
          <w:noProof/>
          <w:color w:val="000000"/>
        </w:rPr>
        <w:t>)</w:t>
      </w:r>
      <w:r w:rsidR="00D2134A">
        <w:rPr>
          <w:rFonts w:eastAsia="Times New Roman" w:cs="Times New Roman"/>
          <w:i/>
          <w:color w:val="000000"/>
        </w:rPr>
        <w:fldChar w:fldCharType="end"/>
      </w:r>
      <w:r>
        <w:rPr>
          <w:rFonts w:eastAsia="Times New Roman" w:cs="Times New Roman"/>
          <w:i/>
          <w:color w:val="000000"/>
        </w:rPr>
        <w:t xml:space="preserve">. Another study reported that </w:t>
      </w:r>
      <w:r w:rsidR="00D04C52" w:rsidRPr="00A0218A">
        <w:rPr>
          <w:rFonts w:eastAsia="Times New Roman" w:cs="Times New Roman"/>
          <w:i/>
          <w:color w:val="000000"/>
        </w:rPr>
        <w:t>approximately 35 percent of young adult smokers initiated with menthol cigarettes</w:t>
      </w:r>
      <w:r>
        <w:rPr>
          <w:rFonts w:eastAsia="Times New Roman" w:cs="Times New Roman"/>
          <w:i/>
          <w:color w:val="000000"/>
        </w:rPr>
        <w:t xml:space="preserve"> </w:t>
      </w:r>
      <w:r w:rsidR="00D2134A">
        <w:rPr>
          <w:rFonts w:eastAsia="Times New Roman" w:cs="Times New Roman"/>
          <w:i/>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Times New Roman" w:cs="Times New Roman"/>
          <w:i/>
          <w:color w:val="000000"/>
        </w:rPr>
        <w:instrText xml:space="preserve"> ADDIN EN.CITE </w:instrText>
      </w:r>
      <w:r w:rsidR="00D2134A">
        <w:rPr>
          <w:rFonts w:eastAsia="Times New Roman" w:cs="Times New Roman"/>
          <w:i/>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Times New Roman" w:cs="Times New Roman"/>
          <w:i/>
          <w:color w:val="000000"/>
        </w:rPr>
        <w:instrText xml:space="preserve"> ADDIN EN.CITE.DATA </w:instrText>
      </w:r>
      <w:r w:rsidR="00D2134A">
        <w:rPr>
          <w:rFonts w:eastAsia="Times New Roman" w:cs="Times New Roman"/>
          <w:i/>
          <w:color w:val="000000"/>
        </w:rPr>
      </w:r>
      <w:r w:rsidR="00D2134A">
        <w:rPr>
          <w:rFonts w:eastAsia="Times New Roman" w:cs="Times New Roman"/>
          <w:i/>
          <w:color w:val="000000"/>
        </w:rPr>
        <w:fldChar w:fldCharType="end"/>
      </w:r>
      <w:r w:rsidR="00D2134A">
        <w:rPr>
          <w:rFonts w:eastAsia="Times New Roman" w:cs="Times New Roman"/>
          <w:i/>
          <w:color w:val="000000"/>
        </w:rPr>
        <w:fldChar w:fldCharType="separate"/>
      </w:r>
      <w:r w:rsidR="00D2134A">
        <w:rPr>
          <w:rFonts w:eastAsia="Times New Roman" w:cs="Times New Roman"/>
          <w:i/>
          <w:noProof/>
          <w:color w:val="000000"/>
        </w:rPr>
        <w:t>(</w:t>
      </w:r>
      <w:hyperlink w:anchor="_ENREF_79" w:tooltip="Rath, 2015 #3" w:history="1">
        <w:r w:rsidR="00A234A9">
          <w:rPr>
            <w:rFonts w:eastAsia="Times New Roman" w:cs="Times New Roman"/>
            <w:i/>
            <w:noProof/>
            <w:color w:val="000000"/>
          </w:rPr>
          <w:t>79</w:t>
        </w:r>
      </w:hyperlink>
      <w:r w:rsidR="00D2134A">
        <w:rPr>
          <w:rFonts w:eastAsia="Times New Roman" w:cs="Times New Roman"/>
          <w:i/>
          <w:noProof/>
          <w:color w:val="000000"/>
        </w:rPr>
        <w:t>)</w:t>
      </w:r>
      <w:r w:rsidR="00D2134A">
        <w:rPr>
          <w:rFonts w:eastAsia="Times New Roman" w:cs="Times New Roman"/>
          <w:i/>
          <w:color w:val="000000"/>
        </w:rPr>
        <w:fldChar w:fldCharType="end"/>
      </w:r>
      <w:r w:rsidR="00D04C52" w:rsidRPr="00A0218A">
        <w:rPr>
          <w:rFonts w:eastAsia="Times New Roman" w:cs="Times New Roman"/>
          <w:i/>
          <w:color w:val="000000"/>
        </w:rPr>
        <w:t>. Switching results were inconsistent</w:t>
      </w:r>
      <w:r>
        <w:rPr>
          <w:rFonts w:eastAsia="Times New Roman" w:cs="Times New Roman"/>
          <w:i/>
          <w:color w:val="000000"/>
        </w:rPr>
        <w:t xml:space="preserve"> </w:t>
      </w:r>
      <w:r w:rsidR="00DC15AA">
        <w:rPr>
          <w:rFonts w:eastAsia="Times New Roman" w:cs="Times New Roman"/>
          <w:i/>
          <w:color w:val="000000"/>
        </w:rPr>
        <w:t>across three</w:t>
      </w:r>
      <w:r>
        <w:rPr>
          <w:rFonts w:eastAsia="Times New Roman" w:cs="Times New Roman"/>
          <w:i/>
          <w:color w:val="000000"/>
        </w:rPr>
        <w:t xml:space="preserve"> studies</w:t>
      </w:r>
      <w:r w:rsidR="00852084">
        <w:rPr>
          <w:rFonts w:eastAsia="Times New Roman" w:cs="Times New Roman"/>
          <w:i/>
          <w:color w:val="000000"/>
        </w:rPr>
        <w:t xml:space="preserve"> </w:t>
      </w:r>
      <w:r w:rsidR="00D2134A">
        <w:rPr>
          <w:rFonts w:eastAsia="Times New Roman" w:cs="Times New Roman"/>
          <w:i/>
          <w:color w:val="000000"/>
        </w:rPr>
        <w:fldChar w:fldCharType="begin">
          <w:fldData xml:space="preserve">PEVuZE5vdGU+PENpdGU+PEF1dGhvcj5QbGV0Y2hlcjwvQXV0aG9yPjxZZWFyPjIwMDY8L1llYXI+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</w:fldData>
        </w:fldChar>
      </w:r>
      <w:r w:rsidR="00D2134A">
        <w:rPr>
          <w:rFonts w:eastAsia="Times New Roman" w:cs="Times New Roman"/>
          <w:i/>
          <w:color w:val="000000"/>
        </w:rPr>
        <w:instrText xml:space="preserve"> ADDIN EN.CITE </w:instrText>
      </w:r>
      <w:r w:rsidR="00D2134A">
        <w:rPr>
          <w:rFonts w:eastAsia="Times New Roman" w:cs="Times New Roman"/>
          <w:i/>
          <w:color w:val="000000"/>
        </w:rPr>
        <w:fldChar w:fldCharType="begin">
          <w:fldData xml:space="preserve">PEVuZE5vdGU+PENpdGU+PEF1dGhvcj5QbGV0Y2hlcjwvQXV0aG9yPjxZZWFyPjIwMDY8L1llYXI+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</w:fldData>
        </w:fldChar>
      </w:r>
      <w:r w:rsidR="00D2134A">
        <w:rPr>
          <w:rFonts w:eastAsia="Times New Roman" w:cs="Times New Roman"/>
          <w:i/>
          <w:color w:val="000000"/>
        </w:rPr>
        <w:instrText xml:space="preserve"> ADDIN EN.CITE.DATA </w:instrText>
      </w:r>
      <w:r w:rsidR="00D2134A">
        <w:rPr>
          <w:rFonts w:eastAsia="Times New Roman" w:cs="Times New Roman"/>
          <w:i/>
          <w:color w:val="000000"/>
        </w:rPr>
      </w:r>
      <w:r w:rsidR="00D2134A">
        <w:rPr>
          <w:rFonts w:eastAsia="Times New Roman" w:cs="Times New Roman"/>
          <w:i/>
          <w:color w:val="000000"/>
        </w:rPr>
        <w:fldChar w:fldCharType="end"/>
      </w:r>
      <w:r w:rsidR="00D2134A">
        <w:rPr>
          <w:rFonts w:eastAsia="Times New Roman" w:cs="Times New Roman"/>
          <w:i/>
          <w:color w:val="000000"/>
        </w:rPr>
        <w:fldChar w:fldCharType="separate"/>
      </w:r>
      <w:r w:rsidR="00D2134A">
        <w:rPr>
          <w:rFonts w:eastAsia="Times New Roman" w:cs="Times New Roman"/>
          <w:i/>
          <w:noProof/>
          <w:color w:val="000000"/>
        </w:rPr>
        <w:t>(</w:t>
      </w:r>
      <w:hyperlink w:anchor="_ENREF_78" w:tooltip="Pletcher, 2006 #78" w:history="1">
        <w:r w:rsidR="00A234A9">
          <w:rPr>
            <w:rFonts w:eastAsia="Times New Roman" w:cs="Times New Roman"/>
            <w:i/>
            <w:noProof/>
            <w:color w:val="000000"/>
          </w:rPr>
          <w:t>78</w:t>
        </w:r>
      </w:hyperlink>
      <w:r w:rsidR="00D2134A">
        <w:rPr>
          <w:rFonts w:eastAsia="Times New Roman" w:cs="Times New Roman"/>
          <w:i/>
          <w:noProof/>
          <w:color w:val="000000"/>
        </w:rPr>
        <w:t xml:space="preserve">, </w:t>
      </w:r>
      <w:hyperlink w:anchor="_ENREF_79" w:tooltip="Rath, 2015 #3" w:history="1">
        <w:r w:rsidR="00A234A9">
          <w:rPr>
            <w:rFonts w:eastAsia="Times New Roman" w:cs="Times New Roman"/>
            <w:i/>
            <w:noProof/>
            <w:color w:val="000000"/>
          </w:rPr>
          <w:t>79</w:t>
        </w:r>
      </w:hyperlink>
      <w:r w:rsidR="00D2134A">
        <w:rPr>
          <w:rFonts w:eastAsia="Times New Roman" w:cs="Times New Roman"/>
          <w:i/>
          <w:noProof/>
          <w:color w:val="000000"/>
        </w:rPr>
        <w:t xml:space="preserve">, </w:t>
      </w:r>
      <w:hyperlink w:anchor="_ENREF_86" w:tooltip="Villanti, 2012 #37" w:history="1">
        <w:r w:rsidR="00A234A9">
          <w:rPr>
            <w:rFonts w:eastAsia="Times New Roman" w:cs="Times New Roman"/>
            <w:i/>
            <w:noProof/>
            <w:color w:val="000000"/>
          </w:rPr>
          <w:t>86</w:t>
        </w:r>
      </w:hyperlink>
      <w:r w:rsidR="00D2134A">
        <w:rPr>
          <w:rFonts w:eastAsia="Times New Roman" w:cs="Times New Roman"/>
          <w:i/>
          <w:noProof/>
          <w:color w:val="000000"/>
        </w:rPr>
        <w:t>)</w:t>
      </w:r>
      <w:r w:rsidR="00D2134A">
        <w:rPr>
          <w:rFonts w:eastAsia="Times New Roman" w:cs="Times New Roman"/>
          <w:i/>
          <w:color w:val="000000"/>
        </w:rPr>
        <w:fldChar w:fldCharType="end"/>
      </w:r>
      <w:r w:rsidR="00D04C52" w:rsidRPr="00A0218A">
        <w:rPr>
          <w:rFonts w:eastAsia="Times New Roman" w:cs="Times New Roman"/>
          <w:i/>
          <w:color w:val="000000"/>
        </w:rPr>
        <w:t xml:space="preserve">, with one study finding that menthol smokers were </w:t>
      </w:r>
      <w:r>
        <w:rPr>
          <w:rFonts w:eastAsia="Times New Roman" w:cs="Times New Roman"/>
          <w:i/>
          <w:color w:val="000000"/>
        </w:rPr>
        <w:t xml:space="preserve">significantly </w:t>
      </w:r>
      <w:r w:rsidR="00D04C52" w:rsidRPr="00A0218A">
        <w:rPr>
          <w:rFonts w:eastAsia="Times New Roman" w:cs="Times New Roman"/>
          <w:i/>
          <w:color w:val="000000"/>
        </w:rPr>
        <w:t>more likely</w:t>
      </w:r>
      <w:r>
        <w:rPr>
          <w:rFonts w:eastAsia="Times New Roman" w:cs="Times New Roman"/>
          <w:i/>
          <w:color w:val="000000"/>
        </w:rPr>
        <w:t xml:space="preserve"> to switch to non-menthol</w:t>
      </w:r>
      <w:r w:rsidR="00852084">
        <w:rPr>
          <w:rFonts w:eastAsia="Times New Roman" w:cs="Times New Roman"/>
          <w:i/>
          <w:color w:val="000000"/>
        </w:rPr>
        <w:t xml:space="preserve"> </w:t>
      </w:r>
      <w:r w:rsidR="00D2134A">
        <w:rPr>
          <w:rFonts w:eastAsia="Times New Roman" w:cs="Times New Roman"/>
          <w:i/>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Times New Roman" w:cs="Times New Roman"/>
          <w:i/>
          <w:color w:val="000000"/>
        </w:rPr>
        <w:instrText xml:space="preserve"> ADDIN EN.CITE </w:instrText>
      </w:r>
      <w:r w:rsidR="00D2134A">
        <w:rPr>
          <w:rFonts w:eastAsia="Times New Roman" w:cs="Times New Roman"/>
          <w:i/>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Times New Roman" w:cs="Times New Roman"/>
          <w:i/>
          <w:color w:val="000000"/>
        </w:rPr>
        <w:instrText xml:space="preserve"> ADDIN EN.CITE.DATA </w:instrText>
      </w:r>
      <w:r w:rsidR="00D2134A">
        <w:rPr>
          <w:rFonts w:eastAsia="Times New Roman" w:cs="Times New Roman"/>
          <w:i/>
          <w:color w:val="000000"/>
        </w:rPr>
      </w:r>
      <w:r w:rsidR="00D2134A">
        <w:rPr>
          <w:rFonts w:eastAsia="Times New Roman" w:cs="Times New Roman"/>
          <w:i/>
          <w:color w:val="000000"/>
        </w:rPr>
        <w:fldChar w:fldCharType="end"/>
      </w:r>
      <w:r w:rsidR="00D2134A">
        <w:rPr>
          <w:rFonts w:eastAsia="Times New Roman" w:cs="Times New Roman"/>
          <w:i/>
          <w:color w:val="000000"/>
        </w:rPr>
        <w:fldChar w:fldCharType="separate"/>
      </w:r>
      <w:r w:rsidR="00D2134A">
        <w:rPr>
          <w:rFonts w:eastAsia="Times New Roman" w:cs="Times New Roman"/>
          <w:i/>
          <w:noProof/>
          <w:color w:val="000000"/>
        </w:rPr>
        <w:t>(</w:t>
      </w:r>
      <w:hyperlink w:anchor="_ENREF_79" w:tooltip="Rath, 2015 #3" w:history="1">
        <w:r w:rsidR="00A234A9">
          <w:rPr>
            <w:rFonts w:eastAsia="Times New Roman" w:cs="Times New Roman"/>
            <w:i/>
            <w:noProof/>
            <w:color w:val="000000"/>
          </w:rPr>
          <w:t>79</w:t>
        </w:r>
      </w:hyperlink>
      <w:r w:rsidR="00D2134A">
        <w:rPr>
          <w:rFonts w:eastAsia="Times New Roman" w:cs="Times New Roman"/>
          <w:i/>
          <w:noProof/>
          <w:color w:val="000000"/>
        </w:rPr>
        <w:t>)</w:t>
      </w:r>
      <w:r w:rsidR="00D2134A">
        <w:rPr>
          <w:rFonts w:eastAsia="Times New Roman" w:cs="Times New Roman"/>
          <w:i/>
          <w:color w:val="000000"/>
        </w:rPr>
        <w:fldChar w:fldCharType="end"/>
      </w:r>
      <w:r w:rsidR="00DC15AA">
        <w:rPr>
          <w:rFonts w:eastAsia="Times New Roman" w:cs="Times New Roman"/>
          <w:i/>
          <w:color w:val="000000"/>
        </w:rPr>
        <w:t xml:space="preserve"> </w:t>
      </w:r>
      <w:r w:rsidR="00852084">
        <w:rPr>
          <w:rFonts w:eastAsia="Times New Roman" w:cs="Times New Roman"/>
          <w:i/>
          <w:color w:val="000000"/>
        </w:rPr>
        <w:t xml:space="preserve">another study concluded the inverse with significantly more non-menthol smokers to switch to menthol </w:t>
      </w:r>
      <w:r w:rsidR="00D2134A">
        <w:rPr>
          <w:rFonts w:eastAsia="Times New Roman" w:cs="Times New Roman"/>
          <w:i/>
          <w:color w:val="000000"/>
        </w:rPr>
        <w:fldChar w:fldCharType="begin"/>
      </w:r>
      <w:r w:rsidR="00D2134A">
        <w:rPr>
          <w:rFonts w:eastAsia="Times New Roman" w:cs="Times New Roman"/>
          <w:i/>
          <w:color w:val="000000"/>
        </w:rPr>
        <w:instrText xml:space="preserve"> ADDIN EN.CITE &lt;EndNote&gt;&lt;Cite&gt;&lt;Author&gt;Villanti&lt;/Author&gt;&lt;Year&gt;2012&lt;/Year&gt;&lt;RecNum&gt;37&lt;/RecNum&gt;&lt;DisplayText&gt;(86)&lt;/DisplayText&gt;&lt;record&gt;&lt;rec-number&gt;37&lt;/rec-number&gt;&lt;foreign-keys&gt;&lt;key app="EN" db-id="a2vz2dfp8xrad6exes75zwpiw5rxwa0vwapv" timestamp="0"&gt;37&lt;/key&gt;&lt;/foreign-keys&gt;&lt;ref-type name="Journal Article"&gt;17&lt;/ref-type&gt;&lt;contributors&gt;&lt;authors&gt;&lt;author&gt;Villanti, A. C. &lt;/author&gt;&lt;author&gt;Giovino, G. A.&lt;/author&gt;&lt;author&gt;Barker, D. C.&lt;/author&gt;&lt;author&gt;Mowery, P.&lt;/author&gt;&lt;author&gt;Sevilimedu, V.&lt;/author&gt;&lt;author&gt;Abrams, D. B.&lt;/author&gt;&lt;/authors&gt;&lt;/contributors&gt;&lt;titles&gt;&lt;title&gt;Menthol brand switching among adolescents and young adults in the national youth smoking cessation survey&lt;/title&gt;&lt;secondary-title&gt;Am J Public Health&lt;/secondary-title&gt;&lt;/titles&gt;&lt;periodical&gt;&lt;full-title&gt;Am J Public Health&lt;/full-title&gt;&lt;/periodical&gt;&lt;pages&gt;1310-12&lt;/pages&gt;&lt;volume&gt;102&lt;/volume&gt;&lt;number&gt;7&lt;/number&gt;&lt;dates&gt;&lt;year&gt;2012&lt;/year&gt;&lt;pub-dates&gt;&lt;date&gt;Oct&lt;/date&gt;&lt;/pub-dates&gt;&lt;/dates&gt;&lt;urls&gt;&lt;/urls&gt;&lt;research-notes&gt;#191&lt;/research-notes&gt;&lt;/record&gt;&lt;/Cite&gt;&lt;/EndNote&gt;</w:instrText>
      </w:r>
      <w:r w:rsidR="00D2134A">
        <w:rPr>
          <w:rFonts w:eastAsia="Times New Roman" w:cs="Times New Roman"/>
          <w:i/>
          <w:color w:val="000000"/>
        </w:rPr>
        <w:fldChar w:fldCharType="separate"/>
      </w:r>
      <w:r w:rsidR="00D2134A">
        <w:rPr>
          <w:rFonts w:eastAsia="Times New Roman" w:cs="Times New Roman"/>
          <w:i/>
          <w:noProof/>
          <w:color w:val="000000"/>
        </w:rPr>
        <w:t>(</w:t>
      </w:r>
      <w:hyperlink w:anchor="_ENREF_86" w:tooltip="Villanti, 2012 #37" w:history="1">
        <w:r w:rsidR="00A234A9">
          <w:rPr>
            <w:rFonts w:eastAsia="Times New Roman" w:cs="Times New Roman"/>
            <w:i/>
            <w:noProof/>
            <w:color w:val="000000"/>
          </w:rPr>
          <w:t>86</w:t>
        </w:r>
      </w:hyperlink>
      <w:r w:rsidR="00D2134A">
        <w:rPr>
          <w:rFonts w:eastAsia="Times New Roman" w:cs="Times New Roman"/>
          <w:i/>
          <w:noProof/>
          <w:color w:val="000000"/>
        </w:rPr>
        <w:t>)</w:t>
      </w:r>
      <w:r w:rsidR="00D2134A">
        <w:rPr>
          <w:rFonts w:eastAsia="Times New Roman" w:cs="Times New Roman"/>
          <w:i/>
          <w:color w:val="000000"/>
        </w:rPr>
        <w:fldChar w:fldCharType="end"/>
      </w:r>
      <w:r w:rsidR="00852084">
        <w:rPr>
          <w:rFonts w:eastAsia="Times New Roman" w:cs="Times New Roman"/>
          <w:i/>
          <w:color w:val="000000"/>
        </w:rPr>
        <w:t xml:space="preserve">, and </w:t>
      </w:r>
      <w:r w:rsidR="00DC15AA">
        <w:rPr>
          <w:rFonts w:eastAsia="Times New Roman" w:cs="Times New Roman"/>
          <w:i/>
          <w:color w:val="000000"/>
        </w:rPr>
        <w:t xml:space="preserve">one study finding no difference in switching when comparing menthol and non-menthol smokers </w:t>
      </w:r>
      <w:r w:rsidR="00D2134A">
        <w:rPr>
          <w:rFonts w:eastAsia="Times New Roman" w:cs="Times New Roman"/>
          <w:i/>
          <w:color w:val="000000"/>
        </w:rPr>
        <w:fldChar w:fldCharType="begin"/>
      </w:r>
      <w:r w:rsidR="00D2134A">
        <w:rPr>
          <w:rFonts w:eastAsia="Times New Roman" w:cs="Times New Roman"/>
          <w:i/>
          <w:color w:val="000000"/>
        </w:rPr>
        <w:instrText xml:space="preserve"> ADDIN EN.CITE &lt;EndNote&gt;&lt;Cite&gt;&lt;Author&gt;Pletcher&lt;/Author&gt;&lt;Year&gt;2006&lt;/Year&gt;&lt;RecNum&gt;78&lt;/RecNum&gt;&lt;DisplayText&gt;(78)&lt;/DisplayText&gt;&lt;record&gt;&lt;rec-number&gt;78&lt;/rec-number&gt;&lt;foreign-keys&gt;&lt;key app="EN" db-id="a2vz2dfp8xrad6exes75zwpiw5rxwa0vwapv" timestamp="0"&gt;78&lt;/key&gt;&lt;/foreign-keys&gt;&lt;ref-type name="Journal Article"&gt;17&lt;/ref-type&gt;&lt;contributors&gt;&lt;authors&gt;&lt;author&gt;Pletcher, M. J. &lt;/author&gt;&lt;author&gt;Hulley, B. J.&lt;/author&gt;&lt;author&gt;Houston, T.&lt;/author&gt;&lt;author&gt;Kiefe, C. I.&lt;/author&gt;&lt;author&gt;Benowitz, N. &lt;/author&gt;&lt;author&gt;Sidney, S.&lt;/author&gt;&lt;/authors&gt;&lt;/contributors&gt;&lt;titles&gt;&lt;title&gt;Menthol cigarettes, smoking cessation, atherosclerosis, and pulmonary function&lt;/title&gt;&lt;secondary-title&gt;Arch Intern Med&lt;/secondary-title&gt;&lt;/titles&gt;&lt;pages&gt;1915-1922&lt;/pages&gt;&lt;volume&gt;166&lt;/volume&gt;&lt;section&gt;1915&lt;/section&gt;&lt;dates&gt;&lt;year&gt;2006&lt;/year&gt;&lt;/dates&gt;&lt;urls&gt;&lt;/urls&gt;&lt;research-notes&gt;#385&lt;/research-notes&gt;&lt;/record&gt;&lt;/Cite&gt;&lt;/EndNote&gt;</w:instrText>
      </w:r>
      <w:r w:rsidR="00D2134A">
        <w:rPr>
          <w:rFonts w:eastAsia="Times New Roman" w:cs="Times New Roman"/>
          <w:i/>
          <w:color w:val="000000"/>
        </w:rPr>
        <w:fldChar w:fldCharType="separate"/>
      </w:r>
      <w:r w:rsidR="00D2134A">
        <w:rPr>
          <w:rFonts w:eastAsia="Times New Roman" w:cs="Times New Roman"/>
          <w:i/>
          <w:noProof/>
          <w:color w:val="000000"/>
        </w:rPr>
        <w:t>(</w:t>
      </w:r>
      <w:hyperlink w:anchor="_ENREF_78" w:tooltip="Pletcher, 2006 #78" w:history="1">
        <w:r w:rsidR="00A234A9">
          <w:rPr>
            <w:rFonts w:eastAsia="Times New Roman" w:cs="Times New Roman"/>
            <w:i/>
            <w:noProof/>
            <w:color w:val="000000"/>
          </w:rPr>
          <w:t>78</w:t>
        </w:r>
      </w:hyperlink>
      <w:r w:rsidR="00D2134A">
        <w:rPr>
          <w:rFonts w:eastAsia="Times New Roman" w:cs="Times New Roman"/>
          <w:i/>
          <w:noProof/>
          <w:color w:val="000000"/>
        </w:rPr>
        <w:t>)</w:t>
      </w:r>
      <w:r w:rsidR="00D2134A">
        <w:rPr>
          <w:rFonts w:eastAsia="Times New Roman" w:cs="Times New Roman"/>
          <w:i/>
          <w:color w:val="000000"/>
        </w:rPr>
        <w:fldChar w:fldCharType="end"/>
      </w:r>
      <w:r w:rsidR="00D04C52" w:rsidRPr="00A0218A">
        <w:rPr>
          <w:rFonts w:eastAsia="Times New Roman" w:cs="Times New Roman"/>
          <w:i/>
          <w:color w:val="000000"/>
        </w:rPr>
        <w:t>.</w:t>
      </w:r>
    </w:p>
    <w:p w14:paraId="5F01F2C3" w14:textId="74AAC563" w:rsidR="00D04C52" w:rsidRPr="00A0218A" w:rsidRDefault="00D04C52" w:rsidP="00B46744">
      <w:pPr>
        <w:spacing w:after="120" w:line="240" w:lineRule="auto"/>
        <w:jc w:val="both"/>
        <w:rPr>
          <w:rFonts w:eastAsia="Times New Roman" w:cs="Times New Roman"/>
          <w:color w:val="000000"/>
        </w:rPr>
      </w:pPr>
      <w:r w:rsidRPr="00A0218A">
        <w:rPr>
          <w:rFonts w:eastAsia="Times New Roman" w:cs="Times New Roman"/>
          <w:color w:val="000000"/>
        </w:rPr>
        <w:t>In 2015, Fagan et al.</w:t>
      </w:r>
      <w:r>
        <w:rPr>
          <w:rFonts w:eastAsia="Times New Roman" w:cs="Times New Roman"/>
          <w:color w:val="000000"/>
        </w:rPr>
        <w:t xml:space="preserve"> </w:t>
      </w:r>
      <w:r w:rsidR="00D2134A">
        <w:rPr>
          <w:rFonts w:eastAsia="Times New Roman" w:cs="Times New Roman"/>
          <w:color w:val="000000"/>
        </w:rPr>
        <w:fldChar w:fldCharType="begin">
          <w:fldData xml:space="preserve">PEVuZE5vdGU+PENpdGU+PEF1dGhvcj5GYWdhbjwvQXV0aG9yPjxZZWFyPjIwMTU8L1llYXI+PFJl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</w:fldData>
        </w:fldChar>
      </w:r>
      <w:r w:rsidR="00D2134A">
        <w:rPr>
          <w:rFonts w:eastAsia="Times New Roman" w:cs="Times New Roman"/>
          <w:color w:val="000000"/>
        </w:rPr>
        <w:instrText xml:space="preserve"> ADDIN EN.CITE </w:instrText>
      </w:r>
      <w:r w:rsidR="00D2134A">
        <w:rPr>
          <w:rFonts w:eastAsia="Times New Roman" w:cs="Times New Roman"/>
          <w:color w:val="000000"/>
        </w:rPr>
        <w:fldChar w:fldCharType="begin">
          <w:fldData xml:space="preserve">PEVuZE5vdGU+PENpdGU+PEF1dGhvcj5GYWdhbjwvQXV0aG9yPjxZZWFyPjIwMTU8L1llYXI+PFJl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</w:fldData>
        </w:fldChar>
      </w:r>
      <w:r w:rsidR="00D2134A">
        <w:rPr>
          <w:rFonts w:eastAsia="Times New Roman" w:cs="Times New Roman"/>
          <w:color w:val="000000"/>
        </w:rPr>
        <w:instrText xml:space="preserve"> ADDIN EN.CITE.DATA </w:instrText>
      </w:r>
      <w:r w:rsidR="00D2134A">
        <w:rPr>
          <w:rFonts w:eastAsia="Times New Roman" w:cs="Times New Roman"/>
          <w:color w:val="000000"/>
        </w:rPr>
      </w:r>
      <w:r w:rsidR="00D2134A">
        <w:rPr>
          <w:rFonts w:eastAsia="Times New Roman" w:cs="Times New Roman"/>
          <w:color w:val="000000"/>
        </w:rPr>
        <w:fldChar w:fldCharType="end"/>
      </w:r>
      <w:r w:rsidR="00D2134A">
        <w:rPr>
          <w:rFonts w:eastAsia="Times New Roman" w:cs="Times New Roman"/>
          <w:color w:val="000000"/>
        </w:rPr>
        <w:fldChar w:fldCharType="separate"/>
      </w:r>
      <w:r w:rsidR="00D2134A">
        <w:rPr>
          <w:rFonts w:eastAsia="Times New Roman" w:cs="Times New Roman"/>
          <w:noProof/>
          <w:color w:val="000000"/>
        </w:rPr>
        <w:t>(</w:t>
      </w:r>
      <w:hyperlink w:anchor="_ENREF_55" w:tooltip="Fagan, 2015 #5" w:history="1">
        <w:r w:rsidR="00A234A9">
          <w:rPr>
            <w:rFonts w:eastAsia="Times New Roman" w:cs="Times New Roman"/>
            <w:noProof/>
            <w:color w:val="000000"/>
          </w:rPr>
          <w:t>55</w:t>
        </w:r>
      </w:hyperlink>
      <w:r w:rsidR="00D2134A">
        <w:rPr>
          <w:rFonts w:eastAsia="Times New Roman" w:cs="Times New Roman"/>
          <w:noProof/>
          <w:color w:val="000000"/>
        </w:rPr>
        <w:t>)</w:t>
      </w:r>
      <w:r w:rsidR="00D2134A">
        <w:rPr>
          <w:rFonts w:eastAsia="Times New Roman" w:cs="Times New Roman"/>
          <w:color w:val="000000"/>
        </w:rPr>
        <w:fldChar w:fldCharType="end"/>
      </w:r>
      <w:r w:rsidRPr="00A0218A">
        <w:rPr>
          <w:rFonts w:eastAsia="Times New Roman" w:cs="Times New Roman"/>
          <w:color w:val="000000"/>
        </w:rPr>
        <w:t xml:space="preserve"> reported results from a cross-sectional study that enrolled 186 Native Hawaiians, Filipinos and </w:t>
      </w:r>
      <w:r w:rsidR="00E1156E">
        <w:rPr>
          <w:rFonts w:eastAsia="Times New Roman" w:cs="Times New Roman"/>
          <w:color w:val="000000"/>
        </w:rPr>
        <w:t>White</w:t>
      </w:r>
      <w:r w:rsidRPr="00A0218A">
        <w:rPr>
          <w:rFonts w:eastAsia="Times New Roman" w:cs="Times New Roman"/>
          <w:color w:val="000000"/>
        </w:rPr>
        <w:t xml:space="preserve"> young adults ages 18 to 35. Among daily smokers, menthol users started smoking slightly younger than non-menthol smokers (16.8±3.3 </w:t>
      </w:r>
      <w:r>
        <w:rPr>
          <w:rFonts w:eastAsia="Times New Roman" w:cs="Times New Roman"/>
          <w:color w:val="000000"/>
        </w:rPr>
        <w:t>versus</w:t>
      </w:r>
      <w:r w:rsidRPr="00A0218A">
        <w:rPr>
          <w:rFonts w:eastAsia="Times New Roman" w:cs="Times New Roman"/>
          <w:color w:val="000000"/>
        </w:rPr>
        <w:t xml:space="preserve"> 17.2±3.6 years, respectively; p=0.43).</w:t>
      </w:r>
      <w:r w:rsidR="00852084">
        <w:rPr>
          <w:rFonts w:eastAsia="Times New Roman" w:cs="Times New Roman"/>
          <w:color w:val="000000"/>
        </w:rPr>
        <w:t xml:space="preserve"> This finding was not statistically significant.</w:t>
      </w:r>
    </w:p>
    <w:p w14:paraId="68CAFCFA" w14:textId="1EFE4320" w:rsidR="00A20AE4" w:rsidRDefault="00C56F21" w:rsidP="00B46744">
      <w:pPr>
        <w:spacing w:after="120" w:line="240" w:lineRule="auto"/>
        <w:jc w:val="both"/>
        <w:rPr>
          <w:rFonts w:eastAsia="Times New Roman" w:cs="Times New Roman"/>
          <w:color w:val="000000"/>
        </w:rPr>
      </w:pPr>
      <w:r>
        <w:rPr>
          <w:rFonts w:eastAsia="Times New Roman" w:cs="Times New Roman"/>
          <w:color w:val="000000"/>
        </w:rPr>
        <w:t>Rath et a</w:t>
      </w:r>
      <w:r w:rsidR="00D2134A">
        <w:rPr>
          <w:rFonts w:eastAsia="Times New Roman" w:cs="Times New Roman"/>
          <w:color w:val="000000"/>
        </w:rPr>
        <w:fldChar w:fldCharType="begin">
          <w:fldData xml:space="preserve">PEVuZE5vdGU+PENpdGUgRXhjbHVkZUF1dGg9IjEiIEV4Y2x1ZGVZZWFyPSIxIj48QXV0aG9yPlJh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</w:fldData>
        </w:fldChar>
      </w:r>
      <w:r w:rsidR="00D2134A">
        <w:rPr>
          <w:rFonts w:eastAsia="Times New Roman" w:cs="Times New Roman"/>
          <w:color w:val="000000"/>
        </w:rPr>
        <w:instrText xml:space="preserve"> ADDIN EN.CITE </w:instrText>
      </w:r>
      <w:r w:rsidR="00D2134A">
        <w:rPr>
          <w:rFonts w:eastAsia="Times New Roman" w:cs="Times New Roman"/>
          <w:color w:val="000000"/>
        </w:rPr>
        <w:fldChar w:fldCharType="begin">
          <w:fldData xml:space="preserve">PEVuZE5vdGU+PENpdGUgRXhjbHVkZUF1dGg9IjEiIEV4Y2x1ZGVZZWFyPSIxIj48QXV0aG9yPlJh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</w:fldData>
        </w:fldChar>
      </w:r>
      <w:r w:rsidR="00D2134A">
        <w:rPr>
          <w:rFonts w:eastAsia="Times New Roman" w:cs="Times New Roman"/>
          <w:color w:val="000000"/>
        </w:rPr>
        <w:instrText xml:space="preserve"> ADDIN EN.CITE.DATA </w:instrText>
      </w:r>
      <w:r w:rsidR="00D2134A">
        <w:rPr>
          <w:rFonts w:eastAsia="Times New Roman" w:cs="Times New Roman"/>
          <w:color w:val="000000"/>
        </w:rPr>
      </w:r>
      <w:r w:rsidR="00D2134A">
        <w:rPr>
          <w:rFonts w:eastAsia="Times New Roman" w:cs="Times New Roman"/>
          <w:color w:val="000000"/>
        </w:rPr>
        <w:fldChar w:fldCharType="end"/>
      </w:r>
      <w:r w:rsidR="00D2134A">
        <w:rPr>
          <w:rFonts w:eastAsia="Times New Roman" w:cs="Times New Roman"/>
          <w:color w:val="000000"/>
        </w:rPr>
        <w:fldChar w:fldCharType="separate"/>
      </w:r>
      <w:r w:rsidR="00D2134A">
        <w:rPr>
          <w:rFonts w:eastAsia="Times New Roman" w:cs="Times New Roman"/>
          <w:noProof/>
          <w:color w:val="000000"/>
        </w:rPr>
        <w:t>(</w:t>
      </w:r>
      <w:hyperlink w:anchor="_ENREF_79" w:tooltip="Rath, 2015 #3" w:history="1">
        <w:r w:rsidR="00A234A9">
          <w:rPr>
            <w:rFonts w:eastAsia="Times New Roman" w:cs="Times New Roman"/>
            <w:noProof/>
            <w:color w:val="000000"/>
          </w:rPr>
          <w:t>79</w:t>
        </w:r>
      </w:hyperlink>
      <w:r w:rsidR="00D2134A">
        <w:rPr>
          <w:rFonts w:eastAsia="Times New Roman" w:cs="Times New Roman"/>
          <w:noProof/>
          <w:color w:val="000000"/>
        </w:rPr>
        <w:t>)</w:t>
      </w:r>
      <w:r w:rsidR="00D2134A">
        <w:rPr>
          <w:rFonts w:eastAsia="Times New Roman" w:cs="Times New Roman"/>
          <w:color w:val="000000"/>
        </w:rPr>
        <w:fldChar w:fldCharType="end"/>
      </w:r>
      <w:r w:rsidR="00CB6568">
        <w:rPr>
          <w:rFonts w:eastAsia="Times New Roman" w:cs="Times New Roman"/>
          <w:color w:val="000000"/>
        </w:rPr>
        <w:t>(</w:t>
      </w:r>
      <w:hyperlink w:anchor="_ENREF_79" w:tooltip="Rath, 2015 #3" w:history="1">
        <w:r w:rsidR="00CB6568">
          <w:rPr>
            <w:rFonts w:eastAsia="Times New Roman" w:cs="Times New Roman"/>
            <w:color w:val="000000"/>
          </w:rPr>
          <w:t>79</w:t>
        </w:r>
      </w:hyperlink>
      <w:r w:rsidR="00CB6568">
        <w:rPr>
          <w:rFonts w:eastAsia="Times New Roman" w:cs="Times New Roman"/>
          <w:color w:val="000000"/>
        </w:rPr>
        <w:t>)</w:t>
      </w:r>
      <w:r w:rsidR="00557FCD">
        <w:rPr>
          <w:rFonts w:eastAsia="Times New Roman" w:cs="Times New Roman"/>
          <w:color w:val="000000"/>
        </w:rPr>
        <w:t>(</w:t>
      </w:r>
      <w:hyperlink w:anchor="_ENREF_79" w:tooltip="Rath, 2015 #3" w:history="1">
        <w:r w:rsidR="00557FCD">
          <w:rPr>
            <w:rFonts w:eastAsia="Times New Roman" w:cs="Times New Roman"/>
            <w:color w:val="000000"/>
          </w:rPr>
          <w:t>79</w:t>
        </w:r>
      </w:hyperlink>
      <w:r w:rsidR="00557FCD">
        <w:rPr>
          <w:rFonts w:eastAsia="Times New Roman" w:cs="Times New Roman"/>
          <w:color w:val="000000"/>
        </w:rPr>
        <w:t>)(</w:t>
      </w:r>
      <w:hyperlink w:anchor="_ENREF_79" w:tooltip="Rath, 2015 #3" w:history="1">
        <w:r w:rsidR="00557FCD">
          <w:rPr>
            <w:rFonts w:eastAsia="Times New Roman" w:cs="Times New Roman"/>
            <w:color w:val="000000"/>
          </w:rPr>
          <w:t>79</w:t>
        </w:r>
      </w:hyperlink>
      <w:r w:rsidR="00557FCD">
        <w:rPr>
          <w:rFonts w:eastAsia="Times New Roman" w:cs="Times New Roman"/>
          <w:color w:val="000000"/>
        </w:rPr>
        <w:t>)(</w:t>
      </w:r>
      <w:hyperlink w:anchor="_ENREF_79" w:tooltip="Rath, 2015 #3" w:history="1">
        <w:r w:rsidR="00557FCD">
          <w:rPr>
            <w:rFonts w:eastAsia="Times New Roman" w:cs="Times New Roman"/>
            <w:color w:val="000000"/>
          </w:rPr>
          <w:t>79</w:t>
        </w:r>
      </w:hyperlink>
      <w:r w:rsidR="00557FCD">
        <w:rPr>
          <w:rFonts w:eastAsia="Times New Roman" w:cs="Times New Roman"/>
          <w:color w:val="000000"/>
        </w:rPr>
        <w:t>)(</w:t>
      </w:r>
      <w:hyperlink w:anchor="_ENREF_79" w:tooltip="Rath, 2015 #3" w:history="1">
        <w:r w:rsidR="00557FCD">
          <w:rPr>
            <w:rFonts w:eastAsia="Times New Roman" w:cs="Times New Roman"/>
            <w:color w:val="000000"/>
          </w:rPr>
          <w:t>79</w:t>
        </w:r>
      </w:hyperlink>
      <w:r w:rsidR="00557FCD">
        <w:rPr>
          <w:rFonts w:eastAsia="Times New Roman" w:cs="Times New Roman"/>
          <w:color w:val="000000"/>
        </w:rPr>
        <w:t>)</w:t>
      </w:r>
      <w:r>
        <w:rPr>
          <w:rFonts w:eastAsia="Times New Roman" w:cs="Times New Roman"/>
          <w:color w:val="000000"/>
        </w:rPr>
        <w:t xml:space="preserve">l. </w:t>
      </w:r>
      <w:r w:rsidR="00D2134A">
        <w:rPr>
          <w:rFonts w:eastAsia="Times New Roman" w:cs="Times New Roman"/>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Times New Roman" w:cs="Times New Roman"/>
          <w:color w:val="000000"/>
        </w:rPr>
        <w:instrText xml:space="preserve"> ADDIN EN.CITE </w:instrText>
      </w:r>
      <w:r w:rsidR="00D2134A">
        <w:rPr>
          <w:rFonts w:eastAsia="Times New Roman" w:cs="Times New Roman"/>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Times New Roman" w:cs="Times New Roman"/>
          <w:color w:val="000000"/>
        </w:rPr>
        <w:instrText xml:space="preserve"> ADDIN EN.CITE.DATA </w:instrText>
      </w:r>
      <w:r w:rsidR="00D2134A">
        <w:rPr>
          <w:rFonts w:eastAsia="Times New Roman" w:cs="Times New Roman"/>
          <w:color w:val="000000"/>
        </w:rPr>
      </w:r>
      <w:r w:rsidR="00D2134A">
        <w:rPr>
          <w:rFonts w:eastAsia="Times New Roman" w:cs="Times New Roman"/>
          <w:color w:val="000000"/>
        </w:rPr>
        <w:fldChar w:fldCharType="end"/>
      </w:r>
      <w:r w:rsidR="00D2134A">
        <w:rPr>
          <w:rFonts w:eastAsia="Times New Roman" w:cs="Times New Roman"/>
          <w:color w:val="000000"/>
        </w:rPr>
        <w:fldChar w:fldCharType="separate"/>
      </w:r>
      <w:r w:rsidR="00D2134A">
        <w:rPr>
          <w:rFonts w:eastAsia="Times New Roman" w:cs="Times New Roman"/>
          <w:noProof/>
          <w:color w:val="000000"/>
        </w:rPr>
        <w:t>(</w:t>
      </w:r>
      <w:hyperlink w:anchor="_ENREF_79" w:tooltip="Rath, 2015 #3" w:history="1">
        <w:r w:rsidR="00A234A9">
          <w:rPr>
            <w:rFonts w:eastAsia="Times New Roman" w:cs="Times New Roman"/>
            <w:noProof/>
            <w:color w:val="000000"/>
          </w:rPr>
          <w:t>79</w:t>
        </w:r>
      </w:hyperlink>
      <w:r w:rsidR="00D2134A">
        <w:rPr>
          <w:rFonts w:eastAsia="Times New Roman" w:cs="Times New Roman"/>
          <w:noProof/>
          <w:color w:val="000000"/>
        </w:rPr>
        <w:t>)</w:t>
      </w:r>
      <w:r w:rsidR="00D2134A">
        <w:rPr>
          <w:rFonts w:eastAsia="Times New Roman" w:cs="Times New Roman"/>
          <w:color w:val="000000"/>
        </w:rPr>
        <w:fldChar w:fldCharType="end"/>
      </w:r>
      <w:r>
        <w:rPr>
          <w:rFonts w:eastAsia="Times New Roman" w:cs="Times New Roman"/>
          <w:color w:val="000000"/>
        </w:rPr>
        <w:t xml:space="preserve"> e</w:t>
      </w:r>
      <w:r w:rsidR="00D04C52" w:rsidRPr="00A0218A">
        <w:rPr>
          <w:rFonts w:eastAsia="Times New Roman" w:cs="Times New Roman"/>
          <w:color w:val="000000"/>
        </w:rPr>
        <w:t>xamined smoking patterns in the LYAC, a longitudinal sample of the young adult population in the United States (ages 18-34). This study’s measure represents true “initiation with” menthol because participants were asked to “</w:t>
      </w:r>
      <w:r w:rsidR="00D04C52" w:rsidRPr="00A0218A">
        <w:rPr>
          <w:rFonts w:eastAsia="Times New Roman" w:cs="Times New Roman"/>
          <w:i/>
          <w:color w:val="000000"/>
        </w:rPr>
        <w:t>identify the brand they used at initiation and whether that brand was menthol or non-menthol</w:t>
      </w:r>
      <w:r w:rsidR="00D04C52" w:rsidRPr="00A0218A">
        <w:rPr>
          <w:rFonts w:eastAsia="Times New Roman" w:cs="Times New Roman"/>
          <w:color w:val="000000"/>
        </w:rPr>
        <w:t>,” regardless of the type they smoked at the time of the study. In the subsample of 212 smokers at all three time points (i.e., baseline, 6 months, and 12 months), the authors reported that 35 percent initiated smoking with menthol and 65 percent with non-menthol. In the slightly larger sample that included people who started smoking after baseline (total N=267), 34 percent and 66 percent initiated with menthol and non-menthol, respectively</w:t>
      </w:r>
      <w:r w:rsidR="00A20AE4">
        <w:rPr>
          <w:rFonts w:eastAsia="Times New Roman" w:cs="Times New Roman"/>
          <w:color w:val="000000"/>
        </w:rPr>
        <w:t>.</w:t>
      </w:r>
    </w:p>
    <w:p w14:paraId="4E57F05D" w14:textId="029DB262" w:rsidR="00A20AE4" w:rsidRDefault="00C56F21" w:rsidP="00B46744">
      <w:pPr>
        <w:spacing w:after="120" w:line="240" w:lineRule="auto"/>
        <w:jc w:val="both"/>
        <w:rPr>
          <w:rFonts w:eastAsia="Calibri" w:cs="Times New Roman"/>
          <w:color w:val="000000"/>
        </w:rPr>
      </w:pPr>
      <w:r>
        <w:rPr>
          <w:rFonts w:eastAsia="Calibri" w:cs="Times New Roman"/>
          <w:color w:val="000000"/>
        </w:rPr>
        <w:t xml:space="preserve">Rath et al. </w:t>
      </w:r>
      <w:r w:rsidR="00D2134A">
        <w:rPr>
          <w:rFonts w:eastAsia="Calibri" w:cs="Times New Roman"/>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79" w:tooltip="Rath, 2015 #3" w:history="1">
        <w:r w:rsidR="00A234A9">
          <w:rPr>
            <w:rFonts w:eastAsia="Calibri" w:cs="Times New Roman"/>
            <w:noProof/>
            <w:color w:val="000000"/>
          </w:rPr>
          <w:t>79</w:t>
        </w:r>
      </w:hyperlink>
      <w:r w:rsidR="00D2134A">
        <w:rPr>
          <w:rFonts w:eastAsia="Calibri" w:cs="Times New Roman"/>
          <w:noProof/>
          <w:color w:val="000000"/>
        </w:rPr>
        <w:t>)</w:t>
      </w:r>
      <w:r w:rsidR="00D2134A">
        <w:rPr>
          <w:rFonts w:eastAsia="Calibri" w:cs="Times New Roman"/>
          <w:color w:val="000000"/>
        </w:rPr>
        <w:fldChar w:fldCharType="end"/>
      </w:r>
      <w:r>
        <w:rPr>
          <w:rFonts w:eastAsia="Calibri" w:cs="Times New Roman"/>
          <w:color w:val="000000"/>
        </w:rPr>
        <w:t xml:space="preserve"> al</w:t>
      </w:r>
      <w:r w:rsidR="00D04C52" w:rsidRPr="00A0218A">
        <w:rPr>
          <w:rFonts w:eastAsia="Calibri" w:cs="Times New Roman"/>
          <w:color w:val="000000"/>
        </w:rPr>
        <w:t xml:space="preserve">so examined switching behaviors reported in the LYAC. When assessed by time point within the study, authors found that the greatest degree of switching occurred between smoking initiation and the LYAC baseline measurement. Among young adults who began smoking before the study, </w:t>
      </w:r>
      <w:r w:rsidR="00F8524F" w:rsidRPr="00A0218A">
        <w:rPr>
          <w:rFonts w:eastAsia="Calibri" w:cs="Times New Roman"/>
          <w:color w:val="000000"/>
        </w:rPr>
        <w:t>10.8</w:t>
      </w:r>
      <w:r w:rsidR="00D04C52" w:rsidRPr="00A0218A">
        <w:rPr>
          <w:rFonts w:eastAsia="Calibri" w:cs="Times New Roman"/>
          <w:color w:val="000000"/>
        </w:rPr>
        <w:t xml:space="preserve"> percent who initiated with menthol had switched to non-menthol by study entry. Among non-menthol initiators, 20.3 percent had switched to menthol cigarettes. That specific difference was significant (p=0.03). In the overall sample of 267 young adults (including those who initiated at or after baseline), 7.1 percent switched from menthol to non-menthol and 16.9 percent switched from non-menthol to menthol cigarettes</w:t>
      </w:r>
      <w:r w:rsidR="00A20AE4">
        <w:rPr>
          <w:rFonts w:eastAsia="Calibri" w:cs="Times New Roman"/>
          <w:color w:val="000000"/>
        </w:rPr>
        <w:t>.</w:t>
      </w:r>
    </w:p>
    <w:p w14:paraId="1EAD0F0E" w14:textId="7B5FF86C" w:rsidR="00D04C52" w:rsidRPr="00A0218A" w:rsidRDefault="00D04C52" w:rsidP="00B46744">
      <w:pPr>
        <w:spacing w:after="120" w:line="240" w:lineRule="auto"/>
        <w:jc w:val="both"/>
        <w:rPr>
          <w:rFonts w:eastAsia="Calibri" w:cs="Times New Roman"/>
          <w:i/>
          <w:color w:val="000000"/>
        </w:rPr>
      </w:pPr>
      <w:r>
        <w:rPr>
          <w:rFonts w:eastAsia="Calibri" w:cs="Times New Roman"/>
          <w:color w:val="000000"/>
        </w:rPr>
        <w:t xml:space="preserve">Villanti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&lt;EndNote&gt;&lt;Cite&gt;&lt;Author&gt;Villanti&lt;/Author&gt;&lt;Year&gt;2012&lt;/Year&gt;&lt;RecNum&gt;37&lt;/RecNum&gt;&lt;DisplayText&gt;(86)&lt;/DisplayText&gt;&lt;record&gt;&lt;rec-number&gt;37&lt;/rec-number&gt;&lt;foreign-keys&gt;&lt;key app="EN" db-id="a2vz2dfp8xrad6exes75zwpiw5rxwa0vwapv" timestamp="0"&gt;37&lt;/key&gt;&lt;/foreign-keys&gt;&lt;ref-type name="Journal Article"&gt;17&lt;/ref-type&gt;&lt;contributors&gt;&lt;authors&gt;&lt;author&gt;Villanti, A. C. &lt;/author&gt;&lt;author&gt;Giovino, G. A.&lt;/author&gt;&lt;author&gt;Barker, D. C.&lt;/author&gt;&lt;author&gt;Mowery, P.&lt;/author&gt;&lt;author&gt;Sevilimedu, V.&lt;/author&gt;&lt;author&gt;Abrams, D. B.&lt;/author&gt;&lt;/authors&gt;&lt;/contributors&gt;&lt;titles&gt;&lt;title&gt;Menthol brand switching among adolescents and young adults in the national youth smoking cessation survey&lt;/title&gt;&lt;secondary-title&gt;Am J Public Health&lt;/secondary-title&gt;&lt;/titles&gt;&lt;periodical&gt;&lt;full-title&gt;Am J Public Health&lt;/full-title&gt;&lt;/periodical&gt;&lt;pages&gt;1310-12&lt;/pages&gt;&lt;volume&gt;102&lt;/volume&gt;&lt;number&gt;7&lt;/number&gt;&lt;dates&gt;&lt;year&gt;2012&lt;/year&gt;&lt;pub-dates&gt;&lt;date&gt;Oct&lt;/date&gt;&lt;/pub-dates&gt;&lt;/dates&gt;&lt;urls&gt;&lt;/urls&gt;&lt;research-notes&gt;#191&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86" w:tooltip="Villanti, 2012 #37" w:history="1">
        <w:r w:rsidR="00A234A9">
          <w:rPr>
            <w:rFonts w:eastAsia="Calibri" w:cs="Times New Roman"/>
            <w:noProof/>
            <w:color w:val="000000"/>
          </w:rPr>
          <w:t>86</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used weighted data from the National Youth Smoking Cessation Survey, a prospective </w:t>
      </w:r>
      <w:r w:rsidR="006441A1">
        <w:rPr>
          <w:rFonts w:eastAsia="Calibri" w:cs="Times New Roman"/>
          <w:color w:val="000000"/>
        </w:rPr>
        <w:t>cohort study of 16 to 24-</w:t>
      </w:r>
      <w:r w:rsidRPr="00A0218A">
        <w:rPr>
          <w:rFonts w:eastAsia="Calibri" w:cs="Times New Roman"/>
          <w:color w:val="000000"/>
        </w:rPr>
        <w:t>year</w:t>
      </w:r>
      <w:r w:rsidR="006441A1">
        <w:rPr>
          <w:rFonts w:eastAsia="Calibri" w:cs="Times New Roman"/>
          <w:color w:val="000000"/>
        </w:rPr>
        <w:t>-</w:t>
      </w:r>
      <w:r w:rsidRPr="00A0218A">
        <w:rPr>
          <w:rFonts w:eastAsia="Calibri" w:cs="Times New Roman"/>
          <w:color w:val="000000"/>
        </w:rPr>
        <w:t>olds, to examine rates of switching between menthol and n</w:t>
      </w:r>
      <w:r>
        <w:rPr>
          <w:rFonts w:eastAsia="Calibri" w:cs="Times New Roman"/>
          <w:color w:val="000000"/>
        </w:rPr>
        <w:t xml:space="preserve">on-menthol cigarettes. </w:t>
      </w:r>
      <w:r w:rsidRPr="00A0218A">
        <w:rPr>
          <w:rFonts w:eastAsia="Calibri" w:cs="Times New Roman"/>
          <w:color w:val="000000"/>
        </w:rPr>
        <w:t xml:space="preserve">24 months </w:t>
      </w:r>
      <w:r>
        <w:rPr>
          <w:rFonts w:eastAsia="Calibri" w:cs="Times New Roman"/>
          <w:color w:val="000000"/>
        </w:rPr>
        <w:t>after baseline</w:t>
      </w:r>
      <w:r w:rsidRPr="00A0218A">
        <w:rPr>
          <w:rFonts w:eastAsia="Calibri" w:cs="Times New Roman"/>
          <w:color w:val="000000"/>
        </w:rPr>
        <w:t>, the authors found that significantly more baseline menthol smokers had switched to non-menthol (15.0%, 95% CI: 10.8% to 19.2%) compared with baseline non-menthol smokers who switched to menthol (6.9%, 95% CI: 4.9% to 8.9%).</w:t>
      </w:r>
    </w:p>
    <w:p w14:paraId="70275BCF" w14:textId="30618249" w:rsidR="00D04C52" w:rsidRPr="00A0218A" w:rsidRDefault="00D04C52" w:rsidP="00B46744">
      <w:pPr>
        <w:spacing w:after="240" w:line="240" w:lineRule="auto"/>
        <w:jc w:val="both"/>
        <w:rPr>
          <w:rFonts w:eastAsia="Calibri" w:cs="Times New Roman"/>
          <w:b/>
          <w:i/>
          <w:color w:val="000000"/>
        </w:rPr>
      </w:pPr>
      <w:r w:rsidRPr="00A0218A">
        <w:rPr>
          <w:rFonts w:eastAsia="Calibri" w:cs="Times New Roman"/>
          <w:color w:val="000000"/>
        </w:rPr>
        <w:t>Pletcher et al</w:t>
      </w:r>
      <w:r w:rsidR="00C56F21">
        <w:rPr>
          <w:rFonts w:eastAsia="Calibri" w:cs="Times New Roman"/>
          <w:color w:val="000000"/>
        </w:rPr>
        <w:t xml:space="preserve">.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&lt;EndNote&gt;&lt;Cite&gt;&lt;Author&gt;Pletcher&lt;/Author&gt;&lt;Year&gt;2006&lt;/Year&gt;&lt;RecNum&gt;78&lt;/RecNum&gt;&lt;DisplayText&gt;(78)&lt;/DisplayText&gt;&lt;record&gt;&lt;rec-number&gt;78&lt;/rec-number&gt;&lt;foreign-keys&gt;&lt;key app="EN" db-id="a2vz2dfp8xrad6exes75zwpiw5rxwa0vwapv" timestamp="0"&gt;78&lt;/key&gt;&lt;/foreign-keys&gt;&lt;ref-type name="Journal Article"&gt;17&lt;/ref-type&gt;&lt;contributors&gt;&lt;authors&gt;&lt;author&gt;Pletcher, M. J. &lt;/author&gt;&lt;author&gt;Hulley, B. J.&lt;/author&gt;&lt;author&gt;Houston, T.&lt;/author&gt;&lt;author&gt;Kiefe, C. I.&lt;/author&gt;&lt;author&gt;Benowitz, N. &lt;/author&gt;&lt;author&gt;Sidney, S.&lt;/author&gt;&lt;/authors&gt;&lt;/contributors&gt;&lt;titles&gt;&lt;title&gt;Menthol cigarettes, smoking cessation, atherosclerosis, and pulmonary function&lt;/title&gt;&lt;secondary-title&gt;Arch Intern Med&lt;/secondary-title&gt;&lt;/titles&gt;&lt;pages&gt;1915-1922&lt;/pages&gt;&lt;volume&gt;166&lt;/volume&gt;&lt;section&gt;1915&lt;/section&gt;&lt;dates&gt;&lt;year&gt;2006&lt;/year&gt;&lt;/dates&gt;&lt;urls&gt;&lt;/urls&gt;&lt;research-notes&gt;#385&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8" w:tooltip="Pletcher, 2006 #78" w:history="1">
        <w:r w:rsidR="00A234A9">
          <w:rPr>
            <w:rFonts w:eastAsia="Calibri" w:cs="Times New Roman"/>
            <w:noProof/>
            <w:color w:val="000000"/>
          </w:rPr>
          <w:t>78</w:t>
        </w:r>
      </w:hyperlink>
      <w:r w:rsidR="00D2134A">
        <w:rPr>
          <w:rFonts w:eastAsia="Calibri" w:cs="Times New Roman"/>
          <w:noProof/>
          <w:color w:val="000000"/>
        </w:rPr>
        <w:t>)</w:t>
      </w:r>
      <w:r w:rsidR="00D2134A">
        <w:rPr>
          <w:rFonts w:eastAsia="Calibri" w:cs="Times New Roman"/>
          <w:color w:val="000000"/>
        </w:rPr>
        <w:fldChar w:fldCharType="end"/>
      </w:r>
      <w:r w:rsidR="00C56F21">
        <w:rPr>
          <w:rFonts w:eastAsia="Calibri" w:cs="Times New Roman"/>
          <w:color w:val="000000"/>
        </w:rPr>
        <w:t xml:space="preserve"> re</w:t>
      </w:r>
      <w:r w:rsidRPr="00A0218A">
        <w:rPr>
          <w:rFonts w:eastAsia="Calibri" w:cs="Times New Roman"/>
          <w:color w:val="000000"/>
        </w:rPr>
        <w:t xml:space="preserve">ported smoking behaviors among 1,535 </w:t>
      </w:r>
      <w:r w:rsidR="00E1156E">
        <w:rPr>
          <w:rFonts w:eastAsia="Calibri" w:cs="Times New Roman"/>
          <w:color w:val="000000"/>
        </w:rPr>
        <w:t>White</w:t>
      </w:r>
      <w:r w:rsidRPr="00A0218A">
        <w:rPr>
          <w:rFonts w:eastAsia="Calibri" w:cs="Times New Roman"/>
          <w:color w:val="000000"/>
        </w:rPr>
        <w:t xml:space="preserve"> and </w:t>
      </w:r>
      <w:r w:rsidR="00E1156E">
        <w:rPr>
          <w:rFonts w:eastAsia="Calibri" w:cs="Times New Roman"/>
          <w:color w:val="000000"/>
        </w:rPr>
        <w:t>Black</w:t>
      </w:r>
      <w:r w:rsidRPr="00A0218A">
        <w:rPr>
          <w:rFonts w:eastAsia="Calibri" w:cs="Times New Roman"/>
          <w:color w:val="000000"/>
        </w:rPr>
        <w:t xml:space="preserve"> young adults age 18 to 30 at baseline who participated in the CARDIA study. The authors found virtually no difference in switching: 12 percent of menthol smokers switched to non-menthol cigarettes during follow up, compared with 11 percent of non-menthol smokers who switched to menthol cigarettes (p=0.83).</w:t>
      </w:r>
    </w:p>
    <w:p w14:paraId="30F9F83B" w14:textId="77777777" w:rsidR="00D04C52" w:rsidRPr="00A0218A" w:rsidRDefault="00D04C52" w:rsidP="008E041E">
      <w:pPr>
        <w:spacing w:after="120" w:line="240" w:lineRule="auto"/>
        <w:jc w:val="both"/>
        <w:outlineLvl w:val="1"/>
        <w:rPr>
          <w:rFonts w:eastAsia="Calibri" w:cs="Times New Roman"/>
          <w:i/>
          <w:color w:val="000000"/>
          <w:u w:val="single"/>
        </w:rPr>
      </w:pPr>
      <w:r w:rsidRPr="00A0218A">
        <w:rPr>
          <w:rFonts w:eastAsia="Calibri" w:cs="Times New Roman"/>
          <w:i/>
          <w:color w:val="000000"/>
          <w:u w:val="single"/>
        </w:rPr>
        <w:t xml:space="preserve">Unadjusted Results: Initiation and Progression by </w:t>
      </w:r>
      <w:r w:rsidR="00F9598B">
        <w:rPr>
          <w:rFonts w:eastAsia="Calibri" w:cs="Times New Roman"/>
          <w:i/>
          <w:color w:val="000000"/>
          <w:u w:val="single"/>
        </w:rPr>
        <w:t>Gender</w:t>
      </w:r>
    </w:p>
    <w:p w14:paraId="00B4B5CC" w14:textId="77777777" w:rsidR="00D04C52" w:rsidRPr="00A0218A" w:rsidRDefault="00D04C52" w:rsidP="008E041E">
      <w:pPr>
        <w:spacing w:after="120" w:line="240" w:lineRule="auto"/>
        <w:jc w:val="both"/>
        <w:outlineLvl w:val="2"/>
        <w:rPr>
          <w:rFonts w:eastAsia="Calibri" w:cs="Times New Roman"/>
          <w:b/>
          <w:i/>
          <w:color w:val="000000"/>
        </w:rPr>
      </w:pPr>
      <w:r w:rsidRPr="00A0218A">
        <w:rPr>
          <w:rFonts w:eastAsia="Calibri" w:cs="Times New Roman"/>
          <w:b/>
          <w:i/>
          <w:color w:val="000000"/>
        </w:rPr>
        <w:t>Women</w:t>
      </w:r>
    </w:p>
    <w:p w14:paraId="2FAEF5BA" w14:textId="387193CF" w:rsidR="008E041E" w:rsidRDefault="00D04C52" w:rsidP="008E041E">
      <w:pPr>
        <w:spacing w:after="120" w:line="240" w:lineRule="auto"/>
        <w:jc w:val="both"/>
        <w:rPr>
          <w:rFonts w:eastAsia="Calibri" w:cs="Times New Roman"/>
          <w:i/>
          <w:color w:val="000000"/>
        </w:rPr>
      </w:pPr>
      <w:r w:rsidRPr="00A0218A">
        <w:rPr>
          <w:rFonts w:eastAsia="Calibri" w:cs="Times New Roman"/>
          <w:i/>
          <w:color w:val="000000"/>
        </w:rPr>
        <w:t xml:space="preserve">Of the </w:t>
      </w:r>
      <w:r w:rsidR="003C3DCC">
        <w:rPr>
          <w:rFonts w:eastAsia="Calibri" w:cs="Times New Roman"/>
          <w:i/>
          <w:color w:val="000000"/>
        </w:rPr>
        <w:t>four</w:t>
      </w:r>
      <w:r w:rsidR="00F8523A">
        <w:rPr>
          <w:rFonts w:eastAsia="Calibri" w:cs="Times New Roman"/>
          <w:i/>
          <w:color w:val="000000"/>
        </w:rPr>
        <w:t xml:space="preserve"> </w:t>
      </w:r>
      <w:r w:rsidRPr="00A0218A">
        <w:rPr>
          <w:rFonts w:eastAsia="Calibri" w:cs="Times New Roman"/>
          <w:i/>
          <w:color w:val="000000"/>
        </w:rPr>
        <w:t>analyses of switching data</w:t>
      </w:r>
      <w:r w:rsidR="00852084">
        <w:rPr>
          <w:rFonts w:eastAsia="Calibri" w:cs="Times New Roman"/>
          <w:i/>
          <w:color w:val="000000"/>
        </w:rPr>
        <w:t xml:space="preserve"> </w:t>
      </w:r>
      <w:r w:rsidR="00D2134A">
        <w:rPr>
          <w:rFonts w:eastAsia="Calibri" w:cs="Times New Roman"/>
          <w:i/>
          <w:color w:val="000000"/>
        </w:rPr>
        <w:fldChar w:fldCharType="begin">
          <w:fldData xml:space="preserve">PEVuZE5vdGU+PENpdGU+PEF1dGhvcj5Ob25uZW1ha2VyPC9BdXRob3I+PFllYXI+MjAxMDwvWWVh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PEVuZE5vdGU+PENpdGU+PEF1dGhvcj5Ob25uZW1ha2VyPC9BdXRob3I+PFllYXI+MjAxMDwvWWVh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2" w:tooltip="Nonnemaker, 2012 #31" w:history="1">
        <w:r w:rsidR="00A234A9">
          <w:rPr>
            <w:rFonts w:eastAsia="Calibri" w:cs="Times New Roman"/>
            <w:i/>
            <w:noProof/>
            <w:color w:val="000000"/>
          </w:rPr>
          <w:t>72</w:t>
        </w:r>
      </w:hyperlink>
      <w:r w:rsidR="00D2134A">
        <w:rPr>
          <w:rFonts w:eastAsia="Calibri" w:cs="Times New Roman"/>
          <w:i/>
          <w:noProof/>
          <w:color w:val="000000"/>
        </w:rPr>
        <w:t xml:space="preserve">, </w:t>
      </w:r>
      <w:hyperlink w:anchor="_ENREF_73" w:tooltip="Nonnemaker, 2010 #97" w:history="1">
        <w:r w:rsidR="00A234A9">
          <w:rPr>
            <w:rFonts w:eastAsia="Calibri" w:cs="Times New Roman"/>
            <w:i/>
            <w:noProof/>
            <w:color w:val="000000"/>
          </w:rPr>
          <w:t>73</w:t>
        </w:r>
      </w:hyperlink>
      <w:r w:rsidR="00D2134A">
        <w:rPr>
          <w:rFonts w:eastAsia="Calibri" w:cs="Times New Roman"/>
          <w:i/>
          <w:noProof/>
          <w:color w:val="000000"/>
        </w:rPr>
        <w:t xml:space="preserve">, </w:t>
      </w:r>
      <w:hyperlink w:anchor="_ENREF_79" w:tooltip="Rath, 2015 #3" w:history="1">
        <w:r w:rsidR="00A234A9">
          <w:rPr>
            <w:rFonts w:eastAsia="Calibri" w:cs="Times New Roman"/>
            <w:i/>
            <w:noProof/>
            <w:color w:val="000000"/>
          </w:rPr>
          <w:t>79</w:t>
        </w:r>
      </w:hyperlink>
      <w:r w:rsidR="00D2134A">
        <w:rPr>
          <w:rFonts w:eastAsia="Calibri" w:cs="Times New Roman"/>
          <w:i/>
          <w:noProof/>
          <w:color w:val="000000"/>
        </w:rPr>
        <w:t xml:space="preserve">, </w:t>
      </w:r>
      <w:hyperlink w:anchor="_ENREF_86" w:tooltip="Villanti, 2012 #37" w:history="1">
        <w:r w:rsidR="00A234A9">
          <w:rPr>
            <w:rFonts w:eastAsia="Calibri" w:cs="Times New Roman"/>
            <w:i/>
            <w:noProof/>
            <w:color w:val="000000"/>
          </w:rPr>
          <w:t>86</w:t>
        </w:r>
      </w:hyperlink>
      <w:r w:rsidR="00D2134A">
        <w:rPr>
          <w:rFonts w:eastAsia="Calibri" w:cs="Times New Roman"/>
          <w:i/>
          <w:noProof/>
          <w:color w:val="000000"/>
        </w:rPr>
        <w:t>)</w:t>
      </w:r>
      <w:r w:rsidR="00D2134A">
        <w:rPr>
          <w:rFonts w:eastAsia="Calibri" w:cs="Times New Roman"/>
          <w:i/>
          <w:color w:val="000000"/>
        </w:rPr>
        <w:fldChar w:fldCharType="end"/>
      </w:r>
      <w:r w:rsidRPr="00A0218A">
        <w:rPr>
          <w:rFonts w:eastAsia="Calibri" w:cs="Times New Roman"/>
          <w:i/>
          <w:color w:val="000000"/>
        </w:rPr>
        <w:t>, two found that a higher percentage of women switched from menthol to non-menthol</w:t>
      </w:r>
      <w:r w:rsidR="00852084">
        <w:rPr>
          <w:rFonts w:eastAsia="Calibri" w:cs="Times New Roman"/>
          <w:i/>
          <w:color w:val="000000"/>
        </w:rPr>
        <w:t xml:space="preserve"> </w:t>
      </w:r>
      <w:r w:rsidR="00D2134A">
        <w:rPr>
          <w:rFonts w:eastAsia="Calibri" w:cs="Times New Roman"/>
          <w:i/>
          <w:color w:val="000000"/>
        </w:rPr>
        <w:fldChar w:fldCharType="begin">
          <w:fldData xml:space="preserve">PEVuZE5vdGU+PENpdGU+PEF1dGhvcj5SYXRoPC9BdXRob3I+PFllYXI+MjAxNTwvWWVhcj48UmVj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PEVuZE5vdGU+PENpdGU+PEF1dGhvcj5SYXRoPC9BdXRob3I+PFllYXI+MjAxNTwvWWVhcj48UmVj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9" w:tooltip="Rath, 2015 #3" w:history="1">
        <w:r w:rsidR="00A234A9">
          <w:rPr>
            <w:rFonts w:eastAsia="Calibri" w:cs="Times New Roman"/>
            <w:i/>
            <w:noProof/>
            <w:color w:val="000000"/>
          </w:rPr>
          <w:t>79</w:t>
        </w:r>
      </w:hyperlink>
      <w:r w:rsidR="00D2134A">
        <w:rPr>
          <w:rFonts w:eastAsia="Calibri" w:cs="Times New Roman"/>
          <w:i/>
          <w:noProof/>
          <w:color w:val="000000"/>
        </w:rPr>
        <w:t xml:space="preserve">, </w:t>
      </w:r>
      <w:hyperlink w:anchor="_ENREF_86" w:tooltip="Villanti, 2012 #37" w:history="1">
        <w:r w:rsidR="00A234A9">
          <w:rPr>
            <w:rFonts w:eastAsia="Calibri" w:cs="Times New Roman"/>
            <w:i/>
            <w:noProof/>
            <w:color w:val="000000"/>
          </w:rPr>
          <w:t>86</w:t>
        </w:r>
      </w:hyperlink>
      <w:r w:rsidR="00D2134A">
        <w:rPr>
          <w:rFonts w:eastAsia="Calibri" w:cs="Times New Roman"/>
          <w:i/>
          <w:noProof/>
          <w:color w:val="000000"/>
        </w:rPr>
        <w:t>)</w:t>
      </w:r>
      <w:r w:rsidR="00D2134A">
        <w:rPr>
          <w:rFonts w:eastAsia="Calibri" w:cs="Times New Roman"/>
          <w:i/>
          <w:color w:val="000000"/>
        </w:rPr>
        <w:fldChar w:fldCharType="end"/>
      </w:r>
      <w:r w:rsidRPr="00A0218A">
        <w:rPr>
          <w:rFonts w:eastAsia="Calibri" w:cs="Times New Roman"/>
          <w:i/>
          <w:color w:val="000000"/>
        </w:rPr>
        <w:t>, and two (whose samples overlapped) found the opposite</w:t>
      </w:r>
      <w:r w:rsidR="00C76FF7">
        <w:rPr>
          <w:rFonts w:eastAsia="Calibri" w:cs="Times New Roman"/>
          <w:i/>
          <w:color w:val="000000"/>
        </w:rPr>
        <w:t xml:space="preserve"> </w:t>
      </w:r>
      <w:r w:rsidR="00D2134A">
        <w:rPr>
          <w:rFonts w:eastAsia="Calibri" w:cs="Times New Roman"/>
          <w:i/>
          <w:color w:val="000000"/>
        </w:rPr>
        <w:fldChar w:fldCharType="begin">
          <w:fldData xml:space="preserve">PEVuZE5vdGU+PENpdGU+PEF1dGhvcj5Ob25uZW1ha2VyPC9BdXRob3I+PFllYXI+MjAxMDwvWWVh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PEVuZE5vdGU+PENpdGU+PEF1dGhvcj5Ob25uZW1ha2VyPC9BdXRob3I+PFllYXI+MjAxMDwvWWVh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2" w:tooltip="Nonnemaker, 2012 #31" w:history="1">
        <w:r w:rsidR="00A234A9">
          <w:rPr>
            <w:rFonts w:eastAsia="Calibri" w:cs="Times New Roman"/>
            <w:i/>
            <w:noProof/>
            <w:color w:val="000000"/>
          </w:rPr>
          <w:t>72</w:t>
        </w:r>
      </w:hyperlink>
      <w:r w:rsidR="00D2134A">
        <w:rPr>
          <w:rFonts w:eastAsia="Calibri" w:cs="Times New Roman"/>
          <w:i/>
          <w:noProof/>
          <w:color w:val="000000"/>
        </w:rPr>
        <w:t xml:space="preserve">, </w:t>
      </w:r>
      <w:hyperlink w:anchor="_ENREF_73" w:tooltip="Nonnemaker, 2010 #97" w:history="1">
        <w:r w:rsidR="00A234A9">
          <w:rPr>
            <w:rFonts w:eastAsia="Calibri" w:cs="Times New Roman"/>
            <w:i/>
            <w:noProof/>
            <w:color w:val="000000"/>
          </w:rPr>
          <w:t>73</w:t>
        </w:r>
      </w:hyperlink>
      <w:r w:rsidR="00D2134A">
        <w:rPr>
          <w:rFonts w:eastAsia="Calibri" w:cs="Times New Roman"/>
          <w:i/>
          <w:noProof/>
          <w:color w:val="000000"/>
        </w:rPr>
        <w:t>)</w:t>
      </w:r>
      <w:r w:rsidR="00D2134A">
        <w:rPr>
          <w:rFonts w:eastAsia="Calibri" w:cs="Times New Roman"/>
          <w:i/>
          <w:color w:val="000000"/>
        </w:rPr>
        <w:fldChar w:fldCharType="end"/>
      </w:r>
      <w:r w:rsidRPr="00A0218A">
        <w:rPr>
          <w:rFonts w:eastAsia="Calibri" w:cs="Times New Roman"/>
          <w:i/>
          <w:color w:val="000000"/>
        </w:rPr>
        <w:t>.</w:t>
      </w:r>
      <w:r>
        <w:rPr>
          <w:rFonts w:eastAsia="Calibri" w:cs="Times New Roman"/>
          <w:i/>
          <w:color w:val="000000"/>
        </w:rPr>
        <w:t xml:space="preserve"> </w:t>
      </w:r>
      <w:r w:rsidRPr="00A0218A">
        <w:rPr>
          <w:rFonts w:eastAsia="Calibri" w:cs="Times New Roman"/>
          <w:i/>
          <w:color w:val="000000"/>
        </w:rPr>
        <w:t xml:space="preserve">In two </w:t>
      </w:r>
      <w:r w:rsidR="00C76FF7">
        <w:rPr>
          <w:rFonts w:eastAsia="Calibri" w:cs="Times New Roman"/>
          <w:i/>
          <w:color w:val="000000"/>
        </w:rPr>
        <w:t>ALLTURS analyses</w:t>
      </w:r>
      <w:r w:rsidRPr="00A0218A">
        <w:rPr>
          <w:rFonts w:eastAsia="Calibri" w:cs="Times New Roman"/>
          <w:i/>
          <w:color w:val="000000"/>
        </w:rPr>
        <w:t xml:space="preserve"> (that likely overlap significantly), between 34 and 42 percent of women initiated to menthol cigarettes</w:t>
      </w:r>
      <w:r w:rsidR="00C76FF7">
        <w:rPr>
          <w:rFonts w:eastAsia="Calibri" w:cs="Times New Roman"/>
          <w:i/>
          <w:color w:val="000000"/>
        </w:rPr>
        <w:t xml:space="preserve"> </w:t>
      </w:r>
      <w:r w:rsidR="00D2134A">
        <w:rPr>
          <w:rFonts w:eastAsia="Calibri" w:cs="Times New Roman"/>
          <w:i/>
          <w:color w:val="000000"/>
        </w:rPr>
        <w:fldChar w:fldCharType="begin">
          <w:fldData xml:space="preserve">PEVuZE5vdGU+PENpdGU+PEF1dGhvcj5Ob25uZW1ha2VyPC9BdXRob3I+PFllYXI+MjAxMDwvWWVh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PEVuZE5vdGU+PENpdGU+PEF1dGhvcj5Ob25uZW1ha2VyPC9BdXRob3I+PFllYXI+MjAxMDwvWWVh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2" w:tooltip="Nonnemaker, 2012 #31" w:history="1">
        <w:r w:rsidR="00A234A9">
          <w:rPr>
            <w:rFonts w:eastAsia="Calibri" w:cs="Times New Roman"/>
            <w:i/>
            <w:noProof/>
            <w:color w:val="000000"/>
          </w:rPr>
          <w:t>72</w:t>
        </w:r>
      </w:hyperlink>
      <w:r w:rsidR="00D2134A">
        <w:rPr>
          <w:rFonts w:eastAsia="Calibri" w:cs="Times New Roman"/>
          <w:i/>
          <w:noProof/>
          <w:color w:val="000000"/>
        </w:rPr>
        <w:t xml:space="preserve">, </w:t>
      </w:r>
      <w:hyperlink w:anchor="_ENREF_73" w:tooltip="Nonnemaker, 2010 #97" w:history="1">
        <w:r w:rsidR="00A234A9">
          <w:rPr>
            <w:rFonts w:eastAsia="Calibri" w:cs="Times New Roman"/>
            <w:i/>
            <w:noProof/>
            <w:color w:val="000000"/>
          </w:rPr>
          <w:t>73</w:t>
        </w:r>
      </w:hyperlink>
      <w:r w:rsidR="00D2134A">
        <w:rPr>
          <w:rFonts w:eastAsia="Calibri" w:cs="Times New Roman"/>
          <w:i/>
          <w:noProof/>
          <w:color w:val="000000"/>
        </w:rPr>
        <w:t>)</w:t>
      </w:r>
      <w:r w:rsidR="00D2134A">
        <w:rPr>
          <w:rFonts w:eastAsia="Calibri" w:cs="Times New Roman"/>
          <w:i/>
          <w:color w:val="000000"/>
        </w:rPr>
        <w:fldChar w:fldCharType="end"/>
      </w:r>
      <w:r w:rsidR="006F08C4">
        <w:rPr>
          <w:rFonts w:eastAsia="Calibri" w:cs="Times New Roman"/>
          <w:i/>
          <w:color w:val="000000"/>
        </w:rPr>
        <w:t>.</w:t>
      </w:r>
      <w:r w:rsidR="008E041E">
        <w:rPr>
          <w:rFonts w:eastAsia="Calibri" w:cs="Times New Roman"/>
          <w:i/>
          <w:color w:val="000000"/>
        </w:rPr>
        <w:t xml:space="preserve"> </w:t>
      </w:r>
    </w:p>
    <w:p w14:paraId="6615B743" w14:textId="491EF05A" w:rsidR="00915113" w:rsidRPr="008E041E" w:rsidRDefault="003C3DCC" w:rsidP="008E041E">
      <w:pPr>
        <w:spacing w:after="120" w:line="240" w:lineRule="auto"/>
        <w:jc w:val="both"/>
        <w:rPr>
          <w:rFonts w:eastAsia="Calibri" w:cs="Times New Roman"/>
          <w:i/>
          <w:color w:val="000000"/>
        </w:rPr>
      </w:pPr>
      <w:r w:rsidRPr="00A0218A">
        <w:rPr>
          <w:rFonts w:eastAsia="Calibri" w:cs="Times New Roman"/>
          <w:i/>
          <w:color w:val="000000"/>
        </w:rPr>
        <w:lastRenderedPageBreak/>
        <w:t>One study found that female menthol smokers initiated at an older age than female non-menthol smokers</w:t>
      </w:r>
      <w:r>
        <w:rPr>
          <w:rFonts w:eastAsia="Calibri" w:cs="Times New Roman"/>
          <w:i/>
          <w:color w:val="000000"/>
        </w:rPr>
        <w:t xml:space="preserve"> </w:t>
      </w:r>
      <w:r w:rsidR="00D2134A">
        <w:rPr>
          <w:rFonts w:eastAsia="Calibri" w:cs="Times New Roman"/>
          <w:i/>
          <w:color w:val="000000"/>
        </w:rPr>
        <w:fldChar w:fldCharType="begin"/>
      </w:r>
      <w:r w:rsidR="00D2134A">
        <w:rPr>
          <w:rFonts w:eastAsia="Calibri" w:cs="Times New Roman"/>
          <w:i/>
          <w:color w:val="000000"/>
        </w:rPr>
        <w:instrText xml:space="preserve"> ADDIN EN.CITE &lt;EndNote&gt;&lt;Cite&gt;&lt;Author&gt;Rosenbloom&lt;/Author&gt;&lt;Year&gt;2012&lt;/Year&gt;&lt;RecNum&gt;32&lt;/RecNum&gt;&lt;DisplayText&gt;(81)&lt;/DisplayText&gt;&lt;record&gt;&lt;rec-number&gt;32&lt;/rec-number&gt;&lt;foreign-keys&gt;&lt;key app="EN" db-id="a2vz2dfp8xrad6exes75zwpiw5rxwa0vwapv" timestamp="0"&gt;32&lt;/key&gt;&lt;/foreign-keys&gt;&lt;ref-type name="Journal Article"&gt;17&lt;/ref-type&gt;&lt;contributors&gt;&lt;authors&gt;&lt;author&gt;Rosenbloom, J.&lt;/author&gt;&lt;author&gt; Rees, V. W.&lt;/author&gt;&lt;author&gt;Reid, K.&lt;/author&gt;&lt;author&gt;Wong, J.&lt;/author&gt;&lt;author&gt;Kinnunen, T.&lt;/author&gt;&lt;/authors&gt;&lt;/contributors&gt;&lt;titles&gt;&lt;title&gt;A cross-sectional study on tobacco use and dependence among women: Does menthol matter?&lt;/title&gt;&lt;secondary-title&gt;Tob Induc Dis&lt;/secondary-title&gt;&lt;/titles&gt;&lt;periodical&gt;&lt;full-title&gt;Tob Induc Dis&lt;/full-title&gt;&lt;/periodical&gt;&lt;pages&gt;1-6&lt;/pages&gt;&lt;volume&gt;10&lt;/volume&gt;&lt;number&gt;19&lt;/number&gt;&lt;section&gt;1&lt;/section&gt;&lt;keywords&gt;&lt;keyword&gt;Cigarette smoking, Menthol cigarettes, Tobacco use, Tobacco dependence, Race/Ethnicity, Female Sex/&lt;/keyword&gt;&lt;keyword&gt;Gender&lt;/keyword&gt;&lt;/keywords&gt;&lt;dates&gt;&lt;year&gt;2012&lt;/year&gt;&lt;/dates&gt;&lt;urls&gt;&lt;/urls&gt;&lt;electronic-resource-num&gt;10.1186/1617-9625-10-19&lt;/electronic-resource-num&gt;&lt;research-notes&gt;#173&lt;/research-notes&gt;&lt;/record&gt;&lt;/Cite&gt;&lt;/EndNote&gt;</w:instrText>
      </w:r>
      <w:r w:rsidR="00D2134A">
        <w:rPr>
          <w:rFonts w:eastAsia="Calibri" w:cs="Times New Roman"/>
          <w:i/>
          <w:color w:val="000000"/>
        </w:rPr>
        <w:fldChar w:fldCharType="separate"/>
      </w:r>
      <w:r w:rsidR="00D2134A">
        <w:rPr>
          <w:rFonts w:eastAsia="Calibri" w:cs="Times New Roman"/>
          <w:i/>
          <w:noProof/>
          <w:color w:val="000000"/>
        </w:rPr>
        <w:t>(</w:t>
      </w:r>
      <w:hyperlink w:anchor="_ENREF_81" w:tooltip="Rosenbloom, 2012 #32" w:history="1">
        <w:r w:rsidR="00A234A9">
          <w:rPr>
            <w:rFonts w:eastAsia="Calibri" w:cs="Times New Roman"/>
            <w:i/>
            <w:noProof/>
            <w:color w:val="000000"/>
          </w:rPr>
          <w:t>81</w:t>
        </w:r>
      </w:hyperlink>
      <w:r w:rsidR="00D2134A">
        <w:rPr>
          <w:rFonts w:eastAsia="Calibri" w:cs="Times New Roman"/>
          <w:i/>
          <w:noProof/>
          <w:color w:val="000000"/>
        </w:rPr>
        <w:t>)</w:t>
      </w:r>
      <w:r w:rsidR="00D2134A">
        <w:rPr>
          <w:rFonts w:eastAsia="Calibri" w:cs="Times New Roman"/>
          <w:i/>
          <w:color w:val="000000"/>
        </w:rPr>
        <w:fldChar w:fldCharType="end"/>
      </w:r>
      <w:r>
        <w:rPr>
          <w:rFonts w:eastAsia="Calibri" w:cs="Times New Roman"/>
          <w:i/>
          <w:color w:val="000000"/>
        </w:rPr>
        <w:t>, while a</w:t>
      </w:r>
      <w:r w:rsidRPr="00A0218A">
        <w:rPr>
          <w:rFonts w:eastAsia="Calibri" w:cs="Times New Roman"/>
          <w:i/>
          <w:color w:val="000000"/>
        </w:rPr>
        <w:t xml:space="preserve"> study of pregnant women found that age at initiation was lower</w:t>
      </w:r>
      <w:r>
        <w:rPr>
          <w:rFonts w:eastAsia="Calibri" w:cs="Times New Roman"/>
          <w:i/>
          <w:color w:val="000000"/>
        </w:rPr>
        <w:t xml:space="preserve">, but not significantly, </w:t>
      </w:r>
      <w:r w:rsidRPr="00A0218A">
        <w:rPr>
          <w:rFonts w:eastAsia="Calibri" w:cs="Times New Roman"/>
          <w:i/>
          <w:color w:val="000000"/>
        </w:rPr>
        <w:t>among menthol smokers</w:t>
      </w:r>
      <w:r>
        <w:rPr>
          <w:rFonts w:eastAsia="Calibri" w:cs="Times New Roman"/>
          <w:i/>
          <w:color w:val="000000"/>
        </w:rPr>
        <w:t xml:space="preserve"> </w:t>
      </w:r>
      <w:r w:rsidR="00D2134A">
        <w:rPr>
          <w:rFonts w:eastAsia="Calibri" w:cs="Times New Roman"/>
          <w:i/>
          <w:color w:val="000000"/>
        </w:rPr>
        <w:fldChar w:fldCharType="begin">
          <w:fldData xml:space="preserve">PEVuZE5vdGU+PENpdGU+PEF1dGhvcj5PbmNrZW48L0F1dGhvcj48WWVhcj4yMDE1PC9ZZWFyPjxS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PEVuZE5vdGU+PENpdGU+PEF1dGhvcj5PbmNrZW48L0F1dGhvcj48WWVhcj4yMDE1PC9ZZWFyPjxS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6" w:tooltip="Oncken, 2015 #6" w:history="1">
        <w:r w:rsidR="00A234A9">
          <w:rPr>
            <w:rFonts w:eastAsia="Calibri" w:cs="Times New Roman"/>
            <w:i/>
            <w:noProof/>
            <w:color w:val="000000"/>
          </w:rPr>
          <w:t>76</w:t>
        </w:r>
      </w:hyperlink>
      <w:r w:rsidR="00D2134A">
        <w:rPr>
          <w:rFonts w:eastAsia="Calibri" w:cs="Times New Roman"/>
          <w:i/>
          <w:noProof/>
          <w:color w:val="000000"/>
        </w:rPr>
        <w:t>)</w:t>
      </w:r>
      <w:r w:rsidR="00D2134A">
        <w:rPr>
          <w:rFonts w:eastAsia="Calibri" w:cs="Times New Roman"/>
          <w:i/>
          <w:color w:val="000000"/>
        </w:rPr>
        <w:fldChar w:fldCharType="end"/>
      </w:r>
      <w:r w:rsidRPr="00A0218A">
        <w:rPr>
          <w:rFonts w:eastAsia="Calibri" w:cs="Times New Roman"/>
          <w:i/>
          <w:color w:val="000000"/>
        </w:rPr>
        <w:t>.</w:t>
      </w:r>
      <w:r w:rsidR="00801E52">
        <w:rPr>
          <w:rFonts w:eastAsia="Calibri"/>
          <w:i/>
          <w:color w:val="000000"/>
        </w:rPr>
        <w:t>Further</w:t>
      </w:r>
      <w:r w:rsidR="006F08C4">
        <w:rPr>
          <w:rFonts w:eastAsia="Calibri"/>
          <w:i/>
          <w:color w:val="000000"/>
        </w:rPr>
        <w:t>more,</w:t>
      </w:r>
      <w:r w:rsidR="00801E52">
        <w:rPr>
          <w:rFonts w:eastAsia="Calibri"/>
          <w:i/>
          <w:color w:val="000000"/>
        </w:rPr>
        <w:t xml:space="preserve"> one study </w:t>
      </w:r>
      <w:r w:rsidR="00801E52">
        <w:rPr>
          <w:rFonts w:eastAsia="Calibri"/>
          <w:i/>
          <w:noProof/>
          <w:color w:val="000000"/>
        </w:rPr>
        <w:t xml:space="preserve">on </w:t>
      </w:r>
      <w:r w:rsidR="00801E52" w:rsidRPr="00EE32FF">
        <w:rPr>
          <w:rFonts w:eastAsia="Calibri"/>
          <w:bCs/>
          <w:i/>
          <w:noProof/>
          <w:color w:val="000000"/>
        </w:rPr>
        <w:t xml:space="preserve">initiation and progression to regular smoking/increase in </w:t>
      </w:r>
      <w:r w:rsidR="00801E52">
        <w:rPr>
          <w:rFonts w:eastAsia="Calibri"/>
          <w:bCs/>
          <w:i/>
          <w:noProof/>
          <w:color w:val="000000"/>
        </w:rPr>
        <w:t>s</w:t>
      </w:r>
      <w:r w:rsidR="00801E52" w:rsidRPr="00EE32FF">
        <w:rPr>
          <w:rFonts w:eastAsia="Calibri"/>
          <w:bCs/>
          <w:i/>
          <w:noProof/>
          <w:color w:val="000000"/>
        </w:rPr>
        <w:t>moking over time</w:t>
      </w:r>
      <w:r w:rsidR="00801E52">
        <w:rPr>
          <w:rFonts w:eastAsia="Calibri"/>
          <w:i/>
          <w:color w:val="000000"/>
        </w:rPr>
        <w:t xml:space="preserve"> investigated daily versus non-daily smoking among menthol and non-menthol smokers</w:t>
      </w:r>
      <w:r w:rsidR="007008A2">
        <w:rPr>
          <w:rFonts w:eastAsia="Calibri" w:cs="Times New Roman"/>
          <w:i/>
          <w:color w:val="000000"/>
        </w:rPr>
        <w:t xml:space="preserve"> </w:t>
      </w:r>
      <w:r w:rsidR="00D2134A">
        <w:rPr>
          <w:i/>
        </w:rPr>
        <w:fldChar w:fldCharType="begin"/>
      </w:r>
      <w:r w:rsidR="00D2134A">
        <w:rPr>
          <w:i/>
        </w:rPr>
        <w:instrText xml:space="preserve"> ADDIN EN.CITE &lt;EndNote&gt;&lt;Cite&gt;&lt;Author&gt;Cubbin&lt;/Author&gt;&lt;Year&gt;2010&lt;/Year&gt;&lt;RecNum&gt;53&lt;/RecNum&gt;&lt;DisplayText&gt;(50)&lt;/DisplayText&gt;&lt;record&gt;&lt;rec-number&gt;53&lt;/rec-number&gt;&lt;foreign-keys&gt;&lt;key app="EN" db-id="a2vz2dfp8xrad6exes75zwpiw5rxwa0vwapv" timestamp="0"&gt;53&lt;/key&gt;&lt;/foreign-keys&gt;&lt;ref-type name="Journal Article"&gt;17&lt;/ref-type&gt;&lt;contributors&gt;&lt;authors&gt;&lt;author&gt;Cubbin, C.&lt;/author&gt;&lt;author&gt;Soobader, M. J.&lt;/author&gt;&lt;author&gt;LeClere, F. B.&lt;/author&gt;&lt;/authors&gt;&lt;/contributors&gt;&lt;auth-address&gt;School of Social Work, University of Texas at Austin, Austin, TX 78712-0358, USA. ccubbin@austin.utexas.edu&lt;/auth-address&gt;&lt;titles&gt;&lt;title&gt;The intersection of gender and race/ethnicity in smoking behaviors among menthol and non-menthol smokers in the United States&lt;/title&gt;&lt;secondary-title&gt;Addiction&lt;/secondary-title&gt;&lt;/titles&gt;&lt;periodical&gt;&lt;full-title&gt;Addiction&lt;/full-title&gt;&lt;/periodical&gt;&lt;pages&gt;32-8&lt;/pages&gt;&lt;volume&gt;105 Suppl 1&lt;/volume&gt;&lt;keywords&gt;&lt;keyword&gt;Adult&lt;/keyword&gt;&lt;keyword&gt;African Americans/statistics &amp;amp; numerical data&lt;/keyword&gt;&lt;keyword&gt;Age of Onset&lt;/keyword&gt;&lt;keyword&gt;Cross-Sectional Studies&lt;/keyword&gt;&lt;keyword&gt;European Continental Ancestry Group/statistics &amp;amp; numerical data&lt;/keyword&gt;&lt;keyword&gt;Female&lt;/keyword&gt;&lt;keyword&gt;Hispanic Americans/statistics &amp;amp; numerical data&lt;/keyword&gt;&lt;keyword&gt;Humans&lt;/keyword&gt;&lt;keyword&gt;Male&lt;/keyword&gt;&lt;keyword&gt;*Menthol&lt;/keyword&gt;&lt;keyword&gt;Middle Aged&lt;/keyword&gt;&lt;keyword&gt;*Population Surveillance&lt;/keyword&gt;&lt;keyword&gt;Sex Factors&lt;/keyword&gt;&lt;keyword&gt;Smoking/*epidemiology/ethnology&lt;/keyword&gt;&lt;keyword&gt;Smoking Cessation/ethnology/statistics &amp;amp; numerical data&lt;/keyword&gt;&lt;keyword&gt;Socioeconomic Factors&lt;/keyword&gt;&lt;keyword&gt;United States/epidemiology&lt;/keyword&gt;&lt;/keywords&gt;&lt;dates&gt;&lt;year&gt;2010&lt;/year&gt;&lt;pub-dates&gt;&lt;date&gt;Dec&lt;/date&gt;&lt;/pub-dates&gt;&lt;/dates&gt;&lt;isbn&gt;1360-0443 (Electronic)&amp;#xD;0965-2140 (Linking)&lt;/isbn&gt;&lt;accession-num&gt;21059134&lt;/accession-num&gt;&lt;urls&gt;&lt;related-urls&gt;&lt;url&gt;http://www.ncbi.nlm.nih.gov/pubmed/21059134&lt;/url&gt;&lt;/related-urls&gt;&lt;/urls&gt;&lt;electronic-resource-num&gt;10.1111/j.1360-0443.2010.03191.x&lt;/electronic-resource-num&gt;&lt;research-notes&gt;#281&lt;/research-notes&gt;&lt;/record&gt;&lt;/Cite&gt;&lt;/EndNote&gt;</w:instrText>
      </w:r>
      <w:r w:rsidR="00D2134A">
        <w:rPr>
          <w:i/>
        </w:rPr>
        <w:fldChar w:fldCharType="separate"/>
      </w:r>
      <w:r w:rsidR="00D2134A">
        <w:rPr>
          <w:i/>
          <w:noProof/>
        </w:rPr>
        <w:t>(</w:t>
      </w:r>
      <w:hyperlink w:anchor="_ENREF_50" w:tooltip="Cubbin, 2010 #53" w:history="1">
        <w:r w:rsidR="00A234A9">
          <w:rPr>
            <w:i/>
            <w:noProof/>
          </w:rPr>
          <w:t>50</w:t>
        </w:r>
      </w:hyperlink>
      <w:r w:rsidR="00D2134A">
        <w:rPr>
          <w:i/>
          <w:noProof/>
        </w:rPr>
        <w:t>)</w:t>
      </w:r>
      <w:r w:rsidR="00D2134A">
        <w:rPr>
          <w:i/>
        </w:rPr>
        <w:fldChar w:fldCharType="end"/>
      </w:r>
      <w:r w:rsidR="007008A2">
        <w:rPr>
          <w:rFonts w:eastAsia="Calibri" w:cs="Times New Roman"/>
          <w:i/>
          <w:color w:val="000000"/>
        </w:rPr>
        <w:t>. The study reported that a</w:t>
      </w:r>
      <w:r w:rsidR="00915113" w:rsidRPr="00744FEC">
        <w:rPr>
          <w:i/>
        </w:rPr>
        <w:t xml:space="preserve">mong </w:t>
      </w:r>
      <w:r w:rsidR="008E041E">
        <w:rPr>
          <w:i/>
        </w:rPr>
        <w:t>women</w:t>
      </w:r>
      <w:r w:rsidR="00915113" w:rsidRPr="00744FEC">
        <w:rPr>
          <w:i/>
        </w:rPr>
        <w:t xml:space="preserve"> respondents</w:t>
      </w:r>
      <w:r w:rsidR="00915113">
        <w:rPr>
          <w:i/>
        </w:rPr>
        <w:t>, a</w:t>
      </w:r>
      <w:r w:rsidR="00915113" w:rsidRPr="00744FEC">
        <w:rPr>
          <w:i/>
        </w:rPr>
        <w:t xml:space="preserve"> higher proportion of </w:t>
      </w:r>
      <w:r w:rsidR="00915113">
        <w:rPr>
          <w:i/>
        </w:rPr>
        <w:t>daily versus non-</w:t>
      </w:r>
      <w:r w:rsidR="00915113" w:rsidRPr="00744FEC">
        <w:rPr>
          <w:i/>
        </w:rPr>
        <w:t>daily smokers</w:t>
      </w:r>
      <w:r w:rsidR="00915113">
        <w:rPr>
          <w:i/>
        </w:rPr>
        <w:t xml:space="preserve"> was reported within Black, Hispanic, and White subgroups</w:t>
      </w:r>
      <w:r w:rsidR="00915113" w:rsidRPr="00744FEC">
        <w:rPr>
          <w:i/>
        </w:rPr>
        <w:t xml:space="preserve">. </w:t>
      </w:r>
      <w:r w:rsidR="00915113">
        <w:rPr>
          <w:i/>
        </w:rPr>
        <w:t xml:space="preserve">Menthol use was lower within both White and Hispanic </w:t>
      </w:r>
      <w:r w:rsidR="008E041E">
        <w:rPr>
          <w:i/>
        </w:rPr>
        <w:t>women</w:t>
      </w:r>
      <w:r w:rsidR="00915113">
        <w:rPr>
          <w:i/>
        </w:rPr>
        <w:t xml:space="preserve"> subgroups, for both daily and non-daily smokers; the opposite was true for Black </w:t>
      </w:r>
      <w:r w:rsidR="008E041E">
        <w:rPr>
          <w:i/>
        </w:rPr>
        <w:t>women</w:t>
      </w:r>
      <w:r w:rsidR="00915113">
        <w:rPr>
          <w:i/>
        </w:rPr>
        <w:t xml:space="preserve"> respondents.</w:t>
      </w:r>
    </w:p>
    <w:p w14:paraId="6A2470BF" w14:textId="55F09EA3" w:rsidR="00D04C52" w:rsidRPr="00A0218A" w:rsidRDefault="00D04C52" w:rsidP="00B46744">
      <w:pPr>
        <w:spacing w:after="120" w:line="240" w:lineRule="auto"/>
        <w:jc w:val="both"/>
        <w:rPr>
          <w:rFonts w:eastAsia="Calibri" w:cs="Times New Roman"/>
          <w:color w:val="000000"/>
        </w:rPr>
      </w:pPr>
      <w:r w:rsidRPr="00A32DC8">
        <w:rPr>
          <w:rFonts w:eastAsia="Calibri" w:cs="Times New Roman"/>
          <w:color w:val="000000"/>
        </w:rPr>
        <w:t>In the LYAC study of young adults, Rath et al</w:t>
      </w:r>
      <w:r w:rsidR="00C56F21" w:rsidRPr="00A32DC8">
        <w:rPr>
          <w:rFonts w:eastAsia="Calibri" w:cs="Times New Roman"/>
          <w:color w:val="000000"/>
        </w:rPr>
        <w:t xml:space="preserve">. </w:t>
      </w:r>
      <w:r w:rsidR="00D2134A">
        <w:rPr>
          <w:rFonts w:eastAsia="Calibri" w:cs="Times New Roman"/>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79" w:tooltip="Rath, 2015 #3" w:history="1">
        <w:r w:rsidR="00A234A9">
          <w:rPr>
            <w:rFonts w:eastAsia="Calibri" w:cs="Times New Roman"/>
            <w:noProof/>
            <w:color w:val="000000"/>
          </w:rPr>
          <w:t>79</w:t>
        </w:r>
      </w:hyperlink>
      <w:r w:rsidR="00D2134A">
        <w:rPr>
          <w:rFonts w:eastAsia="Calibri" w:cs="Times New Roman"/>
          <w:noProof/>
          <w:color w:val="000000"/>
        </w:rPr>
        <w:t>)</w:t>
      </w:r>
      <w:r w:rsidR="00D2134A">
        <w:rPr>
          <w:rFonts w:eastAsia="Calibri" w:cs="Times New Roman"/>
          <w:color w:val="000000"/>
        </w:rPr>
        <w:fldChar w:fldCharType="end"/>
      </w:r>
      <w:r w:rsidR="00C56F21" w:rsidRPr="00A32DC8">
        <w:rPr>
          <w:rFonts w:eastAsia="Calibri" w:cs="Times New Roman"/>
          <w:color w:val="000000"/>
        </w:rPr>
        <w:t xml:space="preserve"> fo</w:t>
      </w:r>
      <w:r w:rsidRPr="00A32DC8">
        <w:rPr>
          <w:rFonts w:eastAsia="Calibri" w:cs="Times New Roman"/>
          <w:color w:val="000000"/>
        </w:rPr>
        <w:t>und that—of participants who switched from menthol to non-menthol—42.1 percent were women</w:t>
      </w:r>
      <w:r w:rsidR="00C56F21" w:rsidRPr="00A32DC8">
        <w:rPr>
          <w:rFonts w:eastAsia="Calibri" w:cs="Times New Roman"/>
          <w:color w:val="000000"/>
        </w:rPr>
        <w:t xml:space="preserve">. </w:t>
      </w:r>
      <w:r w:rsidRPr="00A32DC8">
        <w:rPr>
          <w:rFonts w:eastAsia="Calibri" w:cs="Times New Roman"/>
          <w:color w:val="000000"/>
        </w:rPr>
        <w:t>Of participants who switched from non-menthol to menthol, 37.8 percent were women; the difference was significant (p&lt;0.001).</w:t>
      </w:r>
    </w:p>
    <w:p w14:paraId="13064B05" w14:textId="2A46E3B1" w:rsidR="00A20AE4" w:rsidRDefault="00D04C52" w:rsidP="00B46744">
      <w:pPr>
        <w:spacing w:after="120" w:line="240" w:lineRule="auto"/>
        <w:jc w:val="both"/>
        <w:rPr>
          <w:rFonts w:eastAsia="Calibri" w:cs="Times New Roman"/>
          <w:color w:val="000000"/>
        </w:rPr>
      </w:pPr>
      <w:r>
        <w:rPr>
          <w:rFonts w:eastAsia="Calibri" w:cs="Times New Roman"/>
          <w:color w:val="000000"/>
        </w:rPr>
        <w:t>As descr</w:t>
      </w:r>
      <w:r w:rsidR="00C56F21">
        <w:rPr>
          <w:rFonts w:eastAsia="Calibri" w:cs="Times New Roman"/>
          <w:color w:val="000000"/>
        </w:rPr>
        <w:t>ibed earlier, Nonnemaker et a</w:t>
      </w:r>
      <w:r w:rsidR="001236D3">
        <w:rPr>
          <w:rFonts w:eastAsia="Calibri" w:cs="Times New Roman"/>
          <w:color w:val="000000"/>
        </w:rPr>
        <w:t>l.</w:t>
      </w:r>
      <w:bookmarkStart w:id="11" w:name="_GoBack"/>
      <w:bookmarkEnd w:id="11"/>
      <w:r w:rsidR="00C56F21">
        <w:rPr>
          <w:rFonts w:eastAsia="Calibri" w:cs="Times New Roman"/>
          <w:color w:val="000000"/>
        </w:rPr>
        <w:t xml:space="preserve">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&lt;EndNote&gt;&lt;Cite&gt;&lt;Author&gt;Nonnemaker&lt;/Author&gt;&lt;Year&gt;2012&lt;/Year&gt;&lt;RecNum&gt;31&lt;/RecNum&gt;&lt;DisplayText&gt;(72)&lt;/DisplayText&gt;&lt;record&gt;&lt;rec-number&gt;31&lt;/rec-number&gt;&lt;foreign-keys&gt;&lt;key app="EN" db-id="a2vz2dfp8xrad6exes75zwpiw5rxwa0vwapv" timestamp="0"&gt;31&lt;/key&gt;&lt;/foreign-keys&gt;&lt;ref-type name="Journal Article"&gt;17&lt;/ref-type&gt;&lt;contributors&gt;&lt;authors&gt;&lt;author&gt;Nonnemaker, J.&lt;/author&gt;&lt;author&gt;Hersey, J.&lt;/author&gt;&lt;author&gt;Homsi, G.&lt;/author&gt;&lt;author&gt;Busey, A.&lt;/author&gt;&lt;author&gt;Allen, J.&lt;/author&gt;&lt;author&gt;Vallone, D.&lt;/author&gt;&lt;/authors&gt;&lt;/contributors&gt;&lt;auth-address&gt;RTI International, Research Triangle Park, NC 27709-2194, USA. jnonnemaker@rti.org&lt;/auth-address&gt;&lt;titles&gt;&lt;title&gt;Initiation with menthol cigarettes and youth smoking uptake&lt;/title&gt;&lt;secondary-title&gt;Addiction&lt;/secondary-title&gt;&lt;/titles&gt;&lt;periodical&gt;&lt;full-title&gt;Addiction&lt;/full-title&gt;&lt;/periodical&gt;&lt;pages&gt;171-8&lt;/pages&gt;&lt;volume&gt;108&lt;/volume&gt;&lt;number&gt;1&lt;/number&gt;&lt;keywords&gt;&lt;keyword&gt;Adolescent&lt;/keyword&gt;&lt;keyword&gt;Age Distribution&lt;/keyword&gt;&lt;keyword&gt;Child&lt;/keyword&gt;&lt;keyword&gt;Female&lt;/keyword&gt;&lt;keyword&gt;Flavoring Agents/*adverse effects&lt;/keyword&gt;&lt;keyword&gt;Humans&lt;/keyword&gt;&lt;keyword&gt;Longitudinal Studies&lt;/keyword&gt;&lt;keyword&gt;Male&lt;/keyword&gt;&lt;keyword&gt;Menthol/*adverse effects&lt;/keyword&gt;&lt;keyword&gt;Risk Factors&lt;/keyword&gt;&lt;keyword&gt;Sex Distribution&lt;/keyword&gt;&lt;keyword&gt;Smoking/*adverse effects&lt;/keyword&gt;&lt;keyword&gt;Smoking Cessation/psychology/statistics &amp;amp; numerical data&lt;/keyword&gt;&lt;keyword&gt;Tobacco Products/*adverse effects&lt;/keyword&gt;&lt;keyword&gt;Tobacco Use Disorder/*etiology&lt;/keyword&gt;&lt;keyword&gt;United States&lt;/keyword&gt;&lt;/keywords&gt;&lt;dates&gt;&lt;year&gt;2012&lt;/year&gt;&lt;pub-dates&gt;&lt;date&gt;Jan&lt;/date&gt;&lt;/pub-dates&gt;&lt;/dates&gt;&lt;isbn&gt;1360-0443 (Electronic)&amp;#xD;0965-2140 (Linking)&lt;/isbn&gt;&lt;accession-num&gt;22862154&lt;/accession-num&gt;&lt;urls&gt;&lt;related-urls&gt;&lt;url&gt;http://www.ncbi.nlm.nih.gov/pubmed/22862154&lt;/url&gt;&lt;/related-urls&gt;&lt;/urls&gt;&lt;electronic-resource-num&gt;10.1111/j.1360-0443.2012.04045.x&lt;/electronic-resource-num&gt;&lt;research-notes&gt;#160&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2" w:tooltip="Nonnemaker, 2012 #31" w:history="1">
        <w:r w:rsidR="00A234A9">
          <w:rPr>
            <w:rFonts w:eastAsia="Calibri" w:cs="Times New Roman"/>
            <w:noProof/>
            <w:color w:val="000000"/>
          </w:rPr>
          <w:t>72</w:t>
        </w:r>
      </w:hyperlink>
      <w:r w:rsidR="00D2134A">
        <w:rPr>
          <w:rFonts w:eastAsia="Calibri" w:cs="Times New Roman"/>
          <w:noProof/>
          <w:color w:val="000000"/>
        </w:rPr>
        <w:t>)</w:t>
      </w:r>
      <w:r w:rsidR="00D2134A">
        <w:rPr>
          <w:rFonts w:eastAsia="Calibri" w:cs="Times New Roman"/>
          <w:color w:val="000000"/>
        </w:rPr>
        <w:fldChar w:fldCharType="end"/>
      </w:r>
      <w:r w:rsidR="00C56F21">
        <w:rPr>
          <w:rFonts w:eastAsia="Calibri" w:cs="Times New Roman"/>
          <w:color w:val="000000"/>
        </w:rPr>
        <w:t xml:space="preserve"> f</w:t>
      </w:r>
      <w:r>
        <w:rPr>
          <w:rFonts w:eastAsia="Calibri" w:cs="Times New Roman"/>
          <w:color w:val="000000"/>
        </w:rPr>
        <w:t xml:space="preserve">ound that among </w:t>
      </w:r>
      <w:r w:rsidRPr="00A0218A">
        <w:rPr>
          <w:rFonts w:eastAsia="Calibri" w:cs="Times New Roman"/>
          <w:color w:val="000000"/>
        </w:rPr>
        <w:t xml:space="preserve">female current smokers </w:t>
      </w:r>
      <w:r>
        <w:rPr>
          <w:rFonts w:eastAsia="Calibri" w:cs="Times New Roman"/>
          <w:color w:val="000000"/>
        </w:rPr>
        <w:t xml:space="preserve">in the sample of </w:t>
      </w:r>
      <w:r w:rsidRPr="00A0218A">
        <w:rPr>
          <w:rFonts w:eastAsia="Calibri" w:cs="Times New Roman"/>
          <w:color w:val="000000"/>
        </w:rPr>
        <w:t>middle school and high school students age 12 to 17 at baseline</w:t>
      </w:r>
      <w:r>
        <w:rPr>
          <w:rFonts w:eastAsia="Calibri" w:cs="Times New Roman"/>
          <w:color w:val="000000"/>
        </w:rPr>
        <w:t xml:space="preserve">, </w:t>
      </w:r>
      <w:r w:rsidRPr="00A0218A">
        <w:rPr>
          <w:rFonts w:eastAsia="Calibri" w:cs="Times New Roman"/>
          <w:color w:val="000000"/>
        </w:rPr>
        <w:t xml:space="preserve">40.0 percent initiated </w:t>
      </w:r>
      <w:r w:rsidR="00BC523B">
        <w:rPr>
          <w:rFonts w:eastAsia="Calibri" w:cs="Times New Roman"/>
          <w:color w:val="000000"/>
        </w:rPr>
        <w:t>with</w:t>
      </w:r>
      <w:r w:rsidR="00BC523B" w:rsidRPr="00A0218A">
        <w:rPr>
          <w:rFonts w:eastAsia="Calibri" w:cs="Times New Roman"/>
          <w:color w:val="000000"/>
        </w:rPr>
        <w:t xml:space="preserve"> </w:t>
      </w:r>
      <w:r w:rsidRPr="00A0218A">
        <w:rPr>
          <w:rFonts w:eastAsia="Calibri" w:cs="Times New Roman"/>
          <w:color w:val="000000"/>
        </w:rPr>
        <w:t xml:space="preserve">menthol, and 60.0 percent to non-menthol. A subset of the sample was characterized as non-established smokers (smoking on fewer than 20 of the past 30 days). Among female non-established smokers, 33.6 percent initiated </w:t>
      </w:r>
      <w:r w:rsidR="00BC523B">
        <w:rPr>
          <w:rFonts w:eastAsia="Calibri" w:cs="Times New Roman"/>
          <w:color w:val="000000"/>
        </w:rPr>
        <w:t>with</w:t>
      </w:r>
      <w:r w:rsidR="00BC523B" w:rsidRPr="00A0218A">
        <w:rPr>
          <w:rFonts w:eastAsia="Calibri" w:cs="Times New Roman"/>
          <w:color w:val="000000"/>
        </w:rPr>
        <w:t xml:space="preserve"> </w:t>
      </w:r>
      <w:r w:rsidRPr="00A0218A">
        <w:rPr>
          <w:rFonts w:eastAsia="Calibri" w:cs="Times New Roman"/>
          <w:color w:val="000000"/>
        </w:rPr>
        <w:t xml:space="preserve">menthol, compared with 66.4 percent </w:t>
      </w:r>
      <w:r w:rsidR="00BC523B">
        <w:rPr>
          <w:rFonts w:eastAsia="Calibri" w:cs="Times New Roman"/>
          <w:color w:val="000000"/>
        </w:rPr>
        <w:t>with</w:t>
      </w:r>
      <w:r w:rsidR="00BC523B" w:rsidRPr="00A0218A">
        <w:rPr>
          <w:rFonts w:eastAsia="Calibri" w:cs="Times New Roman"/>
          <w:color w:val="000000"/>
        </w:rPr>
        <w:t xml:space="preserve"> </w:t>
      </w:r>
      <w:r w:rsidRPr="00A0218A">
        <w:rPr>
          <w:rFonts w:eastAsia="Calibri" w:cs="Times New Roman"/>
          <w:color w:val="000000"/>
        </w:rPr>
        <w:t>non-m</w:t>
      </w:r>
      <w:r>
        <w:rPr>
          <w:rFonts w:eastAsia="Calibri" w:cs="Times New Roman"/>
          <w:color w:val="000000"/>
        </w:rPr>
        <w:t xml:space="preserve">enthol. Nonnemaker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&lt;EndNote&gt;&lt;Cite&gt;&lt;Author&gt;Nonnemaker&lt;/Author&gt;&lt;Year&gt;2012&lt;/Year&gt;&lt;RecNum&gt;31&lt;/RecNum&gt;&lt;DisplayText&gt;(72)&lt;/DisplayText&gt;&lt;record&gt;&lt;rec-number&gt;31&lt;/rec-number&gt;&lt;foreign-keys&gt;&lt;key app="EN" db-id="a2vz2dfp8xrad6exes75zwpiw5rxwa0vwapv" timestamp="0"&gt;31&lt;/key&gt;&lt;/foreign-keys&gt;&lt;ref-type name="Journal Article"&gt;17&lt;/ref-type&gt;&lt;contributors&gt;&lt;authors&gt;&lt;author&gt;Nonnemaker, J.&lt;/author&gt;&lt;author&gt;Hersey, J.&lt;/author&gt;&lt;author&gt;Homsi, G.&lt;/author&gt;&lt;author&gt;Busey, A.&lt;/author&gt;&lt;author&gt;Allen, J.&lt;/author&gt;&lt;author&gt;Vallone, D.&lt;/author&gt;&lt;/authors&gt;&lt;/contributors&gt;&lt;auth-address&gt;RTI International, Research Triangle Park, NC 27709-2194, USA. jnonnemaker@rti.org&lt;/auth-address&gt;&lt;titles&gt;&lt;title&gt;Initiation with menthol cigarettes and youth smoking uptake&lt;/title&gt;&lt;secondary-title&gt;Addiction&lt;/secondary-title&gt;&lt;/titles&gt;&lt;periodical&gt;&lt;full-title&gt;Addiction&lt;/full-title&gt;&lt;/periodical&gt;&lt;pages&gt;171-8&lt;/pages&gt;&lt;volume&gt;108&lt;/volume&gt;&lt;number&gt;1&lt;/number&gt;&lt;keywords&gt;&lt;keyword&gt;Adolescent&lt;/keyword&gt;&lt;keyword&gt;Age Distribution&lt;/keyword&gt;&lt;keyword&gt;Child&lt;/keyword&gt;&lt;keyword&gt;Female&lt;/keyword&gt;&lt;keyword&gt;Flavoring Agents/*adverse effects&lt;/keyword&gt;&lt;keyword&gt;Humans&lt;/keyword&gt;&lt;keyword&gt;Longitudinal Studies&lt;/keyword&gt;&lt;keyword&gt;Male&lt;/keyword&gt;&lt;keyword&gt;Menthol/*adverse effects&lt;/keyword&gt;&lt;keyword&gt;Risk Factors&lt;/keyword&gt;&lt;keyword&gt;Sex Distribution&lt;/keyword&gt;&lt;keyword&gt;Smoking/*adverse effects&lt;/keyword&gt;&lt;keyword&gt;Smoking Cessation/psychology/statistics &amp;amp; numerical data&lt;/keyword&gt;&lt;keyword&gt;Tobacco Products/*adverse effects&lt;/keyword&gt;&lt;keyword&gt;Tobacco Use Disorder/*etiology&lt;/keyword&gt;&lt;keyword&gt;United States&lt;/keyword&gt;&lt;/keywords&gt;&lt;dates&gt;&lt;year&gt;2012&lt;/year&gt;&lt;pub-dates&gt;&lt;date&gt;Jan&lt;/date&gt;&lt;/pub-dates&gt;&lt;/dates&gt;&lt;isbn&gt;1360-0443 (Electronic)&amp;#xD;0965-2140 (Linking)&lt;/isbn&gt;&lt;accession-num&gt;22862154&lt;/accession-num&gt;&lt;urls&gt;&lt;related-urls&gt;&lt;url&gt;http://www.ncbi.nlm.nih.gov/pubmed/22862154&lt;/url&gt;&lt;/related-urls&gt;&lt;/urls&gt;&lt;electronic-resource-num&gt;10.1111/j.1360-0443.2012.04045.x&lt;/electronic-resource-num&gt;&lt;research-notes&gt;#160&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2" w:tooltip="Nonnemaker, 2012 #31" w:history="1">
        <w:r w:rsidR="00A234A9">
          <w:rPr>
            <w:rFonts w:eastAsia="Calibri" w:cs="Times New Roman"/>
            <w:noProof/>
            <w:color w:val="000000"/>
          </w:rPr>
          <w:t>72</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also reported percentages of youth who remained current smokers at year 3 of the ALLTURS study by switching status. Among female smokers, 13.8 percent of menthol initiators switched to non-menthol by </w:t>
      </w:r>
      <w:r w:rsidR="00D33034">
        <w:rPr>
          <w:rFonts w:eastAsia="Calibri" w:cs="Times New Roman"/>
          <w:color w:val="000000"/>
        </w:rPr>
        <w:t>wave three</w:t>
      </w:r>
      <w:r w:rsidRPr="00A0218A">
        <w:rPr>
          <w:rFonts w:eastAsia="Calibri" w:cs="Times New Roman"/>
          <w:color w:val="000000"/>
        </w:rPr>
        <w:t>, and 21.2 percent of non-menthol initiators switched to menthol.</w:t>
      </w:r>
      <w:r w:rsidR="006473B0">
        <w:rPr>
          <w:rFonts w:eastAsia="Calibri" w:cs="Times New Roman"/>
          <w:color w:val="000000"/>
        </w:rPr>
        <w:t xml:space="preserve"> Tests of statistical significance were not reported</w:t>
      </w:r>
      <w:r w:rsidR="00A20AE4">
        <w:rPr>
          <w:rFonts w:eastAsia="Calibri" w:cs="Times New Roman"/>
          <w:color w:val="000000"/>
        </w:rPr>
        <w:t>.</w:t>
      </w:r>
    </w:p>
    <w:p w14:paraId="7378CD6A" w14:textId="373296B0" w:rsidR="00D04C52" w:rsidRDefault="00D04C52" w:rsidP="00B46744">
      <w:pPr>
        <w:spacing w:after="120" w:line="240" w:lineRule="auto"/>
        <w:jc w:val="both"/>
        <w:rPr>
          <w:rFonts w:eastAsia="Calibri" w:cs="Times New Roman"/>
          <w:color w:val="000000"/>
        </w:rPr>
      </w:pPr>
      <w:r w:rsidRPr="00A0218A">
        <w:rPr>
          <w:rFonts w:eastAsia="Calibri" w:cs="Times New Roman"/>
          <w:color w:val="000000"/>
        </w:rPr>
        <w:t>In a cross-sectional study that enrolled 928 women seeking tobacco dependence treatment, Rosenbloom et</w:t>
      </w:r>
      <w:r>
        <w:rPr>
          <w:rFonts w:eastAsia="Calibri" w:cs="Times New Roman"/>
          <w:color w:val="000000"/>
        </w:rPr>
        <w:t xml:space="preserve">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&lt;EndNote&gt;&lt;Cite&gt;&lt;Author&gt;Rosenbloom&lt;/Author&gt;&lt;Year&gt;2012&lt;/Year&gt;&lt;RecNum&gt;32&lt;/RecNum&gt;&lt;DisplayText&gt;(81)&lt;/DisplayText&gt;&lt;record&gt;&lt;rec-number&gt;32&lt;/rec-number&gt;&lt;foreign-keys&gt;&lt;key app="EN" db-id="a2vz2dfp8xrad6exes75zwpiw5rxwa0vwapv" timestamp="0"&gt;32&lt;/key&gt;&lt;/foreign-keys&gt;&lt;ref-type name="Journal Article"&gt;17&lt;/ref-type&gt;&lt;contributors&gt;&lt;authors&gt;&lt;author&gt;Rosenbloom, J.&lt;/author&gt;&lt;author&gt; Rees, V. W.&lt;/author&gt;&lt;author&gt;Reid, K.&lt;/author&gt;&lt;author&gt;Wong, J.&lt;/author&gt;&lt;author&gt;Kinnunen, T.&lt;/author&gt;&lt;/authors&gt;&lt;/contributors&gt;&lt;titles&gt;&lt;title&gt;A cross-sectional study on tobacco use and dependence among women: Does menthol matter?&lt;/title&gt;&lt;secondary-title&gt;Tob Induc Dis&lt;/secondary-title&gt;&lt;/titles&gt;&lt;periodical&gt;&lt;full-title&gt;Tob Induc Dis&lt;/full-title&gt;&lt;/periodical&gt;&lt;pages&gt;1-6&lt;/pages&gt;&lt;volume&gt;10&lt;/volume&gt;&lt;number&gt;19&lt;/number&gt;&lt;section&gt;1&lt;/section&gt;&lt;keywords&gt;&lt;keyword&gt;Cigarette smoking, Menthol cigarettes, Tobacco use, Tobacco dependence, Race/Ethnicity, Female Sex/&lt;/keyword&gt;&lt;keyword&gt;Gender&lt;/keyword&gt;&lt;/keywords&gt;&lt;dates&gt;&lt;year&gt;2012&lt;/year&gt;&lt;/dates&gt;&lt;urls&gt;&lt;/urls&gt;&lt;electronic-resource-num&gt;10.1186/1617-9625-10-19&lt;/electronic-resource-num&gt;&lt;research-notes&gt;#173&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81" w:tooltip="Rosenbloom, 2012 #32" w:history="1">
        <w:r w:rsidR="00A234A9">
          <w:rPr>
            <w:rFonts w:eastAsia="Calibri" w:cs="Times New Roman"/>
            <w:noProof/>
            <w:color w:val="000000"/>
          </w:rPr>
          <w:t>81</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found that menthol smokers started smoking at an older age than non-menthol smokers</w:t>
      </w:r>
      <w:r w:rsidRPr="00A0218A" w:rsidDel="00D66E4C">
        <w:rPr>
          <w:rFonts w:eastAsia="Calibri" w:cs="Times New Roman"/>
          <w:color w:val="000000"/>
        </w:rPr>
        <w:t xml:space="preserve"> </w:t>
      </w:r>
      <w:r w:rsidRPr="00A0218A">
        <w:rPr>
          <w:rFonts w:eastAsia="Calibri" w:cs="Times New Roman"/>
          <w:color w:val="000000"/>
        </w:rPr>
        <w:t xml:space="preserve">(16.7±5.8 </w:t>
      </w:r>
      <w:r>
        <w:rPr>
          <w:rFonts w:eastAsia="Calibri" w:cs="Times New Roman"/>
          <w:color w:val="000000"/>
        </w:rPr>
        <w:t>versus</w:t>
      </w:r>
      <w:r w:rsidRPr="00A0218A">
        <w:rPr>
          <w:rFonts w:eastAsia="Calibri" w:cs="Times New Roman"/>
          <w:color w:val="000000"/>
        </w:rPr>
        <w:t xml:space="preserve"> 16.1±4.1 years, p=0.76).</w:t>
      </w:r>
      <w:r w:rsidR="00D33034">
        <w:rPr>
          <w:rFonts w:eastAsia="Calibri" w:cs="Times New Roman"/>
          <w:color w:val="000000"/>
        </w:rPr>
        <w:t xml:space="preserve"> This difference was not statistically significant.</w:t>
      </w:r>
    </w:p>
    <w:p w14:paraId="7C6D4A19" w14:textId="26C65EC8" w:rsidR="003C3DCC" w:rsidRPr="00B627BA" w:rsidRDefault="003C3DCC" w:rsidP="003C3DCC">
      <w:pPr>
        <w:spacing w:after="120" w:line="240" w:lineRule="auto"/>
        <w:jc w:val="both"/>
        <w:rPr>
          <w:rFonts w:eastAsia="Calibri" w:cs="Times New Roman"/>
          <w:color w:val="000000"/>
        </w:rPr>
      </w:pPr>
      <w:r>
        <w:rPr>
          <w:rFonts w:eastAsia="Calibri" w:cs="Times New Roman"/>
          <w:color w:val="000000"/>
        </w:rPr>
        <w:t xml:space="preserve">In investigating </w:t>
      </w:r>
      <w:r w:rsidRPr="00A0218A">
        <w:rPr>
          <w:rFonts w:eastAsia="Calibri" w:cs="Times New Roman"/>
          <w:color w:val="000000"/>
        </w:rPr>
        <w:t xml:space="preserve">smoking patterns in 323 pregnant Hispanic and non-Hispanic </w:t>
      </w:r>
      <w:r>
        <w:rPr>
          <w:rFonts w:eastAsia="Calibri" w:cs="Times New Roman"/>
          <w:color w:val="000000"/>
        </w:rPr>
        <w:t>White</w:t>
      </w:r>
      <w:r w:rsidRPr="00A0218A">
        <w:rPr>
          <w:rFonts w:eastAsia="Calibri" w:cs="Times New Roman"/>
          <w:color w:val="000000"/>
        </w:rPr>
        <w:t xml:space="preserve"> women who participated in a smoking cessation trial or a study of smoking, genetics, and birth weight</w:t>
      </w:r>
      <w:r>
        <w:rPr>
          <w:rFonts w:eastAsia="Calibri" w:cs="Times New Roman"/>
          <w:color w:val="000000"/>
        </w:rPr>
        <w:t xml:space="preserve">, </w:t>
      </w:r>
      <w:r w:rsidRPr="00A0218A">
        <w:rPr>
          <w:rFonts w:eastAsia="Calibri" w:cs="Times New Roman"/>
          <w:color w:val="000000"/>
        </w:rPr>
        <w:t xml:space="preserve">Oncken et al. </w:t>
      </w:r>
      <w:r w:rsidR="00D2134A">
        <w:rPr>
          <w:rFonts w:eastAsia="Calibri" w:cs="Times New Roman"/>
          <w:color w:val="000000"/>
        </w:rPr>
        <w:fldChar w:fldCharType="begin">
          <w:fldData xml:space="preserve">PEVuZE5vdGU+PENpdGU+PEF1dGhvcj5PbmNrZW48L0F1dGhvcj48WWVhcj4yMDE1PC9ZZWFyPjxS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PEVuZE5vdGU+PENpdGU+PEF1dGhvcj5PbmNrZW48L0F1dGhvcj48WWVhcj4yMDE1PC9ZZWFyPjxS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76" w:tooltip="Oncken, 2015 #6" w:history="1">
        <w:r w:rsidR="00A234A9">
          <w:rPr>
            <w:rFonts w:eastAsia="Calibri" w:cs="Times New Roman"/>
            <w:noProof/>
            <w:color w:val="000000"/>
          </w:rPr>
          <w:t>76</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w:t>
      </w:r>
      <w:r>
        <w:rPr>
          <w:rFonts w:eastAsia="Calibri" w:cs="Times New Roman"/>
          <w:color w:val="000000"/>
        </w:rPr>
        <w:t>concluded that</w:t>
      </w:r>
      <w:r w:rsidRPr="00A0218A">
        <w:rPr>
          <w:rFonts w:eastAsia="Calibri" w:cs="Times New Roman"/>
          <w:color w:val="000000"/>
        </w:rPr>
        <w:t xml:space="preserve"> </w:t>
      </w:r>
      <w:r>
        <w:rPr>
          <w:rFonts w:eastAsia="Calibri" w:cs="Times New Roman"/>
          <w:color w:val="000000"/>
        </w:rPr>
        <w:t>a</w:t>
      </w:r>
      <w:r w:rsidRPr="00A0218A">
        <w:rPr>
          <w:rFonts w:eastAsia="Calibri" w:cs="Times New Roman"/>
          <w:color w:val="000000"/>
        </w:rPr>
        <w:t xml:space="preserve">mong non-Hispanic </w:t>
      </w:r>
      <w:r>
        <w:rPr>
          <w:rFonts w:eastAsia="Calibri" w:cs="Times New Roman"/>
          <w:color w:val="000000"/>
        </w:rPr>
        <w:t>White</w:t>
      </w:r>
      <w:r w:rsidRPr="00A0218A">
        <w:rPr>
          <w:rFonts w:eastAsia="Calibri" w:cs="Times New Roman"/>
          <w:color w:val="000000"/>
        </w:rPr>
        <w:t xml:space="preserve"> women, they found </w:t>
      </w:r>
      <w:r>
        <w:rPr>
          <w:rFonts w:eastAsia="Calibri" w:cs="Times New Roman"/>
          <w:color w:val="000000"/>
        </w:rPr>
        <w:t>no significant difference in</w:t>
      </w:r>
      <w:r w:rsidRPr="00A0218A">
        <w:rPr>
          <w:rFonts w:eastAsia="Calibri" w:cs="Times New Roman"/>
          <w:color w:val="000000"/>
        </w:rPr>
        <w:t xml:space="preserve"> the mean age at first cigarette</w:t>
      </w:r>
      <w:r>
        <w:rPr>
          <w:rFonts w:eastAsia="Calibri" w:cs="Times New Roman"/>
          <w:color w:val="000000"/>
        </w:rPr>
        <w:t>, which</w:t>
      </w:r>
      <w:r w:rsidRPr="00A0218A">
        <w:rPr>
          <w:rFonts w:eastAsia="Calibri" w:cs="Times New Roman"/>
          <w:color w:val="000000"/>
        </w:rPr>
        <w:t xml:space="preserve"> was 15.0±3.6 years for menthol smokers and 15.6±2.9 years for non-menthol smokers</w:t>
      </w:r>
      <w:r>
        <w:rPr>
          <w:rFonts w:eastAsia="Calibri" w:cs="Times New Roman"/>
          <w:color w:val="000000"/>
        </w:rPr>
        <w:t>. Similarly, among</w:t>
      </w:r>
      <w:r w:rsidRPr="00A0218A">
        <w:rPr>
          <w:rFonts w:eastAsia="Calibri" w:cs="Times New Roman"/>
          <w:color w:val="000000"/>
        </w:rPr>
        <w:t xml:space="preserve"> Hispanic </w:t>
      </w:r>
      <w:r>
        <w:rPr>
          <w:rFonts w:eastAsia="Calibri" w:cs="Times New Roman"/>
          <w:color w:val="000000"/>
        </w:rPr>
        <w:t xml:space="preserve">White </w:t>
      </w:r>
      <w:r w:rsidRPr="00A0218A">
        <w:rPr>
          <w:rFonts w:eastAsia="Calibri" w:cs="Times New Roman"/>
          <w:color w:val="000000"/>
        </w:rPr>
        <w:t>women, the mean age at first cigarette was</w:t>
      </w:r>
      <w:r>
        <w:rPr>
          <w:rFonts w:eastAsia="Calibri" w:cs="Times New Roman"/>
          <w:color w:val="000000"/>
        </w:rPr>
        <w:t xml:space="preserve"> not significantly difference between menthol smokers</w:t>
      </w:r>
      <w:r w:rsidRPr="00A0218A">
        <w:rPr>
          <w:rFonts w:eastAsia="Calibri" w:cs="Times New Roman"/>
          <w:color w:val="000000"/>
        </w:rPr>
        <w:t xml:space="preserve"> </w:t>
      </w:r>
      <w:r>
        <w:rPr>
          <w:rFonts w:eastAsia="Calibri" w:cs="Times New Roman"/>
          <w:color w:val="000000"/>
        </w:rPr>
        <w:t>(</w:t>
      </w:r>
      <w:r w:rsidRPr="00A0218A">
        <w:rPr>
          <w:rFonts w:eastAsia="Calibri" w:cs="Times New Roman"/>
          <w:color w:val="000000"/>
        </w:rPr>
        <w:t>15.8±3.2 years</w:t>
      </w:r>
      <w:r>
        <w:rPr>
          <w:rFonts w:eastAsia="Calibri" w:cs="Times New Roman"/>
          <w:color w:val="000000"/>
        </w:rPr>
        <w:t>)</w:t>
      </w:r>
      <w:r w:rsidRPr="00A0218A">
        <w:rPr>
          <w:rFonts w:eastAsia="Calibri" w:cs="Times New Roman"/>
          <w:color w:val="000000"/>
        </w:rPr>
        <w:t xml:space="preserve"> compared with non-menthol smokers</w:t>
      </w:r>
      <w:r>
        <w:rPr>
          <w:rFonts w:eastAsia="Calibri" w:cs="Times New Roman"/>
          <w:color w:val="000000"/>
        </w:rPr>
        <w:t xml:space="preserve"> (</w:t>
      </w:r>
      <w:r w:rsidRPr="00A0218A">
        <w:rPr>
          <w:rFonts w:eastAsia="Calibri" w:cs="Times New Roman"/>
          <w:color w:val="000000"/>
        </w:rPr>
        <w:t>17.7±3.6 years</w:t>
      </w:r>
      <w:r>
        <w:rPr>
          <w:rFonts w:eastAsia="Calibri" w:cs="Times New Roman"/>
          <w:color w:val="000000"/>
        </w:rPr>
        <w:t>).</w:t>
      </w:r>
    </w:p>
    <w:p w14:paraId="07C0A52F" w14:textId="292E2D58" w:rsidR="00D04C52" w:rsidRPr="00A0218A" w:rsidRDefault="00D04C52" w:rsidP="00B46744">
      <w:pPr>
        <w:spacing w:after="120" w:line="240" w:lineRule="auto"/>
        <w:jc w:val="both"/>
        <w:rPr>
          <w:rFonts w:eastAsia="Calibri" w:cs="Times New Roman"/>
          <w:color w:val="000000"/>
        </w:rPr>
      </w:pPr>
      <w:r>
        <w:rPr>
          <w:rFonts w:eastAsia="Calibri" w:cs="Times New Roman"/>
          <w:color w:val="000000"/>
        </w:rPr>
        <w:t xml:space="preserve">Villanti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&lt;EndNote&gt;&lt;Cite&gt;&lt;Author&gt;Villanti&lt;/Author&gt;&lt;Year&gt;2012&lt;/Year&gt;&lt;RecNum&gt;37&lt;/RecNum&gt;&lt;DisplayText&gt;(86)&lt;/DisplayText&gt;&lt;record&gt;&lt;rec-number&gt;37&lt;/rec-number&gt;&lt;foreign-keys&gt;&lt;key app="EN" db-id="a2vz2dfp8xrad6exes75zwpiw5rxwa0vwapv" timestamp="0"&gt;37&lt;/key&gt;&lt;/foreign-keys&gt;&lt;ref-type name="Journal Article"&gt;17&lt;/ref-type&gt;&lt;contributors&gt;&lt;authors&gt;&lt;author&gt;Villanti, A. C. &lt;/author&gt;&lt;author&gt;Giovino, G. A.&lt;/author&gt;&lt;author&gt;Barker, D. C.&lt;/author&gt;&lt;author&gt;Mowery, P.&lt;/author&gt;&lt;author&gt;Sevilimedu, V.&lt;/author&gt;&lt;author&gt;Abrams, D. B.&lt;/author&gt;&lt;/authors&gt;&lt;/contributors&gt;&lt;titles&gt;&lt;title&gt;Menthol brand switching among adolescents and young adults in the national youth smoking cessation survey&lt;/title&gt;&lt;secondary-title&gt;Am J Public Health&lt;/secondary-title&gt;&lt;/titles&gt;&lt;periodical&gt;&lt;full-title&gt;Am J Public Health&lt;/full-title&gt;&lt;/periodical&gt;&lt;pages&gt;1310-12&lt;/pages&gt;&lt;volume&gt;102&lt;/volume&gt;&lt;number&gt;7&lt;/number&gt;&lt;dates&gt;&lt;year&gt;2012&lt;/year&gt;&lt;pub-dates&gt;&lt;date&gt;Oct&lt;/date&gt;&lt;/pub-dates&gt;&lt;/dates&gt;&lt;urls&gt;&lt;/urls&gt;&lt;research-notes&gt;#191&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86" w:tooltip="Villanti, 2012 #37" w:history="1">
        <w:r w:rsidR="00A234A9">
          <w:rPr>
            <w:rFonts w:eastAsia="Calibri" w:cs="Times New Roman"/>
            <w:noProof/>
            <w:color w:val="000000"/>
          </w:rPr>
          <w:t>86</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used weighted data from the National Youth Smoking Cessation Survey, a prospective cohort study of 16 to 24</w:t>
      </w:r>
      <w:r w:rsidR="006441A1">
        <w:rPr>
          <w:rFonts w:eastAsia="Calibri" w:cs="Times New Roman"/>
          <w:color w:val="000000"/>
        </w:rPr>
        <w:t>-</w:t>
      </w:r>
      <w:r w:rsidRPr="00A0218A">
        <w:rPr>
          <w:rFonts w:eastAsia="Calibri" w:cs="Times New Roman"/>
          <w:color w:val="000000"/>
        </w:rPr>
        <w:t>year</w:t>
      </w:r>
      <w:r w:rsidR="006441A1">
        <w:rPr>
          <w:rFonts w:eastAsia="Calibri" w:cs="Times New Roman"/>
          <w:color w:val="000000"/>
        </w:rPr>
        <w:t>-</w:t>
      </w:r>
      <w:r w:rsidRPr="00A0218A">
        <w:rPr>
          <w:rFonts w:eastAsia="Calibri" w:cs="Times New Roman"/>
          <w:color w:val="000000"/>
        </w:rPr>
        <w:t>olds, to examine rates of switching between menthol and non-menthol cigarettes. In 2005 (24 months after baseline), the authors found that more female menthol smokers had switched to non-menthol (10.9%, 95% CI: 6.3% to 15.5%) compared with female non-menthol smokers who switched to menthol (6.6%, 95% CI: 3.7% to 9.4%).</w:t>
      </w:r>
      <w:r w:rsidR="006473B0">
        <w:rPr>
          <w:rFonts w:eastAsia="Calibri" w:cs="Times New Roman"/>
          <w:color w:val="000000"/>
        </w:rPr>
        <w:t xml:space="preserve"> This difference was not statistically significant.</w:t>
      </w:r>
    </w:p>
    <w:p w14:paraId="048DB88C" w14:textId="56B00B1B" w:rsidR="00D04C52" w:rsidRDefault="00D04C52" w:rsidP="00B46744">
      <w:pPr>
        <w:spacing w:after="240" w:line="240" w:lineRule="auto"/>
        <w:jc w:val="both"/>
        <w:rPr>
          <w:rFonts w:eastAsia="Calibri" w:cs="Times New Roman"/>
          <w:color w:val="000000"/>
        </w:rPr>
      </w:pPr>
      <w:r w:rsidRPr="00A0218A">
        <w:rPr>
          <w:rFonts w:eastAsia="Calibri" w:cs="Times New Roman"/>
          <w:color w:val="000000"/>
        </w:rPr>
        <w:t xml:space="preserve">In another publication that analyzed data from </w:t>
      </w:r>
      <w:r>
        <w:rPr>
          <w:rFonts w:eastAsia="Calibri" w:cs="Times New Roman"/>
          <w:color w:val="000000"/>
        </w:rPr>
        <w:t xml:space="preserve">the ALLTURS, Nonnemaker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&lt;EndNote&gt;&lt;Cite&gt;&lt;Author&gt;Nonnemaker&lt;/Author&gt;&lt;Year&gt;2010&lt;/Year&gt;&lt;RecNum&gt;97&lt;/RecNum&gt;&lt;DisplayText&gt;(73)&lt;/DisplayText&gt;&lt;record&gt;&lt;rec-number&gt;97&lt;/rec-number&gt;&lt;foreign-keys&gt;&lt;key app="EN" db-id="a2vz2dfp8xrad6exes75zwpiw5rxwa0vwapv" timestamp="0"&gt;97&lt;/key&gt;&lt;/foreign-keys&gt;&lt;ref-type name="Report"&gt;27&lt;/ref-type&gt;&lt;contributors&gt;&lt;authors&gt;&lt;author&gt;Nonnemaker, J.&lt;/author&gt;&lt;author&gt;Hersey, J.&lt;/author&gt;&lt;author&gt;Homsi, G.&lt;/author&gt;&lt;author&gt;Busey, A.&lt;/author&gt;&lt;/authors&gt;&lt;/contributors&gt;&lt;titles&gt;&lt;title&gt;Menthol cigarettes and youth smoking updake&lt;/title&gt;&lt;/titles&gt;&lt;dates&gt;&lt;year&gt;2010&lt;/year&gt;&lt;/dates&gt;&lt;pub-location&gt;RTI International&lt;/pub-location&gt;&lt;urls&gt;&lt;/urls&gt;&lt;research-notes&gt;#812&lt;/research-notes&gt;&lt;/record&gt;&lt;/Cite&gt;&lt;/EndNote&gt;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3" w:tooltip="Nonnemaker, 2010 #97" w:history="1">
        <w:r w:rsidR="00A234A9">
          <w:rPr>
            <w:rFonts w:eastAsia="Calibri" w:cs="Times New Roman"/>
            <w:noProof/>
            <w:color w:val="000000"/>
          </w:rPr>
          <w:t>73</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assessed the percentage of female current smokers at </w:t>
      </w:r>
      <w:r w:rsidR="00BB50F9">
        <w:rPr>
          <w:rFonts w:eastAsia="Calibri" w:cs="Times New Roman"/>
          <w:color w:val="000000"/>
        </w:rPr>
        <w:t>wave three</w:t>
      </w:r>
      <w:r w:rsidRPr="00A0218A">
        <w:rPr>
          <w:rFonts w:eastAsia="Calibri" w:cs="Times New Roman"/>
          <w:color w:val="000000"/>
        </w:rPr>
        <w:t xml:space="preserve"> </w:t>
      </w:r>
      <w:r w:rsidR="00CD6B1E">
        <w:rPr>
          <w:rFonts w:eastAsia="Calibri" w:cs="Times New Roman"/>
          <w:color w:val="000000"/>
        </w:rPr>
        <w:t>initiators</w:t>
      </w:r>
      <w:r w:rsidRPr="00A0218A">
        <w:rPr>
          <w:rFonts w:eastAsia="Calibri" w:cs="Times New Roman"/>
          <w:color w:val="000000"/>
        </w:rPr>
        <w:t xml:space="preserve"> to menthol cigarettes. The authors analyzed two sets of smokers: one that included youth who started smoking during the final wave (year three) and one that </w:t>
      </w:r>
      <w:r w:rsidR="00BB50F9">
        <w:rPr>
          <w:rFonts w:eastAsia="Calibri" w:cs="Times New Roman"/>
          <w:color w:val="000000"/>
        </w:rPr>
        <w:t>excluded the wave three initiators</w:t>
      </w:r>
      <w:r w:rsidRPr="00A0218A">
        <w:rPr>
          <w:rFonts w:eastAsia="Calibri" w:cs="Times New Roman"/>
          <w:color w:val="000000"/>
        </w:rPr>
        <w:t xml:space="preserve">. </w:t>
      </w:r>
      <w:r w:rsidR="00BB50F9">
        <w:rPr>
          <w:rFonts w:eastAsia="Calibri" w:cs="Times New Roman"/>
          <w:color w:val="000000"/>
        </w:rPr>
        <w:t>When including wave three initiators,</w:t>
      </w:r>
      <w:r w:rsidRPr="00A0218A">
        <w:rPr>
          <w:rFonts w:eastAsia="Calibri" w:cs="Times New Roman"/>
          <w:color w:val="000000"/>
        </w:rPr>
        <w:t xml:space="preserve"> 42.0 percent of female current smokers initiated to menthol; </w:t>
      </w:r>
      <w:r w:rsidR="00BB50F9">
        <w:rPr>
          <w:rFonts w:eastAsia="Calibri" w:cs="Times New Roman"/>
          <w:color w:val="000000"/>
        </w:rPr>
        <w:t>when excluding wave three initiators</w:t>
      </w:r>
      <w:r w:rsidRPr="00A0218A">
        <w:rPr>
          <w:rFonts w:eastAsia="Calibri" w:cs="Times New Roman"/>
          <w:color w:val="000000"/>
        </w:rPr>
        <w:t xml:space="preserve">, 40.0 </w:t>
      </w:r>
      <w:r w:rsidRPr="00A32DC8">
        <w:rPr>
          <w:rFonts w:eastAsia="Calibri" w:cs="Times New Roman"/>
          <w:color w:val="000000"/>
        </w:rPr>
        <w:t>percent initiated to menthol. Nonnemaker et al</w:t>
      </w:r>
      <w:r w:rsidR="00FB62D0" w:rsidRPr="00A32DC8">
        <w:rPr>
          <w:rFonts w:eastAsia="Calibri" w:cs="Times New Roman"/>
          <w:color w:val="000000"/>
        </w:rPr>
        <w:t xml:space="preserve">.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&lt;EndNote&gt;&lt;Cite&gt;&lt;Author&gt;Nonnemaker&lt;/Author&gt;&lt;Year&gt;2010&lt;/Year&gt;&lt;RecNum&gt;97&lt;/RecNum&gt;&lt;DisplayText&gt;(73)&lt;/DisplayText&gt;&lt;record&gt;&lt;rec-number&gt;97&lt;/rec-number&gt;&lt;foreign-keys&gt;&lt;key app="EN" db-id="a2vz2dfp8xrad6exes75zwpiw5rxwa0vwapv" timestamp="0"&gt;97&lt;/key&gt;&lt;/foreign-keys&gt;&lt;ref-type name="Report"&gt;27&lt;/ref-type&gt;&lt;contributors&gt;&lt;authors&gt;&lt;author&gt;Nonnemaker, J.&lt;/author&gt;&lt;author&gt;Hersey, J.&lt;/author&gt;&lt;author&gt;Homsi, G.&lt;/author&gt;&lt;author&gt;Busey, A.&lt;/author&gt;&lt;/authors&gt;&lt;/contributors&gt;&lt;titles&gt;&lt;title&gt;Menthol cigarettes and youth smoking updake&lt;/title&gt;&lt;/titles&gt;&lt;dates&gt;&lt;year&gt;2010&lt;/year&gt;&lt;/dates&gt;&lt;pub-location&gt;RTI International&lt;/pub-location&gt;&lt;urls&gt;&lt;/urls&gt;&lt;research-notes&gt;#812&lt;/research-notes&gt;&lt;/record&gt;&lt;/Cite&gt;&lt;/EndNote&gt;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3" w:tooltip="Nonnemaker, 2010 #97" w:history="1">
        <w:r w:rsidR="00A234A9">
          <w:rPr>
            <w:rFonts w:eastAsia="Calibri" w:cs="Times New Roman"/>
            <w:noProof/>
            <w:color w:val="000000"/>
          </w:rPr>
          <w:t>73</w:t>
        </w:r>
      </w:hyperlink>
      <w:r w:rsidR="00D2134A">
        <w:rPr>
          <w:rFonts w:eastAsia="Calibri" w:cs="Times New Roman"/>
          <w:noProof/>
          <w:color w:val="000000"/>
        </w:rPr>
        <w:t>)</w:t>
      </w:r>
      <w:r w:rsidR="00D2134A">
        <w:rPr>
          <w:rFonts w:eastAsia="Calibri" w:cs="Times New Roman"/>
          <w:color w:val="000000"/>
        </w:rPr>
        <w:fldChar w:fldCharType="end"/>
      </w:r>
      <w:r w:rsidR="00FB62D0" w:rsidRPr="00A32DC8">
        <w:rPr>
          <w:rFonts w:eastAsia="Calibri" w:cs="Times New Roman"/>
          <w:color w:val="000000"/>
        </w:rPr>
        <w:t xml:space="preserve"> al</w:t>
      </w:r>
      <w:r w:rsidRPr="00A32DC8">
        <w:rPr>
          <w:rFonts w:eastAsia="Calibri" w:cs="Times New Roman"/>
          <w:color w:val="000000"/>
        </w:rPr>
        <w:t>so examined rates of switching cigarette type among female youth in this sample. Including youth who started smoking during the final wave, 5.4 percent of female menthol smokers switched to non-menthol cigarettes, and 8.3 percent of female non-menthol smokers switched to menthol cigarettes.</w:t>
      </w:r>
      <w:r w:rsidR="006473B0" w:rsidRPr="00A32DC8">
        <w:rPr>
          <w:rFonts w:eastAsia="Calibri" w:cs="Times New Roman"/>
          <w:color w:val="000000"/>
        </w:rPr>
        <w:t xml:space="preserve"> </w:t>
      </w:r>
      <w:r w:rsidR="00BB50F9" w:rsidRPr="00A32DC8">
        <w:rPr>
          <w:rFonts w:eastAsia="Calibri" w:cs="Times New Roman"/>
          <w:color w:val="000000"/>
        </w:rPr>
        <w:t>It is unclear how much overlap there is in the samples used in the 2010 and 2012 publications and t</w:t>
      </w:r>
      <w:r w:rsidR="006473B0" w:rsidRPr="00A32DC8">
        <w:rPr>
          <w:rFonts w:eastAsia="Calibri" w:cs="Times New Roman"/>
          <w:color w:val="000000"/>
        </w:rPr>
        <w:t>ests of statistical significance were not reported.</w:t>
      </w:r>
    </w:p>
    <w:p w14:paraId="4BED7660" w14:textId="1A752328" w:rsidR="007008A2" w:rsidRPr="008E041E" w:rsidRDefault="007008A2" w:rsidP="008E041E">
      <w:r>
        <w:rPr>
          <w:rFonts w:eastAsia="Calibri" w:cs="Times New Roman"/>
          <w:color w:val="000000"/>
        </w:rPr>
        <w:lastRenderedPageBreak/>
        <w:t xml:space="preserve">The study by </w:t>
      </w:r>
      <w:r w:rsidRPr="001A4FE3">
        <w:t xml:space="preserve">Cubbin et al. </w:t>
      </w:r>
      <w:r w:rsidR="00D2134A">
        <w:fldChar w:fldCharType="begin"/>
      </w:r>
      <w:r w:rsidR="00D2134A">
        <w:instrText xml:space="preserve"> ADDIN EN.CITE &lt;EndNote&gt;&lt;Cite&gt;&lt;Author&gt;Cubbin&lt;/Author&gt;&lt;Year&gt;2010&lt;/Year&gt;&lt;RecNum&gt;53&lt;/RecNum&gt;&lt;DisplayText&gt;(50)&lt;/DisplayText&gt;&lt;record&gt;&lt;rec-number&gt;53&lt;/rec-number&gt;&lt;foreign-keys&gt;&lt;key app="EN" db-id="a2vz2dfp8xrad6exes75zwpiw5rxwa0vwapv" timestamp="0"&gt;53&lt;/key&gt;&lt;/foreign-keys&gt;&lt;ref-type name="Journal Article"&gt;17&lt;/ref-type&gt;&lt;contributors&gt;&lt;authors&gt;&lt;author&gt;Cubbin, C.&lt;/author&gt;&lt;author&gt;Soobader, M. J.&lt;/author&gt;&lt;author&gt;LeClere, F. B.&lt;/author&gt;&lt;/authors&gt;&lt;/contributors&gt;&lt;auth-address&gt;School of Social Work, University of Texas at Austin, Austin, TX 78712-0358, USA. ccubbin@austin.utexas.edu&lt;/auth-address&gt;&lt;titles&gt;&lt;title&gt;The intersection of gender and race/ethnicity in smoking behaviors among menthol and non-menthol smokers in the United States&lt;/title&gt;&lt;secondary-title&gt;Addiction&lt;/secondary-title&gt;&lt;/titles&gt;&lt;periodical&gt;&lt;full-title&gt;Addiction&lt;/full-title&gt;&lt;/periodical&gt;&lt;pages&gt;32-8&lt;/pages&gt;&lt;volume&gt;105 Suppl 1&lt;/volume&gt;&lt;keywords&gt;&lt;keyword&gt;Adult&lt;/keyword&gt;&lt;keyword&gt;African Americans/statistics &amp;amp; numerical data&lt;/keyword&gt;&lt;keyword&gt;Age of Onset&lt;/keyword&gt;&lt;keyword&gt;Cross-Sectional Studies&lt;/keyword&gt;&lt;keyword&gt;European Continental Ancestry Group/statistics &amp;amp; numerical data&lt;/keyword&gt;&lt;keyword&gt;Female&lt;/keyword&gt;&lt;keyword&gt;Hispanic Americans/statistics &amp;amp; numerical data&lt;/keyword&gt;&lt;keyword&gt;Humans&lt;/keyword&gt;&lt;keyword&gt;Male&lt;/keyword&gt;&lt;keyword&gt;*Menthol&lt;/keyword&gt;&lt;keyword&gt;Middle Aged&lt;/keyword&gt;&lt;keyword&gt;*Population Surveillance&lt;/keyword&gt;&lt;keyword&gt;Sex Factors&lt;/keyword&gt;&lt;keyword&gt;Smoking/*epidemiology/ethnology&lt;/keyword&gt;&lt;keyword&gt;Smoking Cessation/ethnology/statistics &amp;amp; numerical data&lt;/keyword&gt;&lt;keyword&gt;Socioeconomic Factors&lt;/keyword&gt;&lt;keyword&gt;United States/epidemiology&lt;/keyword&gt;&lt;/keywords&gt;&lt;dates&gt;&lt;year&gt;2010&lt;/year&gt;&lt;pub-dates&gt;&lt;date&gt;Dec&lt;/date&gt;&lt;/pub-dates&gt;&lt;/dates&gt;&lt;isbn&gt;1360-0443 (Electronic)&amp;#xD;0965-2140 (Linking)&lt;/isbn&gt;&lt;accession-num&gt;21059134&lt;/accession-num&gt;&lt;urls&gt;&lt;related-urls&gt;&lt;url&gt;http://www.ncbi.nlm.nih.gov/pubmed/21059134&lt;/url&gt;&lt;/related-urls&gt;&lt;/urls&gt;&lt;electronic-resource-num&gt;10.1111/j.1360-0443.2010.03191.x&lt;/electronic-resource-num&gt;&lt;research-notes&gt;#281&lt;/research-notes&gt;&lt;/record&gt;&lt;/Cite&gt;&lt;/EndNote&gt;</w:instrText>
      </w:r>
      <w:r w:rsidR="00D2134A">
        <w:fldChar w:fldCharType="separate"/>
      </w:r>
      <w:r w:rsidR="00D2134A">
        <w:rPr>
          <w:noProof/>
        </w:rPr>
        <w:t>(</w:t>
      </w:r>
      <w:hyperlink w:anchor="_ENREF_50" w:tooltip="Cubbin, 2010 #53" w:history="1">
        <w:r w:rsidR="00A234A9">
          <w:rPr>
            <w:noProof/>
          </w:rPr>
          <w:t>50</w:t>
        </w:r>
      </w:hyperlink>
      <w:r w:rsidR="00D2134A">
        <w:rPr>
          <w:noProof/>
        </w:rPr>
        <w:t>)</w:t>
      </w:r>
      <w:r w:rsidR="00D2134A">
        <w:fldChar w:fldCharType="end"/>
      </w:r>
      <w:r w:rsidRPr="001A4FE3">
        <w:t xml:space="preserve"> reported data from adults in the 2005 NHIS</w:t>
      </w:r>
      <w:r>
        <w:t xml:space="preserve"> looking at the </w:t>
      </w:r>
      <w:r w:rsidRPr="001A4FE3">
        <w:t>distribution of daily and non-daily smoking in menthol and non-menthol smokers stratified by race</w:t>
      </w:r>
      <w:r w:rsidR="00BF13A5">
        <w:t>/ethnicity</w:t>
      </w:r>
      <w:r w:rsidRPr="001A4FE3">
        <w:t xml:space="preserve"> and gender. Authors reported that in Black women population, for menthol use 3.1 percent were non-daily smokers and 11.2 percent were daily smokers, and for non-menthol use 0.9 percent were non-daily smokers and 3.3 percent were daily smokers; in Hispanic women population, for menthol use 1.5 percent were non-daily smokers and 3.1 percent were daily smokers, and for non-menthol use 2.1 percent were non-daily smokers and 5.7 percent were daily smokers; in White women population, for menthol use 0.9 percent were non-daily smokers and 4.7 percent were daily smokers, and for non-menthol use 2.9 percent were non-daily smokers and 14.4 perc</w:t>
      </w:r>
      <w:r>
        <w:t>ent were daily smokers.</w:t>
      </w:r>
    </w:p>
    <w:p w14:paraId="6FE31E75" w14:textId="77777777" w:rsidR="00D04C52" w:rsidRPr="00A32DC8" w:rsidRDefault="00D04C52" w:rsidP="008E041E">
      <w:pPr>
        <w:spacing w:after="120" w:line="240" w:lineRule="auto"/>
        <w:jc w:val="both"/>
        <w:outlineLvl w:val="2"/>
        <w:rPr>
          <w:rFonts w:eastAsia="Calibri" w:cs="Times New Roman"/>
          <w:b/>
          <w:i/>
          <w:color w:val="000000"/>
        </w:rPr>
      </w:pPr>
      <w:r w:rsidRPr="00A32DC8">
        <w:rPr>
          <w:rFonts w:eastAsia="Calibri" w:cs="Times New Roman"/>
          <w:b/>
          <w:i/>
          <w:color w:val="000000"/>
        </w:rPr>
        <w:t>Men</w:t>
      </w:r>
    </w:p>
    <w:p w14:paraId="771469AF" w14:textId="6F7E14F0" w:rsidR="008E041E" w:rsidRDefault="00D04C52" w:rsidP="00B46744">
      <w:pPr>
        <w:spacing w:after="120" w:line="240" w:lineRule="auto"/>
        <w:jc w:val="both"/>
        <w:rPr>
          <w:rFonts w:eastAsia="Calibri" w:cs="Times New Roman"/>
          <w:i/>
          <w:color w:val="000000"/>
        </w:rPr>
      </w:pPr>
      <w:r w:rsidRPr="00A32DC8">
        <w:rPr>
          <w:rFonts w:eastAsia="Calibri" w:cs="Times New Roman"/>
          <w:i/>
          <w:color w:val="000000"/>
        </w:rPr>
        <w:t>Among a total of 4 studies</w:t>
      </w:r>
      <w:r w:rsidR="00BB50F9" w:rsidRPr="00A32DC8">
        <w:rPr>
          <w:rFonts w:eastAsia="Calibri" w:cs="Times New Roman"/>
          <w:i/>
          <w:color w:val="000000"/>
        </w:rPr>
        <w:t xml:space="preserve"> </w:t>
      </w:r>
      <w:r w:rsidR="00D2134A">
        <w:rPr>
          <w:rFonts w:eastAsia="Calibri" w:cs="Times New Roman"/>
          <w:i/>
          <w:color w:val="000000"/>
        </w:rPr>
        <w:fldChar w:fldCharType="begin">
          <w:fldData xml:space="preserve">PEVuZE5vdGU+PENpdGU+PEF1dGhvcj5Ob25uZW1ha2VyPC9BdXRob3I+PFllYXI+MjAxMDwvWWVh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PEVuZE5vdGU+PENpdGU+PEF1dGhvcj5Ob25uZW1ha2VyPC9BdXRob3I+PFllYXI+MjAxMDwvWWVh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2" w:tooltip="Nonnemaker, 2012 #31" w:history="1">
        <w:r w:rsidR="00A234A9">
          <w:rPr>
            <w:rFonts w:eastAsia="Calibri" w:cs="Times New Roman"/>
            <w:i/>
            <w:noProof/>
            <w:color w:val="000000"/>
          </w:rPr>
          <w:t>72</w:t>
        </w:r>
      </w:hyperlink>
      <w:r w:rsidR="00D2134A">
        <w:rPr>
          <w:rFonts w:eastAsia="Calibri" w:cs="Times New Roman"/>
          <w:i/>
          <w:noProof/>
          <w:color w:val="000000"/>
        </w:rPr>
        <w:t xml:space="preserve">, </w:t>
      </w:r>
      <w:hyperlink w:anchor="_ENREF_73" w:tooltip="Nonnemaker, 2010 #97" w:history="1">
        <w:r w:rsidR="00A234A9">
          <w:rPr>
            <w:rFonts w:eastAsia="Calibri" w:cs="Times New Roman"/>
            <w:i/>
            <w:noProof/>
            <w:color w:val="000000"/>
          </w:rPr>
          <w:t>73</w:t>
        </w:r>
      </w:hyperlink>
      <w:r w:rsidR="00D2134A">
        <w:rPr>
          <w:rFonts w:eastAsia="Calibri" w:cs="Times New Roman"/>
          <w:i/>
          <w:noProof/>
          <w:color w:val="000000"/>
        </w:rPr>
        <w:t xml:space="preserve">, </w:t>
      </w:r>
      <w:hyperlink w:anchor="_ENREF_79" w:tooltip="Rath, 2015 #3" w:history="1">
        <w:r w:rsidR="00A234A9">
          <w:rPr>
            <w:rFonts w:eastAsia="Calibri" w:cs="Times New Roman"/>
            <w:i/>
            <w:noProof/>
            <w:color w:val="000000"/>
          </w:rPr>
          <w:t>79</w:t>
        </w:r>
      </w:hyperlink>
      <w:r w:rsidR="00D2134A">
        <w:rPr>
          <w:rFonts w:eastAsia="Calibri" w:cs="Times New Roman"/>
          <w:i/>
          <w:noProof/>
          <w:color w:val="000000"/>
        </w:rPr>
        <w:t xml:space="preserve">, </w:t>
      </w:r>
      <w:hyperlink w:anchor="_ENREF_86" w:tooltip="Villanti, 2012 #37" w:history="1">
        <w:r w:rsidR="00A234A9">
          <w:rPr>
            <w:rFonts w:eastAsia="Calibri" w:cs="Times New Roman"/>
            <w:i/>
            <w:noProof/>
            <w:color w:val="000000"/>
          </w:rPr>
          <w:t>86</w:t>
        </w:r>
      </w:hyperlink>
      <w:r w:rsidR="00D2134A">
        <w:rPr>
          <w:rFonts w:eastAsia="Calibri" w:cs="Times New Roman"/>
          <w:i/>
          <w:noProof/>
          <w:color w:val="000000"/>
        </w:rPr>
        <w:t>)</w:t>
      </w:r>
      <w:r w:rsidR="00D2134A">
        <w:rPr>
          <w:rFonts w:eastAsia="Calibri" w:cs="Times New Roman"/>
          <w:i/>
          <w:color w:val="000000"/>
        </w:rPr>
        <w:fldChar w:fldCharType="end"/>
      </w:r>
      <w:r w:rsidRPr="00A32DC8">
        <w:rPr>
          <w:rFonts w:eastAsia="Calibri" w:cs="Times New Roman"/>
          <w:i/>
          <w:color w:val="000000"/>
        </w:rPr>
        <w:t xml:space="preserve">, </w:t>
      </w:r>
      <w:r w:rsidR="00BB50F9" w:rsidRPr="00A32DC8">
        <w:rPr>
          <w:rFonts w:eastAsia="Calibri" w:cs="Times New Roman"/>
          <w:i/>
          <w:color w:val="000000"/>
        </w:rPr>
        <w:t xml:space="preserve">the two studies from ALLTURS </w:t>
      </w:r>
      <w:r w:rsidRPr="00A32DC8">
        <w:rPr>
          <w:rFonts w:eastAsia="Calibri" w:cs="Times New Roman"/>
          <w:i/>
          <w:color w:val="000000"/>
        </w:rPr>
        <w:t xml:space="preserve">found 34 to 44 percent of male smokers initiated </w:t>
      </w:r>
      <w:r w:rsidR="00BB50F9" w:rsidRPr="00A32DC8">
        <w:rPr>
          <w:rFonts w:eastAsia="Calibri" w:cs="Times New Roman"/>
          <w:i/>
          <w:color w:val="000000"/>
        </w:rPr>
        <w:t xml:space="preserve">with </w:t>
      </w:r>
      <w:r w:rsidRPr="00A32DC8">
        <w:rPr>
          <w:rFonts w:eastAsia="Calibri" w:cs="Times New Roman"/>
          <w:i/>
          <w:color w:val="000000"/>
        </w:rPr>
        <w:t>menthol</w:t>
      </w:r>
      <w:r w:rsidR="00BB50F9" w:rsidRPr="00A32DC8">
        <w:rPr>
          <w:rFonts w:eastAsia="Calibri" w:cs="Times New Roman"/>
          <w:i/>
          <w:color w:val="000000"/>
        </w:rPr>
        <w:t xml:space="preserve"> </w:t>
      </w:r>
      <w:r w:rsidR="00D2134A">
        <w:rPr>
          <w:rFonts w:eastAsia="Calibri" w:cs="Times New Roman"/>
          <w:i/>
          <w:color w:val="000000"/>
        </w:rPr>
        <w:fldChar w:fldCharType="begin">
          <w:fldData xml:space="preserve">PEVuZE5vdGU+PENpdGU+PEF1dGhvcj5Ob25uZW1ha2VyPC9BdXRob3I+PFllYXI+MjAxMDwvWWVh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PEVuZE5vdGU+PENpdGU+PEF1dGhvcj5Ob25uZW1ha2VyPC9BdXRob3I+PFllYXI+MjAxMDwvWWVh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2" w:tooltip="Nonnemaker, 2012 #31" w:history="1">
        <w:r w:rsidR="00A234A9">
          <w:rPr>
            <w:rFonts w:eastAsia="Calibri" w:cs="Times New Roman"/>
            <w:i/>
            <w:noProof/>
            <w:color w:val="000000"/>
          </w:rPr>
          <w:t>72</w:t>
        </w:r>
      </w:hyperlink>
      <w:r w:rsidR="00D2134A">
        <w:rPr>
          <w:rFonts w:eastAsia="Calibri" w:cs="Times New Roman"/>
          <w:i/>
          <w:noProof/>
          <w:color w:val="000000"/>
        </w:rPr>
        <w:t xml:space="preserve">, </w:t>
      </w:r>
      <w:hyperlink w:anchor="_ENREF_73" w:tooltip="Nonnemaker, 2010 #97" w:history="1">
        <w:r w:rsidR="00A234A9">
          <w:rPr>
            <w:rFonts w:eastAsia="Calibri" w:cs="Times New Roman"/>
            <w:i/>
            <w:noProof/>
            <w:color w:val="000000"/>
          </w:rPr>
          <w:t>73</w:t>
        </w:r>
      </w:hyperlink>
      <w:r w:rsidR="00D2134A">
        <w:rPr>
          <w:rFonts w:eastAsia="Calibri" w:cs="Times New Roman"/>
          <w:i/>
          <w:noProof/>
          <w:color w:val="000000"/>
        </w:rPr>
        <w:t>)</w:t>
      </w:r>
      <w:r w:rsidR="00D2134A">
        <w:rPr>
          <w:rFonts w:eastAsia="Calibri" w:cs="Times New Roman"/>
          <w:i/>
          <w:color w:val="000000"/>
        </w:rPr>
        <w:fldChar w:fldCharType="end"/>
      </w:r>
      <w:r w:rsidRPr="00A32DC8">
        <w:rPr>
          <w:rFonts w:eastAsia="Calibri" w:cs="Times New Roman"/>
          <w:i/>
          <w:color w:val="000000"/>
        </w:rPr>
        <w:t>. Among youth and young adults, three studies found that more male non-menthol smokers switched to menthol cigarettes than menthol to non-menthol cigarettes</w:t>
      </w:r>
      <w:r w:rsidR="00BB50F9" w:rsidRPr="00A32DC8">
        <w:rPr>
          <w:rFonts w:eastAsia="Calibri" w:cs="Times New Roman"/>
          <w:i/>
          <w:color w:val="000000"/>
        </w:rPr>
        <w:t xml:space="preserve"> </w:t>
      </w:r>
      <w:r w:rsidR="00D2134A">
        <w:rPr>
          <w:rFonts w:eastAsia="Calibri" w:cs="Times New Roman"/>
          <w:i/>
          <w:color w:val="000000"/>
        </w:rPr>
        <w:fldChar w:fldCharType="begin">
          <w:fldData xml:space="preserve">PEVuZE5vdGU+PENpdGU+PEF1dGhvcj5Ob25uZW1ha2VyPC9BdXRob3I+PFllYXI+MjAxMDwvWWVh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</w:fldData>
        </w:fldChar>
      </w:r>
      <w:r w:rsidR="00D2134A">
        <w:rPr>
          <w:rFonts w:eastAsia="Calibri" w:cs="Times New Roman"/>
          <w:i/>
          <w:color w:val="000000"/>
        </w:rPr>
        <w:instrText xml:space="preserve"> ADDIN EN.CITE </w:instrText>
      </w:r>
      <w:r w:rsidR="00D2134A">
        <w:rPr>
          <w:rFonts w:eastAsia="Calibri" w:cs="Times New Roman"/>
          <w:i/>
          <w:color w:val="000000"/>
        </w:rPr>
        <w:fldChar w:fldCharType="begin">
          <w:fldData xml:space="preserve">PEVuZE5vdGU+PENpdGU+PEF1dGhvcj5Ob25uZW1ha2VyPC9BdXRob3I+PFllYXI+MjAxMDwvWWVh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</w:fldData>
        </w:fldChar>
      </w:r>
      <w:r w:rsidR="00D2134A">
        <w:rPr>
          <w:rFonts w:eastAsia="Calibri" w:cs="Times New Roman"/>
          <w:i/>
          <w:color w:val="000000"/>
        </w:rPr>
        <w:instrText xml:space="preserve"> ADDIN EN.CITE.DATA </w:instrText>
      </w:r>
      <w:r w:rsidR="00D2134A">
        <w:rPr>
          <w:rFonts w:eastAsia="Calibri" w:cs="Times New Roman"/>
          <w:i/>
          <w:color w:val="000000"/>
        </w:rPr>
      </w:r>
      <w:r w:rsidR="00D2134A">
        <w:rPr>
          <w:rFonts w:eastAsia="Calibri" w:cs="Times New Roman"/>
          <w:i/>
          <w:color w:val="000000"/>
        </w:rPr>
        <w:fldChar w:fldCharType="end"/>
      </w:r>
      <w:r w:rsidR="00D2134A">
        <w:rPr>
          <w:rFonts w:eastAsia="Calibri" w:cs="Times New Roman"/>
          <w:i/>
          <w:color w:val="000000"/>
        </w:rPr>
        <w:fldChar w:fldCharType="separate"/>
      </w:r>
      <w:r w:rsidR="00D2134A">
        <w:rPr>
          <w:rFonts w:eastAsia="Calibri" w:cs="Times New Roman"/>
          <w:i/>
          <w:noProof/>
          <w:color w:val="000000"/>
        </w:rPr>
        <w:t>(</w:t>
      </w:r>
      <w:hyperlink w:anchor="_ENREF_72" w:tooltip="Nonnemaker, 2012 #31" w:history="1">
        <w:r w:rsidR="00A234A9">
          <w:rPr>
            <w:rFonts w:eastAsia="Calibri" w:cs="Times New Roman"/>
            <w:i/>
            <w:noProof/>
            <w:color w:val="000000"/>
          </w:rPr>
          <w:t>72</w:t>
        </w:r>
      </w:hyperlink>
      <w:r w:rsidR="00D2134A">
        <w:rPr>
          <w:rFonts w:eastAsia="Calibri" w:cs="Times New Roman"/>
          <w:i/>
          <w:noProof/>
          <w:color w:val="000000"/>
        </w:rPr>
        <w:t xml:space="preserve">, </w:t>
      </w:r>
      <w:hyperlink w:anchor="_ENREF_73" w:tooltip="Nonnemaker, 2010 #97" w:history="1">
        <w:r w:rsidR="00A234A9">
          <w:rPr>
            <w:rFonts w:eastAsia="Calibri" w:cs="Times New Roman"/>
            <w:i/>
            <w:noProof/>
            <w:color w:val="000000"/>
          </w:rPr>
          <w:t>73</w:t>
        </w:r>
      </w:hyperlink>
      <w:r w:rsidR="00D2134A">
        <w:rPr>
          <w:rFonts w:eastAsia="Calibri" w:cs="Times New Roman"/>
          <w:i/>
          <w:noProof/>
          <w:color w:val="000000"/>
        </w:rPr>
        <w:t xml:space="preserve">, </w:t>
      </w:r>
      <w:hyperlink w:anchor="_ENREF_79" w:tooltip="Rath, 2015 #3" w:history="1">
        <w:r w:rsidR="00A234A9">
          <w:rPr>
            <w:rFonts w:eastAsia="Calibri" w:cs="Times New Roman"/>
            <w:i/>
            <w:noProof/>
            <w:color w:val="000000"/>
          </w:rPr>
          <w:t>79</w:t>
        </w:r>
      </w:hyperlink>
      <w:r w:rsidR="00D2134A">
        <w:rPr>
          <w:rFonts w:eastAsia="Calibri" w:cs="Times New Roman"/>
          <w:i/>
          <w:noProof/>
          <w:color w:val="000000"/>
        </w:rPr>
        <w:t>)</w:t>
      </w:r>
      <w:r w:rsidR="00D2134A">
        <w:rPr>
          <w:rFonts w:eastAsia="Calibri" w:cs="Times New Roman"/>
          <w:i/>
          <w:color w:val="000000"/>
        </w:rPr>
        <w:fldChar w:fldCharType="end"/>
      </w:r>
      <w:r w:rsidRPr="00A32DC8">
        <w:rPr>
          <w:rFonts w:eastAsia="Calibri" w:cs="Times New Roman"/>
          <w:i/>
          <w:color w:val="000000"/>
        </w:rPr>
        <w:t>, and one found the opposite</w:t>
      </w:r>
      <w:r w:rsidR="00452171" w:rsidRPr="00A32DC8">
        <w:rPr>
          <w:rFonts w:eastAsia="Calibri" w:cs="Times New Roman"/>
          <w:i/>
          <w:color w:val="000000"/>
        </w:rPr>
        <w:t xml:space="preserve"> with significantly more male menthol smokers switching to non-menthol</w:t>
      </w:r>
      <w:r w:rsidR="00BB50F9" w:rsidRPr="00A32DC8">
        <w:rPr>
          <w:rFonts w:eastAsia="Calibri" w:cs="Times New Roman"/>
          <w:i/>
          <w:color w:val="000000"/>
        </w:rPr>
        <w:t xml:space="preserve"> </w:t>
      </w:r>
      <w:r w:rsidR="00D2134A">
        <w:rPr>
          <w:rFonts w:eastAsia="Calibri" w:cs="Times New Roman"/>
          <w:i/>
          <w:color w:val="000000"/>
        </w:rPr>
        <w:fldChar w:fldCharType="begin"/>
      </w:r>
      <w:r w:rsidR="00D2134A">
        <w:rPr>
          <w:rFonts w:eastAsia="Calibri" w:cs="Times New Roman"/>
          <w:i/>
          <w:color w:val="000000"/>
        </w:rPr>
        <w:instrText xml:space="preserve"> ADDIN EN.CITE &lt;EndNote&gt;&lt;Cite&gt;&lt;Author&gt;Villanti&lt;/Author&gt;&lt;Year&gt;2012&lt;/Year&gt;&lt;RecNum&gt;37&lt;/RecNum&gt;&lt;DisplayText&gt;(86)&lt;/DisplayText&gt;&lt;record&gt;&lt;rec-number&gt;37&lt;/rec-number&gt;&lt;foreign-keys&gt;&lt;key app="EN" db-id="a2vz2dfp8xrad6exes75zwpiw5rxwa0vwapv" timestamp="0"&gt;37&lt;/key&gt;&lt;/foreign-keys&gt;&lt;ref-type name="Journal Article"&gt;17&lt;/ref-type&gt;&lt;contributors&gt;&lt;authors&gt;&lt;author&gt;Villanti, A. C. &lt;/author&gt;&lt;author&gt;Giovino, G. A.&lt;/author&gt;&lt;author&gt;Barker, D. C.&lt;/author&gt;&lt;author&gt;Mowery, P.&lt;/author&gt;&lt;author&gt;Sevilimedu, V.&lt;/author&gt;&lt;author&gt;Abrams, D. B.&lt;/author&gt;&lt;/authors&gt;&lt;/contributors&gt;&lt;titles&gt;&lt;title&gt;Menthol brand switching among adolescents and young adults in the national youth smoking cessation survey&lt;/title&gt;&lt;secondary-title&gt;Am J Public Health&lt;/secondary-title&gt;&lt;/titles&gt;&lt;periodical&gt;&lt;full-title&gt;Am J Public Health&lt;/full-title&gt;&lt;/periodical&gt;&lt;pages&gt;1310-12&lt;/pages&gt;&lt;volume&gt;102&lt;/volume&gt;&lt;number&gt;7&lt;/number&gt;&lt;dates&gt;&lt;year&gt;2012&lt;/year&gt;&lt;pub-dates&gt;&lt;date&gt;Oct&lt;/date&gt;&lt;/pub-dates&gt;&lt;/dates&gt;&lt;urls&gt;&lt;/urls&gt;&lt;research-notes&gt;#191&lt;/research-notes&gt;&lt;/record&gt;&lt;/Cite&gt;&lt;/EndNote&gt;</w:instrText>
      </w:r>
      <w:r w:rsidR="00D2134A">
        <w:rPr>
          <w:rFonts w:eastAsia="Calibri" w:cs="Times New Roman"/>
          <w:i/>
          <w:color w:val="000000"/>
        </w:rPr>
        <w:fldChar w:fldCharType="separate"/>
      </w:r>
      <w:r w:rsidR="00D2134A">
        <w:rPr>
          <w:rFonts w:eastAsia="Calibri" w:cs="Times New Roman"/>
          <w:i/>
          <w:noProof/>
          <w:color w:val="000000"/>
        </w:rPr>
        <w:t>(</w:t>
      </w:r>
      <w:hyperlink w:anchor="_ENREF_86" w:tooltip="Villanti, 2012 #37" w:history="1">
        <w:r w:rsidR="00A234A9">
          <w:rPr>
            <w:rFonts w:eastAsia="Calibri" w:cs="Times New Roman"/>
            <w:i/>
            <w:noProof/>
            <w:color w:val="000000"/>
          </w:rPr>
          <w:t>86</w:t>
        </w:r>
      </w:hyperlink>
      <w:r w:rsidR="00D2134A">
        <w:rPr>
          <w:rFonts w:eastAsia="Calibri" w:cs="Times New Roman"/>
          <w:i/>
          <w:noProof/>
          <w:color w:val="000000"/>
        </w:rPr>
        <w:t>)</w:t>
      </w:r>
      <w:r w:rsidR="00D2134A">
        <w:rPr>
          <w:rFonts w:eastAsia="Calibri" w:cs="Times New Roman"/>
          <w:i/>
          <w:color w:val="000000"/>
        </w:rPr>
        <w:fldChar w:fldCharType="end"/>
      </w:r>
      <w:r w:rsidR="00A20AE4">
        <w:rPr>
          <w:rFonts w:eastAsia="Calibri" w:cs="Times New Roman"/>
          <w:i/>
          <w:color w:val="000000"/>
        </w:rPr>
        <w:t>.</w:t>
      </w:r>
    </w:p>
    <w:p w14:paraId="65275017" w14:textId="1A761FF8" w:rsidR="007008A2" w:rsidRDefault="00801E52" w:rsidP="00B46744">
      <w:pPr>
        <w:spacing w:after="120" w:line="240" w:lineRule="auto"/>
        <w:jc w:val="both"/>
        <w:rPr>
          <w:rFonts w:eastAsia="Calibri" w:cs="Times New Roman"/>
          <w:i/>
          <w:color w:val="000000"/>
        </w:rPr>
      </w:pPr>
      <w:r>
        <w:rPr>
          <w:rFonts w:eastAsia="Calibri"/>
          <w:i/>
          <w:color w:val="000000"/>
        </w:rPr>
        <w:t xml:space="preserve">With regards to </w:t>
      </w:r>
      <w:r w:rsidRPr="00EE32FF">
        <w:rPr>
          <w:rFonts w:eastAsia="Calibri"/>
          <w:bCs/>
          <w:i/>
          <w:noProof/>
          <w:color w:val="000000"/>
        </w:rPr>
        <w:t xml:space="preserve">initiation and progression to regular smoking/increase in </w:t>
      </w:r>
      <w:r>
        <w:rPr>
          <w:rFonts w:eastAsia="Calibri"/>
          <w:bCs/>
          <w:i/>
          <w:noProof/>
          <w:color w:val="000000"/>
        </w:rPr>
        <w:t>s</w:t>
      </w:r>
      <w:r w:rsidRPr="00EE32FF">
        <w:rPr>
          <w:rFonts w:eastAsia="Calibri"/>
          <w:bCs/>
          <w:i/>
          <w:noProof/>
          <w:color w:val="000000"/>
        </w:rPr>
        <w:t>moking over time</w:t>
      </w:r>
      <w:r w:rsidR="007008A2">
        <w:rPr>
          <w:rFonts w:eastAsia="Calibri" w:cs="Times New Roman"/>
          <w:i/>
          <w:color w:val="000000"/>
        </w:rPr>
        <w:t xml:space="preserve">, one study </w:t>
      </w:r>
      <w:r w:rsidR="008E041E">
        <w:rPr>
          <w:i/>
        </w:rPr>
        <w:t>reported</w:t>
      </w:r>
      <w:r w:rsidR="007008A2">
        <w:rPr>
          <w:i/>
        </w:rPr>
        <w:t xml:space="preserve"> a</w:t>
      </w:r>
      <w:r w:rsidR="007008A2" w:rsidRPr="00744FEC">
        <w:rPr>
          <w:i/>
        </w:rPr>
        <w:t xml:space="preserve"> higher proportion of </w:t>
      </w:r>
      <w:r w:rsidR="007008A2">
        <w:rPr>
          <w:i/>
        </w:rPr>
        <w:t>daily versus non-</w:t>
      </w:r>
      <w:r w:rsidR="007008A2" w:rsidRPr="00744FEC">
        <w:rPr>
          <w:i/>
        </w:rPr>
        <w:t>daily smokers</w:t>
      </w:r>
      <w:r w:rsidR="007008A2">
        <w:rPr>
          <w:i/>
        </w:rPr>
        <w:t xml:space="preserve"> </w:t>
      </w:r>
      <w:r w:rsidR="00CF4014">
        <w:rPr>
          <w:i/>
        </w:rPr>
        <w:t>among</w:t>
      </w:r>
      <w:r w:rsidR="007008A2">
        <w:rPr>
          <w:i/>
        </w:rPr>
        <w:t xml:space="preserve"> Black, Hispanic, and White subgroups</w:t>
      </w:r>
      <w:r w:rsidR="00CF4014">
        <w:rPr>
          <w:i/>
        </w:rPr>
        <w:t xml:space="preserve"> </w:t>
      </w:r>
      <w:r w:rsidR="00D2134A">
        <w:rPr>
          <w:i/>
        </w:rPr>
        <w:fldChar w:fldCharType="begin"/>
      </w:r>
      <w:r w:rsidR="00D2134A">
        <w:rPr>
          <w:i/>
        </w:rPr>
        <w:instrText xml:space="preserve"> ADDIN EN.CITE &lt;EndNote&gt;&lt;Cite&gt;&lt;Author&gt;Cubbin&lt;/Author&gt;&lt;Year&gt;2010&lt;/Year&gt;&lt;RecNum&gt;53&lt;/RecNum&gt;&lt;DisplayText&gt;(50)&lt;/DisplayText&gt;&lt;record&gt;&lt;rec-number&gt;53&lt;/rec-number&gt;&lt;foreign-keys&gt;&lt;key app="EN" db-id="a2vz2dfp8xrad6exes75zwpiw5rxwa0vwapv" timestamp="0"&gt;53&lt;/key&gt;&lt;/foreign-keys&gt;&lt;ref-type name="Journal Article"&gt;17&lt;/ref-type&gt;&lt;contributors&gt;&lt;authors&gt;&lt;author&gt;Cubbin, C.&lt;/author&gt;&lt;author&gt;Soobader, M. J.&lt;/author&gt;&lt;author&gt;LeClere, F. B.&lt;/author&gt;&lt;/authors&gt;&lt;/contributors&gt;&lt;auth-address&gt;School of Social Work, University of Texas at Austin, Austin, TX 78712-0358, USA. ccubbin@austin.utexas.edu&lt;/auth-address&gt;&lt;titles&gt;&lt;title&gt;The intersection of gender and race/ethnicity in smoking behaviors among menthol and non-menthol smokers in the United States&lt;/title&gt;&lt;secondary-title&gt;Addiction&lt;/secondary-title&gt;&lt;/titles&gt;&lt;periodical&gt;&lt;full-title&gt;Addiction&lt;/full-title&gt;&lt;/periodical&gt;&lt;pages&gt;32-8&lt;/pages&gt;&lt;volume&gt;105 Suppl 1&lt;/volume&gt;&lt;keywords&gt;&lt;keyword&gt;Adult&lt;/keyword&gt;&lt;keyword&gt;African Americans/statistics &amp;amp; numerical data&lt;/keyword&gt;&lt;keyword&gt;Age of Onset&lt;/keyword&gt;&lt;keyword&gt;Cross-Sectional Studies&lt;/keyword&gt;&lt;keyword&gt;European Continental Ancestry Group/statistics &amp;amp; numerical data&lt;/keyword&gt;&lt;keyword&gt;Female&lt;/keyword&gt;&lt;keyword&gt;Hispanic Americans/statistics &amp;amp; numerical data&lt;/keyword&gt;&lt;keyword&gt;Humans&lt;/keyword&gt;&lt;keyword&gt;Male&lt;/keyword&gt;&lt;keyword&gt;*Menthol&lt;/keyword&gt;&lt;keyword&gt;Middle Aged&lt;/keyword&gt;&lt;keyword&gt;*Population Surveillance&lt;/keyword&gt;&lt;keyword&gt;Sex Factors&lt;/keyword&gt;&lt;keyword&gt;Smoking/*epidemiology/ethnology&lt;/keyword&gt;&lt;keyword&gt;Smoking Cessation/ethnology/statistics &amp;amp; numerical data&lt;/keyword&gt;&lt;keyword&gt;Socioeconomic Factors&lt;/keyword&gt;&lt;keyword&gt;United States/epidemiology&lt;/keyword&gt;&lt;/keywords&gt;&lt;dates&gt;&lt;year&gt;2010&lt;/year&gt;&lt;pub-dates&gt;&lt;date&gt;Dec&lt;/date&gt;&lt;/pub-dates&gt;&lt;/dates&gt;&lt;isbn&gt;1360-0443 (Electronic)&amp;#xD;0965-2140 (Linking)&lt;/isbn&gt;&lt;accession-num&gt;21059134&lt;/accession-num&gt;&lt;urls&gt;&lt;related-urls&gt;&lt;url&gt;http://www.ncbi.nlm.nih.gov/pubmed/21059134&lt;/url&gt;&lt;/related-urls&gt;&lt;/urls&gt;&lt;electronic-resource-num&gt;10.1111/j.1360-0443.2010.03191.x&lt;/electronic-resource-num&gt;&lt;research-notes&gt;#281&lt;/research-notes&gt;&lt;/record&gt;&lt;/Cite&gt;&lt;/EndNote&gt;</w:instrText>
      </w:r>
      <w:r w:rsidR="00D2134A">
        <w:rPr>
          <w:i/>
        </w:rPr>
        <w:fldChar w:fldCharType="separate"/>
      </w:r>
      <w:r w:rsidR="00D2134A">
        <w:rPr>
          <w:i/>
          <w:noProof/>
        </w:rPr>
        <w:t>(</w:t>
      </w:r>
      <w:hyperlink w:anchor="_ENREF_50" w:tooltip="Cubbin, 2010 #53" w:history="1">
        <w:r w:rsidR="00A234A9">
          <w:rPr>
            <w:i/>
            <w:noProof/>
          </w:rPr>
          <w:t>50</w:t>
        </w:r>
      </w:hyperlink>
      <w:r w:rsidR="00D2134A">
        <w:rPr>
          <w:i/>
          <w:noProof/>
        </w:rPr>
        <w:t>)</w:t>
      </w:r>
      <w:r w:rsidR="00D2134A">
        <w:rPr>
          <w:i/>
        </w:rPr>
        <w:fldChar w:fldCharType="end"/>
      </w:r>
      <w:r w:rsidR="007008A2" w:rsidRPr="00744FEC">
        <w:rPr>
          <w:i/>
        </w:rPr>
        <w:t xml:space="preserve">. </w:t>
      </w:r>
      <w:r w:rsidR="007008A2">
        <w:rPr>
          <w:i/>
        </w:rPr>
        <w:t xml:space="preserve">Menthol use was lower </w:t>
      </w:r>
      <w:r w:rsidR="00CF4014">
        <w:rPr>
          <w:i/>
        </w:rPr>
        <w:t>in</w:t>
      </w:r>
      <w:r w:rsidR="007008A2">
        <w:rPr>
          <w:i/>
        </w:rPr>
        <w:t xml:space="preserve"> both White and Hispanic </w:t>
      </w:r>
      <w:r w:rsidR="008E041E">
        <w:rPr>
          <w:i/>
        </w:rPr>
        <w:t>men</w:t>
      </w:r>
      <w:r w:rsidR="007008A2">
        <w:rPr>
          <w:i/>
        </w:rPr>
        <w:t xml:space="preserve">, for both daily and non-daily smokers; the opposite was true </w:t>
      </w:r>
      <w:r w:rsidR="00CF4014">
        <w:rPr>
          <w:i/>
        </w:rPr>
        <w:t>in</w:t>
      </w:r>
      <w:r w:rsidR="007008A2">
        <w:rPr>
          <w:i/>
        </w:rPr>
        <w:t xml:space="preserve"> Black </w:t>
      </w:r>
      <w:r w:rsidR="008E041E">
        <w:rPr>
          <w:i/>
        </w:rPr>
        <w:t>respondents</w:t>
      </w:r>
      <w:r w:rsidR="007008A2">
        <w:rPr>
          <w:i/>
        </w:rPr>
        <w:t>.</w:t>
      </w:r>
    </w:p>
    <w:p w14:paraId="30386364" w14:textId="2B35991E" w:rsidR="00D04C52" w:rsidRPr="00A32DC8" w:rsidRDefault="00D04C52" w:rsidP="00B46744">
      <w:pPr>
        <w:spacing w:after="120" w:line="240" w:lineRule="auto"/>
        <w:jc w:val="both"/>
        <w:rPr>
          <w:rFonts w:eastAsia="Calibri" w:cs="Times New Roman"/>
          <w:color w:val="000000"/>
        </w:rPr>
      </w:pPr>
      <w:r w:rsidRPr="00A32DC8">
        <w:rPr>
          <w:rFonts w:eastAsia="Calibri" w:cs="Times New Roman"/>
          <w:color w:val="000000"/>
        </w:rPr>
        <w:t>In the LYAC study of young adults, Rath et al</w:t>
      </w:r>
      <w:r w:rsidR="00C56F21" w:rsidRPr="00A32DC8">
        <w:rPr>
          <w:rFonts w:eastAsia="Calibri" w:cs="Times New Roman"/>
          <w:color w:val="000000"/>
        </w:rPr>
        <w:t xml:space="preserve">. </w:t>
      </w:r>
      <w:r w:rsidR="00D2134A">
        <w:rPr>
          <w:rFonts w:eastAsia="Calibri" w:cs="Times New Roman"/>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PEVuZE5vdGU+PENpdGU+PEF1dGhvcj5SYXRoPC9BdXRob3I+PFllYXI+MjAxNTwvWWVhcj48UmVj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79" w:tooltip="Rath, 2015 #3" w:history="1">
        <w:r w:rsidR="00A234A9">
          <w:rPr>
            <w:rFonts w:eastAsia="Calibri" w:cs="Times New Roman"/>
            <w:noProof/>
            <w:color w:val="000000"/>
          </w:rPr>
          <w:t>79</w:t>
        </w:r>
      </w:hyperlink>
      <w:r w:rsidR="00D2134A">
        <w:rPr>
          <w:rFonts w:eastAsia="Calibri" w:cs="Times New Roman"/>
          <w:noProof/>
          <w:color w:val="000000"/>
        </w:rPr>
        <w:t>)</w:t>
      </w:r>
      <w:r w:rsidR="00D2134A">
        <w:rPr>
          <w:rFonts w:eastAsia="Calibri" w:cs="Times New Roman"/>
          <w:color w:val="000000"/>
        </w:rPr>
        <w:fldChar w:fldCharType="end"/>
      </w:r>
      <w:r w:rsidR="00C56F21" w:rsidRPr="00A32DC8">
        <w:rPr>
          <w:rFonts w:eastAsia="Calibri" w:cs="Times New Roman"/>
          <w:color w:val="000000"/>
        </w:rPr>
        <w:t xml:space="preserve"> </w:t>
      </w:r>
      <w:r w:rsidRPr="00A32DC8">
        <w:rPr>
          <w:rFonts w:eastAsia="Calibri" w:cs="Times New Roman"/>
          <w:color w:val="000000"/>
        </w:rPr>
        <w:t>found that—of participants who switched from menthol to non-menthol—57.9 percent were men. Of participants who switched from non-menthol to menthol, 62.2 percent were men; the difference was significant (p&lt;0.001).</w:t>
      </w:r>
    </w:p>
    <w:p w14:paraId="7E49AF6B" w14:textId="4F797CCA" w:rsidR="00A20AE4" w:rsidRDefault="00D04C52" w:rsidP="00B46744">
      <w:pPr>
        <w:spacing w:after="120" w:line="240" w:lineRule="auto"/>
        <w:jc w:val="both"/>
        <w:rPr>
          <w:rFonts w:eastAsia="Calibri" w:cs="Times New Roman"/>
          <w:color w:val="000000"/>
        </w:rPr>
      </w:pPr>
      <w:r w:rsidRPr="00A32DC8">
        <w:rPr>
          <w:rFonts w:eastAsia="Calibri" w:cs="Times New Roman"/>
          <w:color w:val="000000"/>
        </w:rPr>
        <w:t xml:space="preserve">Nonnemaker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&lt;EndNote&gt;&lt;Cite&gt;&lt;Author&gt;Nonnemaker&lt;/Author&gt;&lt;Year&gt;2012&lt;/Year&gt;&lt;RecNum&gt;31&lt;/RecNum&gt;&lt;DisplayText&gt;(72)&lt;/DisplayText&gt;&lt;record&gt;&lt;rec-number&gt;31&lt;/rec-number&gt;&lt;foreign-keys&gt;&lt;key app="EN" db-id="a2vz2dfp8xrad6exes75zwpiw5rxwa0vwapv" timestamp="0"&gt;31&lt;/key&gt;&lt;/foreign-keys&gt;&lt;ref-type name="Journal Article"&gt;17&lt;/ref-type&gt;&lt;contributors&gt;&lt;authors&gt;&lt;author&gt;Nonnemaker, J.&lt;/author&gt;&lt;author&gt;Hersey, J.&lt;/author&gt;&lt;author&gt;Homsi, G.&lt;/author&gt;&lt;author&gt;Busey, A.&lt;/author&gt;&lt;author&gt;Allen, J.&lt;/author&gt;&lt;author&gt;Vallone, D.&lt;/author&gt;&lt;/authors&gt;&lt;/contributors&gt;&lt;auth-address&gt;RTI International, Research Triangle Park, NC 27709-2194, USA. jnonnemaker@rti.org&lt;/auth-address&gt;&lt;titles&gt;&lt;title&gt;Initiation with menthol cigarettes and youth smoking uptake&lt;/title&gt;&lt;secondary-title&gt;Addiction&lt;/secondary-title&gt;&lt;/titles&gt;&lt;periodical&gt;&lt;full-title&gt;Addiction&lt;/full-title&gt;&lt;/periodical&gt;&lt;pages&gt;171-8&lt;/pages&gt;&lt;volume&gt;108&lt;/volume&gt;&lt;number&gt;1&lt;/number&gt;&lt;keywords&gt;&lt;keyword&gt;Adolescent&lt;/keyword&gt;&lt;keyword&gt;Age Distribution&lt;/keyword&gt;&lt;keyword&gt;Child&lt;/keyword&gt;&lt;keyword&gt;Female&lt;/keyword&gt;&lt;keyword&gt;Flavoring Agents/*adverse effects&lt;/keyword&gt;&lt;keyword&gt;Humans&lt;/keyword&gt;&lt;keyword&gt;Longitudinal Studies&lt;/keyword&gt;&lt;keyword&gt;Male&lt;/keyword&gt;&lt;keyword&gt;Menthol/*adverse effects&lt;/keyword&gt;&lt;keyword&gt;Risk Factors&lt;/keyword&gt;&lt;keyword&gt;Sex Distribution&lt;/keyword&gt;&lt;keyword&gt;Smoking/*adverse effects&lt;/keyword&gt;&lt;keyword&gt;Smoking Cessation/psychology/statistics &amp;amp; numerical data&lt;/keyword&gt;&lt;keyword&gt;Tobacco Products/*adverse effects&lt;/keyword&gt;&lt;keyword&gt;Tobacco Use Disorder/*etiology&lt;/keyword&gt;&lt;keyword&gt;United States&lt;/keyword&gt;&lt;/keywords&gt;&lt;dates&gt;&lt;year&gt;2012&lt;/year&gt;&lt;pub-dates&gt;&lt;date&gt;Jan&lt;/date&gt;&lt;/pub-dates&gt;&lt;/dates&gt;&lt;isbn&gt;1360-0443 (Electronic)&amp;#xD;0965-2140 (Linking)&lt;/isbn&gt;&lt;accession-num&gt;22862154&lt;/accession-num&gt;&lt;urls&gt;&lt;related-urls&gt;&lt;url&gt;http://www.ncbi.nlm.nih.gov/pubmed/22862154&lt;/url&gt;&lt;/related-urls&gt;&lt;/urls&gt;&lt;electronic-resource-num&gt;10.1111/j.1360-0443.2012.04045.x&lt;/electronic-resource-num&gt;&lt;research-notes&gt;#160&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2" w:tooltip="Nonnemaker, 2012 #31" w:history="1">
        <w:r w:rsidR="00A234A9">
          <w:rPr>
            <w:rFonts w:eastAsia="Calibri" w:cs="Times New Roman"/>
            <w:noProof/>
            <w:color w:val="000000"/>
          </w:rPr>
          <w:t>72</w:t>
        </w:r>
      </w:hyperlink>
      <w:r w:rsidR="00D2134A">
        <w:rPr>
          <w:rFonts w:eastAsia="Calibri" w:cs="Times New Roman"/>
          <w:noProof/>
          <w:color w:val="000000"/>
        </w:rPr>
        <w:t>)</w:t>
      </w:r>
      <w:r w:rsidR="00D2134A">
        <w:rPr>
          <w:rFonts w:eastAsia="Calibri" w:cs="Times New Roman"/>
          <w:color w:val="000000"/>
        </w:rPr>
        <w:fldChar w:fldCharType="end"/>
      </w:r>
      <w:r w:rsidRPr="00A32DC8">
        <w:rPr>
          <w:rFonts w:eastAsia="Calibri" w:cs="Times New Roman"/>
          <w:color w:val="000000"/>
        </w:rPr>
        <w:t xml:space="preserve"> found that in the American Legacy Longitudinal Tobacco Use Reduction Study (ALLTURS) sample of middle school and high school students age 12 to 17 at baseline, 37.6 percent of the male current smokers initiated </w:t>
      </w:r>
      <w:r w:rsidR="00452171" w:rsidRPr="00A32DC8">
        <w:rPr>
          <w:rFonts w:eastAsia="Calibri" w:cs="Times New Roman"/>
          <w:color w:val="000000"/>
        </w:rPr>
        <w:t xml:space="preserve">with </w:t>
      </w:r>
      <w:r w:rsidRPr="00A32DC8">
        <w:rPr>
          <w:rFonts w:eastAsia="Calibri" w:cs="Times New Roman"/>
          <w:color w:val="000000"/>
        </w:rPr>
        <w:t>menthol. A subset of the sample was</w:t>
      </w:r>
      <w:r w:rsidRPr="00A0218A">
        <w:rPr>
          <w:rFonts w:eastAsia="Calibri" w:cs="Times New Roman"/>
          <w:color w:val="000000"/>
        </w:rPr>
        <w:t xml:space="preserve"> characterized as non-established smokers (smoking on fewer than 20 of the past 30 days). Among male non-established smokers, 3</w:t>
      </w:r>
      <w:r w:rsidR="00333061">
        <w:rPr>
          <w:rFonts w:eastAsia="Calibri" w:cs="Times New Roman"/>
          <w:color w:val="000000"/>
        </w:rPr>
        <w:t>1</w:t>
      </w:r>
      <w:r w:rsidRPr="00A0218A">
        <w:rPr>
          <w:rFonts w:eastAsia="Calibri" w:cs="Times New Roman"/>
          <w:color w:val="000000"/>
        </w:rPr>
        <w:t xml:space="preserve">.6 percent initiated </w:t>
      </w:r>
      <w:r w:rsidR="00BB50F9">
        <w:rPr>
          <w:rFonts w:eastAsia="Calibri" w:cs="Times New Roman"/>
          <w:color w:val="000000"/>
        </w:rPr>
        <w:t>with</w:t>
      </w:r>
      <w:r w:rsidR="00BB50F9" w:rsidRPr="00A0218A">
        <w:rPr>
          <w:rFonts w:eastAsia="Calibri" w:cs="Times New Roman"/>
          <w:color w:val="000000"/>
        </w:rPr>
        <w:t xml:space="preserve"> </w:t>
      </w:r>
      <w:r w:rsidRPr="00A0218A">
        <w:rPr>
          <w:rFonts w:eastAsia="Calibri" w:cs="Times New Roman"/>
          <w:color w:val="000000"/>
        </w:rPr>
        <w:t>menthol</w:t>
      </w:r>
      <w:r>
        <w:rPr>
          <w:rFonts w:eastAsia="Calibri" w:cs="Times New Roman"/>
          <w:color w:val="000000"/>
        </w:rPr>
        <w:t xml:space="preserve">. </w:t>
      </w:r>
      <w:r w:rsidR="00452171">
        <w:rPr>
          <w:rFonts w:eastAsia="Calibri" w:cs="Times New Roman"/>
          <w:color w:val="000000"/>
        </w:rPr>
        <w:t xml:space="preserve">Nonnemaker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&lt;EndNote&gt;&lt;Cite&gt;&lt;Author&gt;Nonnemaker&lt;/Author&gt;&lt;Year&gt;2012&lt;/Year&gt;&lt;RecNum&gt;31&lt;/RecNum&gt;&lt;DisplayText&gt;(72)&lt;/DisplayText&gt;&lt;record&gt;&lt;rec-number&gt;31&lt;/rec-number&gt;&lt;foreign-keys&gt;&lt;key app="EN" db-id="a2vz2dfp8xrad6exes75zwpiw5rxwa0vwapv" timestamp="0"&gt;31&lt;/key&gt;&lt;/foreign-keys&gt;&lt;ref-type name="Journal Article"&gt;17&lt;/ref-type&gt;&lt;contributors&gt;&lt;authors&gt;&lt;author&gt;Nonnemaker, J.&lt;/author&gt;&lt;author&gt;Hersey, J.&lt;/author&gt;&lt;author&gt;Homsi, G.&lt;/author&gt;&lt;author&gt;Busey, A.&lt;/author&gt;&lt;author&gt;Allen, J.&lt;/author&gt;&lt;author&gt;Vallone, D.&lt;/author&gt;&lt;/authors&gt;&lt;/contributors&gt;&lt;auth-address&gt;RTI International, Research Triangle Park, NC 27709-2194, USA. jnonnemaker@rti.org&lt;/auth-address&gt;&lt;titles&gt;&lt;title&gt;Initiation with menthol cigarettes and youth smoking uptake&lt;/title&gt;&lt;secondary-title&gt;Addiction&lt;/secondary-title&gt;&lt;/titles&gt;&lt;periodical&gt;&lt;full-title&gt;Addiction&lt;/full-title&gt;&lt;/periodical&gt;&lt;pages&gt;171-8&lt;/pages&gt;&lt;volume&gt;108&lt;/volume&gt;&lt;number&gt;1&lt;/number&gt;&lt;keywords&gt;&lt;keyword&gt;Adolescent&lt;/keyword&gt;&lt;keyword&gt;Age Distribution&lt;/keyword&gt;&lt;keyword&gt;Child&lt;/keyword&gt;&lt;keyword&gt;Female&lt;/keyword&gt;&lt;keyword&gt;Flavoring Agents/*adverse effects&lt;/keyword&gt;&lt;keyword&gt;Humans&lt;/keyword&gt;&lt;keyword&gt;Longitudinal Studies&lt;/keyword&gt;&lt;keyword&gt;Male&lt;/keyword&gt;&lt;keyword&gt;Menthol/*adverse effects&lt;/keyword&gt;&lt;keyword&gt;Risk Factors&lt;/keyword&gt;&lt;keyword&gt;Sex Distribution&lt;/keyword&gt;&lt;keyword&gt;Smoking/*adverse effects&lt;/keyword&gt;&lt;keyword&gt;Smoking Cessation/psychology/statistics &amp;amp; numerical data&lt;/keyword&gt;&lt;keyword&gt;Tobacco Products/*adverse effects&lt;/keyword&gt;&lt;keyword&gt;Tobacco Use Disorder/*etiology&lt;/keyword&gt;&lt;keyword&gt;United States&lt;/keyword&gt;&lt;/keywords&gt;&lt;dates&gt;&lt;year&gt;2012&lt;/year&gt;&lt;pub-dates&gt;&lt;date&gt;Jan&lt;/date&gt;&lt;/pub-dates&gt;&lt;/dates&gt;&lt;isbn&gt;1360-0443 (Electronic)&amp;#xD;0965-2140 (Linking)&lt;/isbn&gt;&lt;accession-num&gt;22862154&lt;/accession-num&gt;&lt;urls&gt;&lt;related-urls&gt;&lt;url&gt;http://www.ncbi.nlm.nih.gov/pubmed/22862154&lt;/url&gt;&lt;/related-urls&gt;&lt;/urls&gt;&lt;electronic-resource-num&gt;10.1111/j.1360-0443.2012.04045.x&lt;/electronic-resource-num&gt;&lt;research-notes&gt;#160&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2" w:tooltip="Nonnemaker, 2012 #31" w:history="1">
        <w:r w:rsidR="00A234A9">
          <w:rPr>
            <w:rFonts w:eastAsia="Calibri" w:cs="Times New Roman"/>
            <w:noProof/>
            <w:color w:val="000000"/>
          </w:rPr>
          <w:t>72</w:t>
        </w:r>
      </w:hyperlink>
      <w:r w:rsidR="00D2134A">
        <w:rPr>
          <w:rFonts w:eastAsia="Calibri" w:cs="Times New Roman"/>
          <w:noProof/>
          <w:color w:val="000000"/>
        </w:rPr>
        <w:t>)</w:t>
      </w:r>
      <w:r w:rsidR="00D2134A">
        <w:rPr>
          <w:rFonts w:eastAsia="Calibri" w:cs="Times New Roman"/>
          <w:color w:val="000000"/>
        </w:rPr>
        <w:fldChar w:fldCharType="end"/>
      </w:r>
      <w:r w:rsidR="00452171">
        <w:rPr>
          <w:rFonts w:eastAsia="Calibri" w:cs="Times New Roman"/>
          <w:color w:val="000000"/>
        </w:rPr>
        <w:t xml:space="preserve"> a</w:t>
      </w:r>
      <w:r w:rsidRPr="00A0218A">
        <w:rPr>
          <w:rFonts w:eastAsia="Calibri" w:cs="Times New Roman"/>
          <w:color w:val="000000"/>
        </w:rPr>
        <w:t xml:space="preserve">lso reported percentages of youth who remained current smokers at </w:t>
      </w:r>
      <w:r w:rsidR="00BB50F9">
        <w:rPr>
          <w:rFonts w:eastAsia="Calibri" w:cs="Times New Roman"/>
          <w:color w:val="000000"/>
        </w:rPr>
        <w:t>wave three</w:t>
      </w:r>
      <w:r w:rsidRPr="00A0218A">
        <w:rPr>
          <w:rFonts w:eastAsia="Calibri" w:cs="Times New Roman"/>
          <w:color w:val="000000"/>
        </w:rPr>
        <w:t xml:space="preserve"> of the ALLTURS study by switching status. Among male smokers, 16.9 percent of menthol initiators switched to non-menthol by </w:t>
      </w:r>
      <w:r w:rsidR="00452171">
        <w:rPr>
          <w:rFonts w:eastAsia="Calibri" w:cs="Times New Roman"/>
          <w:color w:val="000000"/>
        </w:rPr>
        <w:t>wave three</w:t>
      </w:r>
      <w:r w:rsidRPr="00A0218A">
        <w:rPr>
          <w:rFonts w:eastAsia="Calibri" w:cs="Times New Roman"/>
          <w:color w:val="000000"/>
        </w:rPr>
        <w:t>, and 20.8 percent of non-menthol initiators switched to menthol</w:t>
      </w:r>
      <w:r w:rsidR="00A20AE4">
        <w:rPr>
          <w:rFonts w:eastAsia="Calibri" w:cs="Times New Roman"/>
          <w:color w:val="000000"/>
        </w:rPr>
        <w:t>.</w:t>
      </w:r>
    </w:p>
    <w:p w14:paraId="6BDB8FA2" w14:textId="33CE9B54" w:rsidR="00D04C52" w:rsidRPr="00A0218A" w:rsidRDefault="00D04C52" w:rsidP="00B46744">
      <w:pPr>
        <w:spacing w:after="120" w:line="240" w:lineRule="auto"/>
        <w:jc w:val="both"/>
        <w:rPr>
          <w:rFonts w:eastAsia="Calibri" w:cs="Times New Roman"/>
          <w:color w:val="000000"/>
        </w:rPr>
      </w:pPr>
      <w:r>
        <w:rPr>
          <w:rFonts w:eastAsia="Calibri" w:cs="Times New Roman"/>
          <w:color w:val="000000"/>
        </w:rPr>
        <w:t xml:space="preserve">Villanti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&lt;EndNote&gt;&lt;Cite&gt;&lt;Author&gt;Villanti&lt;/Author&gt;&lt;Year&gt;2012&lt;/Year&gt;&lt;RecNum&gt;37&lt;/RecNum&gt;&lt;DisplayText&gt;(86)&lt;/DisplayText&gt;&lt;record&gt;&lt;rec-number&gt;37&lt;/rec-number&gt;&lt;foreign-keys&gt;&lt;key app="EN" db-id="a2vz2dfp8xrad6exes75zwpiw5rxwa0vwapv" timestamp="0"&gt;37&lt;/key&gt;&lt;/foreign-keys&gt;&lt;ref-type name="Journal Article"&gt;17&lt;/ref-type&gt;&lt;contributors&gt;&lt;authors&gt;&lt;author&gt;Villanti, A. C. &lt;/author&gt;&lt;author&gt;Giovino, G. A.&lt;/author&gt;&lt;author&gt;Barker, D. C.&lt;/author&gt;&lt;author&gt;Mowery, P.&lt;/author&gt;&lt;author&gt;Sevilimedu, V.&lt;/author&gt;&lt;author&gt;Abrams, D. B.&lt;/author&gt;&lt;/authors&gt;&lt;/contributors&gt;&lt;titles&gt;&lt;title&gt;Menthol brand switching among adolescents and young adults in the national youth smoking cessation survey&lt;/title&gt;&lt;secondary-title&gt;Am J Public Health&lt;/secondary-title&gt;&lt;/titles&gt;&lt;periodical&gt;&lt;full-title&gt;Am J Public Health&lt;/full-title&gt;&lt;/periodical&gt;&lt;pages&gt;1310-12&lt;/pages&gt;&lt;volume&gt;102&lt;/volume&gt;&lt;number&gt;7&lt;/number&gt;&lt;dates&gt;&lt;year&gt;2012&lt;/year&gt;&lt;pub-dates&gt;&lt;date&gt;Oct&lt;/date&gt;&lt;/pub-dates&gt;&lt;/dates&gt;&lt;urls&gt;&lt;/urls&gt;&lt;research-notes&gt;#191&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86" w:tooltip="Villanti, 2012 #37" w:history="1">
        <w:r w:rsidR="00A234A9">
          <w:rPr>
            <w:rFonts w:eastAsia="Calibri" w:cs="Times New Roman"/>
            <w:noProof/>
            <w:color w:val="000000"/>
          </w:rPr>
          <w:t>86</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used weighted data from the National Youth Smoking Cessation Survey, a prospective cohort study of 16 to 24</w:t>
      </w:r>
      <w:r w:rsidR="006441A1">
        <w:rPr>
          <w:rFonts w:eastAsia="Calibri" w:cs="Times New Roman"/>
          <w:color w:val="000000"/>
        </w:rPr>
        <w:t>-</w:t>
      </w:r>
      <w:r w:rsidRPr="00A0218A">
        <w:rPr>
          <w:rFonts w:eastAsia="Calibri" w:cs="Times New Roman"/>
          <w:color w:val="000000"/>
        </w:rPr>
        <w:t>year</w:t>
      </w:r>
      <w:r w:rsidR="006441A1">
        <w:rPr>
          <w:rFonts w:eastAsia="Calibri" w:cs="Times New Roman"/>
          <w:color w:val="000000"/>
        </w:rPr>
        <w:t>-</w:t>
      </w:r>
      <w:r w:rsidRPr="00A0218A">
        <w:rPr>
          <w:rFonts w:eastAsia="Calibri" w:cs="Times New Roman"/>
          <w:color w:val="000000"/>
        </w:rPr>
        <w:t>olds, to examine rates of switching between menthol and non-menthol cigarettes. In 2005 (24 months after baseline), the authors found that significantly more male menthol smokers had switched to non-menthol (19.2%, 95% CI: 12.4% to 25.9%) compared with male non-menthol smokers who switched to menthol (7.2%, 95% CI: 4.4% to 10.0%).</w:t>
      </w:r>
    </w:p>
    <w:p w14:paraId="61222C1E" w14:textId="0E0A9878" w:rsidR="00D04C52" w:rsidRDefault="00D04C52" w:rsidP="00B46744">
      <w:pPr>
        <w:spacing w:after="120" w:line="240" w:lineRule="auto"/>
        <w:jc w:val="both"/>
        <w:rPr>
          <w:rFonts w:eastAsia="Calibri" w:cs="Times New Roman"/>
          <w:color w:val="000000"/>
        </w:rPr>
      </w:pPr>
      <w:r w:rsidRPr="00A0218A">
        <w:rPr>
          <w:rFonts w:eastAsia="Calibri" w:cs="Times New Roman"/>
          <w:color w:val="000000"/>
        </w:rPr>
        <w:t xml:space="preserve">In another publication that analyzed data from </w:t>
      </w:r>
      <w:r>
        <w:rPr>
          <w:rFonts w:eastAsia="Calibri" w:cs="Times New Roman"/>
          <w:color w:val="000000"/>
        </w:rPr>
        <w:t xml:space="preserve">the ALLTURS, Nonnemaker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&lt;EndNote&gt;&lt;Cite&gt;&lt;Author&gt;Nonnemaker&lt;/Author&gt;&lt;Year&gt;2010&lt;/Year&gt;&lt;RecNum&gt;97&lt;/RecNum&gt;&lt;DisplayText&gt;(73)&lt;/DisplayText&gt;&lt;record&gt;&lt;rec-number&gt;97&lt;/rec-number&gt;&lt;foreign-keys&gt;&lt;key app="EN" db-id="a2vz2dfp8xrad6exes75zwpiw5rxwa0vwapv" timestamp="0"&gt;97&lt;/key&gt;&lt;/foreign-keys&gt;&lt;ref-type name="Report"&gt;27&lt;/ref-type&gt;&lt;contributors&gt;&lt;authors&gt;&lt;author&gt;Nonnemaker, J.&lt;/author&gt;&lt;author&gt;Hersey, J.&lt;/author&gt;&lt;author&gt;Homsi, G.&lt;/author&gt;&lt;author&gt;Busey, A.&lt;/author&gt;&lt;/authors&gt;&lt;/contributors&gt;&lt;titles&gt;&lt;title&gt;Menthol cigarettes and youth smoking updake&lt;/title&gt;&lt;/titles&gt;&lt;dates&gt;&lt;year&gt;2010&lt;/year&gt;&lt;/dates&gt;&lt;pub-location&gt;RTI International&lt;/pub-location&gt;&lt;urls&gt;&lt;/urls&gt;&lt;research-notes&gt;#812&lt;/research-notes&gt;&lt;/record&gt;&lt;/Cite&gt;&lt;/EndNote&gt;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3" w:tooltip="Nonnemaker, 2010 #97" w:history="1">
        <w:r w:rsidR="00A234A9">
          <w:rPr>
            <w:rFonts w:eastAsia="Calibri" w:cs="Times New Roman"/>
            <w:noProof/>
            <w:color w:val="000000"/>
          </w:rPr>
          <w:t>73</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assessed the percentage of male current smokers at </w:t>
      </w:r>
      <w:r w:rsidR="00452171">
        <w:rPr>
          <w:rFonts w:eastAsia="Calibri" w:cs="Times New Roman"/>
          <w:color w:val="000000"/>
        </w:rPr>
        <w:t>wave three</w:t>
      </w:r>
      <w:r w:rsidRPr="00A0218A">
        <w:rPr>
          <w:rFonts w:eastAsia="Calibri" w:cs="Times New Roman"/>
          <w:color w:val="000000"/>
        </w:rPr>
        <w:t xml:space="preserve"> who initiated to menthol cigarettes. The authors analyzed two sets of smokers: one that included </w:t>
      </w:r>
      <w:r w:rsidR="00452171">
        <w:rPr>
          <w:rFonts w:eastAsia="Calibri" w:cs="Times New Roman"/>
          <w:color w:val="000000"/>
        </w:rPr>
        <w:t>wave three initiators</w:t>
      </w:r>
      <w:r w:rsidRPr="00A0218A">
        <w:rPr>
          <w:rFonts w:eastAsia="Calibri" w:cs="Times New Roman"/>
          <w:color w:val="000000"/>
        </w:rPr>
        <w:t xml:space="preserve"> and one that </w:t>
      </w:r>
      <w:r w:rsidR="00452171">
        <w:rPr>
          <w:rFonts w:eastAsia="Calibri" w:cs="Times New Roman"/>
          <w:color w:val="000000"/>
        </w:rPr>
        <w:t>excluded them</w:t>
      </w:r>
      <w:r w:rsidRPr="00A0218A">
        <w:rPr>
          <w:rFonts w:eastAsia="Calibri" w:cs="Times New Roman"/>
          <w:color w:val="000000"/>
        </w:rPr>
        <w:t xml:space="preserve">. </w:t>
      </w:r>
      <w:r w:rsidR="00452171">
        <w:rPr>
          <w:rFonts w:eastAsia="Calibri" w:cs="Times New Roman"/>
          <w:color w:val="000000"/>
        </w:rPr>
        <w:t>When including wave three initiators</w:t>
      </w:r>
      <w:r w:rsidRPr="00A0218A">
        <w:rPr>
          <w:rFonts w:eastAsia="Calibri" w:cs="Times New Roman"/>
          <w:color w:val="000000"/>
        </w:rPr>
        <w:t xml:space="preserve">, 43.8 percent of male current smokers initiated to menthol; </w:t>
      </w:r>
      <w:r w:rsidR="00452171">
        <w:rPr>
          <w:rFonts w:eastAsia="Calibri" w:cs="Times New Roman"/>
          <w:color w:val="000000"/>
        </w:rPr>
        <w:t>when excluding wave three initiators</w:t>
      </w:r>
      <w:r w:rsidRPr="00A0218A">
        <w:rPr>
          <w:rFonts w:eastAsia="Calibri" w:cs="Times New Roman"/>
          <w:color w:val="000000"/>
        </w:rPr>
        <w:t>, 37.8 percent initiated to menthol. Nonnemaker et al</w:t>
      </w:r>
      <w:r w:rsidR="00C56F21">
        <w:rPr>
          <w:rFonts w:eastAsia="Calibri" w:cs="Times New Roman"/>
          <w:color w:val="000000"/>
        </w:rPr>
        <w:t xml:space="preserve">.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&lt;EndNote&gt;&lt;Cite&gt;&lt;Author&gt;Nonnemaker&lt;/Author&gt;&lt;Year&gt;2010&lt;/Year&gt;&lt;RecNum&gt;97&lt;/RecNum&gt;&lt;DisplayText&gt;(73)&lt;/DisplayText&gt;&lt;record&gt;&lt;rec-number&gt;97&lt;/rec-number&gt;&lt;foreign-keys&gt;&lt;key app="EN" db-id="a2vz2dfp8xrad6exes75zwpiw5rxwa0vwapv" timestamp="0"&gt;97&lt;/key&gt;&lt;/foreign-keys&gt;&lt;ref-type name="Report"&gt;27&lt;/ref-type&gt;&lt;contributors&gt;&lt;authors&gt;&lt;author&gt;Nonnemaker, J.&lt;/author&gt;&lt;author&gt;Hersey, J.&lt;/author&gt;&lt;author&gt;Homsi, G.&lt;/author&gt;&lt;author&gt;Busey, A.&lt;/author&gt;&lt;/authors&gt;&lt;/contributors&gt;&lt;titles&gt;&lt;title&gt;Menthol cigarettes and youth smoking updake&lt;/title&gt;&lt;/titles&gt;&lt;dates&gt;&lt;year&gt;2010&lt;/year&gt;&lt;/dates&gt;&lt;pub-location&gt;RTI International&lt;/pub-location&gt;&lt;urls&gt;&lt;/urls&gt;&lt;research-notes&gt;#812&lt;/research-notes&gt;&lt;/record&gt;&lt;/Cite&gt;&lt;/EndNote&gt;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73" w:tooltip="Nonnemaker, 2010 #97" w:history="1">
        <w:r w:rsidR="00A234A9">
          <w:rPr>
            <w:rFonts w:eastAsia="Calibri" w:cs="Times New Roman"/>
            <w:noProof/>
            <w:color w:val="000000"/>
          </w:rPr>
          <w:t>73</w:t>
        </w:r>
      </w:hyperlink>
      <w:r w:rsidR="00D2134A">
        <w:rPr>
          <w:rFonts w:eastAsia="Calibri" w:cs="Times New Roman"/>
          <w:noProof/>
          <w:color w:val="000000"/>
        </w:rPr>
        <w:t>)</w:t>
      </w:r>
      <w:r w:rsidR="00D2134A">
        <w:rPr>
          <w:rFonts w:eastAsia="Calibri" w:cs="Times New Roman"/>
          <w:color w:val="000000"/>
        </w:rPr>
        <w:fldChar w:fldCharType="end"/>
      </w:r>
      <w:r w:rsidR="00C56F21">
        <w:rPr>
          <w:rFonts w:eastAsia="Calibri" w:cs="Times New Roman"/>
          <w:color w:val="000000"/>
        </w:rPr>
        <w:t xml:space="preserve"> a</w:t>
      </w:r>
      <w:r w:rsidRPr="00A0218A">
        <w:rPr>
          <w:rFonts w:eastAsia="Calibri" w:cs="Times New Roman"/>
          <w:color w:val="000000"/>
        </w:rPr>
        <w:t>lso examined rates of switching cigarette type among male youth in this sample. Including youth who started smoking during the final wave, 6.4 percent of male menthol smokers switched to non-menthol cigarettes, and 7.6 percent of male non-menthol smokers switched to menthol cigarettes.</w:t>
      </w:r>
      <w:r w:rsidR="00452171">
        <w:rPr>
          <w:rFonts w:eastAsia="Calibri" w:cs="Times New Roman"/>
          <w:color w:val="000000"/>
        </w:rPr>
        <w:t xml:space="preserve"> Tests of statistical significance were not </w:t>
      </w:r>
      <w:r w:rsidR="006441A1">
        <w:rPr>
          <w:rFonts w:eastAsia="Calibri" w:cs="Times New Roman"/>
          <w:color w:val="000000"/>
        </w:rPr>
        <w:lastRenderedPageBreak/>
        <w:t>reported,</w:t>
      </w:r>
      <w:r w:rsidR="00452171">
        <w:rPr>
          <w:rFonts w:eastAsia="Calibri" w:cs="Times New Roman"/>
          <w:color w:val="000000"/>
        </w:rPr>
        <w:t xml:space="preserve"> and i</w:t>
      </w:r>
      <w:r w:rsidR="00452171" w:rsidRPr="00A0218A">
        <w:rPr>
          <w:rFonts w:eastAsia="Calibri" w:cs="Times New Roman"/>
          <w:color w:val="000000"/>
        </w:rPr>
        <w:t>t is unclear how much overlap there is in the samples used in the 2010 and 2012 publications.</w:t>
      </w:r>
    </w:p>
    <w:p w14:paraId="770354E2" w14:textId="3B1ED4AD" w:rsidR="007008A2" w:rsidRDefault="007008A2" w:rsidP="007008A2">
      <w:r>
        <w:rPr>
          <w:rFonts w:eastAsia="Calibri" w:cs="Times New Roman"/>
          <w:color w:val="000000"/>
        </w:rPr>
        <w:t xml:space="preserve">Finally, </w:t>
      </w:r>
      <w:r w:rsidRPr="001A4FE3">
        <w:t xml:space="preserve">Cubbin et al. </w:t>
      </w:r>
      <w:r w:rsidR="00D2134A">
        <w:fldChar w:fldCharType="begin"/>
      </w:r>
      <w:r w:rsidR="00D2134A">
        <w:instrText xml:space="preserve"> ADDIN EN.CITE &lt;EndNote&gt;&lt;Cite&gt;&lt;Author&gt;Cubbin&lt;/Author&gt;&lt;Year&gt;2010&lt;/Year&gt;&lt;RecNum&gt;53&lt;/RecNum&gt;&lt;DisplayText&gt;(50)&lt;/DisplayText&gt;&lt;record&gt;&lt;rec-number&gt;53&lt;/rec-number&gt;&lt;foreign-keys&gt;&lt;key app="EN" db-id="a2vz2dfp8xrad6exes75zwpiw5rxwa0vwapv" timestamp="0"&gt;53&lt;/key&gt;&lt;/foreign-keys&gt;&lt;ref-type name="Journal Article"&gt;17&lt;/ref-type&gt;&lt;contributors&gt;&lt;authors&gt;&lt;author&gt;Cubbin, C.&lt;/author&gt;&lt;author&gt;Soobader, M. J.&lt;/author&gt;&lt;author&gt;LeClere, F. B.&lt;/author&gt;&lt;/authors&gt;&lt;/contributors&gt;&lt;auth-address&gt;School of Social Work, University of Texas at Austin, Austin, TX 78712-0358, USA. ccubbin@austin.utexas.edu&lt;/auth-address&gt;&lt;titles&gt;&lt;title&gt;The intersection of gender and race/ethnicity in smoking behaviors among menthol and non-menthol smokers in the United States&lt;/title&gt;&lt;secondary-title&gt;Addiction&lt;/secondary-title&gt;&lt;/titles&gt;&lt;periodical&gt;&lt;full-title&gt;Addiction&lt;/full-title&gt;&lt;/periodical&gt;&lt;pages&gt;32-8&lt;/pages&gt;&lt;volume&gt;105 Suppl 1&lt;/volume&gt;&lt;keywords&gt;&lt;keyword&gt;Adult&lt;/keyword&gt;&lt;keyword&gt;African Americans/statistics &amp;amp; numerical data&lt;/keyword&gt;&lt;keyword&gt;Age of Onset&lt;/keyword&gt;&lt;keyword&gt;Cross-Sectional Studies&lt;/keyword&gt;&lt;keyword&gt;European Continental Ancestry Group/statistics &amp;amp; numerical data&lt;/keyword&gt;&lt;keyword&gt;Female&lt;/keyword&gt;&lt;keyword&gt;Hispanic Americans/statistics &amp;amp; numerical data&lt;/keyword&gt;&lt;keyword&gt;Humans&lt;/keyword&gt;&lt;keyword&gt;Male&lt;/keyword&gt;&lt;keyword&gt;*Menthol&lt;/keyword&gt;&lt;keyword&gt;Middle Aged&lt;/keyword&gt;&lt;keyword&gt;*Population Surveillance&lt;/keyword&gt;&lt;keyword&gt;Sex Factors&lt;/keyword&gt;&lt;keyword&gt;Smoking/*epidemiology/ethnology&lt;/keyword&gt;&lt;keyword&gt;Smoking Cessation/ethnology/statistics &amp;amp; numerical data&lt;/keyword&gt;&lt;keyword&gt;Socioeconomic Factors&lt;/keyword&gt;&lt;keyword&gt;United States/epidemiology&lt;/keyword&gt;&lt;/keywords&gt;&lt;dates&gt;&lt;year&gt;2010&lt;/year&gt;&lt;pub-dates&gt;&lt;date&gt;Dec&lt;/date&gt;&lt;/pub-dates&gt;&lt;/dates&gt;&lt;isbn&gt;1360-0443 (Electronic)&amp;#xD;0965-2140 (Linking)&lt;/isbn&gt;&lt;accession-num&gt;21059134&lt;/accession-num&gt;&lt;urls&gt;&lt;related-urls&gt;&lt;url&gt;http://www.ncbi.nlm.nih.gov/pubmed/21059134&lt;/url&gt;&lt;/related-urls&gt;&lt;/urls&gt;&lt;electronic-resource-num&gt;10.1111/j.1360-0443.2010.03191.x&lt;/electronic-resource-num&gt;&lt;research-notes&gt;#281&lt;/research-notes&gt;&lt;/record&gt;&lt;/Cite&gt;&lt;/EndNote&gt;</w:instrText>
      </w:r>
      <w:r w:rsidR="00D2134A">
        <w:fldChar w:fldCharType="separate"/>
      </w:r>
      <w:r w:rsidR="00D2134A">
        <w:rPr>
          <w:noProof/>
        </w:rPr>
        <w:t>(</w:t>
      </w:r>
      <w:hyperlink w:anchor="_ENREF_50" w:tooltip="Cubbin, 2010 #53" w:history="1">
        <w:r w:rsidR="00A234A9">
          <w:rPr>
            <w:noProof/>
          </w:rPr>
          <w:t>50</w:t>
        </w:r>
      </w:hyperlink>
      <w:r w:rsidR="00D2134A">
        <w:rPr>
          <w:noProof/>
        </w:rPr>
        <w:t>)</w:t>
      </w:r>
      <w:r w:rsidR="00D2134A">
        <w:fldChar w:fldCharType="end"/>
      </w:r>
      <w:r>
        <w:t xml:space="preserve"> </w:t>
      </w:r>
      <w:r w:rsidRPr="001A4FE3">
        <w:t>reported data from adults in the 2005 NHIS. Authors looked at distribution of daily and non-daily smoking in menthol and non-menthol smokers stratified by race</w:t>
      </w:r>
      <w:r w:rsidR="00BF13A5">
        <w:t>/ethnicity</w:t>
      </w:r>
      <w:r w:rsidRPr="001A4FE3">
        <w:t xml:space="preserve"> and gender. Authors reported that in Black men population, for menthol use 5.2 percent were non-daily smokers and 14.9 percent were daily smokers, and for non-menthol use 2.1 percent were non-daily smokers and 6.1 percent were daily smokers; in Hispanic men population, for menthol use 1.3 percent were non-daily smokers and 2.1 percent were daily smokers, and for non-menthol use 6.9 percent were non-daily smokers and 10.7 percent were daily smokers; in White men population, for menthol use 0.4 percent were non-daily smokers and 3.4 percent were daily smokers, and for non-menthol use 3.5 percent were non-daily smokers and 1</w:t>
      </w:r>
      <w:r>
        <w:t>9.8 percent were daily smokers.</w:t>
      </w:r>
    </w:p>
    <w:p w14:paraId="55DC6813" w14:textId="77777777" w:rsidR="00D04C52" w:rsidRDefault="00D04C52" w:rsidP="00B46744">
      <w:pPr>
        <w:spacing w:after="120" w:line="240" w:lineRule="auto"/>
        <w:jc w:val="both"/>
        <w:rPr>
          <w:rFonts w:eastAsia="Calibri" w:cs="Times New Roman"/>
          <w:color w:val="000000"/>
        </w:rPr>
      </w:pPr>
    </w:p>
    <w:p w14:paraId="1457E571" w14:textId="50F59C9A" w:rsidR="00E601FA" w:rsidRDefault="00E601FA">
      <w:r>
        <w:br w:type="page"/>
      </w:r>
    </w:p>
    <w:p w14:paraId="0B09CCA3" w14:textId="77777777" w:rsidR="00EA69AA" w:rsidRPr="00EA69AA" w:rsidRDefault="00EA69AA" w:rsidP="00EA69AA">
      <w:pPr>
        <w:pStyle w:val="ChapterHeading"/>
        <w:spacing w:after="0"/>
        <w:rPr>
          <w:rFonts w:asciiTheme="minorHAnsi" w:hAnsiTheme="minorHAnsi"/>
          <w:sz w:val="22"/>
          <w:szCs w:val="22"/>
        </w:rPr>
      </w:pPr>
      <w:r w:rsidRPr="00EA69AA">
        <w:rPr>
          <w:rFonts w:asciiTheme="minorHAnsi" w:hAnsiTheme="minorHAnsi"/>
          <w:sz w:val="22"/>
          <w:szCs w:val="22"/>
        </w:rPr>
        <w:lastRenderedPageBreak/>
        <w:t>SUPPLEMENTAL SECTION 1</w:t>
      </w:r>
      <w:r w:rsidR="00C82C02">
        <w:rPr>
          <w:rFonts w:asciiTheme="minorHAnsi" w:hAnsiTheme="minorHAnsi"/>
          <w:sz w:val="22"/>
          <w:szCs w:val="22"/>
        </w:rPr>
        <w:t>6</w:t>
      </w:r>
      <w:r w:rsidRPr="00EA69AA">
        <w:rPr>
          <w:rFonts w:asciiTheme="minorHAnsi" w:hAnsiTheme="minorHAnsi"/>
          <w:sz w:val="22"/>
          <w:szCs w:val="22"/>
        </w:rPr>
        <w:t>: Meta-Analytic Results</w:t>
      </w:r>
    </w:p>
    <w:p w14:paraId="11FC4D46" w14:textId="400EAB33" w:rsidR="00EA69AA" w:rsidRDefault="00EA69AA" w:rsidP="00EA69AA">
      <w:pPr>
        <w:spacing w:after="120" w:line="240" w:lineRule="auto"/>
        <w:jc w:val="both"/>
        <w:rPr>
          <w:rFonts w:eastAsia="Calibri" w:cs="Times New Roman"/>
          <w:color w:val="000000"/>
        </w:rPr>
      </w:pPr>
      <w:r>
        <w:rPr>
          <w:rFonts w:eastAsia="Calibri" w:cs="Times New Roman"/>
          <w:color w:val="000000"/>
        </w:rPr>
        <w:t>Pooled data for the meta-analyses were extracted from Curtin et al.</w:t>
      </w:r>
      <w:r w:rsidR="00BD3C89">
        <w:rPr>
          <w:rFonts w:eastAsia="Calibri" w:cs="Times New Roman"/>
          <w:color w:val="000000"/>
        </w:rPr>
        <w:t xml:space="preserve"> </w:t>
      </w:r>
      <w:r w:rsidR="00D2134A">
        <w:rPr>
          <w:rFonts w:eastAsia="Calibri" w:cs="Times New Roman"/>
          <w:color w:val="000000"/>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PEVuZE5vdGU+PENpdGU+PEF1dGhvcj5DdXJ0aW48L0F1dGhvcj48WWVhcj4yMDE0PC9ZZWFyPjxS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51" w:tooltip="Curtin, 2014 #13" w:history="1">
        <w:r w:rsidR="00A234A9">
          <w:rPr>
            <w:rFonts w:eastAsia="Calibri" w:cs="Times New Roman"/>
            <w:noProof/>
            <w:color w:val="000000"/>
          </w:rPr>
          <w:t>51</w:t>
        </w:r>
      </w:hyperlink>
      <w:r w:rsidR="00D2134A">
        <w:rPr>
          <w:rFonts w:eastAsia="Calibri" w:cs="Times New Roman"/>
          <w:noProof/>
          <w:color w:val="000000"/>
        </w:rPr>
        <w:t>)</w:t>
      </w:r>
      <w:r w:rsidR="00D2134A">
        <w:rPr>
          <w:rFonts w:eastAsia="Calibri" w:cs="Times New Roman"/>
          <w:color w:val="000000"/>
        </w:rPr>
        <w:fldChar w:fldCharType="end"/>
      </w:r>
      <w:r w:rsidR="00BD3C89">
        <w:rPr>
          <w:rFonts w:eastAsia="Calibri" w:cs="Times New Roman"/>
          <w:color w:val="000000"/>
        </w:rPr>
        <w:t xml:space="preserve"> </w:t>
      </w:r>
      <w:r>
        <w:rPr>
          <w:rFonts w:eastAsia="Calibri" w:cs="Times New Roman"/>
          <w:color w:val="000000"/>
        </w:rPr>
        <w:t>reporting on results that adjusted for age, race/ethnicity, and gender from four government-funded, publicly available surveys (NHANES, NSDUH, NHIS, and TUS-CPS) for both adults and youth. Sensitivity analyses were also completed according to likeness of survey items for reporting menthol status at initiation and cigarette smoking status (past 30 days, regularly, and daily). Pooled adjusted odds ratios</w:t>
      </w:r>
      <w:r w:rsidRPr="00DC3D98">
        <w:rPr>
          <w:rFonts w:eastAsia="Calibri" w:cs="Times New Roman"/>
          <w:color w:val="000000"/>
        </w:rPr>
        <w:t xml:space="preserve"> (</w:t>
      </w:r>
      <w:r>
        <w:rPr>
          <w:rFonts w:eastAsia="Calibri" w:cs="Times New Roman"/>
          <w:color w:val="000000"/>
        </w:rPr>
        <w:t>A</w:t>
      </w:r>
      <w:r w:rsidRPr="00DC3D98">
        <w:rPr>
          <w:rFonts w:eastAsia="Calibri" w:cs="Times New Roman"/>
          <w:color w:val="000000"/>
        </w:rPr>
        <w:t>ORs) and 95% confidence intervals (CIs) with two-sided P values</w:t>
      </w:r>
      <w:r>
        <w:rPr>
          <w:rFonts w:eastAsia="Calibri" w:cs="Times New Roman"/>
          <w:color w:val="000000"/>
        </w:rPr>
        <w:t xml:space="preserve"> are reported from </w:t>
      </w:r>
      <w:r w:rsidRPr="00DC3D98">
        <w:rPr>
          <w:rFonts w:eastAsia="Calibri" w:cs="Times New Roman"/>
          <w:color w:val="000000"/>
        </w:rPr>
        <w:t>random-effects model</w:t>
      </w:r>
      <w:r>
        <w:rPr>
          <w:rFonts w:eastAsia="Calibri" w:cs="Times New Roman"/>
          <w:color w:val="000000"/>
        </w:rPr>
        <w:t>s</w:t>
      </w:r>
      <w:r w:rsidRPr="00DC3D98">
        <w:rPr>
          <w:rFonts w:eastAsia="Calibri" w:cs="Times New Roman"/>
          <w:color w:val="000000"/>
        </w:rPr>
        <w:t xml:space="preserve"> utilizing the DerSimonian and Laird method</w:t>
      </w:r>
      <w:r>
        <w:rPr>
          <w:rFonts w:eastAsia="Calibri" w:cs="Times New Roman"/>
          <w:color w:val="000000"/>
        </w:rPr>
        <w:t xml:space="preserve">s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&lt;EndNote&gt;&lt;Cite&gt;&lt;Author&gt;DerSimonian&lt;/Author&gt;&lt;Year&gt;1986&lt;/Year&gt;&lt;RecNum&gt;2840&lt;/RecNum&gt;&lt;DisplayText&gt;(91)&lt;/DisplayText&gt;&lt;record&gt;&lt;rec-number&gt;2840&lt;/rec-number&gt;&lt;foreign-keys&gt;&lt;key app="EN" db-id="a2vz2dfp8xrad6exes75zwpiw5rxwa0vwapv" timestamp="1554747811"&gt;2840&lt;/key&gt;&lt;/foreign-keys&gt;&lt;ref-type name="Journal Article"&gt;17&lt;/ref-type&gt;&lt;contributors&gt;&lt;authors&gt;&lt;author&gt;DerSimonian, R.&lt;/author&gt;&lt;author&gt;Laird, N.&lt;/author&gt;&lt;/authors&gt;&lt;/contributors&gt;&lt;titles&gt;&lt;title&gt;Meta-analysis in clinical trials&lt;/title&gt;&lt;secondary-title&gt;Control Clin Trials &lt;/secondary-title&gt;&lt;/titles&gt;&lt;periodical&gt;&lt;full-title&gt;Control Clin Trials&lt;/full-title&gt;&lt;/periodical&gt;&lt;pages&gt;177-188&lt;/pages&gt;&lt;volume&gt;7&lt;/volume&gt;&lt;number&gt;3&lt;/number&gt;&lt;dates&gt;&lt;year&gt;1986&lt;/year&gt;&lt;/dates&gt;&lt;urls&gt;&lt;/urls&gt;&lt;/record&gt;&lt;/Cite&gt;&lt;/EndNote&gt;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91" w:tooltip="DerSimonian, 1986 #2840" w:history="1">
        <w:r w:rsidR="00A234A9">
          <w:rPr>
            <w:rFonts w:eastAsia="Calibri" w:cs="Times New Roman"/>
            <w:noProof/>
            <w:color w:val="000000"/>
          </w:rPr>
          <w:t>91</w:t>
        </w:r>
      </w:hyperlink>
      <w:r w:rsidR="00D2134A">
        <w:rPr>
          <w:rFonts w:eastAsia="Calibri" w:cs="Times New Roman"/>
          <w:noProof/>
          <w:color w:val="000000"/>
        </w:rPr>
        <w:t>)</w:t>
      </w:r>
      <w:r w:rsidR="00D2134A">
        <w:rPr>
          <w:rFonts w:eastAsia="Calibri" w:cs="Times New Roman"/>
          <w:color w:val="000000"/>
        </w:rPr>
        <w:fldChar w:fldCharType="end"/>
      </w:r>
      <w:r>
        <w:rPr>
          <w:rFonts w:eastAsia="Calibri" w:cs="Times New Roman"/>
          <w:color w:val="000000"/>
        </w:rPr>
        <w:t xml:space="preserve"> to measure the likelihood of reporting daily versus non-daily smoking</w:t>
      </w:r>
      <w:r w:rsidRPr="00DC3D98">
        <w:rPr>
          <w:rFonts w:eastAsia="Calibri" w:cs="Times New Roman"/>
          <w:color w:val="000000"/>
        </w:rPr>
        <w:t xml:space="preserve">. </w:t>
      </w:r>
      <w:r>
        <w:rPr>
          <w:rFonts w:eastAsia="Calibri" w:cs="Times New Roman"/>
          <w:color w:val="000000"/>
        </w:rPr>
        <w:t xml:space="preserve">Pooled results from the random-effects model for unadjusted mean age are also reported according to mean differences (MD) and 95% CIs. </w:t>
      </w:r>
      <w:r w:rsidRPr="00DC3D98">
        <w:rPr>
          <w:rFonts w:eastAsia="Calibri" w:cs="Times New Roman"/>
          <w:color w:val="000000"/>
        </w:rPr>
        <w:t>Variations among pooled studies were assessed using Cochran’s Q statistic and heterogeneity was quantified using the inconsistency index (I</w:t>
      </w:r>
      <w:r w:rsidRPr="00DC3D98">
        <w:rPr>
          <w:rFonts w:eastAsia="Calibri" w:cs="Times New Roman"/>
          <w:color w:val="000000"/>
          <w:vertAlign w:val="superscript"/>
        </w:rPr>
        <w:t>2</w:t>
      </w:r>
      <w:r w:rsidRPr="00DC3D98">
        <w:rPr>
          <w:rFonts w:eastAsia="Calibri" w:cs="Times New Roman"/>
          <w:color w:val="000000"/>
        </w:rPr>
        <w:t xml:space="preserve">). </w:t>
      </w:r>
      <w:r w:rsidRPr="00A77506">
        <w:rPr>
          <w:rFonts w:eastAsia="Calibri" w:cs="Times New Roman"/>
          <w:color w:val="000000"/>
        </w:rPr>
        <w:t>A p value less than 0.10 was considered statistically significant. I</w:t>
      </w:r>
      <w:r w:rsidRPr="00A77506">
        <w:rPr>
          <w:rFonts w:eastAsia="Calibri" w:cs="Times New Roman"/>
          <w:color w:val="000000"/>
          <w:vertAlign w:val="superscript"/>
        </w:rPr>
        <w:t>2</w:t>
      </w:r>
      <w:r w:rsidRPr="00A77506">
        <w:rPr>
          <w:rFonts w:eastAsia="Calibri" w:cs="Times New Roman"/>
          <w:color w:val="000000"/>
        </w:rPr>
        <w:t xml:space="preserve"> expresses the percent of variability in point estimates due to heterogeneity and results here follow the </w:t>
      </w:r>
      <w:r>
        <w:rPr>
          <w:rFonts w:eastAsia="Calibri" w:cs="Times New Roman"/>
          <w:color w:val="000000"/>
        </w:rPr>
        <w:t>categories</w:t>
      </w:r>
      <w:r w:rsidRPr="00A77506">
        <w:rPr>
          <w:rFonts w:eastAsia="Calibri" w:cs="Times New Roman"/>
          <w:color w:val="000000"/>
        </w:rPr>
        <w:t xml:space="preserve"> of low (I</w:t>
      </w:r>
      <w:r w:rsidRPr="00A77506">
        <w:rPr>
          <w:rFonts w:eastAsia="Calibri" w:cs="Times New Roman"/>
          <w:color w:val="000000"/>
          <w:vertAlign w:val="superscript"/>
        </w:rPr>
        <w:t>2</w:t>
      </w:r>
      <w:r w:rsidRPr="00A77506">
        <w:rPr>
          <w:rFonts w:eastAsia="Calibri" w:cs="Times New Roman"/>
          <w:color w:val="000000"/>
        </w:rPr>
        <w:t>=25%), moderate (I</w:t>
      </w:r>
      <w:r w:rsidRPr="00A77506">
        <w:rPr>
          <w:rFonts w:eastAsia="Calibri" w:cs="Times New Roman"/>
          <w:color w:val="000000"/>
          <w:vertAlign w:val="superscript"/>
        </w:rPr>
        <w:t>2</w:t>
      </w:r>
      <w:r w:rsidRPr="00A77506">
        <w:rPr>
          <w:rFonts w:eastAsia="Calibri" w:cs="Times New Roman"/>
          <w:color w:val="000000"/>
        </w:rPr>
        <w:t>=50%), and high (I</w:t>
      </w:r>
      <w:r w:rsidRPr="00A77506">
        <w:rPr>
          <w:rFonts w:eastAsia="Calibri" w:cs="Times New Roman"/>
          <w:color w:val="000000"/>
          <w:vertAlign w:val="superscript"/>
        </w:rPr>
        <w:t>2</w:t>
      </w:r>
      <w:r w:rsidRPr="00A77506">
        <w:rPr>
          <w:rFonts w:eastAsia="Calibri" w:cs="Times New Roman"/>
          <w:color w:val="000000"/>
        </w:rPr>
        <w:t>=75%)</w:t>
      </w:r>
      <w:r>
        <w:rPr>
          <w:rFonts w:eastAsia="Calibri" w:cs="Times New Roman"/>
          <w:color w:val="000000"/>
        </w:rPr>
        <w:t xml:space="preserve">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&lt;EndNote&gt;&lt;Cite&gt;&lt;Author&gt;Higgins&lt;/Author&gt;&lt;Year&gt;2002&lt;/Year&gt;&lt;RecNum&gt;2841&lt;/RecNum&gt;&lt;DisplayText&gt;(92)&lt;/DisplayText&gt;&lt;record&gt;&lt;rec-number&gt;2841&lt;/rec-number&gt;&lt;foreign-keys&gt;&lt;key app="EN" db-id="a2vz2dfp8xrad6exes75zwpiw5rxwa0vwapv" timestamp="1554748906"&gt;2841&lt;/key&gt;&lt;/foreign-keys&gt;&lt;ref-type name="Journal Article"&gt;17&lt;/ref-type&gt;&lt;contributors&gt;&lt;authors&gt;&lt;author&gt;Higgins, J.P.&lt;/author&gt;&lt;author&gt;Thompson, S.G.&lt;/author&gt;&lt;/authors&gt;&lt;/contributors&gt;&lt;titles&gt;&lt;title&gt;Quantifying heterogeneity in a meta-analysis&lt;/title&gt;&lt;secondary-title&gt;Stat Med &lt;/secondary-title&gt;&lt;/titles&gt;&lt;periodical&gt;&lt;full-title&gt;Stat Med&lt;/full-title&gt;&lt;/periodical&gt;&lt;pages&gt;1539-1558&lt;/pages&gt;&lt;volume&gt;21&lt;/volume&gt;&lt;number&gt;11&lt;/number&gt;&lt;dates&gt;&lt;year&gt;2002&lt;/year&gt;&lt;/dates&gt;&lt;urls&gt;&lt;/urls&gt;&lt;/record&gt;&lt;/Cite&gt;&lt;/EndNote&gt;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92" w:tooltip="Higgins, 2002 #2841" w:history="1">
        <w:r w:rsidR="00A234A9">
          <w:rPr>
            <w:rFonts w:eastAsia="Calibri" w:cs="Times New Roman"/>
            <w:noProof/>
            <w:color w:val="000000"/>
          </w:rPr>
          <w:t>92</w:t>
        </w:r>
      </w:hyperlink>
      <w:r w:rsidR="00D2134A">
        <w:rPr>
          <w:rFonts w:eastAsia="Calibri" w:cs="Times New Roman"/>
          <w:noProof/>
          <w:color w:val="000000"/>
        </w:rPr>
        <w:t>)</w:t>
      </w:r>
      <w:r w:rsidR="00D2134A">
        <w:rPr>
          <w:rFonts w:eastAsia="Calibri" w:cs="Times New Roman"/>
          <w:color w:val="000000"/>
        </w:rPr>
        <w:fldChar w:fldCharType="end"/>
      </w:r>
      <w:r w:rsidRPr="00A77506">
        <w:rPr>
          <w:rFonts w:eastAsia="Calibri" w:cs="Times New Roman"/>
          <w:color w:val="000000"/>
        </w:rPr>
        <w:t>.</w:t>
      </w:r>
      <w:r>
        <w:rPr>
          <w:rFonts w:eastAsia="Calibri" w:cs="Times New Roman"/>
          <w:color w:val="000000"/>
        </w:rPr>
        <w:t xml:space="preserve"> </w:t>
      </w:r>
      <w:r w:rsidRPr="00DC3D98">
        <w:rPr>
          <w:rFonts w:eastAsia="Calibri" w:cs="Times New Roman"/>
          <w:color w:val="000000"/>
        </w:rPr>
        <w:t xml:space="preserve">All data were analyzed through Review Manager version 5.3 </w:t>
      </w:r>
      <w:r w:rsidR="00D2134A">
        <w:rPr>
          <w:rFonts w:eastAsia="Calibri" w:cs="Times New Roman"/>
          <w:color w:val="000000"/>
        </w:rPr>
        <w:fldChar w:fldCharType="begin"/>
      </w:r>
      <w:r w:rsidR="00D2134A">
        <w:rPr>
          <w:rFonts w:eastAsia="Calibri" w:cs="Times New Roman"/>
          <w:color w:val="000000"/>
        </w:rPr>
        <w:instrText xml:space="preserve"> ADDIN EN.CITE &lt;EndNote&gt;&lt;Cite ExcludeAuth="1"&gt;&lt;Author&gt;The Nordic Cochrane Centre&lt;/Author&gt;&lt;Year&gt;2014&lt;/Year&gt;&lt;RecNum&gt;2000&lt;/RecNum&gt;&lt;DisplayText&gt;(93)&lt;/DisplayText&gt;&lt;record&gt;&lt;rec-number&gt;2000&lt;/rec-number&gt;&lt;foreign-keys&gt;&lt;key app="EN" db-id="a2vz2dfp8xrad6exes75zwpiw5rxwa0vwapv" timestamp="1554738503"&gt;2000&lt;/key&gt;&lt;/foreign-keys&gt;&lt;ref-type name="Computer Program"&gt;9&lt;/ref-type&gt;&lt;contributors&gt;&lt;authors&gt;&lt;author&gt;The Nordic Cochrane Centre,&lt;/author&gt;&lt;/authors&gt;&lt;secondary-authors&gt;&lt;author&gt;The Nordic Cochrane Centre&lt;/author&gt;&lt;/secondary-authors&gt;&lt;/contributors&gt;&lt;titles&gt;&lt;title&gt;Review Manager (RevMan)&lt;/title&gt;&lt;/titles&gt;&lt;volume&gt;5.3&lt;/volume&gt;&lt;dates&gt;&lt;year&gt;2014&lt;/year&gt;&lt;/dates&gt;&lt;pub-location&gt;Copenhagen&lt;/pub-location&gt;&lt;publisher&gt;The Cochrane Collaboration&lt;/publisher&gt;&lt;urls&gt;&lt;/urls&gt;&lt;/record&gt;&lt;/Cite&gt;&lt;/EndNote&gt;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93" w:tooltip="The Nordic Cochrane Centre, 2014 #2000" w:history="1">
        <w:r w:rsidR="00A234A9">
          <w:rPr>
            <w:rFonts w:eastAsia="Calibri" w:cs="Times New Roman"/>
            <w:noProof/>
            <w:color w:val="000000"/>
          </w:rPr>
          <w:t>93</w:t>
        </w:r>
      </w:hyperlink>
      <w:r w:rsidR="00D2134A">
        <w:rPr>
          <w:rFonts w:eastAsia="Calibri" w:cs="Times New Roman"/>
          <w:noProof/>
          <w:color w:val="000000"/>
        </w:rPr>
        <w:t>)</w:t>
      </w:r>
      <w:r w:rsidR="00D2134A">
        <w:rPr>
          <w:rFonts w:eastAsia="Calibri" w:cs="Times New Roman"/>
          <w:color w:val="000000"/>
        </w:rPr>
        <w:fldChar w:fldCharType="end"/>
      </w:r>
      <w:r w:rsidRPr="00DC3D98">
        <w:rPr>
          <w:rFonts w:eastAsia="Calibri" w:cs="Times New Roman"/>
          <w:color w:val="000000"/>
        </w:rPr>
        <w:t>.</w:t>
      </w:r>
      <w:r>
        <w:rPr>
          <w:rFonts w:eastAsia="Calibri" w:cs="Times New Roman"/>
          <w:color w:val="000000"/>
        </w:rPr>
        <w:t xml:space="preserve"> </w:t>
      </w:r>
    </w:p>
    <w:p w14:paraId="172D1F5D" w14:textId="642E01D4" w:rsidR="00EA69AA" w:rsidRDefault="00EA69AA" w:rsidP="00EA69AA">
      <w:pPr>
        <w:spacing w:after="240" w:line="240" w:lineRule="auto"/>
        <w:jc w:val="both"/>
        <w:rPr>
          <w:rFonts w:eastAsia="Calibri" w:cs="Times New Roman"/>
          <w:color w:val="000000"/>
        </w:rPr>
      </w:pPr>
      <w:r>
        <w:rPr>
          <w:rFonts w:eastAsia="Calibri" w:cs="Times New Roman"/>
          <w:color w:val="000000"/>
        </w:rPr>
        <w:t xml:space="preserve">Literature search, study choices, and data extraction were completed according to the corresponding systematic review protocol. Standard guidelines were followed for conducting and reporting meta-analyses of observational studies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&lt;EndNote&gt;&lt;Cite&gt;&lt;Author&gt;Stroup&lt;/Author&gt;&lt;Year&gt;2000&lt;/Year&gt;&lt;RecNum&gt;2842&lt;/RecNum&gt;&lt;DisplayText&gt;(94)&lt;/DisplayText&gt;&lt;record&gt;&lt;rec-number&gt;2842&lt;/rec-number&gt;&lt;foreign-keys&gt;&lt;key app="EN" db-id="a2vz2dfp8xrad6exes75zwpiw5rxwa0vwapv" timestamp="1554896803"&gt;2842&lt;/key&gt;&lt;/foreign-keys&gt;&lt;ref-type name="Journal Article"&gt;17&lt;/ref-type&gt;&lt;contributors&gt;&lt;authors&gt;&lt;author&gt;Stroup, D.F.&lt;/author&gt;&lt;author&gt;Berlin, J.A.&lt;/author&gt;&lt;author&gt;Morton, S.C.&lt;/author&gt;&lt;author&gt;Olkin, I.&lt;/author&gt;&lt;author&gt;Williamson, G.D.&lt;/author&gt;&lt;author&gt;Rennie, D.&lt;/author&gt;&lt;author&gt;Moher, D.&lt;/author&gt;&lt;author&gt;Becker, B.J.&lt;/author&gt;&lt;author&gt;Sipe, T.A.&lt;/author&gt;&lt;author&gt;Thacker, S.B.&lt;/author&gt;&lt;/authors&gt;&lt;/contributors&gt;&lt;titles&gt;&lt;title&gt;Meta-analysis of observational studies in epidemiology: a proposal for reporting. Meta-analysis Of Observational Studies in Epidemiology (MOOSE) group. &lt;/title&gt;&lt;secondary-title&gt;JAMA &lt;/secondary-title&gt;&lt;/titles&gt;&lt;periodical&gt;&lt;full-title&gt;JAMA&lt;/full-title&gt;&lt;/periodical&gt;&lt;pages&gt;2008-2012&lt;/pages&gt;&lt;volume&gt;283&lt;/volume&gt;&lt;number&gt;15&lt;/number&gt;&lt;dates&gt;&lt;year&gt;2000&lt;/year&gt;&lt;/dates&gt;&lt;urls&gt;&lt;/url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94" w:tooltip="Stroup, 2000 #2842" w:history="1">
        <w:r w:rsidR="00A234A9">
          <w:rPr>
            <w:rFonts w:eastAsia="Calibri" w:cs="Times New Roman"/>
            <w:noProof/>
            <w:color w:val="000000"/>
          </w:rPr>
          <w:t>94</w:t>
        </w:r>
      </w:hyperlink>
      <w:r w:rsidR="00D2134A">
        <w:rPr>
          <w:rFonts w:eastAsia="Calibri" w:cs="Times New Roman"/>
          <w:noProof/>
          <w:color w:val="000000"/>
        </w:rPr>
        <w:t>)</w:t>
      </w:r>
      <w:r w:rsidR="00D2134A">
        <w:rPr>
          <w:rFonts w:eastAsia="Calibri" w:cs="Times New Roman"/>
          <w:color w:val="000000"/>
        </w:rPr>
        <w:fldChar w:fldCharType="end"/>
      </w:r>
      <w:r>
        <w:rPr>
          <w:rFonts w:eastAsia="Calibri" w:cs="Times New Roman"/>
          <w:color w:val="000000"/>
        </w:rPr>
        <w:t xml:space="preserve">. </w:t>
      </w:r>
    </w:p>
    <w:p w14:paraId="3918E528" w14:textId="77777777" w:rsidR="00EA69AA" w:rsidRDefault="00EA69AA" w:rsidP="00EA69AA">
      <w:pPr>
        <w:spacing w:after="120" w:line="240" w:lineRule="auto"/>
        <w:jc w:val="both"/>
        <w:rPr>
          <w:rFonts w:eastAsia="Calibri" w:cs="Times New Roman"/>
          <w:b/>
          <w:i/>
          <w:color w:val="000000"/>
          <w:u w:val="single"/>
        </w:rPr>
      </w:pPr>
      <w:r>
        <w:rPr>
          <w:rFonts w:eastAsia="Calibri" w:cs="Times New Roman"/>
          <w:b/>
          <w:i/>
          <w:color w:val="000000"/>
          <w:u w:val="single"/>
        </w:rPr>
        <w:t>Search Results</w:t>
      </w:r>
    </w:p>
    <w:p w14:paraId="0B1C03EC" w14:textId="4E48B7AA" w:rsidR="00EA69AA" w:rsidRDefault="00EA69AA" w:rsidP="00EA69AA">
      <w:pPr>
        <w:spacing w:after="120" w:line="240" w:lineRule="auto"/>
        <w:jc w:val="both"/>
        <w:rPr>
          <w:rFonts w:eastAsia="Calibri" w:cs="Times New Roman"/>
          <w:color w:val="000000"/>
        </w:rPr>
      </w:pPr>
      <w:r>
        <w:rPr>
          <w:rFonts w:eastAsia="Calibri" w:cs="Times New Roman"/>
          <w:color w:val="000000"/>
        </w:rPr>
        <w:t xml:space="preserve">Adjusted odds ratios from the random effects models were calculated according to the likeness in survey items on menthol preference as show in </w:t>
      </w:r>
      <w:r>
        <w:rPr>
          <w:rFonts w:eastAsia="Calibri" w:cs="Times New Roman"/>
          <w:b/>
          <w:color w:val="000000"/>
        </w:rPr>
        <w:t xml:space="preserve">Table </w:t>
      </w:r>
      <w:r w:rsidR="00B44564">
        <w:rPr>
          <w:rFonts w:eastAsia="Calibri" w:cs="Times New Roman"/>
          <w:b/>
          <w:color w:val="000000"/>
        </w:rPr>
        <w:t>1</w:t>
      </w:r>
      <w:r w:rsidR="00C82C02">
        <w:rPr>
          <w:rFonts w:eastAsia="Calibri" w:cs="Times New Roman"/>
          <w:b/>
          <w:color w:val="000000"/>
        </w:rPr>
        <w:t>6</w:t>
      </w:r>
      <w:r w:rsidR="00B44564">
        <w:rPr>
          <w:rFonts w:eastAsia="Calibri" w:cs="Times New Roman"/>
          <w:b/>
          <w:color w:val="000000"/>
        </w:rPr>
        <w:t>-</w:t>
      </w:r>
      <w:r>
        <w:rPr>
          <w:rFonts w:eastAsia="Calibri" w:cs="Times New Roman"/>
          <w:b/>
          <w:color w:val="000000"/>
        </w:rPr>
        <w:t>1</w:t>
      </w:r>
      <w:r>
        <w:rPr>
          <w:rFonts w:eastAsia="Calibri" w:cs="Times New Roman"/>
          <w:color w:val="000000"/>
        </w:rPr>
        <w:t xml:space="preserve"> below. As seen in the table below, NHIS and TUS-CPS data were pooled according to “usual cigarette brand menthol or non-menthol” survey item likeness and the remaining NHANES (youth and adults) and NSDUH were pooled according to menthol use in the past 30 days.</w:t>
      </w:r>
      <w:r w:rsidR="001B6E50">
        <w:rPr>
          <w:rFonts w:eastAsia="Calibri" w:cs="Times New Roman"/>
          <w:color w:val="000000"/>
        </w:rPr>
        <w:t xml:space="preserve"> NSDUH results used in the meta-analysis utilized the model where the controlled dependence measures included age of first part or whole cigarette smoked rather than age of first daily smoking. </w:t>
      </w:r>
    </w:p>
    <w:p w14:paraId="4CCF3493" w14:textId="77777777" w:rsidR="00EA69AA" w:rsidRDefault="00EA69AA" w:rsidP="00EA69AA">
      <w:pPr>
        <w:spacing w:after="120" w:line="240" w:lineRule="auto"/>
        <w:jc w:val="both"/>
        <w:rPr>
          <w:rFonts w:eastAsia="Calibri" w:cs="Times New Roman"/>
          <w:b/>
          <w:color w:val="000000"/>
        </w:rPr>
      </w:pPr>
      <w:r>
        <w:rPr>
          <w:rFonts w:eastAsia="Calibri" w:cs="Times New Roman"/>
          <w:b/>
          <w:color w:val="000000"/>
        </w:rPr>
        <w:t xml:space="preserve">Table </w:t>
      </w:r>
      <w:r w:rsidR="00B44564">
        <w:rPr>
          <w:rFonts w:eastAsia="Calibri" w:cs="Times New Roman"/>
          <w:b/>
          <w:color w:val="000000"/>
        </w:rPr>
        <w:t>1</w:t>
      </w:r>
      <w:r w:rsidR="00C82C02">
        <w:rPr>
          <w:rFonts w:eastAsia="Calibri" w:cs="Times New Roman"/>
          <w:b/>
          <w:color w:val="000000"/>
        </w:rPr>
        <w:t>6</w:t>
      </w:r>
      <w:r w:rsidR="00B44564">
        <w:rPr>
          <w:rFonts w:eastAsia="Calibri" w:cs="Times New Roman"/>
          <w:b/>
          <w:color w:val="000000"/>
        </w:rPr>
        <w:t>-</w:t>
      </w:r>
      <w:r>
        <w:rPr>
          <w:rFonts w:eastAsia="Calibri" w:cs="Times New Roman"/>
          <w:b/>
          <w:color w:val="000000"/>
        </w:rPr>
        <w:t>1: Menthol Preference across Government Surveys</w:t>
      </w:r>
    </w:p>
    <w:tbl>
      <w:tblPr>
        <w:tblStyle w:val="TableGrid1"/>
        <w:tblW w:w="0" w:type="auto"/>
        <w:tblInd w:w="-113" w:type="dxa"/>
        <w:tblLook w:val="04A0" w:firstRow="1" w:lastRow="0" w:firstColumn="1" w:lastColumn="0" w:noHBand="0" w:noVBand="1"/>
      </w:tblPr>
      <w:tblGrid>
        <w:gridCol w:w="977"/>
        <w:gridCol w:w="8373"/>
      </w:tblGrid>
      <w:tr w:rsidR="00EA69AA" w:rsidRPr="00857B8F" w14:paraId="36D73D3C" w14:textId="77777777" w:rsidTr="00EA69AA">
        <w:trPr>
          <w:trHeight w:val="386"/>
        </w:trPr>
        <w:tc>
          <w:tcPr>
            <w:tcW w:w="9350" w:type="dxa"/>
            <w:gridSpan w:val="2"/>
            <w:vAlign w:val="center"/>
          </w:tcPr>
          <w:p w14:paraId="4420BBF3" w14:textId="77777777" w:rsidR="00EA69AA" w:rsidRPr="002D6122" w:rsidRDefault="00EA69AA" w:rsidP="00EA69AA">
            <w:pPr>
              <w:spacing w:before="60" w:after="60"/>
              <w:contextualSpacing/>
              <w:jc w:val="center"/>
              <w:rPr>
                <w:b/>
              </w:rPr>
            </w:pPr>
            <w:r>
              <w:rPr>
                <w:b/>
              </w:rPr>
              <w:t>NHANES (Youth), NHANES (Adults), and NSDUH</w:t>
            </w:r>
          </w:p>
        </w:tc>
      </w:tr>
      <w:tr w:rsidR="00EA69AA" w:rsidRPr="00857B8F" w14:paraId="4F48F68F" w14:textId="77777777" w:rsidTr="00EA69AA">
        <w:trPr>
          <w:trHeight w:val="350"/>
        </w:trPr>
        <w:tc>
          <w:tcPr>
            <w:tcW w:w="977" w:type="dxa"/>
            <w:vAlign w:val="center"/>
          </w:tcPr>
          <w:p w14:paraId="7A54E61C" w14:textId="77777777" w:rsidR="00EA69AA" w:rsidRPr="00857B8F" w:rsidRDefault="00EA69AA" w:rsidP="00EA69AA">
            <w:pPr>
              <w:spacing w:before="60" w:after="60"/>
              <w:contextualSpacing/>
              <w:jc w:val="center"/>
              <w:rPr>
                <w:b/>
              </w:rPr>
            </w:pPr>
            <w:r w:rsidRPr="00857B8F">
              <w:rPr>
                <w:b/>
              </w:rPr>
              <w:t>NHANES (youth)</w:t>
            </w:r>
          </w:p>
        </w:tc>
        <w:tc>
          <w:tcPr>
            <w:tcW w:w="8373" w:type="dxa"/>
            <w:vAlign w:val="center"/>
          </w:tcPr>
          <w:p w14:paraId="260CACAC" w14:textId="77777777" w:rsidR="00EA69AA" w:rsidRPr="00857B8F" w:rsidRDefault="00EA69AA" w:rsidP="00EA69AA">
            <w:pPr>
              <w:spacing w:before="60" w:after="60"/>
              <w:contextualSpacing/>
            </w:pPr>
            <w:r w:rsidRPr="00857B8F">
              <w:t>During the past 30 days…Were the [brand name] cigarettes menthol or non-menthol?</w:t>
            </w:r>
          </w:p>
        </w:tc>
      </w:tr>
      <w:tr w:rsidR="00EA69AA" w:rsidRPr="00857B8F" w14:paraId="3EE6BB07" w14:textId="77777777" w:rsidTr="00EA69AA">
        <w:trPr>
          <w:trHeight w:val="710"/>
        </w:trPr>
        <w:tc>
          <w:tcPr>
            <w:tcW w:w="977" w:type="dxa"/>
            <w:vAlign w:val="center"/>
            <w:hideMark/>
          </w:tcPr>
          <w:p w14:paraId="3D27AF01" w14:textId="77777777" w:rsidR="00EA69AA" w:rsidRPr="00857B8F" w:rsidRDefault="00EA69AA" w:rsidP="00EA69AA">
            <w:pPr>
              <w:spacing w:before="60" w:after="60"/>
              <w:contextualSpacing/>
              <w:jc w:val="center"/>
              <w:rPr>
                <w:b/>
              </w:rPr>
            </w:pPr>
            <w:r w:rsidRPr="00857B8F">
              <w:rPr>
                <w:b/>
              </w:rPr>
              <w:t>NHANES (adults)</w:t>
            </w:r>
          </w:p>
        </w:tc>
        <w:tc>
          <w:tcPr>
            <w:tcW w:w="8373" w:type="dxa"/>
            <w:vAlign w:val="center"/>
            <w:hideMark/>
          </w:tcPr>
          <w:p w14:paraId="36719826" w14:textId="77777777" w:rsidR="00EA69AA" w:rsidRPr="00857B8F" w:rsidRDefault="00EA69AA" w:rsidP="00EA69AA">
            <w:pPr>
              <w:spacing w:before="60" w:after="60"/>
              <w:contextualSpacing/>
            </w:pPr>
            <w:r w:rsidRPr="00857B8F">
              <w:t>A menthol indicator variable was populated for past 30 day cigarette use according to question SMD100MN, description: Cigarette product mentholated or non-mentholated.</w:t>
            </w:r>
          </w:p>
        </w:tc>
      </w:tr>
      <w:tr w:rsidR="00EA69AA" w:rsidRPr="00857B8F" w14:paraId="69E23284" w14:textId="77777777" w:rsidTr="00EA69AA">
        <w:trPr>
          <w:trHeight w:val="1790"/>
        </w:trPr>
        <w:tc>
          <w:tcPr>
            <w:tcW w:w="977" w:type="dxa"/>
            <w:vAlign w:val="center"/>
          </w:tcPr>
          <w:p w14:paraId="34A1D17D" w14:textId="77777777" w:rsidR="00EA69AA" w:rsidRPr="00857B8F" w:rsidRDefault="00EA69AA" w:rsidP="00EA69AA">
            <w:pPr>
              <w:spacing w:before="60" w:after="60"/>
              <w:contextualSpacing/>
              <w:jc w:val="center"/>
              <w:rPr>
                <w:b/>
              </w:rPr>
            </w:pPr>
            <w:r w:rsidRPr="00857B8F">
              <w:rPr>
                <w:b/>
              </w:rPr>
              <w:t>NSDUH</w:t>
            </w:r>
          </w:p>
        </w:tc>
        <w:tc>
          <w:tcPr>
            <w:tcW w:w="8373" w:type="dxa"/>
            <w:vAlign w:val="center"/>
          </w:tcPr>
          <w:p w14:paraId="3EEE6900" w14:textId="77777777" w:rsidR="00EA69AA" w:rsidRPr="00300E52" w:rsidRDefault="00EA69AA" w:rsidP="00EA69AA">
            <w:pPr>
              <w:spacing w:before="60" w:after="60"/>
              <w:contextualSpacing/>
              <w:rPr>
                <w:rFonts w:cstheme="minorHAnsi"/>
              </w:rPr>
            </w:pPr>
            <w:r w:rsidRPr="00300E52">
              <w:rPr>
                <w:rFonts w:cstheme="minorHAnsi"/>
                <w:u w:val="single"/>
              </w:rPr>
              <w:t>2000-2003</w:t>
            </w:r>
            <w:r w:rsidRPr="00300E52">
              <w:rPr>
                <w:rFonts w:cstheme="minorHAnsi"/>
              </w:rPr>
              <w:t xml:space="preserve">: During the past 30 days, did you smoke </w:t>
            </w:r>
            <w:r>
              <w:rPr>
                <w:rFonts w:cstheme="minorHAnsi"/>
              </w:rPr>
              <w:t>[</w:t>
            </w:r>
            <w:r w:rsidRPr="00300E52">
              <w:rPr>
                <w:rFonts w:cstheme="minorHAnsi"/>
              </w:rPr>
              <w:t>brand name]</w:t>
            </w:r>
            <w:r w:rsidRPr="00300E52">
              <w:rPr>
                <w:rFonts w:cstheme="minorHAnsi"/>
                <w:vertAlign w:val="superscript"/>
              </w:rPr>
              <w:footnoteReference w:id="2"/>
            </w:r>
            <w:r w:rsidRPr="00300E52">
              <w:rPr>
                <w:rFonts w:cstheme="minorHAnsi"/>
              </w:rPr>
              <w:t xml:space="preserve"> menthol or regular cigarettes most often? </w:t>
            </w:r>
          </w:p>
          <w:p w14:paraId="5B3EEE81" w14:textId="77777777" w:rsidR="00EA69AA" w:rsidRPr="00857B8F" w:rsidRDefault="00EA69AA" w:rsidP="00EA69AA">
            <w:pPr>
              <w:spacing w:before="60" w:after="60"/>
              <w:contextualSpacing/>
              <w:rPr>
                <w:rFonts w:cstheme="minorHAnsi"/>
                <w:i/>
                <w:iCs/>
              </w:rPr>
            </w:pPr>
            <w:r w:rsidRPr="00300E52">
              <w:rPr>
                <w:rFonts w:cstheme="minorHAnsi"/>
                <w:i/>
                <w:iCs/>
              </w:rPr>
              <w:t>OR</w:t>
            </w:r>
          </w:p>
          <w:p w14:paraId="1850ABF9" w14:textId="77777777" w:rsidR="00EA69AA" w:rsidRPr="00857B8F" w:rsidRDefault="00EA69AA" w:rsidP="00EA69AA">
            <w:pPr>
              <w:spacing w:before="60" w:after="60"/>
              <w:contextualSpacing/>
            </w:pPr>
            <w:r w:rsidRPr="00300E52">
              <w:rPr>
                <w:rFonts w:cstheme="minorHAnsi"/>
              </w:rPr>
              <w:t xml:space="preserve">During the past 30 days, did you smoke menthol or regular cigarettes most often? </w:t>
            </w:r>
            <w:r w:rsidRPr="00300E52">
              <w:rPr>
                <w:rFonts w:cstheme="minorHAnsi"/>
              </w:rPr>
              <w:br/>
            </w:r>
            <w:r w:rsidRPr="00300E52">
              <w:rPr>
                <w:rFonts w:cstheme="minorHAnsi"/>
              </w:rPr>
              <w:br/>
            </w:r>
            <w:r w:rsidRPr="00300E52">
              <w:rPr>
                <w:rFonts w:cstheme="minorHAnsi"/>
                <w:u w:val="single"/>
              </w:rPr>
              <w:t>2004-2009</w:t>
            </w:r>
            <w:r w:rsidRPr="00300E52">
              <w:rPr>
                <w:rFonts w:cstheme="minorHAnsi"/>
              </w:rPr>
              <w:t>: Were the [brand name]</w:t>
            </w:r>
            <w:r>
              <w:rPr>
                <w:rFonts w:cstheme="minorHAnsi"/>
              </w:rPr>
              <w:t xml:space="preserve"> </w:t>
            </w:r>
            <w:r w:rsidRPr="00300E52">
              <w:rPr>
                <w:rFonts w:cstheme="minorHAnsi"/>
              </w:rPr>
              <w:t xml:space="preserve">cigarettes you smoked during the past 30 days menthol? </w:t>
            </w:r>
            <w:r w:rsidRPr="00300E52">
              <w:rPr>
                <w:rFonts w:cstheme="minorHAnsi"/>
                <w:i/>
                <w:iCs/>
              </w:rPr>
              <w:t>OR</w:t>
            </w:r>
            <w:r w:rsidRPr="00300E52">
              <w:rPr>
                <w:rFonts w:cstheme="minorHAnsi"/>
              </w:rPr>
              <w:br/>
              <w:t>Were the cigarettes you smoked during the past 30 days menthol?</w:t>
            </w:r>
          </w:p>
        </w:tc>
      </w:tr>
      <w:tr w:rsidR="00EA69AA" w:rsidRPr="00857B8F" w14:paraId="40B376C9" w14:textId="77777777" w:rsidTr="00EA69AA">
        <w:trPr>
          <w:trHeight w:val="323"/>
        </w:trPr>
        <w:tc>
          <w:tcPr>
            <w:tcW w:w="9350" w:type="dxa"/>
            <w:gridSpan w:val="2"/>
            <w:vAlign w:val="center"/>
          </w:tcPr>
          <w:p w14:paraId="25B8E199" w14:textId="77777777" w:rsidR="00EA69AA" w:rsidRPr="002D6122" w:rsidRDefault="00EA69AA" w:rsidP="00EA69AA">
            <w:pPr>
              <w:spacing w:before="60" w:after="60"/>
              <w:contextualSpacing/>
              <w:jc w:val="center"/>
              <w:rPr>
                <w:rFonts w:cstheme="minorHAnsi"/>
                <w:b/>
              </w:rPr>
            </w:pPr>
            <w:r w:rsidRPr="002D6122">
              <w:rPr>
                <w:rFonts w:cstheme="minorHAnsi"/>
                <w:b/>
              </w:rPr>
              <w:t>NHIS and TUS-CPS</w:t>
            </w:r>
          </w:p>
        </w:tc>
      </w:tr>
      <w:tr w:rsidR="00EA69AA" w:rsidRPr="00857B8F" w14:paraId="35E62CCF" w14:textId="77777777" w:rsidTr="00EA69AA">
        <w:trPr>
          <w:trHeight w:val="323"/>
        </w:trPr>
        <w:tc>
          <w:tcPr>
            <w:tcW w:w="977" w:type="dxa"/>
            <w:vAlign w:val="center"/>
          </w:tcPr>
          <w:p w14:paraId="3FE0CC72" w14:textId="77777777" w:rsidR="00EA69AA" w:rsidRPr="00857B8F" w:rsidRDefault="00EA69AA" w:rsidP="00EA69AA">
            <w:pPr>
              <w:spacing w:before="60" w:after="60"/>
              <w:contextualSpacing/>
              <w:jc w:val="center"/>
              <w:rPr>
                <w:b/>
              </w:rPr>
            </w:pPr>
            <w:r w:rsidRPr="00857B8F">
              <w:rPr>
                <w:b/>
              </w:rPr>
              <w:t>NHIS</w:t>
            </w:r>
          </w:p>
        </w:tc>
        <w:tc>
          <w:tcPr>
            <w:tcW w:w="8373" w:type="dxa"/>
            <w:vAlign w:val="center"/>
          </w:tcPr>
          <w:p w14:paraId="2E0FF992" w14:textId="77777777" w:rsidR="00EA69AA" w:rsidRPr="00300E52" w:rsidRDefault="00EA69AA" w:rsidP="00EA69AA">
            <w:pPr>
              <w:spacing w:before="60" w:after="60"/>
              <w:contextualSpacing/>
              <w:rPr>
                <w:rFonts w:cstheme="minorHAnsi"/>
              </w:rPr>
            </w:pPr>
            <w:r w:rsidRPr="00300E52">
              <w:rPr>
                <w:rFonts w:cstheme="minorHAnsi"/>
              </w:rPr>
              <w:t>Is your usual cigarette brand menthol or non-menthol?</w:t>
            </w:r>
          </w:p>
        </w:tc>
      </w:tr>
      <w:tr w:rsidR="00EA69AA" w:rsidRPr="00857B8F" w14:paraId="344E1AAF" w14:textId="77777777" w:rsidTr="00EA69AA">
        <w:trPr>
          <w:trHeight w:val="332"/>
        </w:trPr>
        <w:tc>
          <w:tcPr>
            <w:tcW w:w="977" w:type="dxa"/>
            <w:vAlign w:val="center"/>
          </w:tcPr>
          <w:p w14:paraId="5A51C1B6" w14:textId="77777777" w:rsidR="00EA69AA" w:rsidRPr="00857B8F" w:rsidRDefault="00EA69AA" w:rsidP="00EA69AA">
            <w:pPr>
              <w:spacing w:before="60" w:after="60"/>
              <w:contextualSpacing/>
              <w:jc w:val="center"/>
              <w:rPr>
                <w:b/>
              </w:rPr>
            </w:pPr>
            <w:r w:rsidRPr="00857B8F">
              <w:rPr>
                <w:b/>
              </w:rPr>
              <w:t>TUS-CPS</w:t>
            </w:r>
          </w:p>
        </w:tc>
        <w:tc>
          <w:tcPr>
            <w:tcW w:w="8373" w:type="dxa"/>
            <w:vAlign w:val="center"/>
          </w:tcPr>
          <w:p w14:paraId="0D814C05" w14:textId="77777777" w:rsidR="00EA69AA" w:rsidRPr="00857B8F" w:rsidRDefault="00EA69AA" w:rsidP="00EA69AA">
            <w:pPr>
              <w:spacing w:before="60" w:after="60"/>
              <w:contextualSpacing/>
              <w:rPr>
                <w:rFonts w:cstheme="minorHAnsi"/>
              </w:rPr>
            </w:pPr>
            <w:r w:rsidRPr="00300E52">
              <w:rPr>
                <w:rFonts w:cstheme="minorHAnsi"/>
              </w:rPr>
              <w:t>Is your usual cigarette brand menthol or non-menthol?</w:t>
            </w:r>
          </w:p>
        </w:tc>
      </w:tr>
    </w:tbl>
    <w:p w14:paraId="4C53A12E" w14:textId="77777777" w:rsidR="00F843B7" w:rsidRDefault="00F843B7" w:rsidP="00EA69AA">
      <w:pPr>
        <w:spacing w:after="120" w:line="240" w:lineRule="auto"/>
        <w:jc w:val="both"/>
        <w:rPr>
          <w:rFonts w:eastAsia="Calibri" w:cs="Times New Roman"/>
          <w:b/>
          <w:i/>
          <w:color w:val="000000"/>
          <w:u w:val="single"/>
        </w:rPr>
      </w:pPr>
    </w:p>
    <w:p w14:paraId="33626E43" w14:textId="7C8D1B0C" w:rsidR="00EA69AA" w:rsidRDefault="00EA69AA" w:rsidP="00EA69AA">
      <w:pPr>
        <w:spacing w:after="120" w:line="240" w:lineRule="auto"/>
        <w:jc w:val="both"/>
        <w:rPr>
          <w:rFonts w:eastAsia="Times New Roman" w:cs="Times New Roman"/>
          <w:bCs/>
        </w:rPr>
      </w:pPr>
      <w:r w:rsidRPr="00F15947">
        <w:rPr>
          <w:rFonts w:eastAsia="Calibri" w:cs="Times New Roman"/>
          <w:b/>
          <w:i/>
          <w:color w:val="000000"/>
          <w:u w:val="single"/>
        </w:rPr>
        <w:t>Adjusted Odds</w:t>
      </w:r>
      <w:r>
        <w:rPr>
          <w:rFonts w:eastAsia="Calibri" w:cs="Times New Roman"/>
          <w:b/>
          <w:i/>
          <w:color w:val="000000"/>
          <w:u w:val="single"/>
        </w:rPr>
        <w:t xml:space="preserve"> of Reporting Daily Versus Non-Daily Smoking</w:t>
      </w:r>
      <w:r w:rsidRPr="00F15947">
        <w:rPr>
          <w:rFonts w:eastAsia="Times New Roman" w:cs="Times New Roman"/>
          <w:b/>
          <w:bCs/>
          <w:i/>
          <w:u w:val="single"/>
        </w:rPr>
        <w:t>—</w:t>
      </w:r>
      <w:r>
        <w:rPr>
          <w:rFonts w:eastAsia="Times New Roman" w:cs="Times New Roman"/>
          <w:b/>
          <w:bCs/>
          <w:i/>
          <w:u w:val="single"/>
        </w:rPr>
        <w:t>Adults and Youth</w:t>
      </w:r>
    </w:p>
    <w:p w14:paraId="622CCD24" w14:textId="1781167F" w:rsidR="00EA69AA" w:rsidRPr="00E626F3" w:rsidRDefault="00EA69AA" w:rsidP="00EA69AA">
      <w:pPr>
        <w:spacing w:after="240" w:line="240" w:lineRule="auto"/>
        <w:jc w:val="both"/>
        <w:rPr>
          <w:rFonts w:eastAsia="Calibri" w:cs="Times New Roman"/>
          <w:b/>
          <w:color w:val="000000"/>
        </w:rPr>
      </w:pPr>
      <w:r>
        <w:rPr>
          <w:rFonts w:eastAsia="Calibri" w:cs="Times New Roman"/>
          <w:color w:val="000000"/>
        </w:rPr>
        <w:t>Among the adult NHIS and TUS-CPS full sample who reported their usual brand of cigarette as non-menthol (versus menthol), no difference was found between menthol and non-menthol smokers in terms of likelihood of reporting daily versus non-daily</w:t>
      </w:r>
      <w:r w:rsidR="00620E82">
        <w:rPr>
          <w:rFonts w:eastAsia="Calibri" w:cs="Times New Roman"/>
          <w:color w:val="000000"/>
        </w:rPr>
        <w:t xml:space="preserve"> smoking</w:t>
      </w:r>
      <w:r>
        <w:rPr>
          <w:rFonts w:eastAsia="Calibri" w:cs="Times New Roman"/>
          <w:color w:val="000000"/>
        </w:rPr>
        <w:t xml:space="preserve"> (presented in </w:t>
      </w:r>
      <w:r>
        <w:rPr>
          <w:rFonts w:eastAsia="Calibri" w:cs="Times New Roman"/>
          <w:b/>
          <w:color w:val="000000"/>
        </w:rPr>
        <w:t xml:space="preserve">Figure </w:t>
      </w:r>
      <w:r w:rsidR="00B44564">
        <w:rPr>
          <w:rFonts w:eastAsia="Calibri" w:cs="Times New Roman"/>
          <w:b/>
          <w:color w:val="000000"/>
        </w:rPr>
        <w:t>1</w:t>
      </w:r>
      <w:r w:rsidR="00C82C02">
        <w:rPr>
          <w:rFonts w:eastAsia="Calibri" w:cs="Times New Roman"/>
          <w:b/>
          <w:color w:val="000000"/>
        </w:rPr>
        <w:t>6</w:t>
      </w:r>
      <w:r w:rsidR="00B44564">
        <w:rPr>
          <w:rFonts w:eastAsia="Calibri" w:cs="Times New Roman"/>
          <w:b/>
          <w:color w:val="000000"/>
        </w:rPr>
        <w:t>-</w:t>
      </w:r>
      <w:r>
        <w:rPr>
          <w:rFonts w:eastAsia="Calibri" w:cs="Times New Roman"/>
          <w:b/>
          <w:color w:val="000000"/>
        </w:rPr>
        <w:t>1</w:t>
      </w:r>
      <w:r>
        <w:rPr>
          <w:rFonts w:eastAsia="Calibri" w:cs="Times New Roman"/>
          <w:color w:val="000000"/>
        </w:rPr>
        <w:t xml:space="preserve">). No difference </w:t>
      </w:r>
      <w:r w:rsidR="002C07CC">
        <w:rPr>
          <w:rFonts w:eastAsia="Calibri" w:cs="Times New Roman"/>
          <w:color w:val="000000"/>
        </w:rPr>
        <w:t>were</w:t>
      </w:r>
      <w:r>
        <w:rPr>
          <w:rFonts w:eastAsia="Calibri" w:cs="Times New Roman"/>
          <w:color w:val="000000"/>
        </w:rPr>
        <w:t xml:space="preserve"> found when controlling for dependence measures and demographics </w:t>
      </w:r>
      <w:r w:rsidR="002C07CC">
        <w:rPr>
          <w:rFonts w:eastAsia="Calibri" w:cs="Times New Roman"/>
          <w:color w:val="000000"/>
        </w:rPr>
        <w:t>or</w:t>
      </w:r>
      <w:r>
        <w:rPr>
          <w:rFonts w:eastAsia="Calibri" w:cs="Times New Roman"/>
          <w:color w:val="000000"/>
        </w:rPr>
        <w:t xml:space="preserve"> when controlling only for demographics (as shown in </w:t>
      </w:r>
      <w:r>
        <w:rPr>
          <w:rFonts w:eastAsia="Calibri" w:cs="Times New Roman"/>
          <w:b/>
          <w:color w:val="000000"/>
        </w:rPr>
        <w:t xml:space="preserve">Figure </w:t>
      </w:r>
      <w:r w:rsidR="00B44564">
        <w:rPr>
          <w:rFonts w:eastAsia="Calibri" w:cs="Times New Roman"/>
          <w:b/>
          <w:color w:val="000000"/>
        </w:rPr>
        <w:t>1</w:t>
      </w:r>
      <w:r w:rsidR="00C82C02">
        <w:rPr>
          <w:rFonts w:eastAsia="Calibri" w:cs="Times New Roman"/>
          <w:b/>
          <w:color w:val="000000"/>
        </w:rPr>
        <w:t>6</w:t>
      </w:r>
      <w:r w:rsidR="00B44564">
        <w:rPr>
          <w:rFonts w:eastAsia="Calibri" w:cs="Times New Roman"/>
          <w:b/>
          <w:color w:val="000000"/>
        </w:rPr>
        <w:t>-</w:t>
      </w:r>
      <w:r>
        <w:rPr>
          <w:rFonts w:eastAsia="Calibri" w:cs="Times New Roman"/>
          <w:b/>
          <w:color w:val="000000"/>
        </w:rPr>
        <w:t>2</w:t>
      </w:r>
      <w:r w:rsidRPr="00E626F3">
        <w:rPr>
          <w:rFonts w:eastAsia="Calibri" w:cs="Times New Roman"/>
          <w:color w:val="000000"/>
        </w:rPr>
        <w:t>).</w:t>
      </w:r>
    </w:p>
    <w:p w14:paraId="6BC6BEE2" w14:textId="1B220507" w:rsidR="00EA69AA" w:rsidRDefault="00EA69AA" w:rsidP="00EA69AA">
      <w:pPr>
        <w:spacing w:after="120" w:line="240" w:lineRule="auto"/>
        <w:jc w:val="both"/>
        <w:rPr>
          <w:rFonts w:eastAsia="Calibri" w:cs="Times New Roman"/>
          <w:b/>
          <w:color w:val="000000"/>
        </w:rPr>
      </w:pPr>
      <w:r>
        <w:rPr>
          <w:rFonts w:eastAsia="Calibri" w:cs="Times New Roman"/>
          <w:b/>
          <w:color w:val="000000"/>
        </w:rPr>
        <w:t xml:space="preserve">Figure </w:t>
      </w:r>
      <w:r w:rsidR="00B44564">
        <w:rPr>
          <w:rFonts w:eastAsia="Calibri" w:cs="Times New Roman"/>
          <w:b/>
          <w:color w:val="000000"/>
        </w:rPr>
        <w:t>1</w:t>
      </w:r>
      <w:r w:rsidR="00C82C02">
        <w:rPr>
          <w:rFonts w:eastAsia="Calibri" w:cs="Times New Roman"/>
          <w:b/>
          <w:color w:val="000000"/>
        </w:rPr>
        <w:t>6</w:t>
      </w:r>
      <w:r w:rsidR="00B44564">
        <w:rPr>
          <w:rFonts w:eastAsia="Calibri" w:cs="Times New Roman"/>
          <w:b/>
          <w:color w:val="000000"/>
        </w:rPr>
        <w:t>-</w:t>
      </w:r>
      <w:r>
        <w:rPr>
          <w:rFonts w:eastAsia="Calibri" w:cs="Times New Roman"/>
          <w:b/>
          <w:color w:val="000000"/>
        </w:rPr>
        <w:t xml:space="preserve">1: Meta-analysis of Odds of Reporting Daily Versus Non-Daily Smoking According to the NHIS (Adults; 2005, 2010) and TUS-CPS (Adults; 2003 and </w:t>
      </w:r>
      <w:r w:rsidRPr="00E626F3">
        <w:rPr>
          <w:rFonts w:eastAsia="Calibri" w:cs="Times New Roman"/>
          <w:b/>
          <w:color w:val="000000"/>
        </w:rPr>
        <w:t>2006/07</w:t>
      </w:r>
      <w:r>
        <w:rPr>
          <w:rFonts w:eastAsia="Calibri" w:cs="Times New Roman"/>
          <w:b/>
          <w:color w:val="000000"/>
        </w:rPr>
        <w:t>) - Controlling for Dependence Measures</w:t>
      </w:r>
      <w:r w:rsidR="00865D3F">
        <w:rPr>
          <w:rFonts w:eastAsia="Calibri" w:cs="Times New Roman"/>
          <w:b/>
          <w:color w:val="000000"/>
        </w:rPr>
        <w:t xml:space="preserve"> and Demographics</w:t>
      </w:r>
    </w:p>
    <w:p w14:paraId="4295D804" w14:textId="77777777" w:rsidR="00EA69AA" w:rsidRPr="008A7AE9" w:rsidRDefault="00EA69AA" w:rsidP="00EA69AA">
      <w:pPr>
        <w:spacing w:after="240" w:line="240" w:lineRule="auto"/>
        <w:jc w:val="both"/>
        <w:rPr>
          <w:rFonts w:eastAsia="Calibri" w:cs="Times New Roman"/>
          <w:b/>
          <w:color w:val="000000"/>
        </w:rPr>
      </w:pPr>
      <w:r w:rsidRPr="00E626F3">
        <w:rPr>
          <w:rFonts w:eastAsia="Calibri" w:cs="Times New Roman"/>
          <w:b/>
          <w:noProof/>
          <w:color w:val="000000"/>
          <w:lang w:val="en-CA" w:eastAsia="en-CA"/>
        </w:rPr>
        <w:drawing>
          <wp:inline distT="0" distB="0" distL="0" distR="0" wp14:anchorId="10E6716E" wp14:editId="739A45F3">
            <wp:extent cx="5943600" cy="1054100"/>
            <wp:effectExtent l="19050" t="19050" r="19050" b="1270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1054100"/>
                    </a:xfrm>
                    <a:prstGeom prst="rect">
                      <a:avLst/>
                    </a:prstGeom>
                    <a:ln>
                      <a:solidFill>
                        <a:schemeClr val="accent1"/>
                      </a:solidFill>
                    </a:ln>
                  </pic:spPr>
                </pic:pic>
              </a:graphicData>
            </a:graphic>
          </wp:inline>
        </w:drawing>
      </w:r>
    </w:p>
    <w:p w14:paraId="098CEB4C" w14:textId="77777777" w:rsidR="00EA69AA" w:rsidRDefault="00EA69AA" w:rsidP="00EA69AA">
      <w:pPr>
        <w:spacing w:after="120" w:line="240" w:lineRule="auto"/>
        <w:jc w:val="both"/>
        <w:rPr>
          <w:rFonts w:eastAsia="Calibri" w:cs="Times New Roman"/>
          <w:color w:val="000000"/>
        </w:rPr>
      </w:pPr>
      <w:r>
        <w:rPr>
          <w:rFonts w:eastAsia="Calibri" w:cs="Times New Roman"/>
          <w:b/>
          <w:color w:val="000000"/>
        </w:rPr>
        <w:t xml:space="preserve">Figure </w:t>
      </w:r>
      <w:r w:rsidR="004447AD">
        <w:rPr>
          <w:rFonts w:eastAsia="Calibri" w:cs="Times New Roman"/>
          <w:b/>
          <w:color w:val="000000"/>
        </w:rPr>
        <w:t>1</w:t>
      </w:r>
      <w:r w:rsidR="00C82C02">
        <w:rPr>
          <w:rFonts w:eastAsia="Calibri" w:cs="Times New Roman"/>
          <w:b/>
          <w:color w:val="000000"/>
        </w:rPr>
        <w:t>6</w:t>
      </w:r>
      <w:r w:rsidR="004447AD">
        <w:rPr>
          <w:rFonts w:eastAsia="Calibri" w:cs="Times New Roman"/>
          <w:b/>
          <w:color w:val="000000"/>
        </w:rPr>
        <w:t>-</w:t>
      </w:r>
      <w:r>
        <w:rPr>
          <w:rFonts w:eastAsia="Calibri" w:cs="Times New Roman"/>
          <w:b/>
          <w:color w:val="000000"/>
        </w:rPr>
        <w:t xml:space="preserve">2: Meta-analysis of Odds of Reporting Daily Versus Non-Daily Smoking According to the NHIS (Adults; 2005, 2010) and TUS-CPS (Adults; 2003 and </w:t>
      </w:r>
      <w:r w:rsidRPr="00E626F3">
        <w:rPr>
          <w:rFonts w:eastAsia="Calibri" w:cs="Times New Roman"/>
          <w:b/>
          <w:color w:val="000000"/>
        </w:rPr>
        <w:t>2006/07</w:t>
      </w:r>
      <w:r>
        <w:rPr>
          <w:rFonts w:eastAsia="Calibri" w:cs="Times New Roman"/>
          <w:b/>
          <w:color w:val="000000"/>
        </w:rPr>
        <w:t>) - Controlling for Demographics</w:t>
      </w:r>
      <w:r>
        <w:rPr>
          <w:rFonts w:eastAsia="Calibri" w:cs="Times New Roman"/>
          <w:color w:val="000000"/>
        </w:rPr>
        <w:t xml:space="preserve"> </w:t>
      </w:r>
    </w:p>
    <w:p w14:paraId="7E2B6DEA" w14:textId="77777777" w:rsidR="00EA69AA" w:rsidRDefault="00EA69AA" w:rsidP="00EA69AA">
      <w:pPr>
        <w:spacing w:after="240" w:line="240" w:lineRule="auto"/>
        <w:jc w:val="both"/>
        <w:rPr>
          <w:rFonts w:eastAsia="Calibri" w:cs="Times New Roman"/>
          <w:color w:val="000000"/>
        </w:rPr>
      </w:pPr>
      <w:r w:rsidRPr="00E626F3">
        <w:rPr>
          <w:rFonts w:eastAsia="Calibri" w:cs="Times New Roman"/>
          <w:noProof/>
          <w:color w:val="000000"/>
          <w:lang w:val="en-CA" w:eastAsia="en-CA"/>
        </w:rPr>
        <w:drawing>
          <wp:inline distT="0" distB="0" distL="0" distR="0" wp14:anchorId="007A75F0" wp14:editId="750B38FF">
            <wp:extent cx="5943600" cy="1047750"/>
            <wp:effectExtent l="19050" t="19050" r="19050" b="190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1047750"/>
                    </a:xfrm>
                    <a:prstGeom prst="rect">
                      <a:avLst/>
                    </a:prstGeom>
                    <a:ln>
                      <a:solidFill>
                        <a:schemeClr val="accent1"/>
                      </a:solidFill>
                    </a:ln>
                  </pic:spPr>
                </pic:pic>
              </a:graphicData>
            </a:graphic>
          </wp:inline>
        </w:drawing>
      </w:r>
    </w:p>
    <w:p w14:paraId="6324A9C2" w14:textId="57F0F570" w:rsidR="00EA69AA" w:rsidRDefault="00DA3B75" w:rsidP="00EA69AA">
      <w:pPr>
        <w:spacing w:after="240" w:line="240" w:lineRule="auto"/>
        <w:jc w:val="both"/>
        <w:rPr>
          <w:rFonts w:eastAsia="Calibri" w:cs="Times New Roman"/>
          <w:color w:val="000000"/>
        </w:rPr>
      </w:pPr>
      <w:r>
        <w:rPr>
          <w:rFonts w:eastAsia="Calibri" w:cs="Times New Roman"/>
          <w:color w:val="000000"/>
        </w:rPr>
        <w:t>W</w:t>
      </w:r>
      <w:r w:rsidR="00EA69AA">
        <w:rPr>
          <w:rFonts w:eastAsia="Calibri" w:cs="Times New Roman"/>
          <w:color w:val="000000"/>
        </w:rPr>
        <w:t xml:space="preserve">hen pooling data across NHANES (youth and adults) and NSDUH, reporting on two sets of results (controlling for dependence measures and demographics and controlling only for demographics), results indicated </w:t>
      </w:r>
      <w:r>
        <w:rPr>
          <w:rFonts w:eastAsia="Calibri" w:cs="Times New Roman"/>
          <w:color w:val="000000"/>
        </w:rPr>
        <w:t>no difference in the</w:t>
      </w:r>
      <w:r w:rsidR="00EA69AA">
        <w:rPr>
          <w:rFonts w:eastAsia="Calibri" w:cs="Times New Roman"/>
          <w:color w:val="000000"/>
        </w:rPr>
        <w:t xml:space="preserve"> likelihood of non-menthol smokers reporting daily (versus non-daily) use compared to menthol smokers. </w:t>
      </w:r>
      <w:r w:rsidR="0058433F">
        <w:rPr>
          <w:rFonts w:eastAsia="Calibri" w:cs="Times New Roman"/>
          <w:color w:val="000000"/>
        </w:rPr>
        <w:t xml:space="preserve">No difference was found </w:t>
      </w:r>
      <w:r w:rsidR="00EA69AA">
        <w:rPr>
          <w:rFonts w:eastAsia="Calibri" w:cs="Times New Roman"/>
          <w:color w:val="000000"/>
        </w:rPr>
        <w:t xml:space="preserve">when dependence and demographic measures </w:t>
      </w:r>
      <w:r w:rsidR="00620E82">
        <w:rPr>
          <w:rFonts w:eastAsia="Calibri" w:cs="Times New Roman"/>
          <w:color w:val="000000"/>
        </w:rPr>
        <w:t>were</w:t>
      </w:r>
      <w:r w:rsidR="00EA69AA">
        <w:rPr>
          <w:rFonts w:eastAsia="Calibri" w:cs="Times New Roman"/>
          <w:color w:val="000000"/>
        </w:rPr>
        <w:t xml:space="preserve"> controlled for </w:t>
      </w:r>
      <w:r w:rsidR="00620E82">
        <w:rPr>
          <w:rFonts w:eastAsia="Calibri" w:cs="Times New Roman"/>
          <w:color w:val="000000"/>
        </w:rPr>
        <w:t>or</w:t>
      </w:r>
      <w:r w:rsidR="00EA69AA">
        <w:rPr>
          <w:rFonts w:eastAsia="Calibri" w:cs="Times New Roman"/>
          <w:color w:val="000000"/>
        </w:rPr>
        <w:t xml:space="preserve"> controlling for demographics alone (with dependence measures: AOR=1.</w:t>
      </w:r>
      <w:r w:rsidR="0058433F">
        <w:rPr>
          <w:rFonts w:eastAsia="Calibri" w:cs="Times New Roman"/>
          <w:color w:val="000000"/>
        </w:rPr>
        <w:t>10</w:t>
      </w:r>
      <w:r w:rsidR="00EA69AA">
        <w:rPr>
          <w:rFonts w:eastAsia="Calibri" w:cs="Times New Roman"/>
          <w:color w:val="000000"/>
        </w:rPr>
        <w:t xml:space="preserve">, 95% CI: </w:t>
      </w:r>
      <w:r w:rsidR="0058433F">
        <w:rPr>
          <w:rFonts w:eastAsia="Calibri" w:cs="Times New Roman"/>
          <w:color w:val="000000"/>
        </w:rPr>
        <w:t>0.94</w:t>
      </w:r>
      <w:r w:rsidR="00EA69AA">
        <w:rPr>
          <w:rFonts w:eastAsia="Calibri" w:cs="Times New Roman"/>
          <w:color w:val="000000"/>
        </w:rPr>
        <w:t xml:space="preserve"> to 1.</w:t>
      </w:r>
      <w:r w:rsidR="0058433F">
        <w:rPr>
          <w:rFonts w:eastAsia="Calibri" w:cs="Times New Roman"/>
          <w:color w:val="000000"/>
        </w:rPr>
        <w:t>28</w:t>
      </w:r>
      <w:r w:rsidR="00EA69AA">
        <w:rPr>
          <w:rFonts w:eastAsia="Calibri" w:cs="Times New Roman"/>
          <w:color w:val="000000"/>
        </w:rPr>
        <w:t>, p-value=0.</w:t>
      </w:r>
      <w:r w:rsidR="0058433F">
        <w:rPr>
          <w:rFonts w:eastAsia="Calibri" w:cs="Times New Roman"/>
          <w:color w:val="000000"/>
        </w:rPr>
        <w:t>24</w:t>
      </w:r>
      <w:r w:rsidR="00EA69AA">
        <w:rPr>
          <w:rFonts w:eastAsia="Calibri" w:cs="Times New Roman"/>
          <w:color w:val="000000"/>
        </w:rPr>
        <w:t xml:space="preserve">, </w:t>
      </w:r>
      <w:r w:rsidR="00EA69AA" w:rsidRPr="00A77506">
        <w:rPr>
          <w:rFonts w:eastAsia="Calibri" w:cs="Times New Roman"/>
          <w:color w:val="000000"/>
        </w:rPr>
        <w:t>I</w:t>
      </w:r>
      <w:r w:rsidR="00EA69AA" w:rsidRPr="00A77506">
        <w:rPr>
          <w:rFonts w:eastAsia="Calibri" w:cs="Times New Roman"/>
          <w:color w:val="000000"/>
          <w:vertAlign w:val="superscript"/>
        </w:rPr>
        <w:t>2</w:t>
      </w:r>
      <w:r w:rsidR="00EA69AA">
        <w:rPr>
          <w:rFonts w:eastAsia="Calibri" w:cs="Times New Roman"/>
          <w:color w:val="000000"/>
        </w:rPr>
        <w:t>=</w:t>
      </w:r>
      <w:r w:rsidR="0058433F">
        <w:rPr>
          <w:rFonts w:eastAsia="Calibri" w:cs="Times New Roman"/>
          <w:color w:val="000000"/>
        </w:rPr>
        <w:t>24</w:t>
      </w:r>
      <w:r w:rsidR="00EA69AA">
        <w:rPr>
          <w:rFonts w:eastAsia="Calibri" w:cs="Times New Roman"/>
          <w:color w:val="000000"/>
        </w:rPr>
        <w:t>%; without dependence measures: AOR=1.0</w:t>
      </w:r>
      <w:r w:rsidR="0058433F">
        <w:rPr>
          <w:rFonts w:eastAsia="Calibri" w:cs="Times New Roman"/>
          <w:color w:val="000000"/>
        </w:rPr>
        <w:t>5</w:t>
      </w:r>
      <w:r w:rsidR="00EA69AA">
        <w:rPr>
          <w:rFonts w:eastAsia="Calibri" w:cs="Times New Roman"/>
          <w:color w:val="000000"/>
        </w:rPr>
        <w:t xml:space="preserve">, 95% CI: </w:t>
      </w:r>
      <w:r w:rsidR="0058433F">
        <w:rPr>
          <w:rFonts w:eastAsia="Calibri" w:cs="Times New Roman"/>
          <w:color w:val="000000"/>
        </w:rPr>
        <w:t>0.88</w:t>
      </w:r>
      <w:r w:rsidR="00EA69AA">
        <w:rPr>
          <w:rFonts w:eastAsia="Calibri" w:cs="Times New Roman"/>
          <w:color w:val="000000"/>
        </w:rPr>
        <w:t xml:space="preserve"> to 1.</w:t>
      </w:r>
      <w:r w:rsidR="0058433F">
        <w:rPr>
          <w:rFonts w:eastAsia="Calibri" w:cs="Times New Roman"/>
          <w:color w:val="000000"/>
        </w:rPr>
        <w:t>25</w:t>
      </w:r>
      <w:r w:rsidR="00EA69AA">
        <w:rPr>
          <w:rFonts w:eastAsia="Calibri" w:cs="Times New Roman"/>
          <w:color w:val="000000"/>
        </w:rPr>
        <w:t>, p-value=0.</w:t>
      </w:r>
      <w:r w:rsidR="0058433F">
        <w:rPr>
          <w:rFonts w:eastAsia="Calibri" w:cs="Times New Roman"/>
          <w:color w:val="000000"/>
        </w:rPr>
        <w:t>60</w:t>
      </w:r>
      <w:r w:rsidR="00EA69AA">
        <w:rPr>
          <w:rFonts w:eastAsia="Calibri" w:cs="Times New Roman"/>
          <w:color w:val="000000"/>
        </w:rPr>
        <w:t xml:space="preserve">, </w:t>
      </w:r>
      <w:r w:rsidR="00EA69AA" w:rsidRPr="00A77506">
        <w:rPr>
          <w:rFonts w:eastAsia="Calibri" w:cs="Times New Roman"/>
          <w:color w:val="000000"/>
        </w:rPr>
        <w:t>I</w:t>
      </w:r>
      <w:r w:rsidR="00EA69AA" w:rsidRPr="00A77506">
        <w:rPr>
          <w:rFonts w:eastAsia="Calibri" w:cs="Times New Roman"/>
          <w:color w:val="000000"/>
          <w:vertAlign w:val="superscript"/>
        </w:rPr>
        <w:t>2</w:t>
      </w:r>
      <w:r w:rsidR="0058433F">
        <w:rPr>
          <w:rFonts w:eastAsia="Calibri" w:cs="Times New Roman"/>
          <w:color w:val="000000"/>
        </w:rPr>
        <w:t>=66</w:t>
      </w:r>
      <w:r w:rsidR="00EA69AA">
        <w:rPr>
          <w:rFonts w:eastAsia="Calibri" w:cs="Times New Roman"/>
          <w:color w:val="000000"/>
        </w:rPr>
        <w:t xml:space="preserve">%) as shown in </w:t>
      </w:r>
      <w:r w:rsidR="00EA69AA">
        <w:rPr>
          <w:rFonts w:eastAsia="Calibri" w:cs="Times New Roman"/>
          <w:b/>
          <w:color w:val="000000"/>
        </w:rPr>
        <w:t xml:space="preserve">Figures </w:t>
      </w:r>
      <w:r w:rsidR="00C82C02">
        <w:rPr>
          <w:rFonts w:eastAsia="Calibri" w:cs="Times New Roman"/>
          <w:b/>
          <w:color w:val="000000"/>
        </w:rPr>
        <w:t>16</w:t>
      </w:r>
      <w:r w:rsidR="00B44564">
        <w:rPr>
          <w:rFonts w:eastAsia="Calibri" w:cs="Times New Roman"/>
          <w:b/>
          <w:color w:val="000000"/>
        </w:rPr>
        <w:t>-</w:t>
      </w:r>
      <w:r w:rsidR="00EA69AA">
        <w:rPr>
          <w:rFonts w:eastAsia="Calibri" w:cs="Times New Roman"/>
          <w:b/>
          <w:color w:val="000000"/>
        </w:rPr>
        <w:t>3</w:t>
      </w:r>
      <w:r w:rsidR="00EA69AA">
        <w:rPr>
          <w:rFonts w:eastAsia="Calibri" w:cs="Times New Roman"/>
          <w:color w:val="000000"/>
        </w:rPr>
        <w:t xml:space="preserve"> and </w:t>
      </w:r>
      <w:r w:rsidR="00B44564">
        <w:rPr>
          <w:rFonts w:eastAsia="Calibri" w:cs="Times New Roman"/>
          <w:b/>
          <w:color w:val="000000"/>
        </w:rPr>
        <w:t>1</w:t>
      </w:r>
      <w:r w:rsidR="00C82C02">
        <w:rPr>
          <w:rFonts w:eastAsia="Calibri" w:cs="Times New Roman"/>
          <w:b/>
          <w:color w:val="000000"/>
        </w:rPr>
        <w:t>6</w:t>
      </w:r>
      <w:r w:rsidR="00B44564">
        <w:rPr>
          <w:rFonts w:eastAsia="Calibri" w:cs="Times New Roman"/>
          <w:b/>
          <w:color w:val="000000"/>
        </w:rPr>
        <w:t>-</w:t>
      </w:r>
      <w:r w:rsidR="00EA69AA" w:rsidRPr="000377FA">
        <w:rPr>
          <w:rFonts w:eastAsia="Calibri" w:cs="Times New Roman"/>
          <w:b/>
          <w:color w:val="000000"/>
        </w:rPr>
        <w:t>4</w:t>
      </w:r>
      <w:r w:rsidR="00EA69AA">
        <w:rPr>
          <w:rFonts w:eastAsia="Calibri" w:cs="Times New Roman"/>
          <w:b/>
          <w:color w:val="000000"/>
        </w:rPr>
        <w:t xml:space="preserve"> </w:t>
      </w:r>
      <w:r w:rsidR="00EA69AA">
        <w:rPr>
          <w:rFonts w:eastAsia="Calibri" w:cs="Times New Roman"/>
          <w:color w:val="000000"/>
        </w:rPr>
        <w:t xml:space="preserve">below. </w:t>
      </w:r>
    </w:p>
    <w:p w14:paraId="10916C25" w14:textId="39627048" w:rsidR="00EA69AA" w:rsidRDefault="00EA69AA" w:rsidP="00EA69AA">
      <w:pPr>
        <w:spacing w:after="120" w:line="240" w:lineRule="auto"/>
        <w:jc w:val="both"/>
        <w:rPr>
          <w:rFonts w:eastAsia="Calibri" w:cs="Times New Roman"/>
          <w:b/>
          <w:color w:val="000000"/>
        </w:rPr>
      </w:pPr>
      <w:r>
        <w:rPr>
          <w:rFonts w:eastAsia="Calibri" w:cs="Times New Roman"/>
          <w:b/>
          <w:color w:val="000000"/>
        </w:rPr>
        <w:t xml:space="preserve">Figure </w:t>
      </w:r>
      <w:r w:rsidR="00B44564">
        <w:rPr>
          <w:rFonts w:eastAsia="Calibri" w:cs="Times New Roman"/>
          <w:b/>
          <w:color w:val="000000"/>
        </w:rPr>
        <w:t>1</w:t>
      </w:r>
      <w:r w:rsidR="00C82C02">
        <w:rPr>
          <w:rFonts w:eastAsia="Calibri" w:cs="Times New Roman"/>
          <w:b/>
          <w:color w:val="000000"/>
        </w:rPr>
        <w:t>6</w:t>
      </w:r>
      <w:r w:rsidR="00B44564">
        <w:rPr>
          <w:rFonts w:eastAsia="Calibri" w:cs="Times New Roman"/>
          <w:b/>
          <w:color w:val="000000"/>
        </w:rPr>
        <w:t>-</w:t>
      </w:r>
      <w:r>
        <w:rPr>
          <w:rFonts w:eastAsia="Calibri" w:cs="Times New Roman"/>
          <w:b/>
          <w:color w:val="000000"/>
        </w:rPr>
        <w:t xml:space="preserve">3: Meta-analysis of Odds of Reporting Daily Versus Non-Daily Smoking According to the NHANES (Adults and Youth; 1999-2010) and NSDUH (Adults; 2000-2009) – Controlling for Dependence </w:t>
      </w:r>
      <w:r w:rsidR="00F843B7">
        <w:rPr>
          <w:rFonts w:eastAsia="Calibri" w:cs="Times New Roman"/>
          <w:b/>
          <w:color w:val="000000"/>
        </w:rPr>
        <w:t xml:space="preserve">Measures and Demographics </w:t>
      </w:r>
    </w:p>
    <w:p w14:paraId="35EE73CD" w14:textId="0BFE98B9" w:rsidR="00EA69AA" w:rsidRDefault="004012F7" w:rsidP="00EA69AA">
      <w:pPr>
        <w:spacing w:after="240" w:line="240" w:lineRule="auto"/>
        <w:jc w:val="both"/>
        <w:rPr>
          <w:rFonts w:eastAsia="Calibri" w:cs="Times New Roman"/>
          <w:b/>
          <w:color w:val="000000"/>
        </w:rPr>
      </w:pPr>
      <w:r>
        <w:rPr>
          <w:rFonts w:eastAsia="Calibri" w:cs="Times New Roman"/>
          <w:b/>
          <w:noProof/>
          <w:color w:val="000000"/>
          <w:lang w:val="en-CA" w:eastAsia="en-CA"/>
        </w:rPr>
        <w:drawing>
          <wp:inline distT="0" distB="0" distL="0" distR="0" wp14:anchorId="41359CE4" wp14:editId="5CC3B18D">
            <wp:extent cx="5943600" cy="962025"/>
            <wp:effectExtent l="12700" t="12700" r="12700" b="158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16-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962025"/>
                    </a:xfrm>
                    <a:prstGeom prst="rect">
                      <a:avLst/>
                    </a:prstGeom>
                    <a:ln>
                      <a:solidFill>
                        <a:schemeClr val="accent1"/>
                      </a:solidFill>
                    </a:ln>
                  </pic:spPr>
                </pic:pic>
              </a:graphicData>
            </a:graphic>
          </wp:inline>
        </w:drawing>
      </w:r>
    </w:p>
    <w:p w14:paraId="17DD4755" w14:textId="1DD5241C" w:rsidR="00EA69AA" w:rsidRDefault="00EA69AA" w:rsidP="00EA69AA">
      <w:pPr>
        <w:spacing w:after="120" w:line="240" w:lineRule="auto"/>
        <w:jc w:val="both"/>
        <w:rPr>
          <w:rFonts w:eastAsia="Calibri" w:cs="Times New Roman"/>
          <w:b/>
          <w:color w:val="000000"/>
        </w:rPr>
      </w:pPr>
      <w:r>
        <w:rPr>
          <w:rFonts w:eastAsia="Calibri" w:cs="Times New Roman"/>
          <w:b/>
          <w:color w:val="000000"/>
        </w:rPr>
        <w:lastRenderedPageBreak/>
        <w:t xml:space="preserve">Figure </w:t>
      </w:r>
      <w:r w:rsidR="00B44564">
        <w:rPr>
          <w:rFonts w:eastAsia="Calibri" w:cs="Times New Roman"/>
          <w:b/>
          <w:color w:val="000000"/>
        </w:rPr>
        <w:t>1</w:t>
      </w:r>
      <w:r w:rsidR="00C82C02">
        <w:rPr>
          <w:rFonts w:eastAsia="Calibri" w:cs="Times New Roman"/>
          <w:b/>
          <w:color w:val="000000"/>
        </w:rPr>
        <w:t>6</w:t>
      </w:r>
      <w:r w:rsidR="00B44564">
        <w:rPr>
          <w:rFonts w:eastAsia="Calibri" w:cs="Times New Roman"/>
          <w:b/>
          <w:color w:val="000000"/>
        </w:rPr>
        <w:t>-</w:t>
      </w:r>
      <w:r>
        <w:rPr>
          <w:rFonts w:eastAsia="Calibri" w:cs="Times New Roman"/>
          <w:b/>
          <w:color w:val="000000"/>
        </w:rPr>
        <w:t>4: Meta-analysis of Odds of Reporting Daily Versus Non-Daily Smoking According to the NHANES (Adults and Youth; 1999-2010) and NSDUH (Adults; 2000-2009) – Controlling for Demographics</w:t>
      </w:r>
    </w:p>
    <w:p w14:paraId="1F0642C6" w14:textId="297B9A75" w:rsidR="00EA69AA" w:rsidRDefault="004012F7" w:rsidP="00EA69AA">
      <w:pPr>
        <w:spacing w:after="240" w:line="240" w:lineRule="auto"/>
        <w:jc w:val="both"/>
        <w:rPr>
          <w:rFonts w:eastAsia="Calibri" w:cs="Times New Roman"/>
          <w:b/>
          <w:color w:val="000000"/>
        </w:rPr>
      </w:pPr>
      <w:r>
        <w:rPr>
          <w:rFonts w:eastAsia="Calibri" w:cs="Times New Roman"/>
          <w:b/>
          <w:noProof/>
          <w:color w:val="000000"/>
          <w:lang w:val="en-CA" w:eastAsia="en-CA"/>
        </w:rPr>
        <w:drawing>
          <wp:inline distT="0" distB="0" distL="0" distR="0" wp14:anchorId="05E14A9B" wp14:editId="6404510E">
            <wp:extent cx="5943600" cy="1028065"/>
            <wp:effectExtent l="12700" t="12700" r="12700" b="133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f-16-4.png"/>
                    <pic:cNvPicPr/>
                  </pic:nvPicPr>
                  <pic:blipFill>
                    <a:blip r:embed="rId18">
                      <a:extLst>
                        <a:ext uri="{28A0092B-C50C-407E-A947-70E740481C1C}">
                          <a14:useLocalDpi xmlns:a14="http://schemas.microsoft.com/office/drawing/2010/main" val="0"/>
                        </a:ext>
                      </a:extLst>
                    </a:blip>
                    <a:stretch>
                      <a:fillRect/>
                    </a:stretch>
                  </pic:blipFill>
                  <pic:spPr>
                    <a:xfrm>
                      <a:off x="0" y="0"/>
                      <a:ext cx="5943600" cy="1028065"/>
                    </a:xfrm>
                    <a:prstGeom prst="rect">
                      <a:avLst/>
                    </a:prstGeom>
                    <a:ln>
                      <a:solidFill>
                        <a:schemeClr val="accent1"/>
                      </a:solidFill>
                    </a:ln>
                  </pic:spPr>
                </pic:pic>
              </a:graphicData>
            </a:graphic>
          </wp:inline>
        </w:drawing>
      </w:r>
    </w:p>
    <w:p w14:paraId="4E3C76ED" w14:textId="283E0746" w:rsidR="00EA69AA" w:rsidRDefault="0058433F" w:rsidP="00EA69AA">
      <w:pPr>
        <w:spacing w:after="240" w:line="240" w:lineRule="auto"/>
        <w:jc w:val="both"/>
        <w:rPr>
          <w:rFonts w:eastAsia="Calibri" w:cs="Times New Roman"/>
          <w:color w:val="000000"/>
        </w:rPr>
      </w:pPr>
      <w:r>
        <w:rPr>
          <w:rFonts w:eastAsia="Calibri" w:cs="Times New Roman"/>
          <w:color w:val="000000"/>
        </w:rPr>
        <w:t>However,</w:t>
      </w:r>
      <w:r w:rsidR="00EA69AA">
        <w:rPr>
          <w:rFonts w:eastAsia="Calibri" w:cs="Times New Roman"/>
          <w:color w:val="000000"/>
        </w:rPr>
        <w:t xml:space="preserve"> results were </w:t>
      </w:r>
      <w:r>
        <w:rPr>
          <w:rFonts w:eastAsia="Calibri" w:cs="Times New Roman"/>
          <w:color w:val="000000"/>
        </w:rPr>
        <w:t>different</w:t>
      </w:r>
      <w:r w:rsidR="00EA69AA">
        <w:rPr>
          <w:rFonts w:eastAsia="Calibri" w:cs="Times New Roman"/>
          <w:color w:val="000000"/>
        </w:rPr>
        <w:t xml:space="preserve"> after excluding the NHANES youth sample</w:t>
      </w:r>
      <w:r>
        <w:rPr>
          <w:rFonts w:eastAsia="Calibri" w:cs="Times New Roman"/>
          <w:color w:val="000000"/>
        </w:rPr>
        <w:t>,</w:t>
      </w:r>
      <w:r w:rsidR="00EA69AA">
        <w:rPr>
          <w:rFonts w:eastAsia="Calibri" w:cs="Times New Roman"/>
          <w:color w:val="000000"/>
        </w:rPr>
        <w:t xml:space="preserve"> which increased homogeneity as indicated by </w:t>
      </w:r>
      <w:r>
        <w:rPr>
          <w:rFonts w:eastAsia="Calibri" w:cs="Times New Roman"/>
          <w:color w:val="000000"/>
        </w:rPr>
        <w:t>an</w:t>
      </w:r>
      <w:r w:rsidR="00EA69AA">
        <w:rPr>
          <w:rFonts w:eastAsia="Calibri" w:cs="Times New Roman"/>
          <w:color w:val="000000"/>
        </w:rPr>
        <w:t xml:space="preserve"> </w:t>
      </w:r>
      <w:r w:rsidR="00EA69AA" w:rsidRPr="00A77506">
        <w:rPr>
          <w:rFonts w:eastAsia="Calibri" w:cs="Times New Roman"/>
          <w:color w:val="000000"/>
        </w:rPr>
        <w:t>I</w:t>
      </w:r>
      <w:r w:rsidR="00EA69AA" w:rsidRPr="00A77506">
        <w:rPr>
          <w:rFonts w:eastAsia="Calibri" w:cs="Times New Roman"/>
          <w:color w:val="000000"/>
          <w:vertAlign w:val="superscript"/>
        </w:rPr>
        <w:t>2</w:t>
      </w:r>
      <w:r w:rsidR="00EA69AA">
        <w:rPr>
          <w:rFonts w:eastAsia="Calibri" w:cs="Times New Roman"/>
          <w:color w:val="000000"/>
        </w:rPr>
        <w:t xml:space="preserve"> change from </w:t>
      </w:r>
      <w:r>
        <w:rPr>
          <w:rFonts w:eastAsia="Calibri" w:cs="Times New Roman"/>
          <w:color w:val="000000"/>
        </w:rPr>
        <w:t>24</w:t>
      </w:r>
      <w:r w:rsidR="00EA69AA">
        <w:rPr>
          <w:rFonts w:eastAsia="Calibri" w:cs="Times New Roman"/>
          <w:color w:val="000000"/>
        </w:rPr>
        <w:t xml:space="preserve"> percent to 0 percent</w:t>
      </w:r>
      <w:r>
        <w:rPr>
          <w:rFonts w:eastAsia="Calibri" w:cs="Times New Roman"/>
          <w:color w:val="000000"/>
        </w:rPr>
        <w:t xml:space="preserve"> and from 66 percent to 36 percent</w:t>
      </w:r>
      <w:r w:rsidR="00EA69AA">
        <w:rPr>
          <w:rFonts w:eastAsia="Calibri" w:cs="Times New Roman"/>
          <w:color w:val="000000"/>
        </w:rPr>
        <w:t>. Specifically, when controlling for dependence and demographics</w:t>
      </w:r>
      <w:r>
        <w:rPr>
          <w:rFonts w:eastAsia="Calibri" w:cs="Times New Roman"/>
          <w:color w:val="000000"/>
        </w:rPr>
        <w:t>,</w:t>
      </w:r>
      <w:r w:rsidRPr="0058433F">
        <w:rPr>
          <w:rFonts w:eastAsia="Calibri" w:cs="Times New Roman"/>
          <w:color w:val="000000"/>
        </w:rPr>
        <w:t xml:space="preserve"> </w:t>
      </w:r>
      <w:r>
        <w:rPr>
          <w:rFonts w:eastAsia="Calibri" w:cs="Times New Roman"/>
          <w:color w:val="000000"/>
        </w:rPr>
        <w:t xml:space="preserve">non-menthol smokers had a significant and increasing likelihood of reporting daily (versus non-daily) smoking compared to menthol smokers (AOR=1.08, 95% CI: 1.02 to 1.14, p-value=0.006, </w:t>
      </w:r>
      <w:r w:rsidRPr="00A77506">
        <w:rPr>
          <w:rFonts w:eastAsia="Calibri" w:cs="Times New Roman"/>
          <w:color w:val="000000"/>
        </w:rPr>
        <w:t>I</w:t>
      </w:r>
      <w:r w:rsidRPr="00A77506">
        <w:rPr>
          <w:rFonts w:eastAsia="Calibri" w:cs="Times New Roman"/>
          <w:color w:val="000000"/>
          <w:vertAlign w:val="superscript"/>
        </w:rPr>
        <w:t>2</w:t>
      </w:r>
      <w:r>
        <w:rPr>
          <w:rFonts w:eastAsia="Calibri" w:cs="Times New Roman"/>
          <w:color w:val="000000"/>
        </w:rPr>
        <w:t>=0%)</w:t>
      </w:r>
      <w:r w:rsidR="000F6A2C" w:rsidRPr="000F6A2C">
        <w:rPr>
          <w:rFonts w:eastAsia="Calibri" w:cs="Times New Roman"/>
          <w:color w:val="000000"/>
        </w:rPr>
        <w:t xml:space="preserve"> </w:t>
      </w:r>
      <w:r w:rsidR="000F6A2C">
        <w:rPr>
          <w:rFonts w:eastAsia="Calibri" w:cs="Times New Roman"/>
          <w:color w:val="000000"/>
        </w:rPr>
        <w:t xml:space="preserve">as shown in </w:t>
      </w:r>
      <w:r w:rsidR="000F6A2C">
        <w:rPr>
          <w:rFonts w:eastAsia="Calibri" w:cs="Times New Roman"/>
          <w:b/>
          <w:color w:val="000000"/>
        </w:rPr>
        <w:t>Figures 16-5</w:t>
      </w:r>
      <w:r>
        <w:rPr>
          <w:rFonts w:eastAsia="Calibri" w:cs="Times New Roman"/>
          <w:color w:val="000000"/>
        </w:rPr>
        <w:t>. No difference was found between menthol and non-menthol smokers in terms of likelihood of reporting daily versus non-daily</w:t>
      </w:r>
      <w:r w:rsidR="000F6A2C">
        <w:rPr>
          <w:rFonts w:eastAsia="Calibri" w:cs="Times New Roman"/>
          <w:color w:val="000000"/>
        </w:rPr>
        <w:t xml:space="preserve"> smoking</w:t>
      </w:r>
      <w:r w:rsidR="00EA69AA">
        <w:rPr>
          <w:rFonts w:eastAsia="Calibri" w:cs="Times New Roman"/>
          <w:color w:val="000000"/>
        </w:rPr>
        <w:t xml:space="preserve"> when controlling for demographics alone</w:t>
      </w:r>
      <w:r w:rsidR="000F6A2C">
        <w:rPr>
          <w:rFonts w:eastAsia="Calibri" w:cs="Times New Roman"/>
          <w:color w:val="000000"/>
        </w:rPr>
        <w:t xml:space="preserve"> (</w:t>
      </w:r>
      <w:r w:rsidR="00EA69AA">
        <w:rPr>
          <w:rFonts w:eastAsia="Calibri" w:cs="Times New Roman"/>
          <w:color w:val="000000"/>
        </w:rPr>
        <w:t>AOR=1.</w:t>
      </w:r>
      <w:r w:rsidR="000F6A2C">
        <w:rPr>
          <w:rFonts w:eastAsia="Calibri" w:cs="Times New Roman"/>
          <w:color w:val="000000"/>
        </w:rPr>
        <w:t>10</w:t>
      </w:r>
      <w:r w:rsidR="00EA69AA">
        <w:rPr>
          <w:rFonts w:eastAsia="Calibri" w:cs="Times New Roman"/>
          <w:color w:val="000000"/>
        </w:rPr>
        <w:t>, 95% CI: 1.0</w:t>
      </w:r>
      <w:r w:rsidR="000F6A2C">
        <w:rPr>
          <w:rFonts w:eastAsia="Calibri" w:cs="Times New Roman"/>
          <w:color w:val="000000"/>
        </w:rPr>
        <w:t>0</w:t>
      </w:r>
      <w:r w:rsidR="00EA69AA">
        <w:rPr>
          <w:rFonts w:eastAsia="Calibri" w:cs="Times New Roman"/>
          <w:color w:val="000000"/>
        </w:rPr>
        <w:t xml:space="preserve"> to 1.</w:t>
      </w:r>
      <w:r w:rsidR="000F6A2C">
        <w:rPr>
          <w:rFonts w:eastAsia="Calibri" w:cs="Times New Roman"/>
          <w:color w:val="000000"/>
        </w:rPr>
        <w:t>2</w:t>
      </w:r>
      <w:r w:rsidR="00EA69AA">
        <w:rPr>
          <w:rFonts w:eastAsia="Calibri" w:cs="Times New Roman"/>
          <w:color w:val="000000"/>
        </w:rPr>
        <w:t>1, p-value</w:t>
      </w:r>
      <w:r w:rsidR="000F6A2C">
        <w:rPr>
          <w:rFonts w:eastAsia="Calibri" w:cs="Times New Roman"/>
          <w:color w:val="000000"/>
        </w:rPr>
        <w:t>=0.06</w:t>
      </w:r>
      <w:r w:rsidR="00EA69AA">
        <w:rPr>
          <w:rFonts w:eastAsia="Calibri" w:cs="Times New Roman"/>
          <w:color w:val="000000"/>
        </w:rPr>
        <w:t xml:space="preserve">, </w:t>
      </w:r>
      <w:r w:rsidR="00EA69AA" w:rsidRPr="00A77506">
        <w:rPr>
          <w:rFonts w:eastAsia="Calibri" w:cs="Times New Roman"/>
          <w:color w:val="000000"/>
        </w:rPr>
        <w:t>I</w:t>
      </w:r>
      <w:r w:rsidR="00EA69AA" w:rsidRPr="00A77506">
        <w:rPr>
          <w:rFonts w:eastAsia="Calibri" w:cs="Times New Roman"/>
          <w:color w:val="000000"/>
          <w:vertAlign w:val="superscript"/>
        </w:rPr>
        <w:t>2</w:t>
      </w:r>
      <w:r w:rsidR="00EA69AA">
        <w:rPr>
          <w:rFonts w:eastAsia="Calibri" w:cs="Times New Roman"/>
          <w:color w:val="000000"/>
        </w:rPr>
        <w:t>=</w:t>
      </w:r>
      <w:r w:rsidR="000F6A2C">
        <w:rPr>
          <w:rFonts w:eastAsia="Calibri" w:cs="Times New Roman"/>
          <w:color w:val="000000"/>
        </w:rPr>
        <w:t>36</w:t>
      </w:r>
      <w:r w:rsidR="00EA69AA">
        <w:rPr>
          <w:rFonts w:eastAsia="Calibri" w:cs="Times New Roman"/>
          <w:color w:val="000000"/>
        </w:rPr>
        <w:t xml:space="preserve">%) as shown in </w:t>
      </w:r>
      <w:r w:rsidR="00EA69AA">
        <w:rPr>
          <w:rFonts w:eastAsia="Calibri" w:cs="Times New Roman"/>
          <w:b/>
          <w:color w:val="000000"/>
        </w:rPr>
        <w:t xml:space="preserve">Figures </w:t>
      </w:r>
      <w:r w:rsidR="00B44564">
        <w:rPr>
          <w:rFonts w:eastAsia="Calibri" w:cs="Times New Roman"/>
          <w:b/>
          <w:color w:val="000000"/>
        </w:rPr>
        <w:t>1</w:t>
      </w:r>
      <w:r w:rsidR="00C82C02">
        <w:rPr>
          <w:rFonts w:eastAsia="Calibri" w:cs="Times New Roman"/>
          <w:b/>
          <w:color w:val="000000"/>
        </w:rPr>
        <w:t>6</w:t>
      </w:r>
      <w:r w:rsidR="00B44564">
        <w:rPr>
          <w:rFonts w:eastAsia="Calibri" w:cs="Times New Roman"/>
          <w:b/>
          <w:color w:val="000000"/>
        </w:rPr>
        <w:t>-</w:t>
      </w:r>
      <w:r w:rsidR="00EA69AA" w:rsidRPr="000377FA">
        <w:rPr>
          <w:rFonts w:eastAsia="Calibri" w:cs="Times New Roman"/>
          <w:b/>
          <w:color w:val="000000"/>
        </w:rPr>
        <w:t>6</w:t>
      </w:r>
      <w:r w:rsidR="00EA69AA">
        <w:rPr>
          <w:rFonts w:eastAsia="Calibri" w:cs="Times New Roman"/>
          <w:b/>
          <w:color w:val="000000"/>
        </w:rPr>
        <w:t xml:space="preserve"> </w:t>
      </w:r>
      <w:r w:rsidR="00EA69AA">
        <w:rPr>
          <w:rFonts w:eastAsia="Calibri" w:cs="Times New Roman"/>
          <w:color w:val="000000"/>
        </w:rPr>
        <w:t xml:space="preserve">below. </w:t>
      </w:r>
    </w:p>
    <w:p w14:paraId="00AB4981" w14:textId="341C1CAB" w:rsidR="00EA69AA" w:rsidRDefault="00EA69AA" w:rsidP="00EA69AA">
      <w:pPr>
        <w:spacing w:after="120" w:line="240" w:lineRule="auto"/>
        <w:jc w:val="both"/>
        <w:rPr>
          <w:rFonts w:eastAsia="Calibri" w:cs="Times New Roman"/>
          <w:b/>
          <w:color w:val="000000"/>
        </w:rPr>
      </w:pPr>
      <w:r>
        <w:rPr>
          <w:rFonts w:eastAsia="Calibri" w:cs="Times New Roman"/>
          <w:b/>
          <w:color w:val="000000"/>
        </w:rPr>
        <w:t xml:space="preserve">Figure </w:t>
      </w:r>
      <w:r w:rsidR="00B44564">
        <w:rPr>
          <w:rFonts w:eastAsia="Calibri" w:cs="Times New Roman"/>
          <w:b/>
          <w:color w:val="000000"/>
        </w:rPr>
        <w:t>1</w:t>
      </w:r>
      <w:r w:rsidR="00C82C02">
        <w:rPr>
          <w:rFonts w:eastAsia="Calibri" w:cs="Times New Roman"/>
          <w:b/>
          <w:color w:val="000000"/>
        </w:rPr>
        <w:t>6</w:t>
      </w:r>
      <w:r w:rsidR="00B44564">
        <w:rPr>
          <w:rFonts w:eastAsia="Calibri" w:cs="Times New Roman"/>
          <w:b/>
          <w:color w:val="000000"/>
        </w:rPr>
        <w:t>-</w:t>
      </w:r>
      <w:r>
        <w:rPr>
          <w:rFonts w:eastAsia="Calibri" w:cs="Times New Roman"/>
          <w:b/>
          <w:color w:val="000000"/>
        </w:rPr>
        <w:t xml:space="preserve">5: </w:t>
      </w:r>
      <w:r>
        <w:rPr>
          <w:rFonts w:eastAsia="Calibri" w:cs="Times New Roman"/>
          <w:color w:val="000000"/>
        </w:rPr>
        <w:t xml:space="preserve"> </w:t>
      </w:r>
      <w:r>
        <w:rPr>
          <w:rFonts w:eastAsia="Calibri" w:cs="Times New Roman"/>
          <w:b/>
          <w:color w:val="000000"/>
        </w:rPr>
        <w:t>Meta-analysis of Odds of Reporting Daily Versus Non-Daily Smoking According to the NHANES (1999-2010) and NSDUH (</w:t>
      </w:r>
      <w:r w:rsidRPr="00F31796">
        <w:rPr>
          <w:rFonts w:eastAsia="Calibri" w:cs="Times New Roman"/>
          <w:b/>
          <w:color w:val="000000"/>
        </w:rPr>
        <w:t xml:space="preserve">Age for the First Time for Smoking Part Of/Whole Cigarette and the First Time for Smoking Every Day </w:t>
      </w:r>
      <w:r>
        <w:rPr>
          <w:rFonts w:eastAsia="Calibri" w:cs="Times New Roman"/>
          <w:b/>
          <w:color w:val="000000"/>
        </w:rPr>
        <w:t>2000-2009</w:t>
      </w:r>
      <w:proofErr w:type="gramStart"/>
      <w:r>
        <w:rPr>
          <w:rFonts w:eastAsia="Calibri" w:cs="Times New Roman"/>
          <w:b/>
          <w:color w:val="000000"/>
        </w:rPr>
        <w:t>)  –</w:t>
      </w:r>
      <w:proofErr w:type="gramEnd"/>
      <w:r>
        <w:rPr>
          <w:rFonts w:eastAsia="Calibri" w:cs="Times New Roman"/>
          <w:b/>
          <w:color w:val="000000"/>
        </w:rPr>
        <w:t xml:space="preserve"> Adults Only - </w:t>
      </w:r>
      <w:r w:rsidR="00F843B7">
        <w:rPr>
          <w:rFonts w:eastAsia="Calibri" w:cs="Times New Roman"/>
          <w:b/>
          <w:color w:val="000000"/>
        </w:rPr>
        <w:t>Controlling for Dependence Measures and Demographics</w:t>
      </w:r>
    </w:p>
    <w:p w14:paraId="462F8074" w14:textId="32D04B06" w:rsidR="00EA69AA" w:rsidRDefault="004012F7" w:rsidP="00EA69AA">
      <w:pPr>
        <w:spacing w:after="240" w:line="240" w:lineRule="auto"/>
        <w:jc w:val="both"/>
        <w:rPr>
          <w:rFonts w:eastAsia="Calibri" w:cs="Times New Roman"/>
          <w:color w:val="000000"/>
        </w:rPr>
      </w:pPr>
      <w:r>
        <w:rPr>
          <w:rFonts w:eastAsia="Calibri" w:cs="Times New Roman"/>
          <w:noProof/>
          <w:color w:val="000000"/>
          <w:lang w:val="en-CA" w:eastAsia="en-CA"/>
        </w:rPr>
        <w:drawing>
          <wp:inline distT="0" distB="0" distL="0" distR="0" wp14:anchorId="7BDAFB6B" wp14:editId="01F37570">
            <wp:extent cx="5943600" cy="869950"/>
            <wp:effectExtent l="12700" t="12700" r="12700" b="190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f-16-5.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869950"/>
                    </a:xfrm>
                    <a:prstGeom prst="rect">
                      <a:avLst/>
                    </a:prstGeom>
                    <a:ln>
                      <a:solidFill>
                        <a:schemeClr val="accent1"/>
                      </a:solidFill>
                    </a:ln>
                  </pic:spPr>
                </pic:pic>
              </a:graphicData>
            </a:graphic>
          </wp:inline>
        </w:drawing>
      </w:r>
    </w:p>
    <w:p w14:paraId="275FAA86" w14:textId="7E2EA275" w:rsidR="00EA69AA" w:rsidRDefault="00EA69AA" w:rsidP="00EA69AA">
      <w:pPr>
        <w:spacing w:after="120" w:line="240" w:lineRule="auto"/>
        <w:jc w:val="both"/>
        <w:rPr>
          <w:rFonts w:eastAsia="Calibri" w:cs="Times New Roman"/>
          <w:b/>
          <w:color w:val="000000"/>
        </w:rPr>
      </w:pPr>
      <w:r>
        <w:rPr>
          <w:rFonts w:eastAsia="Calibri" w:cs="Times New Roman"/>
          <w:b/>
          <w:color w:val="000000"/>
        </w:rPr>
        <w:t xml:space="preserve">Figure </w:t>
      </w:r>
      <w:r w:rsidR="00B44564">
        <w:rPr>
          <w:rFonts w:eastAsia="Calibri" w:cs="Times New Roman"/>
          <w:b/>
          <w:color w:val="000000"/>
        </w:rPr>
        <w:t>1</w:t>
      </w:r>
      <w:r w:rsidR="00C82C02">
        <w:rPr>
          <w:rFonts w:eastAsia="Calibri" w:cs="Times New Roman"/>
          <w:b/>
          <w:color w:val="000000"/>
        </w:rPr>
        <w:t>6</w:t>
      </w:r>
      <w:r w:rsidR="00B44564">
        <w:rPr>
          <w:rFonts w:eastAsia="Calibri" w:cs="Times New Roman"/>
          <w:b/>
          <w:color w:val="000000"/>
        </w:rPr>
        <w:t>-</w:t>
      </w:r>
      <w:r>
        <w:rPr>
          <w:rFonts w:eastAsia="Calibri" w:cs="Times New Roman"/>
          <w:b/>
          <w:color w:val="000000"/>
        </w:rPr>
        <w:t xml:space="preserve">6: </w:t>
      </w:r>
      <w:r>
        <w:rPr>
          <w:rFonts w:eastAsia="Calibri" w:cs="Times New Roman"/>
          <w:color w:val="000000"/>
        </w:rPr>
        <w:t xml:space="preserve"> </w:t>
      </w:r>
      <w:r>
        <w:rPr>
          <w:rFonts w:eastAsia="Calibri" w:cs="Times New Roman"/>
          <w:b/>
          <w:color w:val="000000"/>
        </w:rPr>
        <w:t>Meta-analysis of Odds of Reporting Daily Versus Non-Daily Smoking According to the NHANES (1999-2010) and NSDUH (</w:t>
      </w:r>
      <w:r w:rsidRPr="00F31796">
        <w:rPr>
          <w:rFonts w:eastAsia="Calibri" w:cs="Times New Roman"/>
          <w:b/>
          <w:color w:val="000000"/>
        </w:rPr>
        <w:t xml:space="preserve">Age for the First Time for Smoking Part Of/Whole Cigarette and the First Time for Smoking Every Day </w:t>
      </w:r>
      <w:r>
        <w:rPr>
          <w:rFonts w:eastAsia="Calibri" w:cs="Times New Roman"/>
          <w:b/>
          <w:color w:val="000000"/>
        </w:rPr>
        <w:t>2000-2009</w:t>
      </w:r>
      <w:proofErr w:type="gramStart"/>
      <w:r>
        <w:rPr>
          <w:rFonts w:eastAsia="Calibri" w:cs="Times New Roman"/>
          <w:b/>
          <w:color w:val="000000"/>
        </w:rPr>
        <w:t>)  –</w:t>
      </w:r>
      <w:proofErr w:type="gramEnd"/>
      <w:r>
        <w:rPr>
          <w:rFonts w:eastAsia="Calibri" w:cs="Times New Roman"/>
          <w:b/>
          <w:color w:val="000000"/>
        </w:rPr>
        <w:t xml:space="preserve"> </w:t>
      </w:r>
      <w:r w:rsidR="0097295A">
        <w:rPr>
          <w:rFonts w:eastAsia="Calibri" w:cs="Times New Roman"/>
          <w:b/>
          <w:color w:val="000000"/>
        </w:rPr>
        <w:t xml:space="preserve"> </w:t>
      </w:r>
      <w:r>
        <w:rPr>
          <w:rFonts w:eastAsia="Calibri" w:cs="Times New Roman"/>
          <w:b/>
          <w:color w:val="000000"/>
        </w:rPr>
        <w:t>Adults Only - Controlling for Demographics</w:t>
      </w:r>
    </w:p>
    <w:p w14:paraId="1C1DA774" w14:textId="732471F5" w:rsidR="00EA69AA" w:rsidRDefault="004012F7" w:rsidP="00EA69AA">
      <w:pPr>
        <w:spacing w:after="240" w:line="240" w:lineRule="auto"/>
        <w:jc w:val="both"/>
        <w:rPr>
          <w:rFonts w:eastAsia="Calibri" w:cs="Times New Roman"/>
          <w:b/>
          <w:color w:val="000000"/>
        </w:rPr>
      </w:pPr>
      <w:r>
        <w:rPr>
          <w:rFonts w:eastAsia="Calibri" w:cs="Times New Roman"/>
          <w:b/>
          <w:noProof/>
          <w:color w:val="000000"/>
          <w:lang w:val="en-CA" w:eastAsia="en-CA"/>
        </w:rPr>
        <w:drawing>
          <wp:inline distT="0" distB="0" distL="0" distR="0" wp14:anchorId="5834B6CB" wp14:editId="664E7F34">
            <wp:extent cx="5943600" cy="919480"/>
            <wp:effectExtent l="12700" t="12700" r="1270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16-6.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919480"/>
                    </a:xfrm>
                    <a:prstGeom prst="rect">
                      <a:avLst/>
                    </a:prstGeom>
                    <a:ln>
                      <a:solidFill>
                        <a:schemeClr val="accent1"/>
                      </a:solidFill>
                    </a:ln>
                  </pic:spPr>
                </pic:pic>
              </a:graphicData>
            </a:graphic>
          </wp:inline>
        </w:drawing>
      </w:r>
    </w:p>
    <w:p w14:paraId="38ADDFA3" w14:textId="77777777" w:rsidR="00EA69AA" w:rsidRDefault="00EA69AA" w:rsidP="00EA69AA">
      <w:pPr>
        <w:spacing w:before="240" w:after="120" w:line="240" w:lineRule="auto"/>
        <w:jc w:val="both"/>
        <w:rPr>
          <w:rFonts w:eastAsia="Times New Roman" w:cs="Times New Roman"/>
          <w:b/>
          <w:bCs/>
          <w:i/>
          <w:u w:val="single"/>
        </w:rPr>
      </w:pPr>
      <w:r>
        <w:rPr>
          <w:rFonts w:eastAsia="Calibri" w:cs="Times New Roman"/>
          <w:b/>
          <w:i/>
          <w:color w:val="000000"/>
          <w:u w:val="single"/>
        </w:rPr>
        <w:t>Una</w:t>
      </w:r>
      <w:r w:rsidRPr="00F15947">
        <w:rPr>
          <w:rFonts w:eastAsia="Calibri" w:cs="Times New Roman"/>
          <w:b/>
          <w:i/>
          <w:color w:val="000000"/>
          <w:u w:val="single"/>
        </w:rPr>
        <w:t xml:space="preserve">djusted </w:t>
      </w:r>
      <w:r>
        <w:rPr>
          <w:rFonts w:eastAsia="Calibri" w:cs="Times New Roman"/>
          <w:b/>
          <w:i/>
          <w:color w:val="000000"/>
          <w:u w:val="single"/>
        </w:rPr>
        <w:t>mean age of initiation</w:t>
      </w:r>
      <w:r w:rsidRPr="00F15947">
        <w:rPr>
          <w:rFonts w:eastAsia="Times New Roman" w:cs="Times New Roman"/>
          <w:b/>
          <w:bCs/>
          <w:i/>
          <w:u w:val="single"/>
        </w:rPr>
        <w:t>—</w:t>
      </w:r>
      <w:r>
        <w:rPr>
          <w:rFonts w:eastAsia="Times New Roman" w:cs="Times New Roman"/>
          <w:b/>
          <w:bCs/>
          <w:i/>
          <w:u w:val="single"/>
        </w:rPr>
        <w:t>Adults and Youth</w:t>
      </w:r>
    </w:p>
    <w:p w14:paraId="01694989" w14:textId="77777777" w:rsidR="00EA69AA" w:rsidRDefault="00EA69AA" w:rsidP="00EA69AA">
      <w:pPr>
        <w:spacing w:after="120" w:line="240" w:lineRule="auto"/>
        <w:jc w:val="both"/>
        <w:rPr>
          <w:rFonts w:eastAsia="Calibri" w:cs="Times New Roman"/>
          <w:color w:val="000000"/>
        </w:rPr>
      </w:pPr>
      <w:r>
        <w:rPr>
          <w:rFonts w:eastAsia="Calibri" w:cs="Times New Roman"/>
          <w:color w:val="000000"/>
        </w:rPr>
        <w:t>Data to examine the mean age for initiation for non-menthol versus menthol smokers were pooled first, according to likeness of menthol survey items, and then second, according to youth versus adult analytic samples. The latter set of analyses were further stratified by smoking status (past 30 days, regular, and daily smoking).</w:t>
      </w:r>
    </w:p>
    <w:p w14:paraId="3F36ADAA" w14:textId="50167762" w:rsidR="00EA69AA" w:rsidRDefault="00EA69AA" w:rsidP="00EA69AA">
      <w:pPr>
        <w:spacing w:after="120" w:line="240" w:lineRule="auto"/>
        <w:jc w:val="both"/>
        <w:rPr>
          <w:rFonts w:eastAsia="Calibri" w:cs="Times New Roman"/>
          <w:color w:val="000000"/>
        </w:rPr>
      </w:pPr>
      <w:r>
        <w:rPr>
          <w:rFonts w:eastAsia="Calibri" w:cs="Times New Roman"/>
          <w:color w:val="000000"/>
        </w:rPr>
        <w:t xml:space="preserve">First, presented in </w:t>
      </w:r>
      <w:r>
        <w:rPr>
          <w:rFonts w:eastAsia="Calibri" w:cs="Times New Roman"/>
          <w:b/>
          <w:color w:val="000000"/>
        </w:rPr>
        <w:t xml:space="preserve">Figure </w:t>
      </w:r>
      <w:r w:rsidR="00B44564">
        <w:rPr>
          <w:rFonts w:eastAsia="Calibri" w:cs="Times New Roman"/>
          <w:b/>
          <w:color w:val="000000"/>
        </w:rPr>
        <w:t>1</w:t>
      </w:r>
      <w:r w:rsidR="00C82C02">
        <w:rPr>
          <w:rFonts w:eastAsia="Calibri" w:cs="Times New Roman"/>
          <w:b/>
          <w:color w:val="000000"/>
        </w:rPr>
        <w:t>6</w:t>
      </w:r>
      <w:r w:rsidR="00B44564">
        <w:rPr>
          <w:rFonts w:eastAsia="Calibri" w:cs="Times New Roman"/>
          <w:b/>
          <w:color w:val="000000"/>
        </w:rPr>
        <w:t>-</w:t>
      </w:r>
      <w:r>
        <w:rPr>
          <w:rFonts w:eastAsia="Calibri" w:cs="Times New Roman"/>
          <w:b/>
          <w:color w:val="000000"/>
        </w:rPr>
        <w:t>7</w:t>
      </w:r>
      <w:r>
        <w:rPr>
          <w:rFonts w:eastAsia="Calibri" w:cs="Times New Roman"/>
          <w:color w:val="000000"/>
        </w:rPr>
        <w:t xml:space="preserve">, </w:t>
      </w:r>
      <w:r w:rsidRPr="00F07FFA">
        <w:rPr>
          <w:rFonts w:eastAsia="Calibri" w:cs="Times New Roman"/>
          <w:color w:val="000000"/>
        </w:rPr>
        <w:t>according</w:t>
      </w:r>
      <w:r>
        <w:rPr>
          <w:rFonts w:eastAsia="Calibri" w:cs="Times New Roman"/>
          <w:color w:val="000000"/>
        </w:rPr>
        <w:t xml:space="preserve"> to NHIS and TUS-CPS adult samples which provided usual brand preference (menthol versus non-menthol), non-menthol smokers had a significantly younger mean age at initiation (MD: 0.43, 95% CI: 0.40 to 0.47; p-value&lt;0.00001; </w:t>
      </w:r>
      <w:r w:rsidRPr="00A77506">
        <w:rPr>
          <w:rFonts w:eastAsia="Calibri" w:cs="Times New Roman"/>
          <w:color w:val="000000"/>
        </w:rPr>
        <w:t>I</w:t>
      </w:r>
      <w:r w:rsidRPr="00A77506">
        <w:rPr>
          <w:rFonts w:eastAsia="Calibri" w:cs="Times New Roman"/>
          <w:color w:val="000000"/>
          <w:vertAlign w:val="superscript"/>
        </w:rPr>
        <w:t>2</w:t>
      </w:r>
      <w:r>
        <w:rPr>
          <w:rFonts w:eastAsia="Calibri" w:cs="Times New Roman"/>
          <w:color w:val="000000"/>
        </w:rPr>
        <w:t xml:space="preserve">=0%). Similarly, as shown in </w:t>
      </w:r>
      <w:r>
        <w:rPr>
          <w:rFonts w:eastAsia="Calibri" w:cs="Times New Roman"/>
          <w:b/>
          <w:color w:val="000000"/>
        </w:rPr>
        <w:t xml:space="preserve">Figure </w:t>
      </w:r>
      <w:r w:rsidR="00B44564">
        <w:rPr>
          <w:rFonts w:eastAsia="Calibri" w:cs="Times New Roman"/>
          <w:b/>
          <w:color w:val="000000"/>
        </w:rPr>
        <w:t>1</w:t>
      </w:r>
      <w:r w:rsidR="00C82C02">
        <w:rPr>
          <w:rFonts w:eastAsia="Calibri" w:cs="Times New Roman"/>
          <w:b/>
          <w:color w:val="000000"/>
        </w:rPr>
        <w:t>6</w:t>
      </w:r>
      <w:r w:rsidR="00B44564">
        <w:rPr>
          <w:rFonts w:eastAsia="Calibri" w:cs="Times New Roman"/>
          <w:b/>
          <w:color w:val="000000"/>
        </w:rPr>
        <w:t>-</w:t>
      </w:r>
      <w:r>
        <w:rPr>
          <w:rFonts w:eastAsia="Calibri" w:cs="Times New Roman"/>
          <w:b/>
          <w:color w:val="000000"/>
        </w:rPr>
        <w:t>8</w:t>
      </w:r>
      <w:r w:rsidRPr="003B4EA8">
        <w:rPr>
          <w:rFonts w:eastAsia="Calibri" w:cs="Times New Roman"/>
          <w:color w:val="000000"/>
        </w:rPr>
        <w:t>,</w:t>
      </w:r>
      <w:r>
        <w:rPr>
          <w:rFonts w:eastAsia="Calibri" w:cs="Times New Roman"/>
          <w:b/>
          <w:color w:val="000000"/>
        </w:rPr>
        <w:t xml:space="preserve"> </w:t>
      </w:r>
      <w:r>
        <w:rPr>
          <w:rFonts w:eastAsia="Calibri" w:cs="Times New Roman"/>
          <w:color w:val="000000"/>
        </w:rPr>
        <w:lastRenderedPageBreak/>
        <w:t>among the NHANES youth, NHANES adult, and the NSDUH, again, pooled results suggested a significantly younger mean age for non-menthol, compared to menthol, smokers (MD: 0.59, 95% CI: 0.5</w:t>
      </w:r>
      <w:r w:rsidR="00F316C7">
        <w:rPr>
          <w:rFonts w:eastAsia="Calibri" w:cs="Times New Roman"/>
          <w:color w:val="000000"/>
        </w:rPr>
        <w:t>6</w:t>
      </w:r>
      <w:r>
        <w:rPr>
          <w:rFonts w:eastAsia="Calibri" w:cs="Times New Roman"/>
          <w:color w:val="000000"/>
        </w:rPr>
        <w:t xml:space="preserve"> to 0.62; p-value&lt;0.00001; </w:t>
      </w:r>
      <w:r w:rsidRPr="00A77506">
        <w:rPr>
          <w:rFonts w:eastAsia="Calibri" w:cs="Times New Roman"/>
          <w:color w:val="000000"/>
        </w:rPr>
        <w:t>I</w:t>
      </w:r>
      <w:r w:rsidRPr="00A77506">
        <w:rPr>
          <w:rFonts w:eastAsia="Calibri" w:cs="Times New Roman"/>
          <w:color w:val="000000"/>
          <w:vertAlign w:val="superscript"/>
        </w:rPr>
        <w:t>2</w:t>
      </w:r>
      <w:r>
        <w:rPr>
          <w:rFonts w:eastAsia="Calibri" w:cs="Times New Roman"/>
          <w:color w:val="000000"/>
        </w:rPr>
        <w:t>=0%).</w:t>
      </w:r>
    </w:p>
    <w:p w14:paraId="2FB122A2" w14:textId="77777777" w:rsidR="00EA69AA" w:rsidRDefault="00EA69AA" w:rsidP="00EA69AA">
      <w:pPr>
        <w:spacing w:after="120" w:line="240" w:lineRule="auto"/>
        <w:jc w:val="both"/>
        <w:rPr>
          <w:rFonts w:eastAsia="Calibri" w:cs="Times New Roman"/>
          <w:b/>
          <w:color w:val="000000"/>
        </w:rPr>
      </w:pPr>
      <w:r>
        <w:rPr>
          <w:rFonts w:eastAsia="Calibri" w:cs="Times New Roman"/>
          <w:b/>
          <w:color w:val="000000"/>
        </w:rPr>
        <w:t xml:space="preserve">Figure </w:t>
      </w:r>
      <w:r w:rsidR="00B44564">
        <w:rPr>
          <w:rFonts w:eastAsia="Calibri" w:cs="Times New Roman"/>
          <w:b/>
          <w:color w:val="000000"/>
        </w:rPr>
        <w:t>1</w:t>
      </w:r>
      <w:r w:rsidR="00C82C02">
        <w:rPr>
          <w:rFonts w:eastAsia="Calibri" w:cs="Times New Roman"/>
          <w:b/>
          <w:color w:val="000000"/>
        </w:rPr>
        <w:t>6</w:t>
      </w:r>
      <w:r w:rsidR="00B44564">
        <w:rPr>
          <w:rFonts w:eastAsia="Calibri" w:cs="Times New Roman"/>
          <w:b/>
          <w:color w:val="000000"/>
        </w:rPr>
        <w:t>-</w:t>
      </w:r>
      <w:r>
        <w:rPr>
          <w:rFonts w:eastAsia="Calibri" w:cs="Times New Roman"/>
          <w:b/>
          <w:color w:val="000000"/>
        </w:rPr>
        <w:t xml:space="preserve">7: Meta-analytic Results on the Unadjusted Mean Age of Initiation According to the NHIS (Adults; 2005, 2010) and TUS-CPS (Adults; 2003 and </w:t>
      </w:r>
      <w:r w:rsidRPr="00E626F3">
        <w:rPr>
          <w:rFonts w:eastAsia="Calibri" w:cs="Times New Roman"/>
          <w:b/>
          <w:color w:val="000000"/>
        </w:rPr>
        <w:t>2006/07</w:t>
      </w:r>
      <w:r>
        <w:rPr>
          <w:rFonts w:eastAsia="Calibri" w:cs="Times New Roman"/>
          <w:b/>
          <w:color w:val="000000"/>
        </w:rPr>
        <w:t xml:space="preserve">) </w:t>
      </w:r>
    </w:p>
    <w:p w14:paraId="398A77EB" w14:textId="77777777" w:rsidR="00EA69AA" w:rsidRDefault="00EA69AA" w:rsidP="00EA69AA">
      <w:pPr>
        <w:spacing w:after="120" w:line="240" w:lineRule="auto"/>
        <w:jc w:val="both"/>
        <w:rPr>
          <w:rFonts w:eastAsia="Calibri" w:cs="Times New Roman"/>
          <w:color w:val="000000"/>
        </w:rPr>
      </w:pPr>
      <w:r w:rsidRPr="004D6E8D">
        <w:rPr>
          <w:rFonts w:eastAsia="Calibri" w:cs="Times New Roman"/>
          <w:noProof/>
          <w:color w:val="000000"/>
          <w:lang w:val="en-CA" w:eastAsia="en-CA"/>
        </w:rPr>
        <w:drawing>
          <wp:inline distT="0" distB="0" distL="0" distR="0" wp14:anchorId="068FC978" wp14:editId="5530B185">
            <wp:extent cx="5943600" cy="971550"/>
            <wp:effectExtent l="19050" t="19050" r="19050" b="1905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971550"/>
                    </a:xfrm>
                    <a:prstGeom prst="rect">
                      <a:avLst/>
                    </a:prstGeom>
                    <a:ln>
                      <a:solidFill>
                        <a:schemeClr val="accent1"/>
                      </a:solidFill>
                    </a:ln>
                  </pic:spPr>
                </pic:pic>
              </a:graphicData>
            </a:graphic>
          </wp:inline>
        </w:drawing>
      </w:r>
    </w:p>
    <w:p w14:paraId="10274EC3" w14:textId="77777777" w:rsidR="00EA69AA" w:rsidRDefault="00EA69AA" w:rsidP="00EA69AA">
      <w:pPr>
        <w:spacing w:after="120" w:line="240" w:lineRule="auto"/>
        <w:jc w:val="both"/>
        <w:rPr>
          <w:rFonts w:eastAsia="Calibri" w:cs="Times New Roman"/>
          <w:b/>
          <w:color w:val="000000"/>
        </w:rPr>
      </w:pPr>
      <w:r>
        <w:rPr>
          <w:rFonts w:eastAsia="Calibri" w:cs="Times New Roman"/>
          <w:b/>
          <w:color w:val="000000"/>
        </w:rPr>
        <w:t xml:space="preserve">Figure </w:t>
      </w:r>
      <w:r w:rsidR="00B44564">
        <w:rPr>
          <w:rFonts w:eastAsia="Calibri" w:cs="Times New Roman"/>
          <w:b/>
          <w:color w:val="000000"/>
        </w:rPr>
        <w:t>1</w:t>
      </w:r>
      <w:r w:rsidR="00C82C02">
        <w:rPr>
          <w:rFonts w:eastAsia="Calibri" w:cs="Times New Roman"/>
          <w:b/>
          <w:color w:val="000000"/>
        </w:rPr>
        <w:t>6</w:t>
      </w:r>
      <w:r w:rsidR="00B44564">
        <w:rPr>
          <w:rFonts w:eastAsia="Calibri" w:cs="Times New Roman"/>
          <w:b/>
          <w:color w:val="000000"/>
        </w:rPr>
        <w:t>-</w:t>
      </w:r>
      <w:r>
        <w:rPr>
          <w:rFonts w:eastAsia="Calibri" w:cs="Times New Roman"/>
          <w:b/>
          <w:color w:val="000000"/>
        </w:rPr>
        <w:t xml:space="preserve">8: Meta-analytic Results on the Unadjusted Mean Age of Initiation According to the </w:t>
      </w:r>
      <w:r w:rsidRPr="004D6E8D">
        <w:rPr>
          <w:rFonts w:eastAsia="Calibri" w:cs="Times New Roman"/>
          <w:b/>
          <w:color w:val="000000"/>
        </w:rPr>
        <w:t xml:space="preserve">NHANES </w:t>
      </w:r>
      <w:r>
        <w:rPr>
          <w:rFonts w:eastAsia="Calibri" w:cs="Times New Roman"/>
          <w:b/>
          <w:color w:val="000000"/>
        </w:rPr>
        <w:t>(Y</w:t>
      </w:r>
      <w:r w:rsidRPr="004D6E8D">
        <w:rPr>
          <w:rFonts w:eastAsia="Calibri" w:cs="Times New Roman"/>
          <w:b/>
          <w:color w:val="000000"/>
        </w:rPr>
        <w:t>outh</w:t>
      </w:r>
      <w:r>
        <w:rPr>
          <w:rFonts w:eastAsia="Calibri" w:cs="Times New Roman"/>
          <w:b/>
          <w:color w:val="000000"/>
        </w:rPr>
        <w:t>)</w:t>
      </w:r>
      <w:r w:rsidRPr="004D6E8D">
        <w:rPr>
          <w:rFonts w:eastAsia="Calibri" w:cs="Times New Roman"/>
          <w:b/>
          <w:color w:val="000000"/>
        </w:rPr>
        <w:t xml:space="preserve">, NHANES </w:t>
      </w:r>
      <w:r>
        <w:rPr>
          <w:rFonts w:eastAsia="Calibri" w:cs="Times New Roman"/>
          <w:b/>
          <w:color w:val="000000"/>
        </w:rPr>
        <w:t>(A</w:t>
      </w:r>
      <w:r w:rsidRPr="004D6E8D">
        <w:rPr>
          <w:rFonts w:eastAsia="Calibri" w:cs="Times New Roman"/>
          <w:b/>
          <w:color w:val="000000"/>
        </w:rPr>
        <w:t>dult</w:t>
      </w:r>
      <w:r>
        <w:rPr>
          <w:rFonts w:eastAsia="Calibri" w:cs="Times New Roman"/>
          <w:b/>
          <w:color w:val="000000"/>
        </w:rPr>
        <w:t>s)</w:t>
      </w:r>
      <w:r w:rsidRPr="004D6E8D">
        <w:rPr>
          <w:rFonts w:eastAsia="Calibri" w:cs="Times New Roman"/>
          <w:b/>
          <w:color w:val="000000"/>
        </w:rPr>
        <w:t>, and the NSDUH (</w:t>
      </w:r>
      <w:r>
        <w:rPr>
          <w:rFonts w:eastAsia="Calibri" w:cs="Times New Roman"/>
          <w:b/>
          <w:color w:val="000000"/>
        </w:rPr>
        <w:t>B</w:t>
      </w:r>
      <w:r w:rsidRPr="004D6E8D">
        <w:rPr>
          <w:rFonts w:eastAsia="Calibri" w:cs="Times New Roman"/>
          <w:b/>
          <w:color w:val="000000"/>
        </w:rPr>
        <w:t xml:space="preserve">oth </w:t>
      </w:r>
      <w:r>
        <w:rPr>
          <w:rFonts w:eastAsia="Calibri" w:cs="Times New Roman"/>
          <w:b/>
          <w:color w:val="000000"/>
        </w:rPr>
        <w:t>R</w:t>
      </w:r>
      <w:r w:rsidRPr="004D6E8D">
        <w:rPr>
          <w:rFonts w:eastAsia="Calibri" w:cs="Times New Roman"/>
          <w:b/>
          <w:color w:val="000000"/>
        </w:rPr>
        <w:t xml:space="preserve">espondents </w:t>
      </w:r>
      <w:r>
        <w:rPr>
          <w:rFonts w:eastAsia="Calibri" w:cs="Times New Roman"/>
          <w:b/>
          <w:color w:val="000000"/>
        </w:rPr>
        <w:t>W</w:t>
      </w:r>
      <w:r w:rsidRPr="004D6E8D">
        <w:rPr>
          <w:rFonts w:eastAsia="Calibri" w:cs="Times New Roman"/>
          <w:b/>
          <w:color w:val="000000"/>
        </w:rPr>
        <w:t xml:space="preserve">ho </w:t>
      </w:r>
      <w:r>
        <w:rPr>
          <w:rFonts w:eastAsia="Calibri" w:cs="Times New Roman"/>
          <w:b/>
          <w:color w:val="000000"/>
        </w:rPr>
        <w:t>R</w:t>
      </w:r>
      <w:r w:rsidRPr="004D6E8D">
        <w:rPr>
          <w:rFonts w:eastAsia="Calibri" w:cs="Times New Roman"/>
          <w:b/>
          <w:color w:val="000000"/>
        </w:rPr>
        <w:t xml:space="preserve">eported </w:t>
      </w:r>
      <w:r>
        <w:rPr>
          <w:rFonts w:eastAsia="Calibri" w:cs="Times New Roman"/>
          <w:b/>
          <w:color w:val="000000"/>
        </w:rPr>
        <w:t>F</w:t>
      </w:r>
      <w:r w:rsidRPr="004D6E8D">
        <w:rPr>
          <w:rFonts w:eastAsia="Calibri" w:cs="Times New Roman"/>
          <w:b/>
          <w:color w:val="000000"/>
        </w:rPr>
        <w:t xml:space="preserve">irst </w:t>
      </w:r>
      <w:r>
        <w:rPr>
          <w:rFonts w:eastAsia="Calibri" w:cs="Times New Roman"/>
          <w:b/>
          <w:color w:val="000000"/>
        </w:rPr>
        <w:t>T</w:t>
      </w:r>
      <w:r w:rsidRPr="004D6E8D">
        <w:rPr>
          <w:rFonts w:eastAsia="Calibri" w:cs="Times New Roman"/>
          <w:b/>
          <w:color w:val="000000"/>
        </w:rPr>
        <w:t xml:space="preserve">ime for </w:t>
      </w:r>
      <w:r>
        <w:rPr>
          <w:rFonts w:eastAsia="Calibri" w:cs="Times New Roman"/>
          <w:b/>
          <w:color w:val="000000"/>
        </w:rPr>
        <w:t>S</w:t>
      </w:r>
      <w:r w:rsidRPr="004D6E8D">
        <w:rPr>
          <w:rFonts w:eastAsia="Calibri" w:cs="Times New Roman"/>
          <w:b/>
          <w:color w:val="000000"/>
        </w:rPr>
        <w:t xml:space="preserve">moking </w:t>
      </w:r>
      <w:r>
        <w:rPr>
          <w:rFonts w:eastAsia="Calibri" w:cs="Times New Roman"/>
          <w:b/>
          <w:color w:val="000000"/>
        </w:rPr>
        <w:t>P</w:t>
      </w:r>
      <w:r w:rsidRPr="004D6E8D">
        <w:rPr>
          <w:rFonts w:eastAsia="Calibri" w:cs="Times New Roman"/>
          <w:b/>
          <w:color w:val="000000"/>
        </w:rPr>
        <w:t>art of/</w:t>
      </w:r>
      <w:r>
        <w:rPr>
          <w:rFonts w:eastAsia="Calibri" w:cs="Times New Roman"/>
          <w:b/>
          <w:color w:val="000000"/>
        </w:rPr>
        <w:t>W</w:t>
      </w:r>
      <w:r w:rsidRPr="004D6E8D">
        <w:rPr>
          <w:rFonts w:eastAsia="Calibri" w:cs="Times New Roman"/>
          <w:b/>
          <w:color w:val="000000"/>
        </w:rPr>
        <w:t xml:space="preserve">hole </w:t>
      </w:r>
      <w:r>
        <w:rPr>
          <w:rFonts w:eastAsia="Calibri" w:cs="Times New Roman"/>
          <w:b/>
          <w:color w:val="000000"/>
        </w:rPr>
        <w:t>C</w:t>
      </w:r>
      <w:r w:rsidRPr="004D6E8D">
        <w:rPr>
          <w:rFonts w:eastAsia="Calibri" w:cs="Times New Roman"/>
          <w:b/>
          <w:color w:val="000000"/>
        </w:rPr>
        <w:t xml:space="preserve">igarette and </w:t>
      </w:r>
      <w:r>
        <w:rPr>
          <w:rFonts w:eastAsia="Calibri" w:cs="Times New Roman"/>
          <w:b/>
          <w:color w:val="000000"/>
        </w:rPr>
        <w:t>S</w:t>
      </w:r>
      <w:r w:rsidRPr="004D6E8D">
        <w:rPr>
          <w:rFonts w:eastAsia="Calibri" w:cs="Times New Roman"/>
          <w:b/>
          <w:color w:val="000000"/>
        </w:rPr>
        <w:t xml:space="preserve">moking </w:t>
      </w:r>
      <w:r>
        <w:rPr>
          <w:rFonts w:eastAsia="Calibri" w:cs="Times New Roman"/>
          <w:b/>
          <w:color w:val="000000"/>
        </w:rPr>
        <w:t>E</w:t>
      </w:r>
      <w:r w:rsidRPr="004D6E8D">
        <w:rPr>
          <w:rFonts w:eastAsia="Calibri" w:cs="Times New Roman"/>
          <w:b/>
          <w:color w:val="000000"/>
        </w:rPr>
        <w:t xml:space="preserve">very </w:t>
      </w:r>
      <w:r>
        <w:rPr>
          <w:rFonts w:eastAsia="Calibri" w:cs="Times New Roman"/>
          <w:b/>
          <w:color w:val="000000"/>
        </w:rPr>
        <w:t>D</w:t>
      </w:r>
      <w:r w:rsidRPr="004D6E8D">
        <w:rPr>
          <w:rFonts w:eastAsia="Calibri" w:cs="Times New Roman"/>
          <w:b/>
          <w:color w:val="000000"/>
        </w:rPr>
        <w:t>ay)</w:t>
      </w:r>
    </w:p>
    <w:p w14:paraId="4F0540E4" w14:textId="4957FD5B" w:rsidR="00EA69AA" w:rsidRDefault="004012F7" w:rsidP="00EA69AA">
      <w:pPr>
        <w:spacing w:after="120" w:line="240" w:lineRule="auto"/>
        <w:jc w:val="both"/>
        <w:rPr>
          <w:rFonts w:eastAsia="Calibri" w:cs="Times New Roman"/>
          <w:color w:val="000000"/>
        </w:rPr>
      </w:pPr>
      <w:r>
        <w:rPr>
          <w:rFonts w:eastAsia="Calibri" w:cs="Times New Roman"/>
          <w:noProof/>
          <w:color w:val="000000"/>
          <w:lang w:val="en-CA" w:eastAsia="en-CA"/>
        </w:rPr>
        <w:drawing>
          <wp:inline distT="0" distB="0" distL="0" distR="0" wp14:anchorId="4F9F70E9" wp14:editId="5F664771">
            <wp:extent cx="5943600" cy="831215"/>
            <wp:effectExtent l="12700" t="12700" r="1270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16-8.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831215"/>
                    </a:xfrm>
                    <a:prstGeom prst="rect">
                      <a:avLst/>
                    </a:prstGeom>
                    <a:ln>
                      <a:solidFill>
                        <a:schemeClr val="accent1"/>
                      </a:solidFill>
                    </a:ln>
                  </pic:spPr>
                </pic:pic>
              </a:graphicData>
            </a:graphic>
          </wp:inline>
        </w:drawing>
      </w:r>
    </w:p>
    <w:p w14:paraId="1797518F" w14:textId="77777777" w:rsidR="00EA69AA" w:rsidRDefault="00EA69AA" w:rsidP="00EA69AA">
      <w:pPr>
        <w:spacing w:before="240" w:after="120" w:line="240" w:lineRule="auto"/>
        <w:jc w:val="both"/>
        <w:rPr>
          <w:rFonts w:eastAsia="Calibri" w:cs="Times New Roman"/>
          <w:color w:val="000000"/>
        </w:rPr>
      </w:pPr>
      <w:r>
        <w:rPr>
          <w:rFonts w:eastAsia="Calibri" w:cs="Times New Roman"/>
          <w:color w:val="000000"/>
        </w:rPr>
        <w:t xml:space="preserve">Additionally, when pooling data according to the shared survey item that asks when the respondent started “to smoke fairly regularly” across past 30 day, regular, and daily adult smokers from NHANES, NHIS, and TUS-CPS datasets, all meta-analytic results indicated a significant and younger mean age for non-menthol, compared to menthol, smokers (Past 30 day – </w:t>
      </w:r>
      <w:r>
        <w:rPr>
          <w:rFonts w:eastAsia="Calibri" w:cs="Times New Roman"/>
          <w:b/>
          <w:color w:val="000000"/>
        </w:rPr>
        <w:t xml:space="preserve">Figure </w:t>
      </w:r>
      <w:r w:rsidR="00B44564">
        <w:rPr>
          <w:rFonts w:eastAsia="Calibri" w:cs="Times New Roman"/>
          <w:b/>
          <w:color w:val="000000"/>
        </w:rPr>
        <w:t>1</w:t>
      </w:r>
      <w:r w:rsidR="00C82C02">
        <w:rPr>
          <w:rFonts w:eastAsia="Calibri" w:cs="Times New Roman"/>
          <w:b/>
          <w:color w:val="000000"/>
        </w:rPr>
        <w:t>6</w:t>
      </w:r>
      <w:r w:rsidR="00B44564">
        <w:rPr>
          <w:rFonts w:eastAsia="Calibri" w:cs="Times New Roman"/>
          <w:b/>
          <w:color w:val="000000"/>
        </w:rPr>
        <w:t>-</w:t>
      </w:r>
      <w:r>
        <w:rPr>
          <w:rFonts w:eastAsia="Calibri" w:cs="Times New Roman"/>
          <w:b/>
          <w:color w:val="000000"/>
        </w:rPr>
        <w:t xml:space="preserve">9 </w:t>
      </w:r>
      <w:r>
        <w:rPr>
          <w:rFonts w:eastAsia="Calibri" w:cs="Times New Roman"/>
          <w:color w:val="000000"/>
        </w:rPr>
        <w:t xml:space="preserve">– MD: 0.43, 95% CI: 0.40 to 0.47, p-value&lt;0.00001, </w:t>
      </w:r>
      <w:r w:rsidRPr="00A77506">
        <w:rPr>
          <w:rFonts w:eastAsia="Calibri" w:cs="Times New Roman"/>
          <w:color w:val="000000"/>
        </w:rPr>
        <w:t>I</w:t>
      </w:r>
      <w:r w:rsidRPr="00A77506">
        <w:rPr>
          <w:rFonts w:eastAsia="Calibri" w:cs="Times New Roman"/>
          <w:color w:val="000000"/>
          <w:vertAlign w:val="superscript"/>
        </w:rPr>
        <w:t>2</w:t>
      </w:r>
      <w:r>
        <w:rPr>
          <w:rFonts w:eastAsia="Calibri" w:cs="Times New Roman"/>
          <w:color w:val="000000"/>
        </w:rPr>
        <w:t xml:space="preserve">=0%; Regular – </w:t>
      </w:r>
      <w:r>
        <w:rPr>
          <w:rFonts w:eastAsia="Calibri" w:cs="Times New Roman"/>
          <w:b/>
          <w:color w:val="000000"/>
        </w:rPr>
        <w:t xml:space="preserve">Figure </w:t>
      </w:r>
      <w:r w:rsidR="00B44564">
        <w:rPr>
          <w:rFonts w:eastAsia="Calibri" w:cs="Times New Roman"/>
          <w:b/>
          <w:color w:val="000000"/>
        </w:rPr>
        <w:t>1</w:t>
      </w:r>
      <w:r w:rsidR="00C82C02">
        <w:rPr>
          <w:rFonts w:eastAsia="Calibri" w:cs="Times New Roman"/>
          <w:b/>
          <w:color w:val="000000"/>
        </w:rPr>
        <w:t>6</w:t>
      </w:r>
      <w:r w:rsidR="00B44564">
        <w:rPr>
          <w:rFonts w:eastAsia="Calibri" w:cs="Times New Roman"/>
          <w:b/>
          <w:color w:val="000000"/>
        </w:rPr>
        <w:t>-</w:t>
      </w:r>
      <w:r>
        <w:rPr>
          <w:rFonts w:eastAsia="Calibri" w:cs="Times New Roman"/>
          <w:b/>
          <w:color w:val="000000"/>
        </w:rPr>
        <w:t>10</w:t>
      </w:r>
      <w:r>
        <w:rPr>
          <w:rFonts w:eastAsia="Calibri" w:cs="Times New Roman"/>
          <w:color w:val="000000"/>
        </w:rPr>
        <w:t xml:space="preserve">: MD: 0.43, 95% CI: 0.40 to 0.47, p-value&lt;0.00001, </w:t>
      </w:r>
      <w:r w:rsidRPr="00A77506">
        <w:rPr>
          <w:rFonts w:eastAsia="Calibri" w:cs="Times New Roman"/>
          <w:color w:val="000000"/>
        </w:rPr>
        <w:t>I</w:t>
      </w:r>
      <w:r w:rsidRPr="00A77506">
        <w:rPr>
          <w:rFonts w:eastAsia="Calibri" w:cs="Times New Roman"/>
          <w:color w:val="000000"/>
          <w:vertAlign w:val="superscript"/>
        </w:rPr>
        <w:t>2</w:t>
      </w:r>
      <w:r>
        <w:rPr>
          <w:rFonts w:eastAsia="Calibri" w:cs="Times New Roman"/>
          <w:color w:val="000000"/>
        </w:rPr>
        <w:t xml:space="preserve">=0%; and Daily – </w:t>
      </w:r>
      <w:r>
        <w:rPr>
          <w:rFonts w:eastAsia="Calibri" w:cs="Times New Roman"/>
          <w:b/>
          <w:color w:val="000000"/>
        </w:rPr>
        <w:t xml:space="preserve">Figure </w:t>
      </w:r>
      <w:r w:rsidR="00B44564">
        <w:rPr>
          <w:rFonts w:eastAsia="Calibri" w:cs="Times New Roman"/>
          <w:b/>
          <w:color w:val="000000"/>
        </w:rPr>
        <w:t>1</w:t>
      </w:r>
      <w:r w:rsidR="00C82C02">
        <w:rPr>
          <w:rFonts w:eastAsia="Calibri" w:cs="Times New Roman"/>
          <w:b/>
          <w:color w:val="000000"/>
        </w:rPr>
        <w:t>6</w:t>
      </w:r>
      <w:r w:rsidR="00B44564">
        <w:rPr>
          <w:rFonts w:eastAsia="Calibri" w:cs="Times New Roman"/>
          <w:b/>
          <w:color w:val="000000"/>
        </w:rPr>
        <w:t>-</w:t>
      </w:r>
      <w:r>
        <w:rPr>
          <w:rFonts w:eastAsia="Calibri" w:cs="Times New Roman"/>
          <w:b/>
          <w:color w:val="000000"/>
        </w:rPr>
        <w:t xml:space="preserve">11 </w:t>
      </w:r>
      <w:r>
        <w:rPr>
          <w:rFonts w:eastAsia="Calibri" w:cs="Times New Roman"/>
          <w:color w:val="000000"/>
        </w:rPr>
        <w:t xml:space="preserve">– MD: 0.43, 95% CI: 0.40 to 0.47, p-value&lt;0.00001, </w:t>
      </w:r>
      <w:r w:rsidRPr="00A77506">
        <w:rPr>
          <w:rFonts w:eastAsia="Calibri" w:cs="Times New Roman"/>
          <w:color w:val="000000"/>
        </w:rPr>
        <w:t>I</w:t>
      </w:r>
      <w:r w:rsidRPr="00A77506">
        <w:rPr>
          <w:rFonts w:eastAsia="Calibri" w:cs="Times New Roman"/>
          <w:color w:val="000000"/>
          <w:vertAlign w:val="superscript"/>
        </w:rPr>
        <w:t>2</w:t>
      </w:r>
      <w:r>
        <w:rPr>
          <w:rFonts w:eastAsia="Calibri" w:cs="Times New Roman"/>
          <w:color w:val="000000"/>
        </w:rPr>
        <w:t xml:space="preserve">=0%). When pooling additional data from the TUS-CPS youth with the preceding adult data, no difference in age was detected and the heterogeneity was high (Past 30 day – </w:t>
      </w:r>
      <w:r>
        <w:rPr>
          <w:rFonts w:eastAsia="Calibri" w:cs="Times New Roman"/>
          <w:b/>
          <w:color w:val="000000"/>
        </w:rPr>
        <w:t xml:space="preserve">Figure </w:t>
      </w:r>
      <w:r w:rsidR="00B44564">
        <w:rPr>
          <w:rFonts w:eastAsia="Calibri" w:cs="Times New Roman"/>
          <w:b/>
          <w:color w:val="000000"/>
        </w:rPr>
        <w:t>1</w:t>
      </w:r>
      <w:r w:rsidR="00C82C02">
        <w:rPr>
          <w:rFonts w:eastAsia="Calibri" w:cs="Times New Roman"/>
          <w:b/>
          <w:color w:val="000000"/>
        </w:rPr>
        <w:t>6</w:t>
      </w:r>
      <w:r w:rsidR="00B44564">
        <w:rPr>
          <w:rFonts w:eastAsia="Calibri" w:cs="Times New Roman"/>
          <w:b/>
          <w:color w:val="000000"/>
        </w:rPr>
        <w:t>-</w:t>
      </w:r>
      <w:r>
        <w:rPr>
          <w:rFonts w:eastAsia="Calibri" w:cs="Times New Roman"/>
          <w:b/>
          <w:color w:val="000000"/>
        </w:rPr>
        <w:t xml:space="preserve">12 </w:t>
      </w:r>
      <w:r>
        <w:rPr>
          <w:rFonts w:eastAsia="Calibri" w:cs="Times New Roman"/>
          <w:color w:val="000000"/>
        </w:rPr>
        <w:t xml:space="preserve">– </w:t>
      </w:r>
      <w:r w:rsidRPr="00A77506">
        <w:rPr>
          <w:rFonts w:eastAsia="Calibri" w:cs="Times New Roman"/>
          <w:color w:val="000000"/>
        </w:rPr>
        <w:t>I</w:t>
      </w:r>
      <w:r w:rsidRPr="00A77506">
        <w:rPr>
          <w:rFonts w:eastAsia="Calibri" w:cs="Times New Roman"/>
          <w:color w:val="000000"/>
          <w:vertAlign w:val="superscript"/>
        </w:rPr>
        <w:t>2</w:t>
      </w:r>
      <w:r>
        <w:rPr>
          <w:rFonts w:eastAsia="Calibri" w:cs="Times New Roman"/>
          <w:color w:val="000000"/>
        </w:rPr>
        <w:t xml:space="preserve">=98%; Regular – </w:t>
      </w:r>
      <w:r>
        <w:rPr>
          <w:rFonts w:eastAsia="Calibri" w:cs="Times New Roman"/>
          <w:b/>
          <w:color w:val="000000"/>
        </w:rPr>
        <w:t xml:space="preserve">Figure </w:t>
      </w:r>
      <w:r w:rsidR="00B44564">
        <w:rPr>
          <w:rFonts w:eastAsia="Calibri" w:cs="Times New Roman"/>
          <w:b/>
          <w:color w:val="000000"/>
        </w:rPr>
        <w:t>1</w:t>
      </w:r>
      <w:r w:rsidR="00C82C02">
        <w:rPr>
          <w:rFonts w:eastAsia="Calibri" w:cs="Times New Roman"/>
          <w:b/>
          <w:color w:val="000000"/>
        </w:rPr>
        <w:t>6</w:t>
      </w:r>
      <w:r w:rsidR="00B44564">
        <w:rPr>
          <w:rFonts w:eastAsia="Calibri" w:cs="Times New Roman"/>
          <w:b/>
          <w:color w:val="000000"/>
        </w:rPr>
        <w:t>-</w:t>
      </w:r>
      <w:r>
        <w:rPr>
          <w:rFonts w:eastAsia="Calibri" w:cs="Times New Roman"/>
          <w:b/>
          <w:color w:val="000000"/>
        </w:rPr>
        <w:t xml:space="preserve">13 </w:t>
      </w:r>
      <w:r>
        <w:rPr>
          <w:rFonts w:eastAsia="Calibri" w:cs="Times New Roman"/>
          <w:color w:val="000000"/>
        </w:rPr>
        <w:t xml:space="preserve">– </w:t>
      </w:r>
      <w:r w:rsidRPr="00A77506">
        <w:rPr>
          <w:rFonts w:eastAsia="Calibri" w:cs="Times New Roman"/>
          <w:color w:val="000000"/>
        </w:rPr>
        <w:t>I</w:t>
      </w:r>
      <w:r w:rsidRPr="00A77506">
        <w:rPr>
          <w:rFonts w:eastAsia="Calibri" w:cs="Times New Roman"/>
          <w:color w:val="000000"/>
          <w:vertAlign w:val="superscript"/>
        </w:rPr>
        <w:t>2</w:t>
      </w:r>
      <w:r>
        <w:rPr>
          <w:rFonts w:eastAsia="Calibri" w:cs="Times New Roman"/>
          <w:color w:val="000000"/>
        </w:rPr>
        <w:t xml:space="preserve">=98%; and Daily – </w:t>
      </w:r>
      <w:r>
        <w:rPr>
          <w:rFonts w:eastAsia="Calibri" w:cs="Times New Roman"/>
          <w:b/>
          <w:color w:val="000000"/>
        </w:rPr>
        <w:t xml:space="preserve">Figure </w:t>
      </w:r>
      <w:r w:rsidR="00B44564">
        <w:rPr>
          <w:rFonts w:eastAsia="Calibri" w:cs="Times New Roman"/>
          <w:b/>
          <w:color w:val="000000"/>
        </w:rPr>
        <w:t>1</w:t>
      </w:r>
      <w:r w:rsidR="00C82C02">
        <w:rPr>
          <w:rFonts w:eastAsia="Calibri" w:cs="Times New Roman"/>
          <w:b/>
          <w:color w:val="000000"/>
        </w:rPr>
        <w:t>6</w:t>
      </w:r>
      <w:r w:rsidR="00B44564">
        <w:rPr>
          <w:rFonts w:eastAsia="Calibri" w:cs="Times New Roman"/>
          <w:b/>
          <w:color w:val="000000"/>
        </w:rPr>
        <w:t>-</w:t>
      </w:r>
      <w:r>
        <w:rPr>
          <w:rFonts w:eastAsia="Calibri" w:cs="Times New Roman"/>
          <w:b/>
          <w:color w:val="000000"/>
        </w:rPr>
        <w:t xml:space="preserve">14 </w:t>
      </w:r>
      <w:r>
        <w:rPr>
          <w:rFonts w:eastAsia="Calibri" w:cs="Times New Roman"/>
          <w:color w:val="000000"/>
        </w:rPr>
        <w:t xml:space="preserve">– </w:t>
      </w:r>
      <w:r w:rsidRPr="00A77506">
        <w:rPr>
          <w:rFonts w:eastAsia="Calibri" w:cs="Times New Roman"/>
          <w:color w:val="000000"/>
        </w:rPr>
        <w:t>I</w:t>
      </w:r>
      <w:r w:rsidRPr="00A77506">
        <w:rPr>
          <w:rFonts w:eastAsia="Calibri" w:cs="Times New Roman"/>
          <w:color w:val="000000"/>
          <w:vertAlign w:val="superscript"/>
        </w:rPr>
        <w:t>2</w:t>
      </w:r>
      <w:r>
        <w:rPr>
          <w:rFonts w:eastAsia="Calibri" w:cs="Times New Roman"/>
          <w:color w:val="000000"/>
        </w:rPr>
        <w:t>=97%;).</w:t>
      </w:r>
    </w:p>
    <w:p w14:paraId="23208F8D" w14:textId="77777777" w:rsidR="00EA69AA" w:rsidRDefault="00EA69AA" w:rsidP="00EA69AA">
      <w:pPr>
        <w:spacing w:after="120" w:line="240" w:lineRule="auto"/>
        <w:jc w:val="both"/>
        <w:rPr>
          <w:rFonts w:eastAsia="Calibri" w:cs="Times New Roman"/>
          <w:b/>
          <w:color w:val="000000"/>
        </w:rPr>
      </w:pPr>
      <w:r>
        <w:rPr>
          <w:rFonts w:eastAsia="Calibri" w:cs="Times New Roman"/>
          <w:b/>
          <w:color w:val="000000"/>
        </w:rPr>
        <w:t xml:space="preserve">Figure </w:t>
      </w:r>
      <w:r w:rsidR="00B44564">
        <w:rPr>
          <w:rFonts w:eastAsia="Calibri" w:cs="Times New Roman"/>
          <w:b/>
          <w:color w:val="000000"/>
        </w:rPr>
        <w:t>1</w:t>
      </w:r>
      <w:r w:rsidR="00C82C02">
        <w:rPr>
          <w:rFonts w:eastAsia="Calibri" w:cs="Times New Roman"/>
          <w:b/>
          <w:color w:val="000000"/>
        </w:rPr>
        <w:t>6</w:t>
      </w:r>
      <w:r w:rsidR="00B44564">
        <w:rPr>
          <w:rFonts w:eastAsia="Calibri" w:cs="Times New Roman"/>
          <w:b/>
          <w:color w:val="000000"/>
        </w:rPr>
        <w:t>-</w:t>
      </w:r>
      <w:r>
        <w:rPr>
          <w:rFonts w:eastAsia="Calibri" w:cs="Times New Roman"/>
          <w:b/>
          <w:color w:val="000000"/>
        </w:rPr>
        <w:t xml:space="preserve">9: Meta-analytic Results on the Unadjusted Mean Age of Initiation According to Adults from the </w:t>
      </w:r>
      <w:r w:rsidRPr="004D6E8D">
        <w:rPr>
          <w:rFonts w:eastAsia="Calibri" w:cs="Times New Roman"/>
          <w:b/>
          <w:color w:val="000000"/>
        </w:rPr>
        <w:t>NHANES,</w:t>
      </w:r>
      <w:r>
        <w:rPr>
          <w:rFonts w:eastAsia="Calibri" w:cs="Times New Roman"/>
          <w:b/>
          <w:color w:val="000000"/>
        </w:rPr>
        <w:t xml:space="preserve"> NHIS and TUS-CPS – Past 30 Day Smokers</w:t>
      </w:r>
    </w:p>
    <w:p w14:paraId="4DFE0DD1" w14:textId="67EC5D6E" w:rsidR="00EA69AA" w:rsidRDefault="00EA69AA" w:rsidP="002D53AF">
      <w:pPr>
        <w:spacing w:after="120" w:line="240" w:lineRule="auto"/>
        <w:jc w:val="both"/>
        <w:rPr>
          <w:rFonts w:eastAsia="Calibri" w:cs="Times New Roman"/>
          <w:b/>
          <w:color w:val="000000"/>
        </w:rPr>
      </w:pPr>
      <w:r w:rsidRPr="007F0649">
        <w:rPr>
          <w:rFonts w:eastAsia="Calibri" w:cs="Times New Roman"/>
          <w:b/>
          <w:noProof/>
          <w:color w:val="000000"/>
          <w:lang w:val="en-CA" w:eastAsia="en-CA"/>
        </w:rPr>
        <w:drawing>
          <wp:inline distT="0" distB="0" distL="0" distR="0" wp14:anchorId="5F82290E" wp14:editId="1F6DF4D9">
            <wp:extent cx="5943600" cy="1054100"/>
            <wp:effectExtent l="19050" t="19050" r="19050" b="1270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1054100"/>
                    </a:xfrm>
                    <a:prstGeom prst="rect">
                      <a:avLst/>
                    </a:prstGeom>
                    <a:ln>
                      <a:solidFill>
                        <a:schemeClr val="accent1"/>
                      </a:solidFill>
                    </a:ln>
                  </pic:spPr>
                </pic:pic>
              </a:graphicData>
            </a:graphic>
          </wp:inline>
        </w:drawing>
      </w:r>
    </w:p>
    <w:p w14:paraId="2664DEC6" w14:textId="77777777" w:rsidR="00EA69AA" w:rsidRDefault="00EA69AA" w:rsidP="00EA69AA">
      <w:pPr>
        <w:spacing w:before="240" w:after="120" w:line="240" w:lineRule="auto"/>
        <w:jc w:val="both"/>
        <w:rPr>
          <w:rFonts w:eastAsia="Calibri" w:cs="Times New Roman"/>
          <w:b/>
          <w:color w:val="000000"/>
        </w:rPr>
      </w:pPr>
      <w:r>
        <w:rPr>
          <w:rFonts w:eastAsia="Calibri" w:cs="Times New Roman"/>
          <w:b/>
          <w:color w:val="000000"/>
        </w:rPr>
        <w:t xml:space="preserve">Figure </w:t>
      </w:r>
      <w:r w:rsidR="00B44564">
        <w:rPr>
          <w:rFonts w:eastAsia="Calibri" w:cs="Times New Roman"/>
          <w:b/>
          <w:color w:val="000000"/>
        </w:rPr>
        <w:t>1</w:t>
      </w:r>
      <w:r w:rsidR="00C82C02">
        <w:rPr>
          <w:rFonts w:eastAsia="Calibri" w:cs="Times New Roman"/>
          <w:b/>
          <w:color w:val="000000"/>
        </w:rPr>
        <w:t>6</w:t>
      </w:r>
      <w:r w:rsidR="00B44564">
        <w:rPr>
          <w:rFonts w:eastAsia="Calibri" w:cs="Times New Roman"/>
          <w:b/>
          <w:color w:val="000000"/>
        </w:rPr>
        <w:t>-</w:t>
      </w:r>
      <w:r>
        <w:rPr>
          <w:rFonts w:eastAsia="Calibri" w:cs="Times New Roman"/>
          <w:b/>
          <w:color w:val="000000"/>
        </w:rPr>
        <w:t xml:space="preserve">10: Meta-analytic Results on the Unadjusted Mean Age of Initiation According to Adults from the </w:t>
      </w:r>
      <w:r w:rsidRPr="004D6E8D">
        <w:rPr>
          <w:rFonts w:eastAsia="Calibri" w:cs="Times New Roman"/>
          <w:b/>
          <w:color w:val="000000"/>
        </w:rPr>
        <w:t>NHANES,</w:t>
      </w:r>
      <w:r>
        <w:rPr>
          <w:rFonts w:eastAsia="Calibri" w:cs="Times New Roman"/>
          <w:b/>
          <w:color w:val="000000"/>
        </w:rPr>
        <w:t xml:space="preserve"> NHIS and TUS-CPS – Regular Smokers</w:t>
      </w:r>
    </w:p>
    <w:p w14:paraId="06C30F3A" w14:textId="77777777" w:rsidR="00EA69AA" w:rsidRDefault="00EA69AA" w:rsidP="00EA69AA">
      <w:pPr>
        <w:spacing w:after="120" w:line="240" w:lineRule="auto"/>
        <w:jc w:val="both"/>
        <w:rPr>
          <w:rFonts w:eastAsia="Calibri" w:cs="Times New Roman"/>
          <w:b/>
          <w:color w:val="000000"/>
        </w:rPr>
      </w:pPr>
      <w:r w:rsidRPr="007F0649">
        <w:rPr>
          <w:rFonts w:eastAsia="Calibri" w:cs="Times New Roman"/>
          <w:b/>
          <w:noProof/>
          <w:color w:val="000000"/>
          <w:lang w:val="en-CA" w:eastAsia="en-CA"/>
        </w:rPr>
        <w:lastRenderedPageBreak/>
        <w:drawing>
          <wp:inline distT="0" distB="0" distL="0" distR="0" wp14:anchorId="5856FED9" wp14:editId="1C7BB8C1">
            <wp:extent cx="5943600" cy="1028700"/>
            <wp:effectExtent l="19050" t="19050" r="19050" b="1905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1028700"/>
                    </a:xfrm>
                    <a:prstGeom prst="rect">
                      <a:avLst/>
                    </a:prstGeom>
                    <a:ln>
                      <a:solidFill>
                        <a:schemeClr val="accent1"/>
                      </a:solidFill>
                    </a:ln>
                  </pic:spPr>
                </pic:pic>
              </a:graphicData>
            </a:graphic>
          </wp:inline>
        </w:drawing>
      </w:r>
    </w:p>
    <w:p w14:paraId="042BC784" w14:textId="77777777" w:rsidR="00EA69AA" w:rsidRDefault="00EA69AA" w:rsidP="00EA69AA">
      <w:pPr>
        <w:spacing w:before="240" w:after="120" w:line="240" w:lineRule="auto"/>
        <w:jc w:val="both"/>
        <w:rPr>
          <w:rFonts w:eastAsia="Calibri" w:cs="Times New Roman"/>
          <w:b/>
          <w:color w:val="000000"/>
        </w:rPr>
      </w:pPr>
      <w:r>
        <w:rPr>
          <w:rFonts w:eastAsia="Calibri" w:cs="Times New Roman"/>
          <w:b/>
          <w:color w:val="000000"/>
        </w:rPr>
        <w:t xml:space="preserve">Figure </w:t>
      </w:r>
      <w:r w:rsidR="00B44564">
        <w:rPr>
          <w:rFonts w:eastAsia="Calibri" w:cs="Times New Roman"/>
          <w:b/>
          <w:color w:val="000000"/>
        </w:rPr>
        <w:t>1</w:t>
      </w:r>
      <w:r w:rsidR="00C82C02">
        <w:rPr>
          <w:rFonts w:eastAsia="Calibri" w:cs="Times New Roman"/>
          <w:b/>
          <w:color w:val="000000"/>
        </w:rPr>
        <w:t>6</w:t>
      </w:r>
      <w:r w:rsidR="00B44564">
        <w:rPr>
          <w:rFonts w:eastAsia="Calibri" w:cs="Times New Roman"/>
          <w:b/>
          <w:color w:val="000000"/>
        </w:rPr>
        <w:t>-</w:t>
      </w:r>
      <w:r>
        <w:rPr>
          <w:rFonts w:eastAsia="Calibri" w:cs="Times New Roman"/>
          <w:b/>
          <w:color w:val="000000"/>
        </w:rPr>
        <w:t xml:space="preserve">11: Meta-analytic Results on the Unadjusted Mean Age of Initiation According to Adults from the </w:t>
      </w:r>
      <w:r w:rsidRPr="004D6E8D">
        <w:rPr>
          <w:rFonts w:eastAsia="Calibri" w:cs="Times New Roman"/>
          <w:b/>
          <w:color w:val="000000"/>
        </w:rPr>
        <w:t>NHANES,</w:t>
      </w:r>
      <w:r>
        <w:rPr>
          <w:rFonts w:eastAsia="Calibri" w:cs="Times New Roman"/>
          <w:b/>
          <w:color w:val="000000"/>
        </w:rPr>
        <w:t xml:space="preserve"> NHIS and TUS-CPS – Daily Smokers</w:t>
      </w:r>
    </w:p>
    <w:p w14:paraId="1E91C336" w14:textId="77777777" w:rsidR="00EA69AA" w:rsidRDefault="00EA69AA" w:rsidP="00EA69AA">
      <w:pPr>
        <w:spacing w:after="120" w:line="240" w:lineRule="auto"/>
        <w:jc w:val="both"/>
        <w:rPr>
          <w:rFonts w:eastAsia="Calibri" w:cs="Times New Roman"/>
          <w:color w:val="000000"/>
        </w:rPr>
      </w:pPr>
      <w:r w:rsidRPr="007F0649">
        <w:rPr>
          <w:rFonts w:eastAsia="Calibri" w:cs="Times New Roman"/>
          <w:noProof/>
          <w:color w:val="000000"/>
          <w:lang w:val="en-CA" w:eastAsia="en-CA"/>
        </w:rPr>
        <w:drawing>
          <wp:inline distT="0" distB="0" distL="0" distR="0" wp14:anchorId="516B897F" wp14:editId="2586AE9F">
            <wp:extent cx="5943600" cy="1028700"/>
            <wp:effectExtent l="19050" t="19050" r="19050" b="1905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1028700"/>
                    </a:xfrm>
                    <a:prstGeom prst="rect">
                      <a:avLst/>
                    </a:prstGeom>
                    <a:ln>
                      <a:solidFill>
                        <a:schemeClr val="accent1"/>
                      </a:solidFill>
                    </a:ln>
                  </pic:spPr>
                </pic:pic>
              </a:graphicData>
            </a:graphic>
          </wp:inline>
        </w:drawing>
      </w:r>
    </w:p>
    <w:p w14:paraId="58FAA131" w14:textId="77777777" w:rsidR="00EA69AA" w:rsidRDefault="00EA69AA" w:rsidP="00EA69AA">
      <w:pPr>
        <w:spacing w:before="240" w:after="120" w:line="240" w:lineRule="auto"/>
        <w:jc w:val="both"/>
        <w:rPr>
          <w:rFonts w:eastAsia="Calibri" w:cs="Times New Roman"/>
          <w:b/>
          <w:color w:val="000000"/>
        </w:rPr>
      </w:pPr>
      <w:r>
        <w:rPr>
          <w:rFonts w:eastAsia="Calibri" w:cs="Times New Roman"/>
          <w:b/>
          <w:color w:val="000000"/>
        </w:rPr>
        <w:t xml:space="preserve">Figure </w:t>
      </w:r>
      <w:r w:rsidR="00B44564">
        <w:rPr>
          <w:rFonts w:eastAsia="Calibri" w:cs="Times New Roman"/>
          <w:b/>
          <w:color w:val="000000"/>
        </w:rPr>
        <w:t>1</w:t>
      </w:r>
      <w:r w:rsidR="00C82C02">
        <w:rPr>
          <w:rFonts w:eastAsia="Calibri" w:cs="Times New Roman"/>
          <w:b/>
          <w:color w:val="000000"/>
        </w:rPr>
        <w:t>6</w:t>
      </w:r>
      <w:r w:rsidR="00B44564">
        <w:rPr>
          <w:rFonts w:eastAsia="Calibri" w:cs="Times New Roman"/>
          <w:b/>
          <w:color w:val="000000"/>
        </w:rPr>
        <w:t>-</w:t>
      </w:r>
      <w:r>
        <w:rPr>
          <w:rFonts w:eastAsia="Calibri" w:cs="Times New Roman"/>
          <w:b/>
          <w:color w:val="000000"/>
        </w:rPr>
        <w:t xml:space="preserve">12: Meta-analytic Results on the Unadjusted Mean Age of Initiation According to Adults from the </w:t>
      </w:r>
      <w:r w:rsidRPr="004D6E8D">
        <w:rPr>
          <w:rFonts w:eastAsia="Calibri" w:cs="Times New Roman"/>
          <w:b/>
          <w:color w:val="000000"/>
        </w:rPr>
        <w:t>NHANES,</w:t>
      </w:r>
      <w:r>
        <w:rPr>
          <w:rFonts w:eastAsia="Calibri" w:cs="Times New Roman"/>
          <w:b/>
          <w:color w:val="000000"/>
        </w:rPr>
        <w:t xml:space="preserve"> NHIS and TUS-CPS (Adults and Youth)– Past 30 </w:t>
      </w:r>
      <w:proofErr w:type="gramStart"/>
      <w:r>
        <w:rPr>
          <w:rFonts w:eastAsia="Calibri" w:cs="Times New Roman"/>
          <w:b/>
          <w:color w:val="000000"/>
        </w:rPr>
        <w:t>Day  Smokers</w:t>
      </w:r>
      <w:proofErr w:type="gramEnd"/>
    </w:p>
    <w:p w14:paraId="2206C5F2" w14:textId="77777777" w:rsidR="00EA69AA" w:rsidRDefault="00EA69AA" w:rsidP="00EA69AA">
      <w:pPr>
        <w:spacing w:after="120" w:line="240" w:lineRule="auto"/>
        <w:jc w:val="both"/>
        <w:rPr>
          <w:rFonts w:eastAsia="Calibri" w:cs="Times New Roman"/>
          <w:color w:val="000000"/>
        </w:rPr>
      </w:pPr>
      <w:r w:rsidRPr="008C696B">
        <w:rPr>
          <w:rFonts w:eastAsia="Calibri" w:cs="Times New Roman"/>
          <w:noProof/>
          <w:color w:val="000000"/>
          <w:lang w:val="en-CA" w:eastAsia="en-CA"/>
        </w:rPr>
        <w:drawing>
          <wp:inline distT="0" distB="0" distL="0" distR="0" wp14:anchorId="3AE5C94D" wp14:editId="1C686A03">
            <wp:extent cx="5943600" cy="1149350"/>
            <wp:effectExtent l="19050" t="19050" r="19050" b="1270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1149350"/>
                    </a:xfrm>
                    <a:prstGeom prst="rect">
                      <a:avLst/>
                    </a:prstGeom>
                    <a:ln>
                      <a:solidFill>
                        <a:schemeClr val="accent1"/>
                      </a:solidFill>
                    </a:ln>
                  </pic:spPr>
                </pic:pic>
              </a:graphicData>
            </a:graphic>
          </wp:inline>
        </w:drawing>
      </w:r>
    </w:p>
    <w:p w14:paraId="78E49307" w14:textId="77777777" w:rsidR="00EA69AA" w:rsidRDefault="00EA69AA" w:rsidP="00EA69AA">
      <w:pPr>
        <w:spacing w:before="240" w:after="120" w:line="240" w:lineRule="auto"/>
        <w:jc w:val="both"/>
        <w:rPr>
          <w:rFonts w:eastAsia="Calibri" w:cs="Times New Roman"/>
          <w:b/>
          <w:color w:val="000000"/>
        </w:rPr>
      </w:pPr>
      <w:r>
        <w:rPr>
          <w:rFonts w:eastAsia="Calibri" w:cs="Times New Roman"/>
          <w:b/>
          <w:color w:val="000000"/>
        </w:rPr>
        <w:t xml:space="preserve">Figure </w:t>
      </w:r>
      <w:r w:rsidR="00B44564">
        <w:rPr>
          <w:rFonts w:eastAsia="Calibri" w:cs="Times New Roman"/>
          <w:b/>
          <w:color w:val="000000"/>
        </w:rPr>
        <w:t>1</w:t>
      </w:r>
      <w:r w:rsidR="00C82C02">
        <w:rPr>
          <w:rFonts w:eastAsia="Calibri" w:cs="Times New Roman"/>
          <w:b/>
          <w:color w:val="000000"/>
        </w:rPr>
        <w:t>6</w:t>
      </w:r>
      <w:r w:rsidR="00B44564">
        <w:rPr>
          <w:rFonts w:eastAsia="Calibri" w:cs="Times New Roman"/>
          <w:b/>
          <w:color w:val="000000"/>
        </w:rPr>
        <w:t>-</w:t>
      </w:r>
      <w:r>
        <w:rPr>
          <w:rFonts w:eastAsia="Calibri" w:cs="Times New Roman"/>
          <w:b/>
          <w:color w:val="000000"/>
        </w:rPr>
        <w:t xml:space="preserve">13: Meta-analytic Results on the Unadjusted Mean Age of Initiation According to Adults from the </w:t>
      </w:r>
      <w:r w:rsidRPr="004D6E8D">
        <w:rPr>
          <w:rFonts w:eastAsia="Calibri" w:cs="Times New Roman"/>
          <w:b/>
          <w:color w:val="000000"/>
        </w:rPr>
        <w:t>NHANES,</w:t>
      </w:r>
      <w:r>
        <w:rPr>
          <w:rFonts w:eastAsia="Calibri" w:cs="Times New Roman"/>
          <w:b/>
          <w:color w:val="000000"/>
        </w:rPr>
        <w:t xml:space="preserve"> NHIS and TUS-CPS (Adults and Youth)– Regular Smokers</w:t>
      </w:r>
    </w:p>
    <w:p w14:paraId="73E963A2" w14:textId="77777777" w:rsidR="00EA69AA" w:rsidRDefault="00EA69AA" w:rsidP="00EA69AA">
      <w:pPr>
        <w:spacing w:after="120" w:line="240" w:lineRule="auto"/>
        <w:jc w:val="both"/>
        <w:rPr>
          <w:rFonts w:eastAsia="Calibri" w:cs="Times New Roman"/>
          <w:color w:val="000000"/>
        </w:rPr>
      </w:pPr>
      <w:r w:rsidRPr="005E1CC3">
        <w:rPr>
          <w:rFonts w:eastAsia="Calibri" w:cs="Times New Roman"/>
          <w:noProof/>
          <w:color w:val="000000"/>
          <w:lang w:val="en-CA" w:eastAsia="en-CA"/>
        </w:rPr>
        <w:drawing>
          <wp:inline distT="0" distB="0" distL="0" distR="0" wp14:anchorId="6CB7C32A" wp14:editId="60C7066F">
            <wp:extent cx="5943600" cy="1149350"/>
            <wp:effectExtent l="19050" t="19050" r="19050" b="1270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1149350"/>
                    </a:xfrm>
                    <a:prstGeom prst="rect">
                      <a:avLst/>
                    </a:prstGeom>
                    <a:ln>
                      <a:solidFill>
                        <a:schemeClr val="accent1"/>
                      </a:solidFill>
                    </a:ln>
                  </pic:spPr>
                </pic:pic>
              </a:graphicData>
            </a:graphic>
          </wp:inline>
        </w:drawing>
      </w:r>
    </w:p>
    <w:p w14:paraId="5BA033DD" w14:textId="77777777" w:rsidR="00EA69AA" w:rsidRDefault="00EA69AA" w:rsidP="00EA69AA">
      <w:pPr>
        <w:rPr>
          <w:rFonts w:eastAsia="Calibri" w:cs="Times New Roman"/>
          <w:b/>
          <w:color w:val="000000"/>
        </w:rPr>
      </w:pPr>
      <w:r>
        <w:rPr>
          <w:rFonts w:eastAsia="Calibri" w:cs="Times New Roman"/>
          <w:b/>
          <w:color w:val="000000"/>
        </w:rPr>
        <w:br w:type="page"/>
      </w:r>
    </w:p>
    <w:p w14:paraId="2BF2826C" w14:textId="77777777" w:rsidR="00EA69AA" w:rsidRDefault="00EA69AA" w:rsidP="00EA69AA">
      <w:pPr>
        <w:spacing w:before="240" w:after="120" w:line="240" w:lineRule="auto"/>
        <w:jc w:val="both"/>
        <w:rPr>
          <w:rFonts w:eastAsia="Calibri" w:cs="Times New Roman"/>
          <w:b/>
          <w:color w:val="000000"/>
        </w:rPr>
      </w:pPr>
      <w:r>
        <w:rPr>
          <w:rFonts w:eastAsia="Calibri" w:cs="Times New Roman"/>
          <w:b/>
          <w:color w:val="000000"/>
        </w:rPr>
        <w:lastRenderedPageBreak/>
        <w:t xml:space="preserve">Figure </w:t>
      </w:r>
      <w:r w:rsidR="00B44564">
        <w:rPr>
          <w:rFonts w:eastAsia="Calibri" w:cs="Times New Roman"/>
          <w:b/>
          <w:color w:val="000000"/>
        </w:rPr>
        <w:t>1</w:t>
      </w:r>
      <w:r w:rsidR="00C82C02">
        <w:rPr>
          <w:rFonts w:eastAsia="Calibri" w:cs="Times New Roman"/>
          <w:b/>
          <w:color w:val="000000"/>
        </w:rPr>
        <w:t>6</w:t>
      </w:r>
      <w:r w:rsidR="00B44564">
        <w:rPr>
          <w:rFonts w:eastAsia="Calibri" w:cs="Times New Roman"/>
          <w:b/>
          <w:color w:val="000000"/>
        </w:rPr>
        <w:t>-</w:t>
      </w:r>
      <w:r>
        <w:rPr>
          <w:rFonts w:eastAsia="Calibri" w:cs="Times New Roman"/>
          <w:b/>
          <w:color w:val="000000"/>
        </w:rPr>
        <w:t xml:space="preserve">14: Meta-analytic Results on the Unadjusted Mean Age of Initiation According to Adults from the </w:t>
      </w:r>
      <w:r w:rsidRPr="004D6E8D">
        <w:rPr>
          <w:rFonts w:eastAsia="Calibri" w:cs="Times New Roman"/>
          <w:b/>
          <w:color w:val="000000"/>
        </w:rPr>
        <w:t>NHANES,</w:t>
      </w:r>
      <w:r>
        <w:rPr>
          <w:rFonts w:eastAsia="Calibri" w:cs="Times New Roman"/>
          <w:b/>
          <w:color w:val="000000"/>
        </w:rPr>
        <w:t xml:space="preserve"> NHIS and TUS-CPS (Adults and Youth)– Daily Smokers</w:t>
      </w:r>
    </w:p>
    <w:p w14:paraId="11823A9C" w14:textId="77777777" w:rsidR="00EA69AA" w:rsidRDefault="00EA69AA" w:rsidP="00EA69AA">
      <w:pPr>
        <w:spacing w:after="120" w:line="240" w:lineRule="auto"/>
        <w:jc w:val="both"/>
        <w:rPr>
          <w:rFonts w:eastAsia="Calibri" w:cs="Times New Roman"/>
          <w:b/>
          <w:color w:val="000000"/>
        </w:rPr>
      </w:pPr>
      <w:r w:rsidRPr="005E1CC3">
        <w:rPr>
          <w:rFonts w:eastAsia="Calibri" w:cs="Times New Roman"/>
          <w:b/>
          <w:noProof/>
          <w:color w:val="000000"/>
          <w:lang w:val="en-CA" w:eastAsia="en-CA"/>
        </w:rPr>
        <w:drawing>
          <wp:inline distT="0" distB="0" distL="0" distR="0" wp14:anchorId="4E4ECAFB" wp14:editId="3FCDE649">
            <wp:extent cx="5943600" cy="1200150"/>
            <wp:effectExtent l="19050" t="19050" r="19050" b="1905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1200150"/>
                    </a:xfrm>
                    <a:prstGeom prst="rect">
                      <a:avLst/>
                    </a:prstGeom>
                    <a:ln>
                      <a:solidFill>
                        <a:schemeClr val="accent1"/>
                      </a:solidFill>
                    </a:ln>
                  </pic:spPr>
                </pic:pic>
              </a:graphicData>
            </a:graphic>
          </wp:inline>
        </w:drawing>
      </w:r>
    </w:p>
    <w:p w14:paraId="4C0F3030" w14:textId="77777777" w:rsidR="00EA69AA" w:rsidRDefault="00EA69AA" w:rsidP="00EA69AA">
      <w:pPr>
        <w:spacing w:before="240" w:after="240" w:line="240" w:lineRule="auto"/>
        <w:jc w:val="both"/>
        <w:rPr>
          <w:rFonts w:eastAsia="Calibri" w:cs="Times New Roman"/>
          <w:color w:val="000000"/>
        </w:rPr>
      </w:pPr>
      <w:r>
        <w:rPr>
          <w:rFonts w:eastAsia="Calibri" w:cs="Times New Roman"/>
          <w:color w:val="000000"/>
        </w:rPr>
        <w:t>According to the shared survey item that asks when the respondent “smoked part” or “a whole cigarette” for the first time, data were pooled from the NHANES youth and NSDUH adult samples. Meta-analytic results found no difference between non-menthol and menthol regular smokers according to these two data sources (</w:t>
      </w:r>
      <w:r>
        <w:rPr>
          <w:rFonts w:eastAsia="Calibri" w:cs="Times New Roman"/>
          <w:b/>
          <w:color w:val="000000"/>
        </w:rPr>
        <w:t xml:space="preserve">Figure </w:t>
      </w:r>
      <w:r w:rsidR="00B44564">
        <w:rPr>
          <w:rFonts w:eastAsia="Calibri" w:cs="Times New Roman"/>
          <w:b/>
          <w:color w:val="000000"/>
        </w:rPr>
        <w:t>1</w:t>
      </w:r>
      <w:r w:rsidR="00C82C02">
        <w:rPr>
          <w:rFonts w:eastAsia="Calibri" w:cs="Times New Roman"/>
          <w:b/>
          <w:color w:val="000000"/>
        </w:rPr>
        <w:t>6</w:t>
      </w:r>
      <w:r w:rsidR="00B44564">
        <w:rPr>
          <w:rFonts w:eastAsia="Calibri" w:cs="Times New Roman"/>
          <w:b/>
          <w:color w:val="000000"/>
        </w:rPr>
        <w:t>-</w:t>
      </w:r>
      <w:r>
        <w:rPr>
          <w:rFonts w:eastAsia="Calibri" w:cs="Times New Roman"/>
          <w:b/>
          <w:color w:val="000000"/>
        </w:rPr>
        <w:t>15</w:t>
      </w:r>
      <w:r>
        <w:rPr>
          <w:rFonts w:eastAsia="Calibri" w:cs="Times New Roman"/>
          <w:color w:val="000000"/>
        </w:rPr>
        <w:t xml:space="preserve">). However, non-menthol smokers were found to be significantly younger at initiation, according to mean age, compared to menthol smokers, among past 30 day and daily smokers (Past 30 day – </w:t>
      </w:r>
      <w:r>
        <w:rPr>
          <w:rFonts w:eastAsia="Calibri" w:cs="Times New Roman"/>
          <w:b/>
          <w:color w:val="000000"/>
        </w:rPr>
        <w:t xml:space="preserve">Figure </w:t>
      </w:r>
      <w:r w:rsidR="00B44564">
        <w:rPr>
          <w:rFonts w:eastAsia="Calibri" w:cs="Times New Roman"/>
          <w:b/>
          <w:color w:val="000000"/>
        </w:rPr>
        <w:t>1</w:t>
      </w:r>
      <w:r w:rsidR="00C82C02">
        <w:rPr>
          <w:rFonts w:eastAsia="Calibri" w:cs="Times New Roman"/>
          <w:b/>
          <w:color w:val="000000"/>
        </w:rPr>
        <w:t>6</w:t>
      </w:r>
      <w:r w:rsidR="00B44564">
        <w:rPr>
          <w:rFonts w:eastAsia="Calibri" w:cs="Times New Roman"/>
          <w:b/>
          <w:color w:val="000000"/>
        </w:rPr>
        <w:t>-</w:t>
      </w:r>
      <w:r>
        <w:rPr>
          <w:rFonts w:eastAsia="Calibri" w:cs="Times New Roman"/>
          <w:b/>
          <w:color w:val="000000"/>
        </w:rPr>
        <w:t xml:space="preserve">16 </w:t>
      </w:r>
      <w:r>
        <w:rPr>
          <w:rFonts w:eastAsia="Calibri" w:cs="Times New Roman"/>
          <w:color w:val="000000"/>
        </w:rPr>
        <w:t xml:space="preserve">– MD: 0.59, 95% CI: 0.56 to 0.62, p-value&lt;0.00001, </w:t>
      </w:r>
      <w:r w:rsidRPr="00A77506">
        <w:rPr>
          <w:rFonts w:eastAsia="Calibri" w:cs="Times New Roman"/>
          <w:color w:val="000000"/>
        </w:rPr>
        <w:t>I</w:t>
      </w:r>
      <w:r w:rsidRPr="00A77506">
        <w:rPr>
          <w:rFonts w:eastAsia="Calibri" w:cs="Times New Roman"/>
          <w:color w:val="000000"/>
          <w:vertAlign w:val="superscript"/>
        </w:rPr>
        <w:t>2</w:t>
      </w:r>
      <w:r>
        <w:rPr>
          <w:rFonts w:eastAsia="Calibri" w:cs="Times New Roman"/>
          <w:color w:val="000000"/>
        </w:rPr>
        <w:t xml:space="preserve">=0%; %; and Daily – </w:t>
      </w:r>
      <w:r>
        <w:rPr>
          <w:rFonts w:eastAsia="Calibri" w:cs="Times New Roman"/>
          <w:b/>
          <w:color w:val="000000"/>
        </w:rPr>
        <w:t xml:space="preserve">Figure </w:t>
      </w:r>
      <w:r w:rsidR="00B44564">
        <w:rPr>
          <w:rFonts w:eastAsia="Calibri" w:cs="Times New Roman"/>
          <w:b/>
          <w:color w:val="000000"/>
        </w:rPr>
        <w:t>1</w:t>
      </w:r>
      <w:r w:rsidR="00C82C02">
        <w:rPr>
          <w:rFonts w:eastAsia="Calibri" w:cs="Times New Roman"/>
          <w:b/>
          <w:color w:val="000000"/>
        </w:rPr>
        <w:t>6</w:t>
      </w:r>
      <w:r w:rsidR="00B44564">
        <w:rPr>
          <w:rFonts w:eastAsia="Calibri" w:cs="Times New Roman"/>
          <w:b/>
          <w:color w:val="000000"/>
        </w:rPr>
        <w:t>-</w:t>
      </w:r>
      <w:r>
        <w:rPr>
          <w:rFonts w:eastAsia="Calibri" w:cs="Times New Roman"/>
          <w:b/>
          <w:color w:val="000000"/>
        </w:rPr>
        <w:t xml:space="preserve">17 </w:t>
      </w:r>
      <w:r>
        <w:rPr>
          <w:rFonts w:eastAsia="Calibri" w:cs="Times New Roman"/>
          <w:color w:val="000000"/>
        </w:rPr>
        <w:t xml:space="preserve">– MD: 0.53, 95% CI: 0.41 to 0.65, p-value&lt;0.00001, </w:t>
      </w:r>
      <w:r w:rsidRPr="00A77506">
        <w:rPr>
          <w:rFonts w:eastAsia="Calibri" w:cs="Times New Roman"/>
          <w:color w:val="000000"/>
        </w:rPr>
        <w:t>I</w:t>
      </w:r>
      <w:r w:rsidRPr="00A77506">
        <w:rPr>
          <w:rFonts w:eastAsia="Calibri" w:cs="Times New Roman"/>
          <w:color w:val="000000"/>
          <w:vertAlign w:val="superscript"/>
        </w:rPr>
        <w:t>2</w:t>
      </w:r>
      <w:r>
        <w:rPr>
          <w:rFonts w:eastAsia="Calibri" w:cs="Times New Roman"/>
          <w:color w:val="000000"/>
        </w:rPr>
        <w:t xml:space="preserve">=0%). </w:t>
      </w:r>
    </w:p>
    <w:p w14:paraId="7DB88025" w14:textId="77777777" w:rsidR="00EA69AA" w:rsidRPr="00D341D7" w:rsidRDefault="00EA69AA" w:rsidP="00EA69AA">
      <w:pPr>
        <w:spacing w:after="120" w:line="240" w:lineRule="auto"/>
        <w:jc w:val="both"/>
        <w:rPr>
          <w:rFonts w:eastAsia="Calibri" w:cs="Times New Roman"/>
          <w:b/>
          <w:color w:val="000000"/>
        </w:rPr>
      </w:pPr>
      <w:r>
        <w:rPr>
          <w:rFonts w:eastAsia="Calibri" w:cs="Times New Roman"/>
          <w:b/>
          <w:color w:val="000000"/>
        </w:rPr>
        <w:t xml:space="preserve">Figure </w:t>
      </w:r>
      <w:r w:rsidR="00B44564">
        <w:rPr>
          <w:rFonts w:eastAsia="Calibri" w:cs="Times New Roman"/>
          <w:b/>
          <w:color w:val="000000"/>
        </w:rPr>
        <w:t>1</w:t>
      </w:r>
      <w:r w:rsidR="00C82C02">
        <w:rPr>
          <w:rFonts w:eastAsia="Calibri" w:cs="Times New Roman"/>
          <w:b/>
          <w:color w:val="000000"/>
        </w:rPr>
        <w:t>6</w:t>
      </w:r>
      <w:r w:rsidR="00B44564">
        <w:rPr>
          <w:rFonts w:eastAsia="Calibri" w:cs="Times New Roman"/>
          <w:b/>
          <w:color w:val="000000"/>
        </w:rPr>
        <w:t>-</w:t>
      </w:r>
      <w:r>
        <w:rPr>
          <w:rFonts w:eastAsia="Calibri" w:cs="Times New Roman"/>
          <w:b/>
          <w:color w:val="000000"/>
        </w:rPr>
        <w:t xml:space="preserve">15: Meta-analytic Results on the Unadjusted Mean Age of Initiation According to Respondents Who Reported When They </w:t>
      </w:r>
      <w:r w:rsidRPr="009F7D99">
        <w:rPr>
          <w:rFonts w:eastAsia="Calibri" w:cs="Times New Roman"/>
          <w:b/>
          <w:color w:val="000000"/>
        </w:rPr>
        <w:t>“</w:t>
      </w:r>
      <w:r>
        <w:rPr>
          <w:rFonts w:eastAsia="Calibri" w:cs="Times New Roman"/>
          <w:b/>
          <w:color w:val="000000"/>
        </w:rPr>
        <w:t>S</w:t>
      </w:r>
      <w:r w:rsidRPr="009F7D99">
        <w:rPr>
          <w:rFonts w:eastAsia="Calibri" w:cs="Times New Roman"/>
          <w:b/>
          <w:color w:val="000000"/>
        </w:rPr>
        <w:t xml:space="preserve">moked </w:t>
      </w:r>
      <w:r>
        <w:rPr>
          <w:rFonts w:eastAsia="Calibri" w:cs="Times New Roman"/>
          <w:b/>
          <w:color w:val="000000"/>
        </w:rPr>
        <w:t>P</w:t>
      </w:r>
      <w:r w:rsidRPr="009F7D99">
        <w:rPr>
          <w:rFonts w:eastAsia="Calibri" w:cs="Times New Roman"/>
          <w:b/>
          <w:color w:val="000000"/>
        </w:rPr>
        <w:t>art” or “</w:t>
      </w:r>
      <w:r>
        <w:rPr>
          <w:rFonts w:eastAsia="Calibri" w:cs="Times New Roman"/>
          <w:b/>
          <w:color w:val="000000"/>
        </w:rPr>
        <w:t>A</w:t>
      </w:r>
      <w:r w:rsidRPr="009F7D99">
        <w:rPr>
          <w:rFonts w:eastAsia="Calibri" w:cs="Times New Roman"/>
          <w:b/>
          <w:color w:val="000000"/>
        </w:rPr>
        <w:t xml:space="preserve"> </w:t>
      </w:r>
      <w:r>
        <w:rPr>
          <w:rFonts w:eastAsia="Calibri" w:cs="Times New Roman"/>
          <w:b/>
          <w:color w:val="000000"/>
        </w:rPr>
        <w:t>W</w:t>
      </w:r>
      <w:r w:rsidRPr="009F7D99">
        <w:rPr>
          <w:rFonts w:eastAsia="Calibri" w:cs="Times New Roman"/>
          <w:b/>
          <w:color w:val="000000"/>
        </w:rPr>
        <w:t xml:space="preserve">hole </w:t>
      </w:r>
      <w:r>
        <w:rPr>
          <w:rFonts w:eastAsia="Calibri" w:cs="Times New Roman"/>
          <w:b/>
          <w:color w:val="000000"/>
        </w:rPr>
        <w:t>C</w:t>
      </w:r>
      <w:r w:rsidRPr="009F7D99">
        <w:rPr>
          <w:rFonts w:eastAsia="Calibri" w:cs="Times New Roman"/>
          <w:b/>
          <w:color w:val="000000"/>
        </w:rPr>
        <w:t xml:space="preserve">igarette” for the </w:t>
      </w:r>
      <w:r>
        <w:rPr>
          <w:rFonts w:eastAsia="Calibri" w:cs="Times New Roman"/>
          <w:b/>
          <w:color w:val="000000"/>
        </w:rPr>
        <w:t>F</w:t>
      </w:r>
      <w:r w:rsidRPr="009F7D99">
        <w:rPr>
          <w:rFonts w:eastAsia="Calibri" w:cs="Times New Roman"/>
          <w:b/>
          <w:color w:val="000000"/>
        </w:rPr>
        <w:t xml:space="preserve">irst </w:t>
      </w:r>
      <w:r>
        <w:rPr>
          <w:rFonts w:eastAsia="Calibri" w:cs="Times New Roman"/>
          <w:b/>
          <w:color w:val="000000"/>
        </w:rPr>
        <w:t>T</w:t>
      </w:r>
      <w:r w:rsidRPr="009F7D99">
        <w:rPr>
          <w:rFonts w:eastAsia="Calibri" w:cs="Times New Roman"/>
          <w:b/>
          <w:color w:val="000000"/>
        </w:rPr>
        <w:t>ime</w:t>
      </w:r>
      <w:r>
        <w:rPr>
          <w:rFonts w:eastAsia="Calibri" w:cs="Times New Roman"/>
          <w:b/>
          <w:color w:val="000000"/>
        </w:rPr>
        <w:t xml:space="preserve"> Among NHANES Youth and NSDUH Adults – Regular Smokers</w:t>
      </w:r>
    </w:p>
    <w:p w14:paraId="2A18FC0F" w14:textId="77777777" w:rsidR="00EA69AA" w:rsidRDefault="00EA69AA" w:rsidP="00EA69AA">
      <w:pPr>
        <w:spacing w:after="120" w:line="240" w:lineRule="auto"/>
        <w:jc w:val="both"/>
        <w:rPr>
          <w:rFonts w:eastAsia="Calibri" w:cs="Times New Roman"/>
          <w:color w:val="000000"/>
        </w:rPr>
      </w:pPr>
      <w:r w:rsidRPr="00D341D7">
        <w:rPr>
          <w:rFonts w:eastAsia="Calibri" w:cs="Times New Roman"/>
          <w:noProof/>
          <w:color w:val="000000"/>
          <w:lang w:val="en-CA" w:eastAsia="en-CA"/>
        </w:rPr>
        <w:drawing>
          <wp:inline distT="0" distB="0" distL="0" distR="0" wp14:anchorId="590855F6" wp14:editId="2FD6973C">
            <wp:extent cx="5943600" cy="927100"/>
            <wp:effectExtent l="19050" t="19050" r="19050" b="2540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927100"/>
                    </a:xfrm>
                    <a:prstGeom prst="rect">
                      <a:avLst/>
                    </a:prstGeom>
                    <a:ln>
                      <a:solidFill>
                        <a:schemeClr val="accent1"/>
                      </a:solidFill>
                    </a:ln>
                  </pic:spPr>
                </pic:pic>
              </a:graphicData>
            </a:graphic>
          </wp:inline>
        </w:drawing>
      </w:r>
    </w:p>
    <w:p w14:paraId="1B8AA597" w14:textId="77777777" w:rsidR="00EA69AA" w:rsidRPr="00D341D7" w:rsidRDefault="00EA69AA" w:rsidP="00EA69AA">
      <w:pPr>
        <w:spacing w:before="240" w:after="120" w:line="240" w:lineRule="auto"/>
        <w:jc w:val="both"/>
        <w:rPr>
          <w:rFonts w:eastAsia="Calibri" w:cs="Times New Roman"/>
          <w:b/>
          <w:color w:val="000000"/>
        </w:rPr>
      </w:pPr>
      <w:r>
        <w:rPr>
          <w:rFonts w:eastAsia="Calibri" w:cs="Times New Roman"/>
          <w:b/>
          <w:color w:val="000000"/>
        </w:rPr>
        <w:t xml:space="preserve">Figure </w:t>
      </w:r>
      <w:r w:rsidR="00B44564">
        <w:rPr>
          <w:rFonts w:eastAsia="Calibri" w:cs="Times New Roman"/>
          <w:b/>
          <w:color w:val="000000"/>
        </w:rPr>
        <w:t>1</w:t>
      </w:r>
      <w:r w:rsidR="00C82C02">
        <w:rPr>
          <w:rFonts w:eastAsia="Calibri" w:cs="Times New Roman"/>
          <w:b/>
          <w:color w:val="000000"/>
        </w:rPr>
        <w:t>6</w:t>
      </w:r>
      <w:r w:rsidR="00B44564">
        <w:rPr>
          <w:rFonts w:eastAsia="Calibri" w:cs="Times New Roman"/>
          <w:b/>
          <w:color w:val="000000"/>
        </w:rPr>
        <w:t>-</w:t>
      </w:r>
      <w:r>
        <w:rPr>
          <w:rFonts w:eastAsia="Calibri" w:cs="Times New Roman"/>
          <w:b/>
          <w:color w:val="000000"/>
        </w:rPr>
        <w:t xml:space="preserve">16: Meta-analytic Results on the Unadjusted Mean Age of Initiation According to Respondents Who Reported When They </w:t>
      </w:r>
      <w:r w:rsidRPr="009F7D99">
        <w:rPr>
          <w:rFonts w:eastAsia="Calibri" w:cs="Times New Roman"/>
          <w:b/>
          <w:color w:val="000000"/>
        </w:rPr>
        <w:t>“</w:t>
      </w:r>
      <w:r>
        <w:rPr>
          <w:rFonts w:eastAsia="Calibri" w:cs="Times New Roman"/>
          <w:b/>
          <w:color w:val="000000"/>
        </w:rPr>
        <w:t>S</w:t>
      </w:r>
      <w:r w:rsidRPr="009F7D99">
        <w:rPr>
          <w:rFonts w:eastAsia="Calibri" w:cs="Times New Roman"/>
          <w:b/>
          <w:color w:val="000000"/>
        </w:rPr>
        <w:t xml:space="preserve">moked </w:t>
      </w:r>
      <w:r>
        <w:rPr>
          <w:rFonts w:eastAsia="Calibri" w:cs="Times New Roman"/>
          <w:b/>
          <w:color w:val="000000"/>
        </w:rPr>
        <w:t>P</w:t>
      </w:r>
      <w:r w:rsidRPr="009F7D99">
        <w:rPr>
          <w:rFonts w:eastAsia="Calibri" w:cs="Times New Roman"/>
          <w:b/>
          <w:color w:val="000000"/>
        </w:rPr>
        <w:t>art” or “</w:t>
      </w:r>
      <w:r>
        <w:rPr>
          <w:rFonts w:eastAsia="Calibri" w:cs="Times New Roman"/>
          <w:b/>
          <w:color w:val="000000"/>
        </w:rPr>
        <w:t>A</w:t>
      </w:r>
      <w:r w:rsidRPr="009F7D99">
        <w:rPr>
          <w:rFonts w:eastAsia="Calibri" w:cs="Times New Roman"/>
          <w:b/>
          <w:color w:val="000000"/>
        </w:rPr>
        <w:t xml:space="preserve"> </w:t>
      </w:r>
      <w:r>
        <w:rPr>
          <w:rFonts w:eastAsia="Calibri" w:cs="Times New Roman"/>
          <w:b/>
          <w:color w:val="000000"/>
        </w:rPr>
        <w:t>W</w:t>
      </w:r>
      <w:r w:rsidRPr="009F7D99">
        <w:rPr>
          <w:rFonts w:eastAsia="Calibri" w:cs="Times New Roman"/>
          <w:b/>
          <w:color w:val="000000"/>
        </w:rPr>
        <w:t xml:space="preserve">hole </w:t>
      </w:r>
      <w:r>
        <w:rPr>
          <w:rFonts w:eastAsia="Calibri" w:cs="Times New Roman"/>
          <w:b/>
          <w:color w:val="000000"/>
        </w:rPr>
        <w:t>C</w:t>
      </w:r>
      <w:r w:rsidRPr="009F7D99">
        <w:rPr>
          <w:rFonts w:eastAsia="Calibri" w:cs="Times New Roman"/>
          <w:b/>
          <w:color w:val="000000"/>
        </w:rPr>
        <w:t xml:space="preserve">igarette” for the </w:t>
      </w:r>
      <w:r>
        <w:rPr>
          <w:rFonts w:eastAsia="Calibri" w:cs="Times New Roman"/>
          <w:b/>
          <w:color w:val="000000"/>
        </w:rPr>
        <w:t>F</w:t>
      </w:r>
      <w:r w:rsidRPr="009F7D99">
        <w:rPr>
          <w:rFonts w:eastAsia="Calibri" w:cs="Times New Roman"/>
          <w:b/>
          <w:color w:val="000000"/>
        </w:rPr>
        <w:t xml:space="preserve">irst </w:t>
      </w:r>
      <w:r>
        <w:rPr>
          <w:rFonts w:eastAsia="Calibri" w:cs="Times New Roman"/>
          <w:b/>
          <w:color w:val="000000"/>
        </w:rPr>
        <w:t>T</w:t>
      </w:r>
      <w:r w:rsidRPr="009F7D99">
        <w:rPr>
          <w:rFonts w:eastAsia="Calibri" w:cs="Times New Roman"/>
          <w:b/>
          <w:color w:val="000000"/>
        </w:rPr>
        <w:t>ime</w:t>
      </w:r>
      <w:r>
        <w:rPr>
          <w:rFonts w:eastAsia="Calibri" w:cs="Times New Roman"/>
          <w:b/>
          <w:color w:val="000000"/>
        </w:rPr>
        <w:t xml:space="preserve"> Among NHANES Youth and NSDUH Adults – Past 30 Day Smokers</w:t>
      </w:r>
    </w:p>
    <w:p w14:paraId="30FF590A" w14:textId="77777777" w:rsidR="00EA69AA" w:rsidRDefault="00EA69AA" w:rsidP="00EA69AA">
      <w:r w:rsidRPr="005E1CC3">
        <w:rPr>
          <w:noProof/>
          <w:lang w:val="en-CA" w:eastAsia="en-CA"/>
        </w:rPr>
        <w:drawing>
          <wp:inline distT="0" distB="0" distL="0" distR="0" wp14:anchorId="56749C9B" wp14:editId="52A8CEE8">
            <wp:extent cx="5943600" cy="908050"/>
            <wp:effectExtent l="19050" t="19050" r="19050" b="2540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3600" cy="908050"/>
                    </a:xfrm>
                    <a:prstGeom prst="rect">
                      <a:avLst/>
                    </a:prstGeom>
                    <a:ln>
                      <a:solidFill>
                        <a:schemeClr val="accent1"/>
                      </a:solidFill>
                    </a:ln>
                  </pic:spPr>
                </pic:pic>
              </a:graphicData>
            </a:graphic>
          </wp:inline>
        </w:drawing>
      </w:r>
    </w:p>
    <w:p w14:paraId="4F079D8A" w14:textId="77777777" w:rsidR="00EA69AA" w:rsidRDefault="00EA69AA" w:rsidP="00EA69AA">
      <w:pPr>
        <w:spacing w:after="120" w:line="240" w:lineRule="auto"/>
        <w:jc w:val="both"/>
        <w:rPr>
          <w:b/>
        </w:rPr>
      </w:pPr>
      <w:r>
        <w:rPr>
          <w:b/>
        </w:rPr>
        <w:t xml:space="preserve">Figure </w:t>
      </w:r>
      <w:r w:rsidR="00B44564">
        <w:rPr>
          <w:rFonts w:eastAsia="Calibri" w:cs="Times New Roman"/>
          <w:b/>
          <w:color w:val="000000"/>
        </w:rPr>
        <w:t>1</w:t>
      </w:r>
      <w:r w:rsidR="00C82C02">
        <w:rPr>
          <w:rFonts w:eastAsia="Calibri" w:cs="Times New Roman"/>
          <w:b/>
          <w:color w:val="000000"/>
        </w:rPr>
        <w:t>6</w:t>
      </w:r>
      <w:r w:rsidR="00B44564">
        <w:rPr>
          <w:rFonts w:eastAsia="Calibri" w:cs="Times New Roman"/>
          <w:b/>
          <w:color w:val="000000"/>
        </w:rPr>
        <w:t>-</w:t>
      </w:r>
      <w:r>
        <w:rPr>
          <w:b/>
        </w:rPr>
        <w:t xml:space="preserve">17: </w:t>
      </w:r>
      <w:r>
        <w:rPr>
          <w:rFonts w:eastAsia="Calibri" w:cs="Times New Roman"/>
          <w:b/>
          <w:color w:val="000000"/>
        </w:rPr>
        <w:t xml:space="preserve">Meta-analytic Results on the Unadjusted Mean Age of Initiation According to Respondents Who Reported When They </w:t>
      </w:r>
      <w:r w:rsidRPr="009F7D99">
        <w:rPr>
          <w:rFonts w:eastAsia="Calibri" w:cs="Times New Roman"/>
          <w:b/>
          <w:color w:val="000000"/>
        </w:rPr>
        <w:t>“</w:t>
      </w:r>
      <w:r>
        <w:rPr>
          <w:rFonts w:eastAsia="Calibri" w:cs="Times New Roman"/>
          <w:b/>
          <w:color w:val="000000"/>
        </w:rPr>
        <w:t>S</w:t>
      </w:r>
      <w:r w:rsidRPr="009F7D99">
        <w:rPr>
          <w:rFonts w:eastAsia="Calibri" w:cs="Times New Roman"/>
          <w:b/>
          <w:color w:val="000000"/>
        </w:rPr>
        <w:t xml:space="preserve">moked </w:t>
      </w:r>
      <w:r>
        <w:rPr>
          <w:rFonts w:eastAsia="Calibri" w:cs="Times New Roman"/>
          <w:b/>
          <w:color w:val="000000"/>
        </w:rPr>
        <w:t>P</w:t>
      </w:r>
      <w:r w:rsidRPr="009F7D99">
        <w:rPr>
          <w:rFonts w:eastAsia="Calibri" w:cs="Times New Roman"/>
          <w:b/>
          <w:color w:val="000000"/>
        </w:rPr>
        <w:t>art” or “</w:t>
      </w:r>
      <w:r>
        <w:rPr>
          <w:rFonts w:eastAsia="Calibri" w:cs="Times New Roman"/>
          <w:b/>
          <w:color w:val="000000"/>
        </w:rPr>
        <w:t>A</w:t>
      </w:r>
      <w:r w:rsidRPr="009F7D99">
        <w:rPr>
          <w:rFonts w:eastAsia="Calibri" w:cs="Times New Roman"/>
          <w:b/>
          <w:color w:val="000000"/>
        </w:rPr>
        <w:t xml:space="preserve"> </w:t>
      </w:r>
      <w:r>
        <w:rPr>
          <w:rFonts w:eastAsia="Calibri" w:cs="Times New Roman"/>
          <w:b/>
          <w:color w:val="000000"/>
        </w:rPr>
        <w:t>W</w:t>
      </w:r>
      <w:r w:rsidRPr="009F7D99">
        <w:rPr>
          <w:rFonts w:eastAsia="Calibri" w:cs="Times New Roman"/>
          <w:b/>
          <w:color w:val="000000"/>
        </w:rPr>
        <w:t xml:space="preserve">hole </w:t>
      </w:r>
      <w:r>
        <w:rPr>
          <w:rFonts w:eastAsia="Calibri" w:cs="Times New Roman"/>
          <w:b/>
          <w:color w:val="000000"/>
        </w:rPr>
        <w:t>C</w:t>
      </w:r>
      <w:r w:rsidRPr="009F7D99">
        <w:rPr>
          <w:rFonts w:eastAsia="Calibri" w:cs="Times New Roman"/>
          <w:b/>
          <w:color w:val="000000"/>
        </w:rPr>
        <w:t xml:space="preserve">igarette” for the </w:t>
      </w:r>
      <w:r>
        <w:rPr>
          <w:rFonts w:eastAsia="Calibri" w:cs="Times New Roman"/>
          <w:b/>
          <w:color w:val="000000"/>
        </w:rPr>
        <w:t>F</w:t>
      </w:r>
      <w:r w:rsidRPr="009F7D99">
        <w:rPr>
          <w:rFonts w:eastAsia="Calibri" w:cs="Times New Roman"/>
          <w:b/>
          <w:color w:val="000000"/>
        </w:rPr>
        <w:t xml:space="preserve">irst </w:t>
      </w:r>
      <w:r>
        <w:rPr>
          <w:rFonts w:eastAsia="Calibri" w:cs="Times New Roman"/>
          <w:b/>
          <w:color w:val="000000"/>
        </w:rPr>
        <w:t>T</w:t>
      </w:r>
      <w:r w:rsidRPr="009F7D99">
        <w:rPr>
          <w:rFonts w:eastAsia="Calibri" w:cs="Times New Roman"/>
          <w:b/>
          <w:color w:val="000000"/>
        </w:rPr>
        <w:t>ime</w:t>
      </w:r>
      <w:r>
        <w:rPr>
          <w:rFonts w:eastAsia="Calibri" w:cs="Times New Roman"/>
          <w:b/>
          <w:color w:val="000000"/>
        </w:rPr>
        <w:t xml:space="preserve"> Among NHANES Youth and NSDUH Adults – Daily Smokers</w:t>
      </w:r>
    </w:p>
    <w:p w14:paraId="7292DAD5" w14:textId="3D9D3E90" w:rsidR="00E601FA" w:rsidRDefault="00EA69AA">
      <w:pPr>
        <w:rPr>
          <w:rFonts w:ascii="Calibri" w:hAnsi="Calibri"/>
          <w:noProof/>
        </w:rPr>
      </w:pPr>
      <w:r w:rsidRPr="00D341D7">
        <w:rPr>
          <w:b/>
          <w:noProof/>
          <w:lang w:val="en-CA" w:eastAsia="en-CA"/>
        </w:rPr>
        <w:drawing>
          <wp:inline distT="0" distB="0" distL="0" distR="0" wp14:anchorId="31168A00" wp14:editId="48B8F52C">
            <wp:extent cx="5943600" cy="901700"/>
            <wp:effectExtent l="19050" t="19050" r="19050" b="1270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901700"/>
                    </a:xfrm>
                    <a:prstGeom prst="rect">
                      <a:avLst/>
                    </a:prstGeom>
                    <a:ln>
                      <a:solidFill>
                        <a:schemeClr val="accent1"/>
                      </a:solidFill>
                    </a:ln>
                  </pic:spPr>
                </pic:pic>
              </a:graphicData>
            </a:graphic>
          </wp:inline>
        </w:drawing>
      </w:r>
      <w:r w:rsidR="00E601FA">
        <w:rPr>
          <w:rFonts w:ascii="Calibri" w:hAnsi="Calibri"/>
          <w:noProof/>
        </w:rPr>
        <w:br w:type="page"/>
      </w:r>
    </w:p>
    <w:p w14:paraId="057F14C4" w14:textId="77777777" w:rsidR="00D24ECA" w:rsidRPr="00EA69AA" w:rsidRDefault="00D24ECA" w:rsidP="00EA69AA">
      <w:pPr>
        <w:pStyle w:val="ChapterHeading"/>
        <w:spacing w:after="0"/>
        <w:rPr>
          <w:rFonts w:asciiTheme="minorHAnsi" w:hAnsiTheme="minorHAnsi"/>
          <w:sz w:val="22"/>
          <w:szCs w:val="22"/>
        </w:rPr>
      </w:pPr>
      <w:r w:rsidRPr="00EA69AA">
        <w:rPr>
          <w:rFonts w:asciiTheme="minorHAnsi" w:hAnsiTheme="minorHAnsi"/>
          <w:sz w:val="22"/>
          <w:szCs w:val="22"/>
        </w:rPr>
        <w:lastRenderedPageBreak/>
        <w:t xml:space="preserve">SUPPLEMENTAL SECTION </w:t>
      </w:r>
      <w:r w:rsidR="00B44564" w:rsidRPr="00EA69AA">
        <w:rPr>
          <w:rFonts w:asciiTheme="minorHAnsi" w:hAnsiTheme="minorHAnsi"/>
          <w:sz w:val="22"/>
          <w:szCs w:val="22"/>
        </w:rPr>
        <w:t>1</w:t>
      </w:r>
      <w:r w:rsidR="00C82C02">
        <w:rPr>
          <w:rFonts w:asciiTheme="minorHAnsi" w:hAnsiTheme="minorHAnsi"/>
          <w:sz w:val="22"/>
          <w:szCs w:val="22"/>
        </w:rPr>
        <w:t>7</w:t>
      </w:r>
      <w:r w:rsidRPr="00EA69AA">
        <w:rPr>
          <w:rFonts w:asciiTheme="minorHAnsi" w:hAnsiTheme="minorHAnsi"/>
          <w:sz w:val="22"/>
          <w:szCs w:val="22"/>
        </w:rPr>
        <w:t>: Sensitivity Analyses (Adjusted Results)</w:t>
      </w:r>
    </w:p>
    <w:p w14:paraId="774C5D1F" w14:textId="77777777" w:rsidR="00D24ECA" w:rsidRPr="00142931" w:rsidRDefault="00D24ECA" w:rsidP="00D24ECA">
      <w:pPr>
        <w:spacing w:after="120" w:line="240" w:lineRule="auto"/>
        <w:jc w:val="both"/>
        <w:rPr>
          <w:color w:val="000000" w:themeColor="text1"/>
        </w:rPr>
      </w:pPr>
      <w:r w:rsidRPr="00142931">
        <w:rPr>
          <w:color w:val="000000" w:themeColor="text1"/>
        </w:rPr>
        <w:t xml:space="preserve">Sensitivity analyses ensure that initial conclusions were not unduly influenced by data that may not have met certain standards or thresholds. In </w:t>
      </w:r>
      <w:r>
        <w:rPr>
          <w:color w:val="000000" w:themeColor="text1"/>
        </w:rPr>
        <w:t>this</w:t>
      </w:r>
      <w:r w:rsidRPr="00142931">
        <w:rPr>
          <w:color w:val="000000" w:themeColor="text1"/>
        </w:rPr>
        <w:t xml:space="preserve"> review, </w:t>
      </w:r>
      <w:r>
        <w:rPr>
          <w:color w:val="000000" w:themeColor="text1"/>
        </w:rPr>
        <w:t>th</w:t>
      </w:r>
      <w:r w:rsidRPr="00142931">
        <w:rPr>
          <w:color w:val="000000" w:themeColor="text1"/>
        </w:rPr>
        <w:t xml:space="preserve">ree sensitivity analyses were </w:t>
      </w:r>
      <w:r>
        <w:rPr>
          <w:color w:val="000000" w:themeColor="text1"/>
        </w:rPr>
        <w:t>planned</w:t>
      </w:r>
      <w:r w:rsidRPr="00142931">
        <w:rPr>
          <w:color w:val="000000" w:themeColor="text1"/>
        </w:rPr>
        <w:t xml:space="preserve"> for in order to test whether the results differed after more stringent inclusion and exclusion criteria were applied. The criteria for these analyses are detailed below: </w:t>
      </w:r>
    </w:p>
    <w:p w14:paraId="479D57C3" w14:textId="77777777" w:rsidR="00D24ECA" w:rsidRPr="009E20A1" w:rsidRDefault="00D24ECA" w:rsidP="00D24ECA">
      <w:pPr>
        <w:pStyle w:val="ListParagraph"/>
        <w:numPr>
          <w:ilvl w:val="0"/>
          <w:numId w:val="6"/>
        </w:numPr>
        <w:spacing w:after="120" w:line="240" w:lineRule="auto"/>
        <w:ind w:left="360"/>
        <w:contextualSpacing w:val="0"/>
        <w:jc w:val="both"/>
        <w:rPr>
          <w:b/>
          <w:i/>
          <w:color w:val="000000" w:themeColor="text1"/>
        </w:rPr>
      </w:pPr>
      <w:r w:rsidRPr="009E20A1">
        <w:rPr>
          <w:b/>
          <w:i/>
          <w:color w:val="000000" w:themeColor="text1"/>
        </w:rPr>
        <w:t>Inclusion of only those studies that also (i.e., in addition to adjusting for the key confounders)</w:t>
      </w:r>
      <w:r>
        <w:rPr>
          <w:b/>
          <w:i/>
          <w:color w:val="000000" w:themeColor="text1"/>
        </w:rPr>
        <w:t xml:space="preserve"> </w:t>
      </w:r>
      <w:r w:rsidRPr="009E20A1">
        <w:rPr>
          <w:b/>
          <w:i/>
          <w:color w:val="000000" w:themeColor="text1"/>
        </w:rPr>
        <w:t xml:space="preserve">adjusted for meso- </w:t>
      </w:r>
      <w:r w:rsidR="00CF3084">
        <w:rPr>
          <w:b/>
          <w:i/>
          <w:color w:val="000000" w:themeColor="text1"/>
        </w:rPr>
        <w:t>and/</w:t>
      </w:r>
      <w:r w:rsidRPr="009E20A1">
        <w:rPr>
          <w:b/>
          <w:i/>
          <w:color w:val="000000" w:themeColor="text1"/>
        </w:rPr>
        <w:t>or macro-level variables.</w:t>
      </w:r>
    </w:p>
    <w:p w14:paraId="7A3CA416" w14:textId="77777777" w:rsidR="00A20AE4" w:rsidRDefault="00D24ECA" w:rsidP="00D24ECA">
      <w:pPr>
        <w:spacing w:after="120" w:line="240" w:lineRule="auto"/>
        <w:jc w:val="both"/>
        <w:rPr>
          <w:color w:val="000000" w:themeColor="text1"/>
        </w:rPr>
      </w:pPr>
      <w:r>
        <w:rPr>
          <w:color w:val="000000" w:themeColor="text1"/>
        </w:rPr>
        <w:t>E</w:t>
      </w:r>
      <w:r w:rsidRPr="007A60C3">
        <w:rPr>
          <w:color w:val="000000" w:themeColor="text1"/>
        </w:rPr>
        <w:t xml:space="preserve">pidemiological studies that adjusted for these </w:t>
      </w:r>
      <w:r>
        <w:rPr>
          <w:color w:val="000000" w:themeColor="text1"/>
        </w:rPr>
        <w:t xml:space="preserve">additional </w:t>
      </w:r>
      <w:r w:rsidRPr="007A60C3">
        <w:rPr>
          <w:color w:val="000000" w:themeColor="text1"/>
        </w:rPr>
        <w:t xml:space="preserve">factors </w:t>
      </w:r>
      <w:r>
        <w:rPr>
          <w:color w:val="000000" w:themeColor="text1"/>
        </w:rPr>
        <w:t xml:space="preserve">have the potential ability </w:t>
      </w:r>
      <w:r w:rsidRPr="007A60C3">
        <w:rPr>
          <w:color w:val="000000" w:themeColor="text1"/>
        </w:rPr>
        <w:t>to more rigorously isolate the independent effect of menthol on initiation and progression to regular smoking</w:t>
      </w:r>
      <w:r w:rsidR="00A20AE4">
        <w:rPr>
          <w:color w:val="000000" w:themeColor="text1"/>
        </w:rPr>
        <w:t>.</w:t>
      </w:r>
    </w:p>
    <w:p w14:paraId="036FCE71" w14:textId="77777777" w:rsidR="00D24ECA" w:rsidRPr="009E20A1" w:rsidRDefault="00D24ECA" w:rsidP="00D24ECA">
      <w:pPr>
        <w:pStyle w:val="ListParagraph"/>
        <w:numPr>
          <w:ilvl w:val="0"/>
          <w:numId w:val="6"/>
        </w:numPr>
        <w:spacing w:after="120" w:line="240" w:lineRule="auto"/>
        <w:ind w:left="360"/>
        <w:contextualSpacing w:val="0"/>
        <w:jc w:val="both"/>
        <w:rPr>
          <w:b/>
          <w:i/>
          <w:color w:val="000000" w:themeColor="text1"/>
        </w:rPr>
      </w:pPr>
      <w:r w:rsidRPr="009E20A1">
        <w:rPr>
          <w:b/>
          <w:i/>
          <w:color w:val="000000" w:themeColor="text1"/>
        </w:rPr>
        <w:t>Exclusion of studies rated “poor” quality according to the Downs and Black checklist.</w:t>
      </w:r>
    </w:p>
    <w:p w14:paraId="734F6EA2" w14:textId="77777777" w:rsidR="00D24ECA" w:rsidRPr="007A60C3" w:rsidRDefault="00D24ECA" w:rsidP="00D24ECA">
      <w:pPr>
        <w:spacing w:after="120" w:line="240" w:lineRule="auto"/>
        <w:jc w:val="both"/>
        <w:rPr>
          <w:color w:val="000000" w:themeColor="text1"/>
        </w:rPr>
      </w:pPr>
      <w:r w:rsidRPr="007A60C3">
        <w:rPr>
          <w:color w:val="000000" w:themeColor="text1"/>
        </w:rPr>
        <w:t>Studies rated “poor” quality generally suffered from low external and/or external validity. Exclusion of such studies from the adjusted analyses provides more accurate results.</w:t>
      </w:r>
    </w:p>
    <w:p w14:paraId="495435C9" w14:textId="77777777" w:rsidR="00D24ECA" w:rsidRPr="009E20A1" w:rsidRDefault="00D24ECA" w:rsidP="00D24ECA">
      <w:pPr>
        <w:pStyle w:val="ListParagraph"/>
        <w:numPr>
          <w:ilvl w:val="0"/>
          <w:numId w:val="6"/>
        </w:numPr>
        <w:spacing w:after="120"/>
        <w:ind w:left="360"/>
        <w:contextualSpacing w:val="0"/>
        <w:jc w:val="both"/>
        <w:rPr>
          <w:b/>
          <w:i/>
          <w:color w:val="000000" w:themeColor="text1"/>
        </w:rPr>
      </w:pPr>
      <w:r w:rsidRPr="009E20A1">
        <w:rPr>
          <w:b/>
          <w:i/>
          <w:color w:val="000000" w:themeColor="text1"/>
        </w:rPr>
        <w:t>Exclusion of studies with potential overadjustment and/or inappropriate adjustment.</w:t>
      </w:r>
    </w:p>
    <w:p w14:paraId="3EA04074" w14:textId="416FBADD" w:rsidR="00A20AE4" w:rsidRDefault="00D24ECA" w:rsidP="00D24ECA">
      <w:pPr>
        <w:spacing w:after="120" w:line="240" w:lineRule="auto"/>
        <w:jc w:val="both"/>
        <w:rPr>
          <w:color w:val="000000" w:themeColor="text1"/>
        </w:rPr>
      </w:pPr>
      <w:r w:rsidRPr="007A60C3">
        <w:rPr>
          <w:color w:val="000000" w:themeColor="text1"/>
        </w:rPr>
        <w:t>Overadjustment occurs when a statistical model includes a covariate that either increases bias or decreases p</w:t>
      </w:r>
      <w:r>
        <w:rPr>
          <w:color w:val="000000" w:themeColor="text1"/>
        </w:rPr>
        <w:t xml:space="preserve">recision without affecting bias </w:t>
      </w:r>
      <w:r w:rsidR="00D2134A">
        <w:rPr>
          <w:color w:val="000000" w:themeColor="text1"/>
        </w:rPr>
        <w:fldChar w:fldCharType="begin"/>
      </w:r>
      <w:r w:rsidR="00D2134A">
        <w:rPr>
          <w:color w:val="000000" w:themeColor="text1"/>
        </w:rPr>
        <w:instrText xml:space="preserve"> ADDIN EN.CITE &lt;EndNote&gt;&lt;Cite&gt;&lt;Author&gt;Schisterman&lt;/Author&gt;&lt;Year&gt;2009&lt;/Year&gt;&lt;RecNum&gt;295&lt;/RecNum&gt;&lt;DisplayText&gt;(95)&lt;/DisplayText&gt;&lt;record&gt;&lt;rec-number&gt;295&lt;/rec-number&gt;&lt;foreign-keys&gt;&lt;key app="EN" db-id="a2vz2dfp8xrad6exes75zwpiw5rxwa0vwapv" timestamp="1484773416"&gt;295&lt;/key&gt;&lt;/foreign-keys&gt;&lt;ref-type name="Journal Article"&gt;17&lt;/ref-type&gt;&lt;contributors&gt;&lt;authors&gt;&lt;author&gt;Schisterman, E. F.&lt;/author&gt;&lt;author&gt;Cole, S. R.&lt;/author&gt;&lt;author&gt;Platt, R. W.&lt;/author&gt;&lt;/authors&gt;&lt;/contributors&gt;&lt;auth-address&gt;Eunice Kennedy Shriver National Institute of Child Health and Human Development, National Institutes of Health, Rockville, MD 20852, USA. schistee@mail.nih.gov&lt;/auth-address&gt;&lt;titles&gt;&lt;title&gt;Overadjustment bias and unnecessary adjustment in epidemiologic studies&lt;/title&gt;&lt;secondary-title&gt;Epidemiology&lt;/secondary-title&gt;&lt;/titles&gt;&lt;periodical&gt;&lt;full-title&gt;Epidemiology&lt;/full-title&gt;&lt;/periodical&gt;&lt;pages&gt;488-95&lt;/pages&gt;&lt;volume&gt;20&lt;/volume&gt;&lt;number&gt;4&lt;/number&gt;&lt;keywords&gt;&lt;keyword&gt;*Bias (Epidemiology)&lt;/keyword&gt;&lt;keyword&gt;Causality&lt;/keyword&gt;&lt;keyword&gt;*Epidemiologic Research Design&lt;/keyword&gt;&lt;keyword&gt;Female&lt;/keyword&gt;&lt;keyword&gt;Humans&lt;/keyword&gt;&lt;keyword&gt;Infant Mortality/trends&lt;/keyword&gt;&lt;keyword&gt;Infant, Newborn&lt;/keyword&gt;&lt;keyword&gt;Models, Statistical&lt;/keyword&gt;&lt;keyword&gt;Population Dynamics&lt;/keyword&gt;&lt;keyword&gt;Smoking/adverse effects&lt;/keyword&gt;&lt;/keywords&gt;&lt;dates&gt;&lt;year&gt;2009&lt;/year&gt;&lt;pub-dates&gt;&lt;date&gt;Jul&lt;/date&gt;&lt;/pub-dates&gt;&lt;/dates&gt;&lt;isbn&gt;1531-5487 (Electronic)&amp;#xD;1044-3983 (Linking)&lt;/isbn&gt;&lt;accession-num&gt;19525685&lt;/accession-num&gt;&lt;urls&gt;&lt;related-urls&gt;&lt;url&gt;https://www.ncbi.nlm.nih.gov/pubmed/19525685&lt;/url&gt;&lt;/related-urls&gt;&lt;/urls&gt;&lt;custom2&gt;PMC2744485&lt;/custom2&gt;&lt;electronic-resource-num&gt;10.1097/EDE.0b013e3181a819a1&lt;/electronic-resource-num&gt;&lt;/record&gt;&lt;/Cite&gt;&lt;/EndNote&gt;</w:instrText>
      </w:r>
      <w:r w:rsidR="00D2134A">
        <w:rPr>
          <w:color w:val="000000" w:themeColor="text1"/>
        </w:rPr>
        <w:fldChar w:fldCharType="separate"/>
      </w:r>
      <w:r w:rsidR="00D2134A">
        <w:rPr>
          <w:noProof/>
          <w:color w:val="000000" w:themeColor="text1"/>
        </w:rPr>
        <w:t>(</w:t>
      </w:r>
      <w:hyperlink w:anchor="_ENREF_95" w:tooltip="Schisterman, 2009 #295" w:history="1">
        <w:r w:rsidR="00A234A9">
          <w:rPr>
            <w:noProof/>
            <w:color w:val="000000" w:themeColor="text1"/>
          </w:rPr>
          <w:t>95</w:t>
        </w:r>
      </w:hyperlink>
      <w:r w:rsidR="00D2134A">
        <w:rPr>
          <w:noProof/>
          <w:color w:val="000000" w:themeColor="text1"/>
        </w:rPr>
        <w:t>)</w:t>
      </w:r>
      <w:r w:rsidR="00D2134A">
        <w:rPr>
          <w:color w:val="000000" w:themeColor="text1"/>
        </w:rPr>
        <w:fldChar w:fldCharType="end"/>
      </w:r>
      <w:r>
        <w:rPr>
          <w:color w:val="000000" w:themeColor="text1"/>
        </w:rPr>
        <w:t>. Therefore, s</w:t>
      </w:r>
      <w:r w:rsidRPr="007A60C3">
        <w:rPr>
          <w:color w:val="000000" w:themeColor="text1"/>
        </w:rPr>
        <w:t xml:space="preserve">tudies with overadjustment or inappropriate adjustment may impact the SOE ratings of consistency and precision directly. Therefore, exclusion of </w:t>
      </w:r>
      <w:r>
        <w:rPr>
          <w:color w:val="000000" w:themeColor="text1"/>
        </w:rPr>
        <w:t>such</w:t>
      </w:r>
      <w:r w:rsidRPr="007A60C3">
        <w:rPr>
          <w:color w:val="000000" w:themeColor="text1"/>
        </w:rPr>
        <w:t xml:space="preserve"> studies </w:t>
      </w:r>
      <w:r>
        <w:rPr>
          <w:color w:val="000000" w:themeColor="text1"/>
        </w:rPr>
        <w:t>can</w:t>
      </w:r>
      <w:r w:rsidRPr="007A60C3">
        <w:rPr>
          <w:color w:val="000000" w:themeColor="text1"/>
        </w:rPr>
        <w:t xml:space="preserve"> alter the overall SOE results</w:t>
      </w:r>
      <w:r w:rsidR="00A20AE4">
        <w:rPr>
          <w:color w:val="000000" w:themeColor="text1"/>
        </w:rPr>
        <w:t>.</w:t>
      </w:r>
    </w:p>
    <w:p w14:paraId="24D57337" w14:textId="77777777" w:rsidR="00CF3084" w:rsidRPr="00CF3084" w:rsidRDefault="00CF3084" w:rsidP="00D24ECA">
      <w:pPr>
        <w:spacing w:after="120" w:line="240" w:lineRule="auto"/>
        <w:jc w:val="both"/>
        <w:rPr>
          <w:bCs/>
          <w:i/>
          <w:iCs/>
          <w:color w:val="000000" w:themeColor="text1"/>
          <w:u w:val="single"/>
        </w:rPr>
      </w:pPr>
      <w:r w:rsidRPr="00CF3084">
        <w:rPr>
          <w:rFonts w:eastAsia="Calibri" w:cs="Times New Roman"/>
          <w:bCs/>
          <w:i/>
          <w:iCs/>
          <w:color w:val="000000"/>
          <w:u w:val="single"/>
        </w:rPr>
        <w:t>Sensitivity Analyses</w:t>
      </w:r>
    </w:p>
    <w:p w14:paraId="2BB1CCFD" w14:textId="1414681A" w:rsidR="00D24ECA" w:rsidRDefault="00CF3084" w:rsidP="00D24ECA">
      <w:pPr>
        <w:spacing w:after="120" w:line="240" w:lineRule="auto"/>
        <w:jc w:val="both"/>
        <w:rPr>
          <w:color w:val="000000" w:themeColor="text1"/>
        </w:rPr>
      </w:pPr>
      <w:r>
        <w:rPr>
          <w:color w:val="000000" w:themeColor="text1"/>
        </w:rPr>
        <w:t>T</w:t>
      </w:r>
      <w:r w:rsidR="00D24ECA">
        <w:rPr>
          <w:color w:val="000000" w:themeColor="text1"/>
        </w:rPr>
        <w:t>he synthesis of evidence that addresses initiation and progression to regular smoking did not yield any “poor” quality or overadjusted studies</w:t>
      </w:r>
      <w:r>
        <w:rPr>
          <w:color w:val="000000" w:themeColor="text1"/>
        </w:rPr>
        <w:t>. However,</w:t>
      </w:r>
      <w:r w:rsidR="00D24ECA">
        <w:rPr>
          <w:color w:val="000000" w:themeColor="text1"/>
        </w:rPr>
        <w:t xml:space="preserve"> one sensitivity analysis </w:t>
      </w:r>
      <w:r>
        <w:rPr>
          <w:color w:val="000000" w:themeColor="text1"/>
        </w:rPr>
        <w:t xml:space="preserve">of studies that also adjusted for </w:t>
      </w:r>
      <w:r w:rsidR="00D24ECA">
        <w:rPr>
          <w:color w:val="000000" w:themeColor="text1"/>
        </w:rPr>
        <w:t>meso- and</w:t>
      </w:r>
      <w:r>
        <w:rPr>
          <w:color w:val="000000" w:themeColor="text1"/>
        </w:rPr>
        <w:t>/or</w:t>
      </w:r>
      <w:r w:rsidR="00D24ECA">
        <w:rPr>
          <w:color w:val="000000" w:themeColor="text1"/>
        </w:rPr>
        <w:t xml:space="preserve"> macro-level </w:t>
      </w:r>
      <w:r>
        <w:rPr>
          <w:color w:val="000000" w:themeColor="text1"/>
        </w:rPr>
        <w:t>variables</w:t>
      </w:r>
      <w:r w:rsidR="00D24ECA">
        <w:rPr>
          <w:color w:val="000000" w:themeColor="text1"/>
        </w:rPr>
        <w:t xml:space="preserve"> is reported here.</w:t>
      </w:r>
    </w:p>
    <w:p w14:paraId="7187DF5D" w14:textId="73153FD2" w:rsidR="009A5B7A" w:rsidRDefault="00D24ECA" w:rsidP="00B11C45">
      <w:pPr>
        <w:spacing w:after="240" w:line="240" w:lineRule="auto"/>
        <w:jc w:val="both"/>
        <w:rPr>
          <w:rFonts w:eastAsia="Calibri" w:cs="Times New Roman"/>
          <w:color w:val="000000"/>
        </w:rPr>
      </w:pPr>
      <w:r>
        <w:rPr>
          <w:rFonts w:eastAsia="Calibri" w:cs="Times New Roman"/>
          <w:color w:val="000000"/>
        </w:rPr>
        <w:t xml:space="preserve">Specifically, </w:t>
      </w:r>
      <w:r w:rsidRPr="00A0218A">
        <w:rPr>
          <w:rFonts w:eastAsia="Calibri" w:cs="Times New Roman"/>
          <w:color w:val="000000"/>
        </w:rPr>
        <w:t>Fernander et al.</w:t>
      </w:r>
      <w:r>
        <w:rPr>
          <w:rFonts w:eastAsia="Calibri" w:cs="Times New Roman"/>
          <w:color w:val="000000"/>
        </w:rPr>
        <w:t xml:space="preserve"> </w:t>
      </w:r>
      <w:r w:rsidR="00D2134A">
        <w:rPr>
          <w:rFonts w:eastAsia="Calibri" w:cs="Times New Roman"/>
          <w:color w:val="000000"/>
        </w:rPr>
        <w:fldChar w:fldCharType="begin">
          <w:fldData xml:space="preserve">PEVuZE5vdGU+PENpdGU+PEF1dGhvcj5GZXJuYW5kZXI8L0F1dGhvcj48WWVhcj4yMDEwPC9ZZWFy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PEVuZE5vdGU+PENpdGU+PEF1dGhvcj5GZXJuYW5kZXI8L0F1dGhvcj48WWVhcj4yMDEwPC9ZZWFy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60" w:tooltip="Fernander, 2010 #54" w:history="1">
        <w:r w:rsidR="00A234A9">
          <w:rPr>
            <w:rFonts w:eastAsia="Calibri" w:cs="Times New Roman"/>
            <w:noProof/>
            <w:color w:val="000000"/>
          </w:rPr>
          <w:t>60</w:t>
        </w:r>
      </w:hyperlink>
      <w:r w:rsidR="00D2134A">
        <w:rPr>
          <w:rFonts w:eastAsia="Calibri" w:cs="Times New Roman"/>
          <w:noProof/>
          <w:color w:val="000000"/>
        </w:rPr>
        <w:t>)</w:t>
      </w:r>
      <w:r w:rsidR="00D2134A">
        <w:rPr>
          <w:rFonts w:eastAsia="Calibri" w:cs="Times New Roman"/>
          <w:color w:val="000000"/>
        </w:rPr>
        <w:fldChar w:fldCharType="end"/>
      </w:r>
      <w:r w:rsidRPr="00A0218A">
        <w:rPr>
          <w:rFonts w:eastAsia="Calibri" w:cs="Times New Roman"/>
          <w:color w:val="000000"/>
        </w:rPr>
        <w:t xml:space="preserve"> found that menthol smokers had one percent higher odds of initiating cigarette smoking at age 18 or older than initiating at younger than 18 (OR=1.01, 95% C</w:t>
      </w:r>
      <w:r>
        <w:rPr>
          <w:rFonts w:eastAsia="Calibri" w:cs="Times New Roman"/>
          <w:color w:val="000000"/>
        </w:rPr>
        <w:t xml:space="preserve">I: 1.00 to 1.01). Lawrence et al. </w:t>
      </w:r>
      <w:r w:rsidR="00D2134A">
        <w:rPr>
          <w:rFonts w:eastAsia="Calibri" w:cs="Times New Roman"/>
          <w:color w:val="000000"/>
        </w:rPr>
        <w:fldChar w:fldCharType="begin">
          <w:fldData xml:space="preserve">PEVuZE5vdGU+PENpdGU+PEF1dGhvcj5MYXdyZW5jZTwvQXV0aG9yPjxZZWFyPjIwMTA8L1llYXI+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</w:fldData>
        </w:fldChar>
      </w:r>
      <w:r w:rsidR="00D2134A">
        <w:rPr>
          <w:rFonts w:eastAsia="Calibri" w:cs="Times New Roman"/>
          <w:color w:val="000000"/>
        </w:rPr>
        <w:instrText xml:space="preserve"> ADDIN EN.CITE </w:instrText>
      </w:r>
      <w:r w:rsidR="00D2134A">
        <w:rPr>
          <w:rFonts w:eastAsia="Calibri" w:cs="Times New Roman"/>
          <w:color w:val="000000"/>
        </w:rPr>
        <w:fldChar w:fldCharType="begin">
          <w:fldData xml:space="preserve">PEVuZE5vdGU+PENpdGU+PEF1dGhvcj5MYXdyZW5jZTwvQXV0aG9yPjxZZWFyPjIwMTA8L1llYXI+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</w:fldData>
        </w:fldChar>
      </w:r>
      <w:r w:rsidR="00D2134A">
        <w:rPr>
          <w:rFonts w:eastAsia="Calibri" w:cs="Times New Roman"/>
          <w:color w:val="000000"/>
        </w:rPr>
        <w:instrText xml:space="preserve"> ADDIN EN.CITE.DATA </w:instrText>
      </w:r>
      <w:r w:rsidR="00D2134A">
        <w:rPr>
          <w:rFonts w:eastAsia="Calibri" w:cs="Times New Roman"/>
          <w:color w:val="000000"/>
        </w:rPr>
      </w:r>
      <w:r w:rsidR="00D2134A">
        <w:rPr>
          <w:rFonts w:eastAsia="Calibri" w:cs="Times New Roman"/>
          <w:color w:val="000000"/>
        </w:rPr>
        <w:fldChar w:fldCharType="end"/>
      </w:r>
      <w:r w:rsidR="00D2134A">
        <w:rPr>
          <w:rFonts w:eastAsia="Calibri" w:cs="Times New Roman"/>
          <w:color w:val="000000"/>
        </w:rPr>
        <w:fldChar w:fldCharType="separate"/>
      </w:r>
      <w:r w:rsidR="00D2134A">
        <w:rPr>
          <w:rFonts w:eastAsia="Calibri" w:cs="Times New Roman"/>
          <w:noProof/>
          <w:color w:val="000000"/>
        </w:rPr>
        <w:t>(</w:t>
      </w:r>
      <w:hyperlink w:anchor="_ENREF_70" w:tooltip="Lawrence, 2010 #52" w:history="1">
        <w:r w:rsidR="00A234A9">
          <w:rPr>
            <w:rFonts w:eastAsia="Calibri" w:cs="Times New Roman"/>
            <w:noProof/>
            <w:color w:val="000000"/>
          </w:rPr>
          <w:t>70</w:t>
        </w:r>
      </w:hyperlink>
      <w:r w:rsidR="00D2134A">
        <w:rPr>
          <w:rFonts w:eastAsia="Calibri" w:cs="Times New Roman"/>
          <w:noProof/>
          <w:color w:val="000000"/>
        </w:rPr>
        <w:t>)</w:t>
      </w:r>
      <w:r w:rsidR="00D2134A">
        <w:rPr>
          <w:rFonts w:eastAsia="Calibri" w:cs="Times New Roman"/>
          <w:color w:val="000000"/>
        </w:rPr>
        <w:fldChar w:fldCharType="end"/>
      </w:r>
      <w:r>
        <w:rPr>
          <w:rFonts w:eastAsia="Calibri" w:cs="Times New Roman"/>
          <w:color w:val="000000"/>
        </w:rPr>
        <w:t xml:space="preserve"> r</w:t>
      </w:r>
      <w:r w:rsidRPr="00A0218A">
        <w:rPr>
          <w:rFonts w:eastAsia="Calibri" w:cs="Times New Roman"/>
          <w:color w:val="000000"/>
        </w:rPr>
        <w:t xml:space="preserve">eported that smokers who began smoking regularly at younger than age 15 had approximately the same odds of being a menthol smoker, compared with those who began smoking regularly as adults (OR=0.99, 95% CI: 0.90 to 1.09). Those with onset of regular smoking between 15 and 17 years had </w:t>
      </w:r>
      <w:r w:rsidR="00BF13A5">
        <w:rPr>
          <w:rFonts w:eastAsia="Calibri" w:cs="Times New Roman"/>
          <w:color w:val="000000"/>
        </w:rPr>
        <w:t>the same</w:t>
      </w:r>
      <w:r w:rsidRPr="00A0218A">
        <w:rPr>
          <w:rFonts w:eastAsia="Calibri" w:cs="Times New Roman"/>
          <w:color w:val="000000"/>
        </w:rPr>
        <w:t xml:space="preserve"> odds of being a menthol smoker, compared with those who began in adulthood (OR=0.95, 95% </w:t>
      </w:r>
      <w:r>
        <w:rPr>
          <w:rFonts w:eastAsia="Calibri" w:cs="Times New Roman"/>
          <w:color w:val="000000"/>
        </w:rPr>
        <w:t xml:space="preserve">CI: 0.89 to 1.02). Hyland et al. </w:t>
      </w:r>
      <w:r w:rsidR="00D2134A">
        <w:rPr>
          <w:rFonts w:eastAsia="Calibri" w:cs="Times New Roman"/>
          <w:color w:val="000000"/>
        </w:rPr>
        <w:fldChar w:fldCharType="begin"/>
      </w:r>
      <w:r w:rsidR="00D2134A">
        <w:rPr>
          <w:rFonts w:eastAsia="Calibri" w:cs="Times New Roman"/>
          <w:color w:val="000000"/>
        </w:rPr>
        <w:instrText xml:space="preserve"> ADDIN EN.CITE &lt;EndNote&gt;&lt;Cite&gt;&lt;Author&gt;Hyland&lt;/Author&gt;&lt;Year&gt;2002&lt;/Year&gt;&lt;RecNum&gt;87&lt;/RecNum&gt;&lt;DisplayText&gt;(65)&lt;/DisplayText&gt;&lt;record&gt;&lt;rec-number&gt;87&lt;/rec-number&gt;&lt;foreign-keys&gt;&lt;key app="EN" db-id="a2vz2dfp8xrad6exes75zwpiw5rxwa0vwapv" timestamp="0"&gt;87&lt;/key&gt;&lt;/foreign-keys&gt;&lt;ref-type name="Journal Article"&gt;17&lt;/ref-type&gt;&lt;contributors&gt;&lt;authors&gt;&lt;author&gt;Hyland, A. &lt;/author&gt;&lt;author&gt;Garten, S. &lt;/author&gt;&lt;author&gt;Giovino, G. A.&lt;/author&gt;&lt;author&gt;Cummings, K. M.&lt;/author&gt;&lt;/authors&gt;&lt;/contributors&gt;&lt;titles&gt;&lt;title&gt;Mentholated cigarettes and smoking cessation: Findings from COMMIT&lt;/title&gt;&lt;secondary-title&gt;Tob Control&lt;/secondary-title&gt;&lt;/titles&gt;&lt;periodical&gt;&lt;full-title&gt;Tob Control&lt;/full-title&gt;&lt;/periodical&gt;&lt;pages&gt;135-139&lt;/pages&gt;&lt;volume&gt;11&lt;/volume&gt;&lt;section&gt;135&lt;/section&gt;&lt;dates&gt;&lt;year&gt;2002&lt;/year&gt;&lt;/dates&gt;&lt;urls&gt;&lt;/urls&gt;&lt;research-notes&gt;#442&lt;/research-notes&gt;&lt;/record&gt;&lt;/Cite&gt;&lt;/EndNote&gt;</w:instrText>
      </w:r>
      <w:r w:rsidR="00D2134A">
        <w:rPr>
          <w:rFonts w:eastAsia="Calibri" w:cs="Times New Roman"/>
          <w:color w:val="000000"/>
        </w:rPr>
        <w:fldChar w:fldCharType="separate"/>
      </w:r>
      <w:r w:rsidR="00D2134A">
        <w:rPr>
          <w:rFonts w:eastAsia="Calibri" w:cs="Times New Roman"/>
          <w:noProof/>
          <w:color w:val="000000"/>
        </w:rPr>
        <w:t>(</w:t>
      </w:r>
      <w:hyperlink w:anchor="_ENREF_65" w:tooltip="Hyland, 2002 #87" w:history="1">
        <w:r w:rsidR="00A234A9">
          <w:rPr>
            <w:rFonts w:eastAsia="Calibri" w:cs="Times New Roman"/>
            <w:noProof/>
            <w:color w:val="000000"/>
          </w:rPr>
          <w:t>65</w:t>
        </w:r>
      </w:hyperlink>
      <w:r w:rsidR="00D2134A">
        <w:rPr>
          <w:rFonts w:eastAsia="Calibri" w:cs="Times New Roman"/>
          <w:noProof/>
          <w:color w:val="000000"/>
        </w:rPr>
        <w:t>)</w:t>
      </w:r>
      <w:r w:rsidR="00D2134A">
        <w:rPr>
          <w:rFonts w:eastAsia="Calibri" w:cs="Times New Roman"/>
          <w:color w:val="000000"/>
        </w:rPr>
        <w:fldChar w:fldCharType="end"/>
      </w:r>
      <w:r>
        <w:rPr>
          <w:rFonts w:eastAsia="Calibri" w:cs="Times New Roman"/>
          <w:color w:val="000000"/>
        </w:rPr>
        <w:t xml:space="preserve"> f</w:t>
      </w:r>
      <w:r w:rsidRPr="00A0218A">
        <w:rPr>
          <w:rFonts w:eastAsia="Calibri" w:cs="Times New Roman"/>
          <w:color w:val="000000"/>
        </w:rPr>
        <w:t xml:space="preserve">ound that that the odds of being a current menthol smoker were </w:t>
      </w:r>
      <w:r w:rsidR="006D745B">
        <w:rPr>
          <w:rFonts w:eastAsia="Calibri" w:cs="Times New Roman"/>
          <w:color w:val="000000"/>
        </w:rPr>
        <w:t>the same</w:t>
      </w:r>
      <w:r w:rsidRPr="00A0218A">
        <w:rPr>
          <w:rFonts w:eastAsia="Calibri" w:cs="Times New Roman"/>
          <w:color w:val="000000"/>
        </w:rPr>
        <w:t xml:space="preserve"> for participants who started smoking at older ages. Specifically, compared with smokers who started smoking at or below 15 years of age, those who started smoking between the ages of 16 and 19</w:t>
      </w:r>
      <w:r w:rsidR="006D745B">
        <w:rPr>
          <w:rFonts w:eastAsia="Calibri" w:cs="Times New Roman"/>
          <w:color w:val="000000"/>
        </w:rPr>
        <w:t xml:space="preserve"> and</w:t>
      </w:r>
      <w:r w:rsidRPr="00A0218A">
        <w:rPr>
          <w:rFonts w:eastAsia="Calibri" w:cs="Times New Roman"/>
          <w:color w:val="000000"/>
        </w:rPr>
        <w:t xml:space="preserve"> </w:t>
      </w:r>
      <w:r w:rsidR="006D745B" w:rsidRPr="00A0218A">
        <w:rPr>
          <w:rFonts w:eastAsia="Calibri" w:cs="Times New Roman"/>
          <w:color w:val="000000"/>
        </w:rPr>
        <w:t xml:space="preserve">20 years or older </w:t>
      </w:r>
      <w:r w:rsidR="006D745B">
        <w:rPr>
          <w:rFonts w:eastAsia="Calibri" w:cs="Times New Roman"/>
          <w:color w:val="000000"/>
        </w:rPr>
        <w:t>had the same odds</w:t>
      </w:r>
      <w:r w:rsidRPr="00A0218A">
        <w:rPr>
          <w:rFonts w:eastAsia="Calibri" w:cs="Times New Roman"/>
          <w:color w:val="000000"/>
        </w:rPr>
        <w:t xml:space="preserve"> of being menthol smoker (</w:t>
      </w:r>
      <w:r w:rsidR="006D745B">
        <w:rPr>
          <w:rFonts w:eastAsia="Calibri" w:cs="Times New Roman"/>
          <w:color w:val="000000"/>
        </w:rPr>
        <w:t xml:space="preserve">16 and 19: </w:t>
      </w:r>
      <w:r w:rsidRPr="00A0218A">
        <w:rPr>
          <w:rFonts w:eastAsia="Calibri" w:cs="Times New Roman"/>
          <w:color w:val="000000"/>
        </w:rPr>
        <w:t>OR=0.92, 95% CI: 0.82 to 1.02</w:t>
      </w:r>
      <w:r w:rsidR="006D745B">
        <w:rPr>
          <w:rFonts w:eastAsia="Calibri" w:cs="Times New Roman"/>
          <w:color w:val="000000"/>
        </w:rPr>
        <w:t xml:space="preserve">; 20 or older: </w:t>
      </w:r>
      <w:r w:rsidR="00F852B8">
        <w:rPr>
          <w:rFonts w:eastAsia="Calibri" w:cs="Times New Roman"/>
          <w:color w:val="000000"/>
        </w:rPr>
        <w:t>OR=0.89, 95% CI: 0.78 to 1.</w:t>
      </w:r>
    </w:p>
    <w:p w14:paraId="113E4A69" w14:textId="1DB96002" w:rsidR="0097295A" w:rsidRDefault="0097295A" w:rsidP="00B11C45">
      <w:pPr>
        <w:spacing w:after="240" w:line="240" w:lineRule="auto"/>
        <w:jc w:val="both"/>
        <w:rPr>
          <w:rFonts w:eastAsia="Calibri" w:cs="Times New Roman"/>
          <w:color w:val="000000"/>
        </w:rPr>
      </w:pPr>
    </w:p>
    <w:p w14:paraId="6BA4F99A" w14:textId="330870B9" w:rsidR="0097295A" w:rsidRDefault="0097295A">
      <w:pPr>
        <w:rPr>
          <w:rFonts w:eastAsia="Calibri" w:cs="Times New Roman"/>
          <w:color w:val="000000"/>
        </w:rPr>
      </w:pPr>
      <w:r>
        <w:rPr>
          <w:rFonts w:eastAsia="Calibri" w:cs="Times New Roman"/>
          <w:color w:val="000000"/>
        </w:rPr>
        <w:br w:type="page"/>
      </w:r>
    </w:p>
    <w:p w14:paraId="587B5139" w14:textId="77777777" w:rsidR="0097295A" w:rsidRPr="000618F3" w:rsidRDefault="0097295A" w:rsidP="0097295A">
      <w:pPr>
        <w:jc w:val="center"/>
        <w:rPr>
          <w:b/>
        </w:rPr>
      </w:pPr>
      <w:r w:rsidRPr="000618F3">
        <w:rPr>
          <w:b/>
        </w:rPr>
        <w:lastRenderedPageBreak/>
        <w:t>REFERENCES</w:t>
      </w:r>
    </w:p>
    <w:p w14:paraId="0DE7E122" w14:textId="77777777" w:rsidR="0097295A" w:rsidRPr="00A234A9" w:rsidRDefault="0097295A" w:rsidP="0097295A">
      <w:pPr>
        <w:pStyle w:val="EndNoteBibliography"/>
        <w:spacing w:after="120"/>
      </w:pPr>
      <w:r>
        <w:fldChar w:fldCharType="begin"/>
      </w:r>
      <w:r>
        <w:instrText xml:space="preserve"> ADDIN EN.REFLIST </w:instrText>
      </w:r>
      <w:r>
        <w:fldChar w:fldCharType="separate"/>
      </w:r>
      <w:bookmarkStart w:id="12" w:name="_ENREF_1"/>
      <w:r w:rsidRPr="00A234A9">
        <w:t>1.</w:t>
      </w:r>
      <w:r w:rsidRPr="00A234A9">
        <w:tab/>
        <w:t>DiFranza JR, Savageau JA, Fletcher K, Ockene JK, Rigotti NA, McNeill AD, et al. Measuring the loss of autonomy over nicotine use in adolescents: the DANDY (Development and Assessment of Nicotine Dependence in Youths) study. Arch Pediatr Adolesc Med. 2002;156(4):397-403.</w:t>
      </w:r>
      <w:bookmarkEnd w:id="12"/>
    </w:p>
    <w:p w14:paraId="13B49EA2" w14:textId="77777777" w:rsidR="0097295A" w:rsidRPr="00A234A9" w:rsidRDefault="0097295A" w:rsidP="0097295A">
      <w:pPr>
        <w:pStyle w:val="EndNoteBibliography"/>
        <w:spacing w:after="120"/>
      </w:pPr>
      <w:bookmarkStart w:id="13" w:name="_ENREF_2"/>
      <w:r w:rsidRPr="00A234A9">
        <w:t>2.</w:t>
      </w:r>
      <w:r w:rsidRPr="00A234A9">
        <w:tab/>
        <w:t>McLeroy KR, Bibeau D, Steckler A, Glanz K. An ecological perspective on health promotion programs. Health Educ Q. 1988;15(4):351-77.</w:t>
      </w:r>
      <w:bookmarkEnd w:id="13"/>
    </w:p>
    <w:p w14:paraId="1336790F" w14:textId="77777777" w:rsidR="0097295A" w:rsidRPr="00A234A9" w:rsidRDefault="0097295A" w:rsidP="0097295A">
      <w:pPr>
        <w:pStyle w:val="EndNoteBibliography"/>
        <w:spacing w:after="120"/>
      </w:pPr>
      <w:bookmarkStart w:id="14" w:name="_ENREF_3"/>
      <w:r w:rsidRPr="00A234A9">
        <w:t>3.</w:t>
      </w:r>
      <w:r w:rsidRPr="00A234A9">
        <w:tab/>
        <w:t>Kirk J, Miller ML. Reliability and validity in qualitative research. Beverly Hills, CA: Sage Publications; 1986.</w:t>
      </w:r>
      <w:bookmarkEnd w:id="14"/>
    </w:p>
    <w:p w14:paraId="2BCEDD83" w14:textId="77777777" w:rsidR="0097295A" w:rsidRPr="00A234A9" w:rsidRDefault="0097295A" w:rsidP="0097295A">
      <w:pPr>
        <w:pStyle w:val="EndNoteBibliography"/>
        <w:spacing w:after="120"/>
      </w:pPr>
      <w:bookmarkStart w:id="15" w:name="_ENREF_4"/>
      <w:r w:rsidRPr="00A234A9">
        <w:t>4.</w:t>
      </w:r>
      <w:r w:rsidRPr="00A234A9">
        <w:tab/>
        <w:t>Sim J, Wright CC. The kappa statistic in reliability studies: use, interpretation, and sample size requirements. Phys Ther. 2005;85(3):257-68.</w:t>
      </w:r>
      <w:bookmarkEnd w:id="15"/>
    </w:p>
    <w:p w14:paraId="3A14B2BF" w14:textId="77777777" w:rsidR="0097295A" w:rsidRPr="00A234A9" w:rsidRDefault="0097295A" w:rsidP="0097295A">
      <w:pPr>
        <w:pStyle w:val="EndNoteBibliography"/>
        <w:spacing w:after="120"/>
      </w:pPr>
      <w:bookmarkStart w:id="16" w:name="_ENREF_5"/>
      <w:r w:rsidRPr="00A234A9">
        <w:t>5.</w:t>
      </w:r>
      <w:r w:rsidRPr="00A234A9">
        <w:tab/>
        <w:t>Banerjee M, Capozzoli M, McSweeney L, Sinha D. Beyond kappa: A review of interrater agreement measures. Can J Statistics. 1999;27(1):3-23.</w:t>
      </w:r>
      <w:bookmarkEnd w:id="16"/>
    </w:p>
    <w:p w14:paraId="471A2027" w14:textId="77777777" w:rsidR="0097295A" w:rsidRPr="00A234A9" w:rsidRDefault="0097295A" w:rsidP="0097295A">
      <w:pPr>
        <w:pStyle w:val="EndNoteBibliography"/>
        <w:spacing w:after="120"/>
      </w:pPr>
      <w:bookmarkStart w:id="17" w:name="_ENREF_6"/>
      <w:r w:rsidRPr="00A234A9">
        <w:t>6.</w:t>
      </w:r>
      <w:r w:rsidRPr="00A234A9">
        <w:tab/>
        <w:t>Crocker L, Algina L. Introduction to Classical and Modern Test Theory. Mason, Ohio: Wadsworth Publishing Company; 2006.</w:t>
      </w:r>
      <w:bookmarkEnd w:id="17"/>
    </w:p>
    <w:p w14:paraId="50505F0B" w14:textId="77777777" w:rsidR="0097295A" w:rsidRPr="00A234A9" w:rsidRDefault="0097295A" w:rsidP="0097295A">
      <w:pPr>
        <w:pStyle w:val="EndNoteBibliography"/>
        <w:spacing w:after="120"/>
      </w:pPr>
      <w:bookmarkStart w:id="18" w:name="_ENREF_7"/>
      <w:r w:rsidRPr="00A234A9">
        <w:t>7.</w:t>
      </w:r>
      <w:r w:rsidRPr="00A234A9">
        <w:tab/>
        <w:t>Cronbach L. Coefficient alpha and the internal structure of tests. Psychometrika. 1951;16(3):297-334.</w:t>
      </w:r>
      <w:bookmarkEnd w:id="18"/>
    </w:p>
    <w:p w14:paraId="365B11E6" w14:textId="77777777" w:rsidR="0097295A" w:rsidRPr="00A234A9" w:rsidRDefault="0097295A" w:rsidP="0097295A">
      <w:pPr>
        <w:pStyle w:val="EndNoteBibliography"/>
        <w:spacing w:after="120"/>
      </w:pPr>
      <w:bookmarkStart w:id="19" w:name="_ENREF_8"/>
      <w:r w:rsidRPr="00A234A9">
        <w:t>8.</w:t>
      </w:r>
      <w:r w:rsidRPr="00A234A9">
        <w:tab/>
        <w:t>Nunnally J, Bernstein L. Psychometric Theory. 3rd Ed. New York: McGraw-Hill; 1994.</w:t>
      </w:r>
      <w:bookmarkEnd w:id="19"/>
    </w:p>
    <w:p w14:paraId="5ECA636B" w14:textId="77777777" w:rsidR="0097295A" w:rsidRPr="00A234A9" w:rsidRDefault="0097295A" w:rsidP="0097295A">
      <w:pPr>
        <w:pStyle w:val="EndNoteBibliography"/>
        <w:spacing w:after="120"/>
      </w:pPr>
      <w:bookmarkStart w:id="20" w:name="_ENREF_9"/>
      <w:r w:rsidRPr="00A234A9">
        <w:t>9.</w:t>
      </w:r>
      <w:r w:rsidRPr="00A234A9">
        <w:tab/>
        <w:t>Bland JM, Altman DG. Cronbach's alpha. BMJ. 1997;314(7080):572.</w:t>
      </w:r>
      <w:bookmarkEnd w:id="20"/>
    </w:p>
    <w:p w14:paraId="1554E8EC" w14:textId="77777777" w:rsidR="0097295A" w:rsidRPr="00A234A9" w:rsidRDefault="0097295A" w:rsidP="0097295A">
      <w:pPr>
        <w:pStyle w:val="EndNoteBibliography"/>
        <w:spacing w:after="120"/>
      </w:pPr>
      <w:bookmarkStart w:id="21" w:name="_ENREF_10"/>
      <w:r w:rsidRPr="00A234A9">
        <w:t>10.</w:t>
      </w:r>
      <w:r w:rsidRPr="00A234A9">
        <w:tab/>
        <w:t>DeVellis R. Scale development: theory and applications. 2nd Ed. Thousand Oaks, CA: Sage; 2003.</w:t>
      </w:r>
      <w:bookmarkEnd w:id="21"/>
    </w:p>
    <w:p w14:paraId="75787288" w14:textId="77777777" w:rsidR="0097295A" w:rsidRPr="00A234A9" w:rsidRDefault="0097295A" w:rsidP="0097295A">
      <w:pPr>
        <w:pStyle w:val="EndNoteBibliography"/>
        <w:spacing w:after="120"/>
      </w:pPr>
      <w:bookmarkStart w:id="22" w:name="_ENREF_11"/>
      <w:r w:rsidRPr="00A234A9">
        <w:t>11.</w:t>
      </w:r>
      <w:r w:rsidRPr="00A234A9">
        <w:tab/>
        <w:t>Thompson B, editor. Score reliability: Contemporary thinking on reliability issues. Newbury Park, CA: Sage; 2003.</w:t>
      </w:r>
      <w:bookmarkEnd w:id="22"/>
    </w:p>
    <w:p w14:paraId="28CED294" w14:textId="77777777" w:rsidR="0097295A" w:rsidRPr="00A234A9" w:rsidRDefault="0097295A" w:rsidP="0097295A">
      <w:pPr>
        <w:pStyle w:val="EndNoteBibliography"/>
        <w:spacing w:after="120"/>
      </w:pPr>
      <w:bookmarkStart w:id="23" w:name="_ENREF_12"/>
      <w:r w:rsidRPr="00A234A9">
        <w:t>12.</w:t>
      </w:r>
      <w:r w:rsidRPr="00A234A9">
        <w:tab/>
        <w:t>Eisinga R, Grotenhuis M, Pelzer B. The reliability of a two-item scale: Pearson, Cronbach, or Spearman-Brown? Int J Public Health. 2013;58(4):637-42.</w:t>
      </w:r>
      <w:bookmarkEnd w:id="23"/>
    </w:p>
    <w:p w14:paraId="21714552" w14:textId="77777777" w:rsidR="0097295A" w:rsidRPr="00A234A9" w:rsidRDefault="0097295A" w:rsidP="0097295A">
      <w:pPr>
        <w:pStyle w:val="EndNoteBibliography"/>
        <w:spacing w:after="120"/>
      </w:pPr>
      <w:bookmarkStart w:id="24" w:name="_ENREF_13"/>
      <w:r w:rsidRPr="00A234A9">
        <w:t>13.</w:t>
      </w:r>
      <w:r w:rsidRPr="00A234A9">
        <w:tab/>
        <w:t>Streiner DL. Starting at the beginning: an introduction to coefficient alpha and internal consistency. J Pers Assess. 2003;80(1):99-103.</w:t>
      </w:r>
      <w:bookmarkEnd w:id="24"/>
    </w:p>
    <w:p w14:paraId="117D0E31" w14:textId="77777777" w:rsidR="0097295A" w:rsidRPr="00A234A9" w:rsidRDefault="0097295A" w:rsidP="0097295A">
      <w:pPr>
        <w:pStyle w:val="EndNoteBibliography"/>
        <w:spacing w:after="120"/>
      </w:pPr>
      <w:bookmarkStart w:id="25" w:name="_ENREF_14"/>
      <w:r w:rsidRPr="00A234A9">
        <w:t>14.</w:t>
      </w:r>
      <w:r w:rsidRPr="00A234A9">
        <w:tab/>
        <w:t>International Agency for Research on Cancer. Section 3.3 Measurement of nicotine dependence.  Methods for Evaluating Tobacco Control Policies IARC Handbook of Cancer Prevention Volume 12 Lyon, France: World Health Organization; 2008.</w:t>
      </w:r>
      <w:bookmarkEnd w:id="25"/>
    </w:p>
    <w:p w14:paraId="05963882" w14:textId="77777777" w:rsidR="0097295A" w:rsidRPr="00A234A9" w:rsidRDefault="0097295A" w:rsidP="0097295A">
      <w:pPr>
        <w:pStyle w:val="EndNoteBibliography"/>
        <w:spacing w:after="120"/>
      </w:pPr>
      <w:bookmarkStart w:id="26" w:name="_ENREF_15"/>
      <w:r w:rsidRPr="00A234A9">
        <w:t>15.</w:t>
      </w:r>
      <w:r w:rsidRPr="00A234A9">
        <w:tab/>
        <w:t>Hoeppner BB, Kelly JF, Urbanoski KA, Slaymaker V. Comparative utility of a single-item versus multiple-item measure of self-efficacy in predicting relapse among young adults. J Subst Abuse Treat. 2011;41(3):305-12.</w:t>
      </w:r>
      <w:bookmarkEnd w:id="26"/>
    </w:p>
    <w:p w14:paraId="6F028A5F" w14:textId="77777777" w:rsidR="0097295A" w:rsidRPr="00A234A9" w:rsidRDefault="0097295A" w:rsidP="0097295A">
      <w:pPr>
        <w:pStyle w:val="EndNoteBibliography"/>
        <w:spacing w:after="120"/>
      </w:pPr>
      <w:bookmarkStart w:id="27" w:name="_ENREF_16"/>
      <w:r w:rsidRPr="00A234A9">
        <w:t>16.</w:t>
      </w:r>
      <w:r w:rsidRPr="00A234A9">
        <w:tab/>
        <w:t>de Leon J, Becona E, Gurpegui M, Gonzalez-Pinto A, Diaz FJ. The association between high nicotine dependence and severe mental illness may be consistent across countries. J Clin Psychiatry. 2002;63(9):812-6.</w:t>
      </w:r>
      <w:bookmarkEnd w:id="27"/>
    </w:p>
    <w:p w14:paraId="4F8352BA" w14:textId="77777777" w:rsidR="0097295A" w:rsidRPr="00A234A9" w:rsidRDefault="0097295A" w:rsidP="0097295A">
      <w:pPr>
        <w:pStyle w:val="EndNoteBibliography"/>
        <w:spacing w:after="120"/>
      </w:pPr>
      <w:bookmarkStart w:id="28" w:name="_ENREF_17"/>
      <w:r w:rsidRPr="00A234A9">
        <w:t>17.</w:t>
      </w:r>
      <w:r w:rsidRPr="00A234A9">
        <w:tab/>
        <w:t>Li L, Feng G, Jiang Y, Yong HH, Borland R, Fong GT. Prospective predictors of quitting behaviours among adult smokers in six cities in China: findings from the International Tobacco Control (ITC) China Survey. Addiction. 2011;106(7):1335-45.</w:t>
      </w:r>
      <w:bookmarkEnd w:id="28"/>
    </w:p>
    <w:p w14:paraId="7C0978EB" w14:textId="77777777" w:rsidR="0097295A" w:rsidRPr="00A234A9" w:rsidRDefault="0097295A" w:rsidP="0097295A">
      <w:pPr>
        <w:pStyle w:val="EndNoteBibliography"/>
        <w:spacing w:after="120"/>
      </w:pPr>
      <w:bookmarkStart w:id="29" w:name="_ENREF_18"/>
      <w:r w:rsidRPr="00A234A9">
        <w:lastRenderedPageBreak/>
        <w:t>18.</w:t>
      </w:r>
      <w:r w:rsidRPr="00A234A9">
        <w:tab/>
        <w:t>Piper ME, McCarthy DE, Bolt DM, Smith SS, Lerman C, Benowitz N, et al. Assessing dimensions of nicotine dependence: an evaluation of the Nicotine Dependence Syndrome Scale (NDSS) and the Wisconsin Inventory of Smoking Dependence Motives (WISDM). Nicotine Tob Res. 2008;10(6):1009-20.</w:t>
      </w:r>
      <w:bookmarkEnd w:id="29"/>
    </w:p>
    <w:p w14:paraId="1270B6ED" w14:textId="77777777" w:rsidR="0097295A" w:rsidRPr="00A234A9" w:rsidRDefault="0097295A" w:rsidP="0097295A">
      <w:pPr>
        <w:pStyle w:val="EndNoteBibliography"/>
        <w:spacing w:after="120"/>
      </w:pPr>
      <w:bookmarkStart w:id="30" w:name="_ENREF_19"/>
      <w:r w:rsidRPr="00A234A9">
        <w:t>19.</w:t>
      </w:r>
      <w:r w:rsidRPr="00A234A9">
        <w:tab/>
        <w:t>Rostron BL, Schroeder MJ, Ambrose BK. Dependence symptoms and cessation intentions among US adult daily cigarette, cigar, and e-cigarette users, 2012-2013. BMC Public Health. 2016;16(1):814.</w:t>
      </w:r>
      <w:bookmarkEnd w:id="30"/>
    </w:p>
    <w:p w14:paraId="092656C7" w14:textId="77777777" w:rsidR="0097295A" w:rsidRPr="00A234A9" w:rsidRDefault="0097295A" w:rsidP="0097295A">
      <w:pPr>
        <w:pStyle w:val="EndNoteBibliography"/>
        <w:spacing w:after="120"/>
      </w:pPr>
      <w:bookmarkStart w:id="31" w:name="_ENREF_20"/>
      <w:r w:rsidRPr="00A234A9">
        <w:t>20.</w:t>
      </w:r>
      <w:r w:rsidRPr="00A234A9">
        <w:tab/>
        <w:t>Hymowitz N, Cummings KM, Hyland A, Lynn WR, Pechacek TF, Hartwell TD. Predictors of smoking cessation in a cohort of adult smokers followed for five years. Tob Control. 1997;6 Suppl 2:S57-62.</w:t>
      </w:r>
      <w:bookmarkEnd w:id="31"/>
    </w:p>
    <w:p w14:paraId="1EDBB802" w14:textId="77777777" w:rsidR="0097295A" w:rsidRPr="00A234A9" w:rsidRDefault="0097295A" w:rsidP="0097295A">
      <w:pPr>
        <w:pStyle w:val="EndNoteBibliography"/>
        <w:spacing w:after="120"/>
      </w:pPr>
      <w:bookmarkStart w:id="32" w:name="_ENREF_21"/>
      <w:r w:rsidRPr="00A234A9">
        <w:t>21.</w:t>
      </w:r>
      <w:r w:rsidRPr="00A234A9">
        <w:tab/>
        <w:t>Kozlowski LT, Porter CQ, Orleans CT, Pope MA, Heatherton T. Predicting smoking cessation with self-reported measures of nicotine dependence: FTQ, FTND, and HSI. Drug Alcohol Depend. 1994;34(3):211-6.</w:t>
      </w:r>
      <w:bookmarkEnd w:id="32"/>
    </w:p>
    <w:p w14:paraId="6E2EE28A" w14:textId="77777777" w:rsidR="0097295A" w:rsidRPr="00A234A9" w:rsidRDefault="0097295A" w:rsidP="0097295A">
      <w:pPr>
        <w:pStyle w:val="EndNoteBibliography"/>
        <w:spacing w:after="120"/>
      </w:pPr>
      <w:bookmarkStart w:id="33" w:name="_ENREF_22"/>
      <w:r w:rsidRPr="00A234A9">
        <w:t>22.</w:t>
      </w:r>
      <w:r w:rsidRPr="00A234A9">
        <w:tab/>
        <w:t>Strong DR, Messer K, Hartman SJ, Conway KP, Hoffman AC, Pharris-Ciurej N, et al. Measurement of multiple nicotine dependence domains among cigarette, non-cigarette and poly-tobacco users: Insights from item response theory. Drug Alcohol Depend. 2015;152:185-93.</w:t>
      </w:r>
      <w:bookmarkEnd w:id="33"/>
    </w:p>
    <w:p w14:paraId="17B5C2B8" w14:textId="77777777" w:rsidR="0097295A" w:rsidRPr="00A234A9" w:rsidRDefault="0097295A" w:rsidP="0097295A">
      <w:pPr>
        <w:pStyle w:val="EndNoteBibliography"/>
        <w:spacing w:after="120"/>
      </w:pPr>
      <w:bookmarkStart w:id="34" w:name="_ENREF_23"/>
      <w:r w:rsidRPr="00A234A9">
        <w:t>23.</w:t>
      </w:r>
      <w:r w:rsidRPr="00A234A9">
        <w:tab/>
        <w:t>Kim SS, Fang H, Difranza J, Ziedonis DM, Ma GX. Gender Differences in the Fagerstrom Test for Nicotine Dependence in Korean Americans. J Smok Cessat. 2012;7(1):1-6.</w:t>
      </w:r>
      <w:bookmarkEnd w:id="34"/>
    </w:p>
    <w:p w14:paraId="32FBC69D" w14:textId="77777777" w:rsidR="0097295A" w:rsidRPr="00A234A9" w:rsidRDefault="0097295A" w:rsidP="0097295A">
      <w:pPr>
        <w:pStyle w:val="EndNoteBibliography"/>
        <w:spacing w:after="120"/>
      </w:pPr>
      <w:bookmarkStart w:id="35" w:name="_ENREF_24"/>
      <w:r w:rsidRPr="00A234A9">
        <w:t>24.</w:t>
      </w:r>
      <w:r w:rsidRPr="00A234A9">
        <w:tab/>
        <w:t>Christopoulou R, Lillard DR. Is Smoking Behavior Culturally Determined? Evidence from British Immigrants. J Econ Behav Organ. 2015;110:78-90.</w:t>
      </w:r>
      <w:bookmarkEnd w:id="35"/>
    </w:p>
    <w:p w14:paraId="7FFF5098" w14:textId="77777777" w:rsidR="0097295A" w:rsidRPr="00A234A9" w:rsidRDefault="0097295A" w:rsidP="0097295A">
      <w:pPr>
        <w:pStyle w:val="EndNoteBibliography"/>
        <w:spacing w:after="120"/>
      </w:pPr>
      <w:bookmarkStart w:id="36" w:name="_ENREF_25"/>
      <w:r w:rsidRPr="00A234A9">
        <w:t>25.</w:t>
      </w:r>
      <w:r w:rsidRPr="00A234A9">
        <w:tab/>
        <w:t>Sansone G, Fong GT, Hall PA, Guignard R, Beck F, Mons U, et al. Time perspective as a predictor of smoking status: findings from the International Tobacco Control (ITC) Surveys in Scotland, France, Germany, China, and Malaysia. BMC Public Health. 2013;13:346.</w:t>
      </w:r>
      <w:bookmarkEnd w:id="36"/>
    </w:p>
    <w:p w14:paraId="00C3D614" w14:textId="77777777" w:rsidR="0097295A" w:rsidRPr="00A234A9" w:rsidRDefault="0097295A" w:rsidP="0097295A">
      <w:pPr>
        <w:pStyle w:val="EndNoteBibliography"/>
        <w:spacing w:after="120"/>
      </w:pPr>
      <w:bookmarkStart w:id="37" w:name="_ENREF_26"/>
      <w:r w:rsidRPr="00A234A9">
        <w:t>26.</w:t>
      </w:r>
      <w:r w:rsidRPr="00A234A9">
        <w:tab/>
        <w:t>Brigham J, Lessov-Schlaggar CN, Javitz HS, McElroy M, Krasnow R, Swan GE. Reliability of adult retrospective recall of lifetime tobacco use. Nicotine Tob Res. 2008;10(2):287-99.</w:t>
      </w:r>
      <w:bookmarkEnd w:id="37"/>
    </w:p>
    <w:p w14:paraId="73F85E4E" w14:textId="77777777" w:rsidR="0097295A" w:rsidRPr="00A234A9" w:rsidRDefault="0097295A" w:rsidP="0097295A">
      <w:pPr>
        <w:pStyle w:val="EndNoteBibliography"/>
        <w:spacing w:after="120"/>
      </w:pPr>
      <w:bookmarkStart w:id="38" w:name="_ENREF_27"/>
      <w:r w:rsidRPr="00A234A9">
        <w:t>27.</w:t>
      </w:r>
      <w:r w:rsidRPr="00A234A9">
        <w:tab/>
        <w:t>Brigham J, Lessov-Schlaggar CN, Javitz HS, Krasnow RE, McElroy M, Swan GE. Test-retest reliability of web-based retrospective self-report of tobacco exposure and risk. J Med Internet Res. 2009;11(3):e35.</w:t>
      </w:r>
      <w:bookmarkEnd w:id="38"/>
    </w:p>
    <w:p w14:paraId="1A46DA83" w14:textId="77777777" w:rsidR="0097295A" w:rsidRPr="00A234A9" w:rsidRDefault="0097295A" w:rsidP="0097295A">
      <w:pPr>
        <w:pStyle w:val="EndNoteBibliography"/>
        <w:spacing w:after="120"/>
      </w:pPr>
      <w:bookmarkStart w:id="39" w:name="_ENREF_28"/>
      <w:r w:rsidRPr="00A234A9">
        <w:t>28.</w:t>
      </w:r>
      <w:r w:rsidRPr="00A234A9">
        <w:tab/>
        <w:t>Brigham J, Lessov-Schlaggar CN, Javitz HS, Krasnow RE, Tildesley E, Andrews J, et al. Validity of recall of tobacco use in two prospective cohorts. American journal of epidemiology. 2010;172(7):828-35.</w:t>
      </w:r>
      <w:bookmarkEnd w:id="39"/>
    </w:p>
    <w:p w14:paraId="2B39A27E" w14:textId="77777777" w:rsidR="0097295A" w:rsidRPr="00A234A9" w:rsidRDefault="0097295A" w:rsidP="0097295A">
      <w:pPr>
        <w:pStyle w:val="EndNoteBibliography"/>
        <w:spacing w:after="120"/>
      </w:pPr>
      <w:bookmarkStart w:id="40" w:name="_ENREF_29"/>
      <w:r w:rsidRPr="00A234A9">
        <w:t>29.</w:t>
      </w:r>
      <w:r w:rsidRPr="00A234A9">
        <w:tab/>
        <w:t>Colby SM, Clark MA, Rogers ML, Ramsey S, Graham AL, Boergers J, et al. Development and reliability of the lifetime interview on smoking trajectories. Nicotine &amp; tobacco research : official journal of the Society for Research on Nicotine and Tobacco. 2012;14(3):290-8.</w:t>
      </w:r>
      <w:bookmarkEnd w:id="40"/>
    </w:p>
    <w:p w14:paraId="5D1B7983" w14:textId="77777777" w:rsidR="0097295A" w:rsidRPr="00A234A9" w:rsidRDefault="0097295A" w:rsidP="0097295A">
      <w:pPr>
        <w:pStyle w:val="EndNoteBibliography"/>
        <w:spacing w:after="120"/>
      </w:pPr>
      <w:bookmarkStart w:id="41" w:name="_ENREF_30"/>
      <w:r w:rsidRPr="00A234A9">
        <w:t>30.</w:t>
      </w:r>
      <w:r w:rsidRPr="00A234A9">
        <w:tab/>
        <w:t>Grant BF, Dawson DA, Stinson FS, Chou PS, Kay W, Pickering R. The Alcohol Use Disorder and Associated Disabilities Interview Schedule-IV (AUDADIS-IV): reliability of alcohol consumption, tobacco use, family history of depression and psychiatric diagnostic modules in a general population sample. Drug Alcohol Depend. 2003;71(1):7-16.</w:t>
      </w:r>
      <w:bookmarkEnd w:id="41"/>
    </w:p>
    <w:p w14:paraId="02118A35" w14:textId="77777777" w:rsidR="0097295A" w:rsidRPr="00A234A9" w:rsidRDefault="0097295A" w:rsidP="0097295A">
      <w:pPr>
        <w:pStyle w:val="EndNoteBibliography"/>
        <w:spacing w:after="120"/>
      </w:pPr>
      <w:bookmarkStart w:id="42" w:name="_ENREF_31"/>
      <w:r w:rsidRPr="00A234A9">
        <w:t>31.</w:t>
      </w:r>
      <w:r w:rsidRPr="00A234A9">
        <w:tab/>
        <w:t>Johnson TP, Mott JA. The reliability of self-reported age of onset of tobacco, alcohol and illicit drug use. Addiction. 2001;96(8):1187-98.</w:t>
      </w:r>
      <w:bookmarkEnd w:id="42"/>
    </w:p>
    <w:p w14:paraId="75EFD124" w14:textId="77777777" w:rsidR="0097295A" w:rsidRPr="00A234A9" w:rsidRDefault="0097295A" w:rsidP="0097295A">
      <w:pPr>
        <w:pStyle w:val="EndNoteBibliography"/>
        <w:spacing w:after="120"/>
      </w:pPr>
      <w:bookmarkStart w:id="43" w:name="_ENREF_32"/>
      <w:r w:rsidRPr="00A234A9">
        <w:t>32.</w:t>
      </w:r>
      <w:r w:rsidRPr="00A234A9">
        <w:tab/>
        <w:t>Soulakova JN, Hartman AM, Liu B, Willis GB, Augustine S. Reliability of adult self-reported smoking history: data from the tobacco use supplement to the current population survey 2002-2003 cohort. Nicotine Tob Res. 2012;14(8):952-60.</w:t>
      </w:r>
      <w:bookmarkEnd w:id="43"/>
    </w:p>
    <w:p w14:paraId="0C3753A3" w14:textId="77777777" w:rsidR="0097295A" w:rsidRPr="00A234A9" w:rsidRDefault="0097295A" w:rsidP="0097295A">
      <w:pPr>
        <w:pStyle w:val="EndNoteBibliography"/>
        <w:spacing w:after="120"/>
      </w:pPr>
      <w:bookmarkStart w:id="44" w:name="_ENREF_33"/>
      <w:r w:rsidRPr="00A234A9">
        <w:lastRenderedPageBreak/>
        <w:t>33.</w:t>
      </w:r>
      <w:r w:rsidRPr="00A234A9">
        <w:tab/>
        <w:t>Soulakova JN, Bright BC, Crockett LJ. On Consistency of Self- and Proxy-reported Regular Smoking Initiation Age. J Subst Abus Alcohol. 2013;1(1):1001-.</w:t>
      </w:r>
      <w:bookmarkEnd w:id="44"/>
    </w:p>
    <w:p w14:paraId="41903A81" w14:textId="77777777" w:rsidR="0097295A" w:rsidRPr="00A234A9" w:rsidRDefault="0097295A" w:rsidP="0097295A">
      <w:pPr>
        <w:pStyle w:val="EndNoteBibliography"/>
        <w:spacing w:after="120"/>
      </w:pPr>
      <w:bookmarkStart w:id="45" w:name="_ENREF_34"/>
      <w:r w:rsidRPr="00A234A9">
        <w:t>34.</w:t>
      </w:r>
      <w:r w:rsidRPr="00A234A9">
        <w:tab/>
        <w:t>Hwang JH, Park SW. Age at smoking initiation and subsequent smoking among Korean adolescent smokers. Journal of preventive medicine and public health = Yebang Uihakhoe chi. 2014;47(5):266-72.</w:t>
      </w:r>
      <w:bookmarkEnd w:id="45"/>
    </w:p>
    <w:p w14:paraId="552139BC" w14:textId="77777777" w:rsidR="0097295A" w:rsidRPr="00A234A9" w:rsidRDefault="0097295A" w:rsidP="0097295A">
      <w:pPr>
        <w:pStyle w:val="EndNoteBibliography"/>
        <w:spacing w:after="120"/>
      </w:pPr>
      <w:bookmarkStart w:id="46" w:name="_ENREF_35"/>
      <w:r w:rsidRPr="00A234A9">
        <w:t>35.</w:t>
      </w:r>
      <w:r w:rsidRPr="00A234A9">
        <w:tab/>
        <w:t>Kendler KS, Myers J, Damaj MI, Chen X. Early smoking onset and risk for subsequent nicotine dependence: a monozygotic co-twin control study. Am J Psychiatry. 2013;170(4):408-13.</w:t>
      </w:r>
      <w:bookmarkEnd w:id="46"/>
    </w:p>
    <w:p w14:paraId="76B0B716" w14:textId="77777777" w:rsidR="0097295A" w:rsidRPr="00A234A9" w:rsidRDefault="0097295A" w:rsidP="0097295A">
      <w:pPr>
        <w:pStyle w:val="EndNoteBibliography"/>
        <w:spacing w:after="120"/>
      </w:pPr>
      <w:bookmarkStart w:id="47" w:name="_ENREF_36"/>
      <w:r w:rsidRPr="00A234A9">
        <w:t>36.</w:t>
      </w:r>
      <w:r w:rsidRPr="00A234A9">
        <w:tab/>
        <w:t>Blank MD, Breland AB, Enlow PT, Duncan C, Metzger A, Cobb CO. Measurement of Smoking Behavior: Comparison of Self-Reports, Returned Cigarette Butts, and Toxicant Levels. Exp Clin Psychopharmacol. 2016.</w:t>
      </w:r>
      <w:bookmarkEnd w:id="47"/>
    </w:p>
    <w:p w14:paraId="746CC65E" w14:textId="77777777" w:rsidR="0097295A" w:rsidRPr="00A234A9" w:rsidRDefault="0097295A" w:rsidP="0097295A">
      <w:pPr>
        <w:pStyle w:val="EndNoteBibliography"/>
        <w:spacing w:after="120"/>
      </w:pPr>
      <w:bookmarkStart w:id="48" w:name="_ENREF_37"/>
      <w:r w:rsidRPr="00A234A9">
        <w:t>37.</w:t>
      </w:r>
      <w:r w:rsidRPr="00A234A9">
        <w:tab/>
        <w:t>Brener ND, Kann L, McManus T, Kinchen SA, Sundberg EC, Ross JG. Reliability of the 1999 youth risk behavior survey questionnaire. J Adolesc Health. 2002;31(4):336-42.</w:t>
      </w:r>
      <w:bookmarkEnd w:id="48"/>
    </w:p>
    <w:p w14:paraId="0C02FC43" w14:textId="77777777" w:rsidR="0097295A" w:rsidRPr="00A234A9" w:rsidRDefault="0097295A" w:rsidP="0097295A">
      <w:pPr>
        <w:pStyle w:val="EndNoteBibliography"/>
        <w:spacing w:after="120"/>
      </w:pPr>
      <w:bookmarkStart w:id="49" w:name="_ENREF_38"/>
      <w:r w:rsidRPr="00A234A9">
        <w:t>38.</w:t>
      </w:r>
      <w:r w:rsidRPr="00A234A9">
        <w:tab/>
        <w:t>Borland R, Yong HH, O'Connor RJ, Hyland A, Thompson ME. The reliability and predictive validity of the Heaviness of Smoking Index and its two components: findings from the International Tobacco Control Four Country study. Nicotine Tob Res. 2010;12 Suppl:S45-50.</w:t>
      </w:r>
      <w:bookmarkEnd w:id="49"/>
    </w:p>
    <w:p w14:paraId="69945068" w14:textId="77777777" w:rsidR="0097295A" w:rsidRPr="00A234A9" w:rsidRDefault="0097295A" w:rsidP="0097295A">
      <w:pPr>
        <w:pStyle w:val="EndNoteBibliography"/>
        <w:spacing w:after="120"/>
      </w:pPr>
      <w:bookmarkStart w:id="50" w:name="_ENREF_39"/>
      <w:r w:rsidRPr="00A234A9">
        <w:t>39.</w:t>
      </w:r>
      <w:r w:rsidRPr="00A234A9">
        <w:tab/>
        <w:t>Eppel A, O'Loughlin J, Paradis G, Platt R. Reliability of self-reports of cigarette use in novice smokers. Addict Behav. 2006;31(9):1700-4.</w:t>
      </w:r>
      <w:bookmarkEnd w:id="50"/>
    </w:p>
    <w:p w14:paraId="79DD9D37" w14:textId="77777777" w:rsidR="0097295A" w:rsidRPr="00A234A9" w:rsidRDefault="0097295A" w:rsidP="0097295A">
      <w:pPr>
        <w:pStyle w:val="EndNoteBibliography"/>
        <w:spacing w:after="120"/>
      </w:pPr>
      <w:bookmarkStart w:id="51" w:name="_ENREF_40"/>
      <w:r w:rsidRPr="00A234A9">
        <w:t>40.</w:t>
      </w:r>
      <w:r w:rsidRPr="00A234A9">
        <w:tab/>
        <w:t>Huerta M, Chodick G, Balicer RD, Davidovitch N, Grotto I. Reliability of self-reported smoking history and age at initial tobacco use. Preventive Medicine. 2005;41(2):646-50.</w:t>
      </w:r>
      <w:bookmarkEnd w:id="51"/>
    </w:p>
    <w:p w14:paraId="45E5355A" w14:textId="77777777" w:rsidR="0097295A" w:rsidRPr="00A234A9" w:rsidRDefault="0097295A" w:rsidP="0097295A">
      <w:pPr>
        <w:pStyle w:val="EndNoteBibliography"/>
        <w:spacing w:after="120"/>
      </w:pPr>
      <w:bookmarkStart w:id="52" w:name="_ENREF_41"/>
      <w:r w:rsidRPr="00A234A9">
        <w:t>41.</w:t>
      </w:r>
      <w:r w:rsidRPr="00A234A9">
        <w:tab/>
        <w:t>Ramo DE, Hall SM, Prochaska JJ. Reliability and validity of self-reported smoking in an anonymous online survey with young adults. Health Psychol. 2011;30(6):693-701.</w:t>
      </w:r>
      <w:bookmarkEnd w:id="52"/>
    </w:p>
    <w:p w14:paraId="053C869B" w14:textId="77777777" w:rsidR="0097295A" w:rsidRPr="00A234A9" w:rsidRDefault="0097295A" w:rsidP="0097295A">
      <w:pPr>
        <w:pStyle w:val="EndNoteBibliography"/>
        <w:spacing w:after="120"/>
      </w:pPr>
      <w:bookmarkStart w:id="53" w:name="_ENREF_42"/>
      <w:r w:rsidRPr="00A234A9">
        <w:t>42.</w:t>
      </w:r>
      <w:r w:rsidRPr="00A234A9">
        <w:tab/>
        <w:t>Stanton WR, McClelland M, Elwood C, Ferry D, Silva PA. Prevalence, reliability and bias of adolescents' reports of smoking and quitting. Addiction. 1996;91(11):1705-14.</w:t>
      </w:r>
      <w:bookmarkEnd w:id="53"/>
    </w:p>
    <w:p w14:paraId="7E0491AA" w14:textId="77777777" w:rsidR="0097295A" w:rsidRPr="00A234A9" w:rsidRDefault="0097295A" w:rsidP="0097295A">
      <w:pPr>
        <w:pStyle w:val="EndNoteBibliography"/>
        <w:spacing w:after="120"/>
      </w:pPr>
      <w:bookmarkStart w:id="54" w:name="_ENREF_43"/>
      <w:r w:rsidRPr="00A234A9">
        <w:t>43.</w:t>
      </w:r>
      <w:r w:rsidRPr="00A234A9">
        <w:tab/>
        <w:t>Weinberger AH, Reutenauer EL, Allen TM, Termine A, Vessicchio JC, Sacco KA, et al. Reliability of the Fagerström Test for Nicotine Dependence, Minnesota Nicotine Withdrawal Scale, and Tiffany Questionnaire for Smoking Urges in Smokers with and without Schizophrenia. Drug and Alcohol Dependence. 2007;86(2):278-82.</w:t>
      </w:r>
      <w:bookmarkEnd w:id="54"/>
    </w:p>
    <w:p w14:paraId="10553127" w14:textId="77777777" w:rsidR="0097295A" w:rsidRPr="00A234A9" w:rsidRDefault="0097295A" w:rsidP="0097295A">
      <w:pPr>
        <w:pStyle w:val="EndNoteBibliography"/>
        <w:spacing w:after="120"/>
      </w:pPr>
      <w:bookmarkStart w:id="55" w:name="_ENREF_44"/>
      <w:r w:rsidRPr="00A234A9">
        <w:t>44.</w:t>
      </w:r>
      <w:r w:rsidRPr="00A234A9">
        <w:tab/>
        <w:t>Abrams DB, Follick MJ, Biener L, Carey KB, Hitti J. Saliva cotinine as a measure of smoking status in field settings. American journal of public health. 1987;77(7):846-8.</w:t>
      </w:r>
      <w:bookmarkEnd w:id="55"/>
    </w:p>
    <w:p w14:paraId="2F4B6B87" w14:textId="77777777" w:rsidR="0097295A" w:rsidRPr="00A234A9" w:rsidRDefault="0097295A" w:rsidP="0097295A">
      <w:pPr>
        <w:pStyle w:val="EndNoteBibliography"/>
        <w:spacing w:after="120"/>
      </w:pPr>
      <w:bookmarkStart w:id="56" w:name="_ENREF_45"/>
      <w:r w:rsidRPr="00A234A9">
        <w:t>45.</w:t>
      </w:r>
      <w:r w:rsidRPr="00A234A9">
        <w:tab/>
        <w:t>Rostron BL, Corey CG, Chang JT, van Bemmel DM, Miller ME, Chang CM. Associations of Cigarettes Smoked Per Day with Biomarkers of Exposure Among U.S. Adult Cigarette Smokers in the Population Assessment of Tobacco and Health (PATH) Study Wave 1 (2013–2014). Cancer Epidemiology Biomarkers &amp;amp;amp; Prevention. 2019;28(9):1443.</w:t>
      </w:r>
      <w:bookmarkEnd w:id="56"/>
    </w:p>
    <w:p w14:paraId="7B68E305" w14:textId="77777777" w:rsidR="0097295A" w:rsidRPr="00A234A9" w:rsidRDefault="0097295A" w:rsidP="0097295A">
      <w:pPr>
        <w:pStyle w:val="EndNoteBibliography"/>
        <w:spacing w:after="120"/>
      </w:pPr>
      <w:bookmarkStart w:id="57" w:name="_ENREF_46"/>
      <w:r w:rsidRPr="00A234A9">
        <w:t>46.</w:t>
      </w:r>
      <w:r w:rsidRPr="00A234A9">
        <w:tab/>
        <w:t>Alexander LA, Crawford T, Mendiondo MS. Occupational status, work-site cessation programs and policies and menthol smoking on quitting behaviors of US smokers. Addiction. 2010;105 Suppl 1:95-104.</w:t>
      </w:r>
      <w:bookmarkEnd w:id="57"/>
    </w:p>
    <w:p w14:paraId="01DA33E0" w14:textId="77777777" w:rsidR="0097295A" w:rsidRPr="00A234A9" w:rsidRDefault="0097295A" w:rsidP="0097295A">
      <w:pPr>
        <w:pStyle w:val="EndNoteBibliography"/>
        <w:spacing w:after="120"/>
      </w:pPr>
      <w:bookmarkStart w:id="58" w:name="_ENREF_47"/>
      <w:r w:rsidRPr="00A234A9">
        <w:t>47.</w:t>
      </w:r>
      <w:r w:rsidRPr="00A234A9">
        <w:tab/>
        <w:t>Allen B, Jr., Unger JB. Sociocultural correlates of menthol cigarette smoking among adult African Americans in Los Angeles. Nicotine Tob Res. 2007;9(4):447-51.</w:t>
      </w:r>
      <w:bookmarkEnd w:id="58"/>
    </w:p>
    <w:p w14:paraId="2B04D1FF" w14:textId="77777777" w:rsidR="0097295A" w:rsidRPr="00A234A9" w:rsidRDefault="0097295A" w:rsidP="0097295A">
      <w:pPr>
        <w:pStyle w:val="EndNoteBibliography"/>
        <w:spacing w:after="120"/>
      </w:pPr>
      <w:bookmarkStart w:id="59" w:name="_ENREF_48"/>
      <w:r w:rsidRPr="00A234A9">
        <w:t>48.</w:t>
      </w:r>
      <w:r w:rsidRPr="00A234A9">
        <w:tab/>
        <w:t>Benowitz NL, Dains KM, Dempsey D, Havel C, Wilson M, Jacob P, 3rd. Urine menthol as a biomarker of mentholated cigarette smoking. Cancer Epidemiol Biomarkers Prev. 2010;19(12):3013-9.</w:t>
      </w:r>
      <w:bookmarkEnd w:id="59"/>
    </w:p>
    <w:p w14:paraId="72F8F143" w14:textId="77777777" w:rsidR="0097295A" w:rsidRPr="00A234A9" w:rsidRDefault="0097295A" w:rsidP="0097295A">
      <w:pPr>
        <w:pStyle w:val="EndNoteBibliography"/>
        <w:spacing w:after="120"/>
      </w:pPr>
      <w:bookmarkStart w:id="60" w:name="_ENREF_49"/>
      <w:r w:rsidRPr="00A234A9">
        <w:lastRenderedPageBreak/>
        <w:t>49.</w:t>
      </w:r>
      <w:r w:rsidRPr="00A234A9">
        <w:tab/>
        <w:t>Caraballo RS, Asman K. Epidemiology of menthol cigarette use in the United States. Tob Induc Dis. 2011;9 Suppl 1:S1.</w:t>
      </w:r>
      <w:bookmarkEnd w:id="60"/>
    </w:p>
    <w:p w14:paraId="534C8F13" w14:textId="77777777" w:rsidR="0097295A" w:rsidRPr="00A234A9" w:rsidRDefault="0097295A" w:rsidP="0097295A">
      <w:pPr>
        <w:pStyle w:val="EndNoteBibliography"/>
        <w:spacing w:after="120"/>
      </w:pPr>
      <w:bookmarkStart w:id="61" w:name="_ENREF_50"/>
      <w:r w:rsidRPr="00A234A9">
        <w:t>50.</w:t>
      </w:r>
      <w:r w:rsidRPr="00A234A9">
        <w:tab/>
        <w:t>Cubbin C, Soobader MJ, LeClere FB. The intersection of gender and race/ethnicity in smoking behaviors among menthol and non-menthol smokers in the United States. Addiction. 2010;105 Suppl 1:32-8.</w:t>
      </w:r>
      <w:bookmarkEnd w:id="61"/>
    </w:p>
    <w:p w14:paraId="3B19AFEF" w14:textId="77777777" w:rsidR="0097295A" w:rsidRPr="00A234A9" w:rsidRDefault="0097295A" w:rsidP="0097295A">
      <w:pPr>
        <w:pStyle w:val="EndNoteBibliography"/>
        <w:spacing w:after="120"/>
      </w:pPr>
      <w:bookmarkStart w:id="62" w:name="_ENREF_51"/>
      <w:r w:rsidRPr="00A234A9">
        <w:t>51.</w:t>
      </w:r>
      <w:r w:rsidRPr="00A234A9">
        <w:tab/>
        <w:t>Curtin GM, Sulsky SI, Van Landingham C, Marano K, Graves MJ, Ogden MW, et al. Measures of initiation and progression to increased smoking among current menthol compared to non-menthol cigarette smokers based on data from four U.S. government surveys. Regul Toxicol Pharmacol. 2014;70(2):446-56.</w:t>
      </w:r>
      <w:bookmarkEnd w:id="62"/>
    </w:p>
    <w:p w14:paraId="637F2A1B" w14:textId="77777777" w:rsidR="0097295A" w:rsidRPr="00A234A9" w:rsidRDefault="0097295A" w:rsidP="0097295A">
      <w:pPr>
        <w:pStyle w:val="EndNoteBibliography"/>
        <w:spacing w:after="120"/>
      </w:pPr>
      <w:bookmarkStart w:id="63" w:name="_ENREF_52"/>
      <w:r w:rsidRPr="00A234A9">
        <w:t>52.</w:t>
      </w:r>
      <w:r w:rsidRPr="00A234A9">
        <w:tab/>
        <w:t>Curtin GM, Sulsky SI, Van Landingham C, Marano KM, Graves MJ, Ogden MW, et al. Patterns of menthol cigarette use among current smokers, overall and within demographic strata, based on data from four U.S. government surveys. Regul Toxicol Pharmacol. 2014;70(1):189-96.</w:t>
      </w:r>
      <w:bookmarkEnd w:id="63"/>
    </w:p>
    <w:p w14:paraId="207F3630" w14:textId="77777777" w:rsidR="0097295A" w:rsidRPr="00A234A9" w:rsidRDefault="0097295A" w:rsidP="0097295A">
      <w:pPr>
        <w:pStyle w:val="EndNoteBibliography"/>
        <w:spacing w:after="120"/>
      </w:pPr>
      <w:bookmarkStart w:id="64" w:name="_ENREF_53"/>
      <w:r w:rsidRPr="00A234A9">
        <w:t>53.</w:t>
      </w:r>
      <w:r w:rsidRPr="00A234A9">
        <w:tab/>
        <w:t>Delnevo CD, Villanti AC, Wackowski OA, Gundersen DA, Giovenco DP. The influence of menthol, e-cigarettes and other tobacco products on young adults' self-reported changes in past year smoking. Tob Control. 2015.</w:t>
      </w:r>
      <w:bookmarkEnd w:id="64"/>
    </w:p>
    <w:p w14:paraId="4B4E83E3" w14:textId="77777777" w:rsidR="0097295A" w:rsidRPr="00A234A9" w:rsidRDefault="0097295A" w:rsidP="0097295A">
      <w:pPr>
        <w:pStyle w:val="EndNoteBibliography"/>
        <w:spacing w:after="120"/>
      </w:pPr>
      <w:bookmarkStart w:id="65" w:name="_ENREF_54"/>
      <w:r w:rsidRPr="00A234A9">
        <w:t>54.</w:t>
      </w:r>
      <w:r w:rsidRPr="00A234A9">
        <w:tab/>
        <w:t>DiFranza JR, Savageau JA, Fletcher K, Ockene JK, Rigotti NA, McNeill AD, et al. Recollections and repercussions of the first inhaled cigarette. Addictive Behaviors. 2004;29(2):261-72.</w:t>
      </w:r>
      <w:bookmarkEnd w:id="65"/>
    </w:p>
    <w:p w14:paraId="1E267B00" w14:textId="77777777" w:rsidR="0097295A" w:rsidRPr="00A234A9" w:rsidRDefault="0097295A" w:rsidP="0097295A">
      <w:pPr>
        <w:pStyle w:val="EndNoteBibliography"/>
        <w:spacing w:after="120"/>
      </w:pPr>
      <w:bookmarkStart w:id="66" w:name="_ENREF_55"/>
      <w:r w:rsidRPr="00A234A9">
        <w:t>55.</w:t>
      </w:r>
      <w:r w:rsidRPr="00A234A9">
        <w:tab/>
        <w:t>Fagan P, Pohkrel P, Herzog T, Pagano I, Vallone D, Trinidad DR, et al. Comparisons of three nicotine dependence scales in a multiethnic sample of young adult menthol and non-menthol smokers. Drug Alcohol Depend. 2015;149:203-11.</w:t>
      </w:r>
      <w:bookmarkEnd w:id="66"/>
    </w:p>
    <w:p w14:paraId="4549792E" w14:textId="77777777" w:rsidR="0097295A" w:rsidRPr="00A234A9" w:rsidRDefault="0097295A" w:rsidP="0097295A">
      <w:pPr>
        <w:pStyle w:val="EndNoteBibliography"/>
        <w:spacing w:after="120"/>
      </w:pPr>
      <w:bookmarkStart w:id="67" w:name="_ENREF_56"/>
      <w:r w:rsidRPr="00A234A9">
        <w:t>56.</w:t>
      </w:r>
      <w:r w:rsidRPr="00A234A9">
        <w:tab/>
        <w:t>Fagan P, Pokhrel P, Herzog TA, Pagano IS, Franke AA, Clanton MS, et al. Nicotine Metabolism in Young Adult Daily Menthol and Nonmenthol Smokers. Nicotine Tob Res. 2016;18(4):437-46.</w:t>
      </w:r>
      <w:bookmarkEnd w:id="67"/>
    </w:p>
    <w:p w14:paraId="2EBAACCF" w14:textId="77777777" w:rsidR="0097295A" w:rsidRPr="00A234A9" w:rsidRDefault="0097295A" w:rsidP="0097295A">
      <w:pPr>
        <w:pStyle w:val="EndNoteBibliography"/>
        <w:spacing w:after="120"/>
      </w:pPr>
      <w:bookmarkStart w:id="68" w:name="_ENREF_57"/>
      <w:r w:rsidRPr="00A234A9">
        <w:t>57.</w:t>
      </w:r>
      <w:r w:rsidRPr="00A234A9">
        <w:tab/>
        <w:t>Fagan P, Moolchan ET, Hart A, Jr., Rose A, Lawrence D, Shavers VL, et al. Nicotine dependence and quitting behaviors among menthol and non-menthol smokers with similar consumptive patterns. Addiction. 2010;105 Suppl 1:55-74.</w:t>
      </w:r>
      <w:bookmarkEnd w:id="68"/>
    </w:p>
    <w:p w14:paraId="4A844589" w14:textId="77777777" w:rsidR="0097295A" w:rsidRPr="00A234A9" w:rsidRDefault="0097295A" w:rsidP="0097295A">
      <w:pPr>
        <w:pStyle w:val="EndNoteBibliography"/>
        <w:spacing w:after="120"/>
      </w:pPr>
      <w:bookmarkStart w:id="69" w:name="_ENREF_58"/>
      <w:r w:rsidRPr="00A234A9">
        <w:t>58.</w:t>
      </w:r>
      <w:r w:rsidRPr="00A234A9">
        <w:tab/>
        <w:t>Faseru B, Choi WS, Krebill R, Mayo MS, Nollen NL, Okuyemi KS, et al. Factors associated with smoking menthol cigarettes among treatment-seeking African American light smokers. Addict Behav. 2011;36(12):1321-4.</w:t>
      </w:r>
      <w:bookmarkEnd w:id="69"/>
    </w:p>
    <w:p w14:paraId="4F6C656C" w14:textId="77777777" w:rsidR="0097295A" w:rsidRPr="00A234A9" w:rsidRDefault="0097295A" w:rsidP="0097295A">
      <w:pPr>
        <w:pStyle w:val="EndNoteBibliography"/>
        <w:spacing w:after="120"/>
      </w:pPr>
      <w:bookmarkStart w:id="70" w:name="_ENREF_59"/>
      <w:r w:rsidRPr="00A234A9">
        <w:t>59.</w:t>
      </w:r>
      <w:r w:rsidRPr="00A234A9">
        <w:tab/>
        <w:t>Faseru B, Nollen NL, Mayo MS, Krebill R, Choi WS, Benowitz NL, et al. Predictors of cessation in African American light smokers enrolled in a bupropion clinical trial. Addict Behav. 2013;38(3):1796-803.</w:t>
      </w:r>
      <w:bookmarkEnd w:id="70"/>
    </w:p>
    <w:p w14:paraId="0C7BB31C" w14:textId="77777777" w:rsidR="0097295A" w:rsidRPr="00A234A9" w:rsidRDefault="0097295A" w:rsidP="0097295A">
      <w:pPr>
        <w:pStyle w:val="EndNoteBibliography"/>
        <w:spacing w:after="120"/>
      </w:pPr>
      <w:bookmarkStart w:id="71" w:name="_ENREF_60"/>
      <w:r w:rsidRPr="00A234A9">
        <w:t>60.</w:t>
      </w:r>
      <w:r w:rsidRPr="00A234A9">
        <w:tab/>
        <w:t>Fernander A, Rayens MK, Zhang M, Adkins S. Are age of smoking initiation and purchasing patterns associated with menthol smoking? Addiction. 2010;105 Suppl 1:39-45.</w:t>
      </w:r>
      <w:bookmarkEnd w:id="71"/>
    </w:p>
    <w:p w14:paraId="0092E89B" w14:textId="77777777" w:rsidR="0097295A" w:rsidRPr="00A234A9" w:rsidRDefault="0097295A" w:rsidP="0097295A">
      <w:pPr>
        <w:pStyle w:val="EndNoteBibliography"/>
        <w:spacing w:after="120"/>
      </w:pPr>
      <w:bookmarkStart w:id="72" w:name="_ENREF_61"/>
      <w:r w:rsidRPr="00A234A9">
        <w:t>61.</w:t>
      </w:r>
      <w:r w:rsidRPr="00A234A9">
        <w:tab/>
        <w:t>Gandhi KK, Foulds J, Steinberg MB, Lu SE, Williams JM. Lower quit rates among African American and Latino menthol cigarette smokers at a tobacco treatment clinic. Int J Clin Pract. 2009;63(3):360-7.</w:t>
      </w:r>
      <w:bookmarkEnd w:id="72"/>
    </w:p>
    <w:p w14:paraId="1EF234F6" w14:textId="77777777" w:rsidR="0097295A" w:rsidRPr="00A234A9" w:rsidRDefault="0097295A" w:rsidP="0097295A">
      <w:pPr>
        <w:pStyle w:val="EndNoteBibliography"/>
        <w:spacing w:after="120"/>
      </w:pPr>
      <w:bookmarkStart w:id="73" w:name="_ENREF_62"/>
      <w:r w:rsidRPr="00A234A9">
        <w:t>62.</w:t>
      </w:r>
      <w:r w:rsidRPr="00A234A9">
        <w:tab/>
        <w:t>Giovino GA, Villanti AC, Mowery PD, Sevilimedu V, Niaura RS, Vallone DM, et al. Differential trends in cigarette smoking in the USA: is menthol slowing progress? Tob Control. 2015;24(1):28-37.</w:t>
      </w:r>
      <w:bookmarkEnd w:id="73"/>
    </w:p>
    <w:p w14:paraId="4CE6931D" w14:textId="77777777" w:rsidR="0097295A" w:rsidRPr="00A234A9" w:rsidRDefault="0097295A" w:rsidP="0097295A">
      <w:pPr>
        <w:pStyle w:val="EndNoteBibliography"/>
        <w:spacing w:after="120"/>
      </w:pPr>
      <w:bookmarkStart w:id="74" w:name="_ENREF_63"/>
      <w:r w:rsidRPr="00A234A9">
        <w:t>63.</w:t>
      </w:r>
      <w:r w:rsidRPr="00A234A9">
        <w:tab/>
        <w:t>Hersey JC, Nonnemaker J, Homsi G, Allen J. Menthol cigarettes, saliva cotinine, and nicotine dependence in adolescents. 2010.</w:t>
      </w:r>
      <w:bookmarkEnd w:id="74"/>
    </w:p>
    <w:p w14:paraId="44A6AB65" w14:textId="77777777" w:rsidR="0097295A" w:rsidRPr="00A234A9" w:rsidRDefault="0097295A" w:rsidP="0097295A">
      <w:pPr>
        <w:pStyle w:val="EndNoteBibliography"/>
        <w:spacing w:after="120"/>
      </w:pPr>
      <w:bookmarkStart w:id="75" w:name="_ENREF_64"/>
      <w:r w:rsidRPr="00A234A9">
        <w:t>64.</w:t>
      </w:r>
      <w:r w:rsidRPr="00A234A9">
        <w:tab/>
        <w:t>Hersey JC, Ng SW, Nonnemaker JM, Mowery P, Thomas KY, Vilsaint MC, et al. Are menthol cigarettes a starter product for youth? Nicotine Tob Res. 2006;8(3):403-13.</w:t>
      </w:r>
      <w:bookmarkEnd w:id="75"/>
    </w:p>
    <w:p w14:paraId="490A1A68" w14:textId="77777777" w:rsidR="0097295A" w:rsidRPr="00A234A9" w:rsidRDefault="0097295A" w:rsidP="0097295A">
      <w:pPr>
        <w:pStyle w:val="EndNoteBibliography"/>
        <w:spacing w:after="120"/>
      </w:pPr>
      <w:bookmarkStart w:id="76" w:name="_ENREF_65"/>
      <w:r w:rsidRPr="00A234A9">
        <w:lastRenderedPageBreak/>
        <w:t>65.</w:t>
      </w:r>
      <w:r w:rsidRPr="00A234A9">
        <w:tab/>
        <w:t>Hyland A, Garten S, Giovino GA, Cummings KM. Mentholated cigarettes and smoking cessation: Findings from COMMIT. Tob Control. 2002;11:135-9.</w:t>
      </w:r>
      <w:bookmarkEnd w:id="76"/>
    </w:p>
    <w:p w14:paraId="23A3E405" w14:textId="77777777" w:rsidR="0097295A" w:rsidRPr="00A234A9" w:rsidRDefault="0097295A" w:rsidP="0097295A">
      <w:pPr>
        <w:pStyle w:val="EndNoteBibliography"/>
        <w:spacing w:after="120"/>
      </w:pPr>
      <w:bookmarkStart w:id="77" w:name="_ENREF_66"/>
      <w:r w:rsidRPr="00A234A9">
        <w:t>66.</w:t>
      </w:r>
      <w:r w:rsidRPr="00A234A9">
        <w:tab/>
        <w:t>Hyland A, Rivard C. Analysis of mentholated cigarettes using the COMMIT data -- summary. Department of Health Behavior, Roswell Park Cancer Institute; 2010.</w:t>
      </w:r>
      <w:bookmarkEnd w:id="77"/>
    </w:p>
    <w:p w14:paraId="616F5E4B" w14:textId="77777777" w:rsidR="0097295A" w:rsidRPr="00A234A9" w:rsidRDefault="0097295A" w:rsidP="0097295A">
      <w:pPr>
        <w:pStyle w:val="EndNoteBibliography"/>
        <w:spacing w:after="120"/>
      </w:pPr>
      <w:bookmarkStart w:id="78" w:name="_ENREF_67"/>
      <w:r w:rsidRPr="00A234A9">
        <w:t>67.</w:t>
      </w:r>
      <w:r w:rsidRPr="00A234A9">
        <w:tab/>
        <w:t>Jain RB. Trends in serum cotinine concentrations among daily cigarette smokers: data from NHANES 1999-2010. Sci Total Environ. 2014;472:72-7.</w:t>
      </w:r>
      <w:bookmarkEnd w:id="78"/>
    </w:p>
    <w:p w14:paraId="08815238" w14:textId="77777777" w:rsidR="0097295A" w:rsidRPr="00A234A9" w:rsidRDefault="0097295A" w:rsidP="0097295A">
      <w:pPr>
        <w:pStyle w:val="EndNoteBibliography"/>
        <w:spacing w:after="120"/>
      </w:pPr>
      <w:bookmarkStart w:id="79" w:name="_ENREF_68"/>
      <w:r w:rsidRPr="00A234A9">
        <w:t>68.</w:t>
      </w:r>
      <w:r w:rsidRPr="00A234A9">
        <w:tab/>
        <w:t>Jones MR, Apelberg BJ, Tellez-Plaza M, Samet JM, Navas-Acien A. Menthol cigarettes, race/ethnicity, and biomarkers of tobacco use in U.S. adults: the 1999-2010 National Health and Nutrition Examination Survey (NHANES). Cancer Epidemiol Biomarkers Prev. 2013;22(2):224-32.</w:t>
      </w:r>
      <w:bookmarkEnd w:id="79"/>
    </w:p>
    <w:p w14:paraId="643BE231" w14:textId="77777777" w:rsidR="0097295A" w:rsidRPr="00A234A9" w:rsidRDefault="0097295A" w:rsidP="0097295A">
      <w:pPr>
        <w:pStyle w:val="EndNoteBibliography"/>
        <w:spacing w:after="120"/>
      </w:pPr>
      <w:bookmarkStart w:id="80" w:name="_ENREF_69"/>
      <w:r w:rsidRPr="00A234A9">
        <w:t>69.</w:t>
      </w:r>
      <w:r w:rsidRPr="00A234A9">
        <w:tab/>
        <w:t>Kasza KA, Hyland AJ, Bansal-Travers M, Vogl LM, Chen J, Evans SE, et al. Switching between menthol and nonmenthol cigarettes: findings from the U.S. Cohort of the International Tobacco Control Four Country Survey. Nicotine Tob Res. 2014;16(9):1255-65.</w:t>
      </w:r>
      <w:bookmarkEnd w:id="80"/>
    </w:p>
    <w:p w14:paraId="68616650" w14:textId="77777777" w:rsidR="0097295A" w:rsidRPr="00A234A9" w:rsidRDefault="0097295A" w:rsidP="0097295A">
      <w:pPr>
        <w:pStyle w:val="EndNoteBibliography"/>
        <w:spacing w:after="120"/>
      </w:pPr>
      <w:bookmarkStart w:id="81" w:name="_ENREF_70"/>
      <w:r w:rsidRPr="00A234A9">
        <w:t>70.</w:t>
      </w:r>
      <w:r w:rsidRPr="00A234A9">
        <w:tab/>
        <w:t>Lawrence D, Rose A, Fagan P, Moolchan ET, Gibson JT, Backinger CL. National patterns and correlates of mentholated cigarette use in the United States. Addiction. 2010;105 Suppl 1:13-31.</w:t>
      </w:r>
      <w:bookmarkEnd w:id="81"/>
    </w:p>
    <w:p w14:paraId="7B9EF635" w14:textId="77777777" w:rsidR="0097295A" w:rsidRPr="00A234A9" w:rsidRDefault="0097295A" w:rsidP="0097295A">
      <w:pPr>
        <w:pStyle w:val="EndNoteBibliography"/>
        <w:spacing w:after="120"/>
      </w:pPr>
      <w:bookmarkStart w:id="82" w:name="_ENREF_71"/>
      <w:r w:rsidRPr="00A234A9">
        <w:t>71.</w:t>
      </w:r>
      <w:r w:rsidRPr="00A234A9">
        <w:tab/>
        <w:t>Muilenburg JL, Legge JS, Jr. African American adolescents and menthol cigarettes: smoking behavior among secondary school students. J Adolesc Health. 2008;43(6):570-5.</w:t>
      </w:r>
      <w:bookmarkEnd w:id="82"/>
    </w:p>
    <w:p w14:paraId="1C5845B8" w14:textId="77777777" w:rsidR="0097295A" w:rsidRPr="00A234A9" w:rsidRDefault="0097295A" w:rsidP="0097295A">
      <w:pPr>
        <w:pStyle w:val="EndNoteBibliography"/>
        <w:spacing w:after="120"/>
      </w:pPr>
      <w:bookmarkStart w:id="83" w:name="_ENREF_72"/>
      <w:r w:rsidRPr="00A234A9">
        <w:t>72.</w:t>
      </w:r>
      <w:r w:rsidRPr="00A234A9">
        <w:tab/>
        <w:t>Nonnemaker J, Hersey J, Homsi G, Busey A, Allen J, Vallone D. Initiation with menthol cigarettes and youth smoking uptake. Addiction. 2012;108(1):171-8.</w:t>
      </w:r>
      <w:bookmarkEnd w:id="83"/>
    </w:p>
    <w:p w14:paraId="01775E11" w14:textId="77777777" w:rsidR="0097295A" w:rsidRPr="00A234A9" w:rsidRDefault="0097295A" w:rsidP="0097295A">
      <w:pPr>
        <w:pStyle w:val="EndNoteBibliography"/>
        <w:spacing w:after="120"/>
      </w:pPr>
      <w:bookmarkStart w:id="84" w:name="_ENREF_73"/>
      <w:r w:rsidRPr="00A234A9">
        <w:t>73.</w:t>
      </w:r>
      <w:r w:rsidRPr="00A234A9">
        <w:tab/>
        <w:t>Nonnemaker J, Hersey J, Homsi G, Busey A. Menthol cigarettes and youth smoking updake. RTI International; 2010.</w:t>
      </w:r>
      <w:bookmarkEnd w:id="84"/>
    </w:p>
    <w:p w14:paraId="5B606AD2" w14:textId="77777777" w:rsidR="0097295A" w:rsidRPr="00A234A9" w:rsidRDefault="0097295A" w:rsidP="0097295A">
      <w:pPr>
        <w:pStyle w:val="EndNoteBibliography"/>
        <w:spacing w:after="120"/>
      </w:pPr>
      <w:bookmarkStart w:id="85" w:name="_ENREF_74"/>
      <w:r w:rsidRPr="00A234A9">
        <w:t>74.</w:t>
      </w:r>
      <w:r w:rsidRPr="00A234A9">
        <w:tab/>
        <w:t>Okuyemi KS, Faseru B, Sanderson Cox L, Bronars CA, Ahluwalia JS. Relationship between menthol cigarettes and smoking cessation among African American light smokers. Addiction. 2007;102(12):1979-86.</w:t>
      </w:r>
      <w:bookmarkEnd w:id="85"/>
    </w:p>
    <w:p w14:paraId="1CEEE06C" w14:textId="77777777" w:rsidR="0097295A" w:rsidRPr="00A234A9" w:rsidRDefault="0097295A" w:rsidP="0097295A">
      <w:pPr>
        <w:pStyle w:val="EndNoteBibliography"/>
        <w:spacing w:after="120"/>
      </w:pPr>
      <w:bookmarkStart w:id="86" w:name="_ENREF_75"/>
      <w:r w:rsidRPr="00A234A9">
        <w:t>75.</w:t>
      </w:r>
      <w:r w:rsidRPr="00A234A9">
        <w:tab/>
        <w:t>Okuyemi KS, Ebersole-Robinson M, Nazir N, Ahluwalia JS. African-American menthol and nonmenthol smokers: Differences in smoking and cessation experiences. J Natl Med Assoc. 2004;96(9):1208-11.</w:t>
      </w:r>
      <w:bookmarkEnd w:id="86"/>
    </w:p>
    <w:p w14:paraId="13243DEB" w14:textId="77777777" w:rsidR="0097295A" w:rsidRPr="00A234A9" w:rsidRDefault="0097295A" w:rsidP="0097295A">
      <w:pPr>
        <w:pStyle w:val="EndNoteBibliography"/>
        <w:spacing w:after="120"/>
      </w:pPr>
      <w:bookmarkStart w:id="87" w:name="_ENREF_76"/>
      <w:r w:rsidRPr="00A234A9">
        <w:t>76.</w:t>
      </w:r>
      <w:r w:rsidRPr="00A234A9">
        <w:tab/>
        <w:t>Oncken C, Feinn R, Covault J, Duffy V, Dornelas E, Kranzler HR, et al. Genetic Vulnerability to Menthol Cigarette Preference in Women. Nicotine Tob Res. 2015;17(12):1416-20.</w:t>
      </w:r>
      <w:bookmarkEnd w:id="87"/>
    </w:p>
    <w:p w14:paraId="70681A10" w14:textId="77777777" w:rsidR="0097295A" w:rsidRPr="00A234A9" w:rsidRDefault="0097295A" w:rsidP="0097295A">
      <w:pPr>
        <w:pStyle w:val="EndNoteBibliography"/>
        <w:spacing w:after="120"/>
      </w:pPr>
      <w:bookmarkStart w:id="88" w:name="_ENREF_77"/>
      <w:r w:rsidRPr="00A234A9">
        <w:t>77.</w:t>
      </w:r>
      <w:r w:rsidRPr="00A234A9">
        <w:tab/>
        <w:t>Park SJ, Foreman MG, Demeo DL, Bhatt SP, Hansel NN, Wise RA, et al. Menthol cigarette smoking in the COPDGene cohort: relationship with COPD, comorbidities and CT metrics. Respirology. 2015;20(1):108-14.</w:t>
      </w:r>
      <w:bookmarkEnd w:id="88"/>
    </w:p>
    <w:p w14:paraId="64BCD2C5" w14:textId="77777777" w:rsidR="0097295A" w:rsidRPr="00A234A9" w:rsidRDefault="0097295A" w:rsidP="0097295A">
      <w:pPr>
        <w:pStyle w:val="EndNoteBibliography"/>
        <w:spacing w:after="120"/>
      </w:pPr>
      <w:bookmarkStart w:id="89" w:name="_ENREF_78"/>
      <w:r w:rsidRPr="00A234A9">
        <w:t>78.</w:t>
      </w:r>
      <w:r w:rsidRPr="00A234A9">
        <w:tab/>
        <w:t>Pletcher MJ, Hulley BJ, Houston T, Kiefe CI, Benowitz N, Sidney S. Menthol cigarettes, smoking cessation, atherosclerosis, and pulmonary function. Arch Intern Med. 2006;166:1915-22.</w:t>
      </w:r>
      <w:bookmarkEnd w:id="89"/>
    </w:p>
    <w:p w14:paraId="3AEEAC41" w14:textId="77777777" w:rsidR="0097295A" w:rsidRPr="00A234A9" w:rsidRDefault="0097295A" w:rsidP="0097295A">
      <w:pPr>
        <w:pStyle w:val="EndNoteBibliography"/>
        <w:spacing w:after="120"/>
      </w:pPr>
      <w:bookmarkStart w:id="90" w:name="_ENREF_79"/>
      <w:r w:rsidRPr="00A234A9">
        <w:t>79.</w:t>
      </w:r>
      <w:r w:rsidRPr="00A234A9">
        <w:tab/>
        <w:t>Rath JM, Villanti AC, Williams VF, Richardson A, Pearson JL, Vallone DM. Patterns of Longitudinal Transitions in Menthol Use Among US Young Adult Smokers. Nicotine Tob Res. 2015;17(7):839-46.</w:t>
      </w:r>
      <w:bookmarkEnd w:id="90"/>
    </w:p>
    <w:p w14:paraId="71530789" w14:textId="77777777" w:rsidR="0097295A" w:rsidRPr="00A234A9" w:rsidRDefault="0097295A" w:rsidP="0097295A">
      <w:pPr>
        <w:pStyle w:val="EndNoteBibliography"/>
        <w:spacing w:after="120"/>
      </w:pPr>
      <w:bookmarkStart w:id="91" w:name="_ENREF_80"/>
      <w:r w:rsidRPr="00A234A9">
        <w:t>80.</w:t>
      </w:r>
      <w:r w:rsidRPr="00A234A9">
        <w:tab/>
        <w:t>Resnicow K, Zhou Y, Scheuermann TS, Nollen NL, Ahluwalia JS. Unplanned quitting in a triethnic sample of U.S. smokers. Nicotine Tob Res. 2014;16(6):759-65.</w:t>
      </w:r>
      <w:bookmarkEnd w:id="91"/>
    </w:p>
    <w:p w14:paraId="19550F61" w14:textId="77777777" w:rsidR="0097295A" w:rsidRPr="00A234A9" w:rsidRDefault="0097295A" w:rsidP="0097295A">
      <w:pPr>
        <w:pStyle w:val="EndNoteBibliography"/>
        <w:spacing w:after="120"/>
      </w:pPr>
      <w:bookmarkStart w:id="92" w:name="_ENREF_81"/>
      <w:r w:rsidRPr="00A234A9">
        <w:t>81.</w:t>
      </w:r>
      <w:r w:rsidRPr="00A234A9">
        <w:tab/>
        <w:t>Rosenbloom J, Rees VW, Reid K, Wong J, Kinnunen T. A cross-sectional study on tobacco use and dependence among women: Does menthol matter? Tob Induc Dis. 2012;10(19):1-6.</w:t>
      </w:r>
      <w:bookmarkEnd w:id="92"/>
    </w:p>
    <w:p w14:paraId="6F3BB269" w14:textId="77777777" w:rsidR="0097295A" w:rsidRPr="00A234A9" w:rsidRDefault="0097295A" w:rsidP="0097295A">
      <w:pPr>
        <w:pStyle w:val="EndNoteBibliography"/>
        <w:spacing w:after="120"/>
      </w:pPr>
      <w:bookmarkStart w:id="93" w:name="_ENREF_82"/>
      <w:r w:rsidRPr="00A234A9">
        <w:lastRenderedPageBreak/>
        <w:t>82.</w:t>
      </w:r>
      <w:r w:rsidRPr="00A234A9">
        <w:tab/>
        <w:t>Sidney S, Tekawa IS, Friedman GD. Mentholated cigarette use among multiphasic examinees, 1979-86. Am J Public Health. 1989;79:1415-6.</w:t>
      </w:r>
      <w:bookmarkEnd w:id="93"/>
    </w:p>
    <w:p w14:paraId="60384C7F" w14:textId="77777777" w:rsidR="0097295A" w:rsidRPr="00A234A9" w:rsidRDefault="0097295A" w:rsidP="0097295A">
      <w:pPr>
        <w:pStyle w:val="EndNoteBibliography"/>
        <w:spacing w:after="120"/>
      </w:pPr>
      <w:bookmarkStart w:id="94" w:name="_ENREF_83"/>
      <w:r w:rsidRPr="00A234A9">
        <w:t>83.</w:t>
      </w:r>
      <w:r w:rsidRPr="00A234A9">
        <w:tab/>
        <w:t>Smith SS, Fiore MC, Baker TB. Smoking cessation in smokers who smoke menthol and non-menthol cigarettes. Addiction. 2014;109(12):2107-17.</w:t>
      </w:r>
      <w:bookmarkEnd w:id="94"/>
    </w:p>
    <w:p w14:paraId="6ADB82C5" w14:textId="77777777" w:rsidR="0097295A" w:rsidRPr="00A234A9" w:rsidRDefault="0097295A" w:rsidP="0097295A">
      <w:pPr>
        <w:pStyle w:val="EndNoteBibliography"/>
        <w:spacing w:after="120"/>
      </w:pPr>
      <w:bookmarkStart w:id="95" w:name="_ENREF_84"/>
      <w:r w:rsidRPr="00A234A9">
        <w:t>84.</w:t>
      </w:r>
      <w:r w:rsidRPr="00A234A9">
        <w:tab/>
        <w:t>Stahre M, Okuyemi KS, Joseph AM, Fu SS. Racial/ethnic differences in menthol cigarette smoking, population quit ratios and utilization of evidence-based tobacco cessation treatments. Addiction. 2010;105 Suppl 1:75-83.</w:t>
      </w:r>
      <w:bookmarkEnd w:id="95"/>
    </w:p>
    <w:p w14:paraId="0234A938" w14:textId="77777777" w:rsidR="0097295A" w:rsidRPr="00A234A9" w:rsidRDefault="0097295A" w:rsidP="0097295A">
      <w:pPr>
        <w:pStyle w:val="EndNoteBibliography"/>
        <w:spacing w:after="120"/>
      </w:pPr>
      <w:bookmarkStart w:id="96" w:name="_ENREF_85"/>
      <w:r w:rsidRPr="00A234A9">
        <w:t>85.</w:t>
      </w:r>
      <w:r w:rsidRPr="00A234A9">
        <w:tab/>
        <w:t>Sulsky SI, Fuller WG, Van Landingham C, Ogden MW, Swauger JE, Curtin GM. Evaluating the association between menthol cigarette use and the likelihood of being a former versus current smoker. Regul Toxicol Pharmacol. 2014;70(1):231-41.</w:t>
      </w:r>
      <w:bookmarkEnd w:id="96"/>
    </w:p>
    <w:p w14:paraId="394C8151" w14:textId="77777777" w:rsidR="0097295A" w:rsidRPr="00A234A9" w:rsidRDefault="0097295A" w:rsidP="0097295A">
      <w:pPr>
        <w:pStyle w:val="EndNoteBibliography"/>
        <w:spacing w:after="120"/>
      </w:pPr>
      <w:bookmarkStart w:id="97" w:name="_ENREF_86"/>
      <w:r w:rsidRPr="00A234A9">
        <w:t>86.</w:t>
      </w:r>
      <w:r w:rsidRPr="00A234A9">
        <w:tab/>
        <w:t>Villanti AC, Giovino GA, Barker DC, Mowery P, Sevilimedu V, Abrams DB. Menthol brand switching among adolescents and young adults in the national youth smoking cessation survey. Am J Public Health. 2012;102(7):1310-12.</w:t>
      </w:r>
      <w:bookmarkEnd w:id="97"/>
    </w:p>
    <w:p w14:paraId="4709CE34" w14:textId="77777777" w:rsidR="0097295A" w:rsidRPr="00A234A9" w:rsidRDefault="0097295A" w:rsidP="0097295A">
      <w:pPr>
        <w:pStyle w:val="EndNoteBibliography"/>
        <w:spacing w:after="120"/>
      </w:pPr>
      <w:bookmarkStart w:id="98" w:name="_ENREF_87"/>
      <w:r w:rsidRPr="00A234A9">
        <w:t>87.</w:t>
      </w:r>
      <w:r w:rsidRPr="00A234A9">
        <w:tab/>
        <w:t>Downs SH, Black N. The feasibility of creating a checklist for the assessment of the methodological quality both of randomised and non-randomised studies of health care interventions. J Epidemiol Community Health. 1998;52(6):377-84.</w:t>
      </w:r>
      <w:bookmarkEnd w:id="98"/>
    </w:p>
    <w:p w14:paraId="5E388033" w14:textId="77777777" w:rsidR="0097295A" w:rsidRPr="00A234A9" w:rsidRDefault="0097295A" w:rsidP="0097295A">
      <w:pPr>
        <w:pStyle w:val="EndNoteBibliography"/>
        <w:spacing w:after="120"/>
      </w:pPr>
      <w:bookmarkStart w:id="99" w:name="_ENREF_88"/>
      <w:r w:rsidRPr="00A234A9">
        <w:t>88.</w:t>
      </w:r>
      <w:r w:rsidRPr="00A234A9">
        <w:tab/>
        <w:t>Higgins JPT, Altman DG, Sterne JAC. Section 13.5. Assessing risk of bias in non-randomized studies. In: Higgins JPT, Green S, editors. Cochrane Handbook for Systematic Reviews of Interventions. Version 5.1.0: The Cochrane Collaboration; 2011.</w:t>
      </w:r>
      <w:bookmarkEnd w:id="99"/>
    </w:p>
    <w:p w14:paraId="389B002A" w14:textId="77777777" w:rsidR="0097295A" w:rsidRPr="00A234A9" w:rsidRDefault="0097295A" w:rsidP="0097295A">
      <w:pPr>
        <w:pStyle w:val="EndNoteBibliography"/>
        <w:spacing w:after="120"/>
      </w:pPr>
      <w:bookmarkStart w:id="100" w:name="_ENREF_89"/>
      <w:r w:rsidRPr="00A234A9">
        <w:t>89.</w:t>
      </w:r>
      <w:r w:rsidRPr="00A234A9">
        <w:tab/>
        <w:t>Berkman ND, Lohr KN, Ansari MT, Balk EM, Kane R, McDonagh M, et al. Grading the strength of a body of evidence when assessing health care interventions: an EPC update. J Clin Epidemiol. 2015;68(11):1312-24.</w:t>
      </w:r>
      <w:bookmarkEnd w:id="100"/>
    </w:p>
    <w:p w14:paraId="2D622AB8" w14:textId="77777777" w:rsidR="0097295A" w:rsidRPr="00A234A9" w:rsidRDefault="0097295A" w:rsidP="0097295A">
      <w:pPr>
        <w:pStyle w:val="EndNoteBibliography"/>
        <w:spacing w:after="120"/>
      </w:pPr>
      <w:bookmarkStart w:id="101" w:name="_ENREF_90"/>
      <w:r w:rsidRPr="00A234A9">
        <w:t>90.</w:t>
      </w:r>
      <w:r w:rsidRPr="00A234A9">
        <w:tab/>
        <w:t>Benowitz NL, Herrera B, Jacob P, 3rd. Mentholated cigarette smoking inhibits nicotine metabolism. J Pharmacol Exp Ther. 2004;310(3):1208-15.</w:t>
      </w:r>
      <w:bookmarkEnd w:id="101"/>
    </w:p>
    <w:p w14:paraId="2A0D980E" w14:textId="77777777" w:rsidR="0097295A" w:rsidRPr="00A234A9" w:rsidRDefault="0097295A" w:rsidP="0097295A">
      <w:pPr>
        <w:pStyle w:val="EndNoteBibliography"/>
        <w:spacing w:after="120"/>
      </w:pPr>
      <w:bookmarkStart w:id="102" w:name="_ENREF_91"/>
      <w:r w:rsidRPr="00A234A9">
        <w:t>91.</w:t>
      </w:r>
      <w:r w:rsidRPr="00A234A9">
        <w:tab/>
        <w:t>DerSimonian R, Laird N. Meta-analysis in clinical trials. Control Clin Trials 1986;7(3):177-88.</w:t>
      </w:r>
      <w:bookmarkEnd w:id="102"/>
    </w:p>
    <w:p w14:paraId="668F284D" w14:textId="77777777" w:rsidR="0097295A" w:rsidRPr="00A234A9" w:rsidRDefault="0097295A" w:rsidP="0097295A">
      <w:pPr>
        <w:pStyle w:val="EndNoteBibliography"/>
        <w:spacing w:after="120"/>
      </w:pPr>
      <w:bookmarkStart w:id="103" w:name="_ENREF_92"/>
      <w:r w:rsidRPr="00A234A9">
        <w:t>92.</w:t>
      </w:r>
      <w:r w:rsidRPr="00A234A9">
        <w:tab/>
        <w:t>Higgins JP, Thompson SG. Quantifying heterogeneity in a meta-analysis. Stat Med 2002;21(11):1539-58.</w:t>
      </w:r>
      <w:bookmarkEnd w:id="103"/>
    </w:p>
    <w:p w14:paraId="1D09FC4C" w14:textId="77777777" w:rsidR="0097295A" w:rsidRPr="00A234A9" w:rsidRDefault="0097295A" w:rsidP="0097295A">
      <w:pPr>
        <w:pStyle w:val="EndNoteBibliography"/>
        <w:spacing w:after="120"/>
      </w:pPr>
      <w:bookmarkStart w:id="104" w:name="_ENREF_93"/>
      <w:r w:rsidRPr="00A234A9">
        <w:t>93.</w:t>
      </w:r>
      <w:r w:rsidRPr="00A234A9">
        <w:tab/>
        <w:t>The Nordic Cochrane Centre. Review Manager (RevMan). In: Centre TNC, editor. Copenhagen: The Cochrane Collaboration; 2014.</w:t>
      </w:r>
      <w:bookmarkEnd w:id="104"/>
    </w:p>
    <w:p w14:paraId="2320BFC9" w14:textId="77777777" w:rsidR="0097295A" w:rsidRPr="00A234A9" w:rsidRDefault="0097295A" w:rsidP="0097295A">
      <w:pPr>
        <w:pStyle w:val="EndNoteBibliography"/>
        <w:spacing w:after="120"/>
      </w:pPr>
      <w:bookmarkStart w:id="105" w:name="_ENREF_94"/>
      <w:r w:rsidRPr="00A234A9">
        <w:t>94.</w:t>
      </w:r>
      <w:r w:rsidRPr="00A234A9">
        <w:tab/>
        <w:t>Stroup DF, Berlin JA, Morton SC, Olkin I, Williamson GD, Rennie D, et al. Meta-analysis of observational studies in epidemiology: a proposal for reporting. Meta-analysis Of Observational Studies in Epidemiology (MOOSE) group. . JAMA 2000;283(15):2008-12.</w:t>
      </w:r>
      <w:bookmarkEnd w:id="105"/>
    </w:p>
    <w:p w14:paraId="3A6A4322" w14:textId="77777777" w:rsidR="0097295A" w:rsidRPr="00A234A9" w:rsidRDefault="0097295A" w:rsidP="0097295A">
      <w:pPr>
        <w:pStyle w:val="EndNoteBibliography"/>
        <w:spacing w:after="120"/>
      </w:pPr>
      <w:bookmarkStart w:id="106" w:name="_ENREF_95"/>
      <w:r w:rsidRPr="00A234A9">
        <w:t>95.</w:t>
      </w:r>
      <w:r w:rsidRPr="00A234A9">
        <w:tab/>
        <w:t>Schisterman EF, Cole SR, Platt RW. Overadjustment bias and unnecessary adjustment in epidemiologic studies. Epidemiology. 2009;20(4):488-95.</w:t>
      </w:r>
      <w:bookmarkEnd w:id="106"/>
    </w:p>
    <w:p w14:paraId="65D932B6" w14:textId="199E4346" w:rsidR="0097295A" w:rsidRDefault="0097295A" w:rsidP="0097295A">
      <w:pPr>
        <w:spacing w:after="240" w:line="240" w:lineRule="auto"/>
        <w:jc w:val="both"/>
        <w:rPr>
          <w:rFonts w:eastAsia="Calibri" w:cs="Times New Roman"/>
          <w:color w:val="000000"/>
        </w:rPr>
      </w:pPr>
      <w:r>
        <w:fldChar w:fldCharType="end"/>
      </w:r>
    </w:p>
    <w:sectPr w:rsidR="0097295A" w:rsidSect="00B46744">
      <w:footerReference w:type="even" r:id="rId32"/>
      <w:footerReference w:type="defaul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8E5EE9" w14:textId="77777777" w:rsidR="00325254" w:rsidRDefault="00325254">
      <w:pPr>
        <w:spacing w:after="0" w:line="240" w:lineRule="auto"/>
      </w:pPr>
      <w:r>
        <w:separator/>
      </w:r>
    </w:p>
  </w:endnote>
  <w:endnote w:type="continuationSeparator" w:id="0">
    <w:p w14:paraId="3529EF72" w14:textId="77777777" w:rsidR="00325254" w:rsidRDefault="00325254">
      <w:pPr>
        <w:spacing w:after="0" w:line="240" w:lineRule="auto"/>
      </w:pPr>
      <w:r>
        <w:continuationSeparator/>
      </w:r>
    </w:p>
  </w:endnote>
  <w:endnote w:type="continuationNotice" w:id="1">
    <w:p w14:paraId="685D657A" w14:textId="77777777" w:rsidR="00325254" w:rsidRDefault="003252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52175423"/>
      <w:docPartObj>
        <w:docPartGallery w:val="Page Numbers (Bottom of Page)"/>
        <w:docPartUnique/>
      </w:docPartObj>
    </w:sdtPr>
    <w:sdtEndPr>
      <w:rPr>
        <w:noProof/>
      </w:rPr>
    </w:sdtEndPr>
    <w:sdtContent>
      <w:p w14:paraId="43DD5CA0" w14:textId="77777777" w:rsidR="00325254" w:rsidRDefault="00325254">
        <w:pPr>
          <w:pStyle w:val="Footer"/>
          <w:jc w:val="right"/>
        </w:pPr>
        <w:r>
          <w:fldChar w:fldCharType="begin"/>
        </w:r>
        <w:r>
          <w:instrText xml:space="preserve"> PAGE   \* MERGEFORMAT </w:instrText>
        </w:r>
        <w:r>
          <w:fldChar w:fldCharType="separate"/>
        </w:r>
        <w:r>
          <w:rPr>
            <w:noProof/>
          </w:rPr>
          <w:t>240</w:t>
        </w:r>
        <w:r>
          <w:rPr>
            <w:noProof/>
          </w:rPr>
          <w:fldChar w:fldCharType="end"/>
        </w:r>
      </w:p>
    </w:sdtContent>
  </w:sdt>
  <w:p w14:paraId="1E373E18" w14:textId="77777777" w:rsidR="00325254" w:rsidRDefault="003252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6873946"/>
      <w:docPartObj>
        <w:docPartGallery w:val="Page Numbers (Bottom of Page)"/>
        <w:docPartUnique/>
      </w:docPartObj>
    </w:sdtPr>
    <w:sdtEndPr>
      <w:rPr>
        <w:noProof/>
      </w:rPr>
    </w:sdtEndPr>
    <w:sdtContent>
      <w:p w14:paraId="20D7C98B" w14:textId="77777777" w:rsidR="00325254" w:rsidRDefault="00325254">
        <w:pPr>
          <w:pStyle w:val="Footer"/>
          <w:jc w:val="right"/>
        </w:pPr>
        <w:r>
          <w:fldChar w:fldCharType="begin"/>
        </w:r>
        <w:r>
          <w:instrText xml:space="preserve"> PAGE   \* MERGEFORMAT </w:instrText>
        </w:r>
        <w:r>
          <w:fldChar w:fldCharType="separate"/>
        </w:r>
        <w:r>
          <w:rPr>
            <w:noProof/>
          </w:rPr>
          <w:t>18</w:t>
        </w:r>
        <w:r>
          <w:rPr>
            <w:noProof/>
          </w:rPr>
          <w:fldChar w:fldCharType="end"/>
        </w:r>
      </w:p>
    </w:sdtContent>
  </w:sdt>
  <w:p w14:paraId="115B9E5C" w14:textId="77777777" w:rsidR="00325254" w:rsidRDefault="003252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7369388"/>
      <w:docPartObj>
        <w:docPartGallery w:val="Page Numbers (Bottom of Page)"/>
        <w:docPartUnique/>
      </w:docPartObj>
    </w:sdtPr>
    <w:sdtEndPr>
      <w:rPr>
        <w:noProof/>
      </w:rPr>
    </w:sdtEndPr>
    <w:sdtContent>
      <w:p w14:paraId="08610804" w14:textId="77777777" w:rsidR="00325254" w:rsidRDefault="00325254">
        <w:pPr>
          <w:pStyle w:val="Footer"/>
          <w:jc w:val="right"/>
        </w:pPr>
        <w:r>
          <w:fldChar w:fldCharType="begin"/>
        </w:r>
        <w:r>
          <w:instrText xml:space="preserve"> PAGE   \* MERGEFORMAT </w:instrText>
        </w:r>
        <w:r>
          <w:fldChar w:fldCharType="separate"/>
        </w:r>
        <w:r>
          <w:rPr>
            <w:noProof/>
          </w:rPr>
          <w:t>331</w:t>
        </w:r>
        <w:r>
          <w:rPr>
            <w:noProof/>
          </w:rPr>
          <w:fldChar w:fldCharType="end"/>
        </w:r>
      </w:p>
    </w:sdtContent>
  </w:sdt>
  <w:p w14:paraId="0D7D3383" w14:textId="77777777" w:rsidR="00325254" w:rsidRDefault="0032525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936632"/>
      <w:docPartObj>
        <w:docPartGallery w:val="Page Numbers (Bottom of Page)"/>
        <w:docPartUnique/>
      </w:docPartObj>
    </w:sdtPr>
    <w:sdtEndPr>
      <w:rPr>
        <w:noProof/>
      </w:rPr>
    </w:sdtEndPr>
    <w:sdtContent>
      <w:p w14:paraId="55011224" w14:textId="77777777" w:rsidR="00325254" w:rsidRDefault="0032525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21CB94" w14:textId="77777777" w:rsidR="00325254" w:rsidRDefault="0032525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C1C91" w14:textId="77777777" w:rsidR="00325254" w:rsidRDefault="00325254" w:rsidP="00B46744">
    <w:pPr>
      <w:pStyle w:val="Footer"/>
      <w:framePr w:wrap="none" w:vAnchor="text" w:hAnchor="margin" w:xAlign="right" w:y="1"/>
      <w:rPr>
        <w:rStyle w:val="PageNumber0"/>
      </w:rPr>
    </w:pPr>
    <w:r>
      <w:rPr>
        <w:rStyle w:val="PageNumber0"/>
      </w:rPr>
      <w:fldChar w:fldCharType="begin"/>
    </w:r>
    <w:r>
      <w:rPr>
        <w:rStyle w:val="PageNumber0"/>
      </w:rPr>
      <w:instrText xml:space="preserve">PAGE  </w:instrText>
    </w:r>
    <w:r>
      <w:rPr>
        <w:rStyle w:val="PageNumber0"/>
      </w:rPr>
      <w:fldChar w:fldCharType="end"/>
    </w:r>
  </w:p>
  <w:p w14:paraId="7BB0C515" w14:textId="77777777" w:rsidR="00325254" w:rsidRDefault="00325254" w:rsidP="00B46744">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0185093"/>
      <w:docPartObj>
        <w:docPartGallery w:val="Page Numbers (Bottom of Page)"/>
        <w:docPartUnique/>
      </w:docPartObj>
    </w:sdtPr>
    <w:sdtContent>
      <w:sdt>
        <w:sdtPr>
          <w:id w:val="1247000914"/>
          <w:docPartObj>
            <w:docPartGallery w:val="Page Numbers (Bottom of Page)"/>
            <w:docPartUnique/>
          </w:docPartObj>
        </w:sdtPr>
        <w:sdtEndPr>
          <w:rPr>
            <w:noProof/>
          </w:rPr>
        </w:sdtEndPr>
        <w:sdtContent>
          <w:p w14:paraId="6F0063EB" w14:textId="77777777" w:rsidR="00325254" w:rsidRDefault="00325254" w:rsidP="00B46744">
            <w:pPr>
              <w:pStyle w:val="Footer"/>
              <w:jc w:val="right"/>
            </w:pPr>
            <w:r>
              <w:tab/>
            </w:r>
            <w:r>
              <w:fldChar w:fldCharType="begin"/>
            </w:r>
            <w:r>
              <w:instrText xml:space="preserve"> PAGE   \* MERGEFORMAT </w:instrText>
            </w:r>
            <w:r>
              <w:fldChar w:fldCharType="separate"/>
            </w:r>
            <w:r>
              <w:rPr>
                <w:noProof/>
              </w:rPr>
              <w:t>371</w:t>
            </w:r>
            <w:r>
              <w:rPr>
                <w:noProof/>
              </w:rPr>
              <w:fldChar w:fldCharType="end"/>
            </w:r>
          </w:p>
        </w:sdtContent>
      </w:sdt>
      <w:p w14:paraId="7D061A6A" w14:textId="77777777" w:rsidR="00325254" w:rsidRDefault="00325254" w:rsidP="00B46744">
        <w:pPr>
          <w:pStyle w:val="Footer"/>
          <w:jc w:val="center"/>
        </w:pPr>
        <w:r>
          <w:t xml:space="preserve"> </w:t>
        </w:r>
      </w:p>
    </w:sdtContent>
  </w:sdt>
  <w:p w14:paraId="6E305203" w14:textId="77777777" w:rsidR="00325254" w:rsidRDefault="00325254" w:rsidP="00B4674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98071C" w14:textId="77777777" w:rsidR="00325254" w:rsidRDefault="00325254">
      <w:pPr>
        <w:spacing w:after="0" w:line="240" w:lineRule="auto"/>
      </w:pPr>
      <w:r>
        <w:separator/>
      </w:r>
    </w:p>
  </w:footnote>
  <w:footnote w:type="continuationSeparator" w:id="0">
    <w:p w14:paraId="5D3FFF76" w14:textId="77777777" w:rsidR="00325254" w:rsidRDefault="00325254">
      <w:pPr>
        <w:spacing w:after="0" w:line="240" w:lineRule="auto"/>
      </w:pPr>
      <w:r>
        <w:continuationSeparator/>
      </w:r>
    </w:p>
  </w:footnote>
  <w:footnote w:type="continuationNotice" w:id="1">
    <w:p w14:paraId="396C7CD3" w14:textId="77777777" w:rsidR="00325254" w:rsidRDefault="00325254">
      <w:pPr>
        <w:spacing w:after="0" w:line="240" w:lineRule="auto"/>
      </w:pPr>
    </w:p>
  </w:footnote>
  <w:footnote w:id="2">
    <w:p w14:paraId="10DD159F" w14:textId="77777777" w:rsidR="00325254" w:rsidRPr="004B64D3" w:rsidRDefault="00325254" w:rsidP="00EA69AA">
      <w:pPr>
        <w:pStyle w:val="FootnoteText"/>
        <w:rPr>
          <w:rFonts w:cstheme="minorHAnsi"/>
          <w:sz w:val="18"/>
          <w:szCs w:val="18"/>
        </w:rPr>
      </w:pPr>
      <w:r w:rsidRPr="00406B5B">
        <w:rPr>
          <w:rStyle w:val="FootnoteReference"/>
          <w:rFonts w:ascii="Arial" w:hAnsi="Arial" w:cs="Arial"/>
          <w:sz w:val="18"/>
          <w:szCs w:val="18"/>
        </w:rPr>
        <w:footnoteRef/>
      </w:r>
      <w:r w:rsidRPr="00406B5B">
        <w:rPr>
          <w:rFonts w:ascii="Arial" w:hAnsi="Arial" w:cs="Arial"/>
          <w:sz w:val="18"/>
          <w:szCs w:val="18"/>
        </w:rPr>
        <w:t xml:space="preserve"> </w:t>
      </w:r>
      <w:r w:rsidRPr="004B64D3">
        <w:rPr>
          <w:rFonts w:cstheme="minorHAnsi"/>
          <w:sz w:val="18"/>
          <w:szCs w:val="18"/>
        </w:rPr>
        <w:t xml:space="preserve">Respondents were asked questions embedded with brand information if they specified the brand of cigarettes used. Questions without brand name information were asked of respondents who did not identify a cigarette brand.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CF7018"/>
    <w:multiLevelType w:val="hybridMultilevel"/>
    <w:tmpl w:val="3C6A09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1421E83"/>
    <w:multiLevelType w:val="hybridMultilevel"/>
    <w:tmpl w:val="87F89D22"/>
    <w:lvl w:ilvl="0" w:tplc="EC0642C0">
      <w:start w:val="1"/>
      <w:numFmt w:val="decimal"/>
      <w:pStyle w:val="Studies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93F14"/>
    <w:multiLevelType w:val="hybridMultilevel"/>
    <w:tmpl w:val="3F38AE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0831E2"/>
    <w:multiLevelType w:val="hybridMultilevel"/>
    <w:tmpl w:val="CD862D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BBD2E44"/>
    <w:multiLevelType w:val="hybridMultilevel"/>
    <w:tmpl w:val="3CF62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2D69CA"/>
    <w:multiLevelType w:val="hybridMultilevel"/>
    <w:tmpl w:val="095A2B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115E72"/>
    <w:multiLevelType w:val="hybridMultilevel"/>
    <w:tmpl w:val="0B783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E774AF"/>
    <w:multiLevelType w:val="hybridMultilevel"/>
    <w:tmpl w:val="3CCE08F8"/>
    <w:lvl w:ilvl="0" w:tplc="A94652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B5133BC"/>
    <w:multiLevelType w:val="hybridMultilevel"/>
    <w:tmpl w:val="C98CBE6C"/>
    <w:lvl w:ilvl="0" w:tplc="70225F5A">
      <w:start w:val="1"/>
      <w:numFmt w:val="decimal"/>
      <w:pStyle w:val="NumberedList"/>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B9F48A7"/>
    <w:multiLevelType w:val="multilevel"/>
    <w:tmpl w:val="64626E22"/>
    <w:lvl w:ilvl="0">
      <w:start w:val="1"/>
      <w:numFmt w:val="decimal"/>
      <w:lvlText w:val="%1."/>
      <w:lvlJc w:val="left"/>
      <w:pPr>
        <w:ind w:left="720" w:hanging="360"/>
      </w:pPr>
      <w:rPr>
        <w:b/>
      </w:rPr>
    </w:lvl>
    <w:lvl w:ilvl="1">
      <w:start w:val="1"/>
      <w:numFmt w:val="decimal"/>
      <w:isLgl/>
      <w:lvlText w:val="%1.%2."/>
      <w:lvlJc w:val="left"/>
      <w:pPr>
        <w:ind w:left="720" w:hanging="360"/>
      </w:pPr>
      <w:rPr>
        <w:rFonts w:eastAsia="Times New Roman" w:cs="Times New Roman" w:hint="default"/>
        <w:b/>
        <w:i w:val="0"/>
      </w:rPr>
    </w:lvl>
    <w:lvl w:ilvl="2">
      <w:start w:val="1"/>
      <w:numFmt w:val="decimal"/>
      <w:isLgl/>
      <w:lvlText w:val="%1.%2.%3."/>
      <w:lvlJc w:val="left"/>
      <w:pPr>
        <w:ind w:left="1080" w:hanging="720"/>
      </w:pPr>
      <w:rPr>
        <w:rFonts w:eastAsia="Times New Roman" w:cs="Times New Roman" w:hint="default"/>
      </w:rPr>
    </w:lvl>
    <w:lvl w:ilvl="3">
      <w:start w:val="1"/>
      <w:numFmt w:val="decimal"/>
      <w:isLgl/>
      <w:lvlText w:val="%1.%2.%3.%4."/>
      <w:lvlJc w:val="left"/>
      <w:pPr>
        <w:ind w:left="1080" w:hanging="720"/>
      </w:pPr>
      <w:rPr>
        <w:rFonts w:eastAsia="Times New Roman" w:cs="Times New Roman" w:hint="default"/>
      </w:rPr>
    </w:lvl>
    <w:lvl w:ilvl="4">
      <w:start w:val="1"/>
      <w:numFmt w:val="decimal"/>
      <w:isLgl/>
      <w:lvlText w:val="%1.%2.%3.%4.%5."/>
      <w:lvlJc w:val="left"/>
      <w:pPr>
        <w:ind w:left="1440" w:hanging="1080"/>
      </w:pPr>
      <w:rPr>
        <w:rFonts w:eastAsia="Times New Roman" w:cs="Times New Roman" w:hint="default"/>
      </w:rPr>
    </w:lvl>
    <w:lvl w:ilvl="5">
      <w:start w:val="1"/>
      <w:numFmt w:val="decimal"/>
      <w:isLgl/>
      <w:lvlText w:val="%1.%2.%3.%4.%5.%6."/>
      <w:lvlJc w:val="left"/>
      <w:pPr>
        <w:ind w:left="1440" w:hanging="1080"/>
      </w:pPr>
      <w:rPr>
        <w:rFonts w:eastAsia="Times New Roman" w:cs="Times New Roman" w:hint="default"/>
      </w:rPr>
    </w:lvl>
    <w:lvl w:ilvl="6">
      <w:start w:val="1"/>
      <w:numFmt w:val="decimal"/>
      <w:isLgl/>
      <w:lvlText w:val="%1.%2.%3.%4.%5.%6.%7."/>
      <w:lvlJc w:val="left"/>
      <w:pPr>
        <w:ind w:left="1800" w:hanging="1440"/>
      </w:pPr>
      <w:rPr>
        <w:rFonts w:eastAsia="Times New Roman" w:cs="Times New Roman" w:hint="default"/>
      </w:rPr>
    </w:lvl>
    <w:lvl w:ilvl="7">
      <w:start w:val="1"/>
      <w:numFmt w:val="decimal"/>
      <w:isLgl/>
      <w:lvlText w:val="%1.%2.%3.%4.%5.%6.%7.%8."/>
      <w:lvlJc w:val="left"/>
      <w:pPr>
        <w:ind w:left="1800" w:hanging="1440"/>
      </w:pPr>
      <w:rPr>
        <w:rFonts w:eastAsia="Times New Roman" w:cs="Times New Roman" w:hint="default"/>
      </w:rPr>
    </w:lvl>
    <w:lvl w:ilvl="8">
      <w:start w:val="1"/>
      <w:numFmt w:val="decimal"/>
      <w:isLgl/>
      <w:lvlText w:val="%1.%2.%3.%4.%5.%6.%7.%8.%9."/>
      <w:lvlJc w:val="left"/>
      <w:pPr>
        <w:ind w:left="2160" w:hanging="1800"/>
      </w:pPr>
      <w:rPr>
        <w:rFonts w:eastAsia="Times New Roman" w:cs="Times New Roman" w:hint="default"/>
      </w:rPr>
    </w:lvl>
  </w:abstractNum>
  <w:abstractNum w:abstractNumId="10" w15:restartNumberingAfterBreak="0">
    <w:nsid w:val="50D011FE"/>
    <w:multiLevelType w:val="hybridMultilevel"/>
    <w:tmpl w:val="C4546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502FD0"/>
    <w:multiLevelType w:val="hybridMultilevel"/>
    <w:tmpl w:val="028C0F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16F6083"/>
    <w:multiLevelType w:val="hybridMultilevel"/>
    <w:tmpl w:val="37B81FDE"/>
    <w:lvl w:ilvl="0" w:tplc="D99CC5EC">
      <w:start w:val="1"/>
      <w:numFmt w:val="bullet"/>
      <w:pStyle w:val="Bullet1"/>
      <w:lvlText w:val=""/>
      <w:lvlJc w:val="left"/>
      <w:pPr>
        <w:ind w:left="720" w:hanging="360"/>
      </w:pPr>
      <w:rPr>
        <w:rFonts w:ascii="Symbol" w:hAnsi="Symbol" w:hint="default"/>
      </w:rPr>
    </w:lvl>
    <w:lvl w:ilvl="1" w:tplc="E092C9C8">
      <w:start w:val="1"/>
      <w:numFmt w:val="bullet"/>
      <w:pStyle w:val="Bulle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4A2CEA"/>
    <w:multiLevelType w:val="hybridMultilevel"/>
    <w:tmpl w:val="38E65EFE"/>
    <w:lvl w:ilvl="0" w:tplc="8D1AAA7A">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5241CE"/>
    <w:multiLevelType w:val="hybridMultilevel"/>
    <w:tmpl w:val="68642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7C380A"/>
    <w:multiLevelType w:val="hybridMultilevel"/>
    <w:tmpl w:val="11AC4C12"/>
    <w:lvl w:ilvl="0" w:tplc="B972CDBC">
      <w:start w:val="1"/>
      <w:numFmt w:val="bullet"/>
      <w:pStyle w:val="TableBulletLM"/>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F4C2041"/>
    <w:multiLevelType w:val="hybridMultilevel"/>
    <w:tmpl w:val="BBEE0CEA"/>
    <w:lvl w:ilvl="0" w:tplc="0409000F">
      <w:start w:val="1"/>
      <w:numFmt w:val="decimal"/>
      <w:lvlText w:val="%1."/>
      <w:lvlJc w:val="left"/>
      <w:pPr>
        <w:ind w:left="720" w:hanging="360"/>
      </w:pPr>
      <w:rPr>
        <w:rFonts w:hint="default"/>
      </w:rPr>
    </w:lvl>
    <w:lvl w:ilvl="1" w:tplc="BBA0847E">
      <w:start w:val="1"/>
      <w:numFmt w:val="lowerLetter"/>
      <w:lvlText w:val="%2."/>
      <w:lvlJc w:val="left"/>
      <w:pPr>
        <w:ind w:left="1440" w:hanging="360"/>
      </w:pPr>
      <w:rPr>
        <w:rFonts w:asciiTheme="minorHAnsi" w:eastAsiaTheme="minorHAnsi" w:hAnsiTheme="minorHAnsi" w:cstheme="minorHAnsi" w:hint="default"/>
      </w:rPr>
    </w:lvl>
    <w:lvl w:ilvl="2" w:tplc="788E79E6">
      <w:start w:val="2"/>
      <w:numFmt w:val="bullet"/>
      <w:lvlText w:val="-"/>
      <w:lvlJc w:val="left"/>
      <w:pPr>
        <w:ind w:left="2340" w:hanging="360"/>
      </w:pPr>
      <w:rPr>
        <w:rFonts w:ascii="Times New Roman" w:eastAsiaTheme="minorHAns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704772"/>
    <w:multiLevelType w:val="hybridMultilevel"/>
    <w:tmpl w:val="11FAFFE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DB3DD7"/>
    <w:multiLevelType w:val="hybridMultilevel"/>
    <w:tmpl w:val="40C898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CE36471"/>
    <w:multiLevelType w:val="hybridMultilevel"/>
    <w:tmpl w:val="E5383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18"/>
  </w:num>
  <w:num w:numId="3">
    <w:abstractNumId w:val="3"/>
  </w:num>
  <w:num w:numId="4">
    <w:abstractNumId w:val="19"/>
  </w:num>
  <w:num w:numId="5">
    <w:abstractNumId w:val="0"/>
  </w:num>
  <w:num w:numId="6">
    <w:abstractNumId w:val="5"/>
  </w:num>
  <w:num w:numId="7">
    <w:abstractNumId w:val="16"/>
  </w:num>
  <w:num w:numId="8">
    <w:abstractNumId w:val="2"/>
  </w:num>
  <w:num w:numId="9">
    <w:abstractNumId w:val="7"/>
  </w:num>
  <w:num w:numId="10">
    <w:abstractNumId w:val="12"/>
  </w:num>
  <w:num w:numId="11">
    <w:abstractNumId w:val="1"/>
  </w:num>
  <w:num w:numId="12">
    <w:abstractNumId w:val="8"/>
  </w:num>
  <w:num w:numId="13">
    <w:abstractNumId w:val="15"/>
  </w:num>
  <w:num w:numId="14">
    <w:abstractNumId w:val="13"/>
  </w:num>
  <w:num w:numId="15">
    <w:abstractNumId w:val="10"/>
  </w:num>
  <w:num w:numId="16">
    <w:abstractNumId w:val="14"/>
  </w:num>
  <w:num w:numId="17">
    <w:abstractNumId w:val="4"/>
  </w:num>
  <w:num w:numId="18">
    <w:abstractNumId w:val="6"/>
  </w:num>
  <w:num w:numId="19">
    <w:abstractNumId w:val="17"/>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activeWritingStyle w:appName="MSWord" w:lang="en-CA" w:vendorID="64" w:dllVersion="0" w:nlCheck="1" w:checkStyle="0"/>
  <w:activeWritingStyle w:appName="MSWord" w:lang="fr-FR" w:vendorID="64" w:dllVersion="0" w:nlCheck="1" w:checkStyle="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0&lt;/ScanUnformatted&gt;&lt;ScanChanges&gt;0&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a2vz2dfp8xrad6exes75zwpiw5rxwa0vwapv&quot;&gt;Rome_110618&lt;record-ids&gt;&lt;item&gt;1&lt;/item&gt;&lt;item&gt;3&lt;/item&gt;&lt;item&gt;4&lt;/item&gt;&lt;item&gt;5&lt;/item&gt;&lt;item&gt;6&lt;/item&gt;&lt;item&gt;9&lt;/item&gt;&lt;item&gt;10&lt;/item&gt;&lt;item&gt;11&lt;/item&gt;&lt;item&gt;13&lt;/item&gt;&lt;item&gt;14&lt;/item&gt;&lt;item&gt;15&lt;/item&gt;&lt;item&gt;16&lt;/item&gt;&lt;item&gt;19&lt;/item&gt;&lt;item&gt;21&lt;/item&gt;&lt;item&gt;29&lt;/item&gt;&lt;item&gt;30&lt;/item&gt;&lt;item&gt;31&lt;/item&gt;&lt;item&gt;32&lt;/item&gt;&lt;item&gt;37&lt;/item&gt;&lt;item&gt;40&lt;/item&gt;&lt;item&gt;47&lt;/item&gt;&lt;item&gt;52&lt;/item&gt;&lt;item&gt;53&lt;/item&gt;&lt;item&gt;54&lt;/item&gt;&lt;item&gt;56&lt;/item&gt;&lt;item&gt;57&lt;/item&gt;&lt;item&gt;59&lt;/item&gt;&lt;item&gt;67&lt;/item&gt;&lt;item&gt;71&lt;/item&gt;&lt;item&gt;74&lt;/item&gt;&lt;item&gt;76&lt;/item&gt;&lt;item&gt;78&lt;/item&gt;&lt;item&gt;80&lt;/item&gt;&lt;item&gt;81&lt;/item&gt;&lt;item&gt;83&lt;/item&gt;&lt;item&gt;87&lt;/item&gt;&lt;item&gt;92&lt;/item&gt;&lt;item&gt;96&lt;/item&gt;&lt;item&gt;97&lt;/item&gt;&lt;item&gt;100&lt;/item&gt;&lt;item&gt;103&lt;/item&gt;&lt;item&gt;128&lt;/item&gt;&lt;item&gt;133&lt;/item&gt;&lt;item&gt;135&lt;/item&gt;&lt;item&gt;137&lt;/item&gt;&lt;item&gt;141&lt;/item&gt;&lt;item&gt;143&lt;/item&gt;&lt;item&gt;155&lt;/item&gt;&lt;item&gt;156&lt;/item&gt;&lt;item&gt;162&lt;/item&gt;&lt;item&gt;172&lt;/item&gt;&lt;item&gt;173&lt;/item&gt;&lt;item&gt;182&lt;/item&gt;&lt;item&gt;195&lt;/item&gt;&lt;item&gt;197&lt;/item&gt;&lt;item&gt;198&lt;/item&gt;&lt;item&gt;200&lt;/item&gt;&lt;item&gt;212&lt;/item&gt;&lt;item&gt;215&lt;/item&gt;&lt;item&gt;226&lt;/item&gt;&lt;item&gt;227&lt;/item&gt;&lt;item&gt;234&lt;/item&gt;&lt;item&gt;235&lt;/item&gt;&lt;item&gt;236&lt;/item&gt;&lt;item&gt;237&lt;/item&gt;&lt;item&gt;271&lt;/item&gt;&lt;item&gt;274&lt;/item&gt;&lt;item&gt;275&lt;/item&gt;&lt;item&gt;276&lt;/item&gt;&lt;item&gt;286&lt;/item&gt;&lt;item&gt;295&lt;/item&gt;&lt;item&gt;297&lt;/item&gt;&lt;item&gt;298&lt;/item&gt;&lt;item&gt;299&lt;/item&gt;&lt;item&gt;300&lt;/item&gt;&lt;item&gt;301&lt;/item&gt;&lt;item&gt;302&lt;/item&gt;&lt;item&gt;303&lt;/item&gt;&lt;item&gt;305&lt;/item&gt;&lt;item&gt;306&lt;/item&gt;&lt;item&gt;309&lt;/item&gt;&lt;item&gt;310&lt;/item&gt;&lt;item&gt;311&lt;/item&gt;&lt;item&gt;312&lt;/item&gt;&lt;item&gt;313&lt;/item&gt;&lt;item&gt;314&lt;/item&gt;&lt;item&gt;315&lt;/item&gt;&lt;item&gt;2000&lt;/item&gt;&lt;item&gt;2840&lt;/item&gt;&lt;item&gt;2841&lt;/item&gt;&lt;item&gt;2842&lt;/item&gt;&lt;item&gt;2845&lt;/item&gt;&lt;item&gt;2846&lt;/item&gt;&lt;item&gt;2847&lt;/item&gt;&lt;item&gt;2848&lt;/item&gt;&lt;/record-ids&gt;&lt;/item&gt;&lt;/Libraries&gt;"/>
  </w:docVars>
  <w:rsids>
    <w:rsidRoot w:val="00D04C52"/>
    <w:rsid w:val="0000011B"/>
    <w:rsid w:val="00001596"/>
    <w:rsid w:val="00001AEC"/>
    <w:rsid w:val="000028DF"/>
    <w:rsid w:val="000046EA"/>
    <w:rsid w:val="00004C6D"/>
    <w:rsid w:val="00004E19"/>
    <w:rsid w:val="000058E4"/>
    <w:rsid w:val="00005DB9"/>
    <w:rsid w:val="00007219"/>
    <w:rsid w:val="000075C9"/>
    <w:rsid w:val="0001075D"/>
    <w:rsid w:val="00012122"/>
    <w:rsid w:val="00014683"/>
    <w:rsid w:val="00016CBC"/>
    <w:rsid w:val="00022383"/>
    <w:rsid w:val="00023E5C"/>
    <w:rsid w:val="000242CF"/>
    <w:rsid w:val="00024790"/>
    <w:rsid w:val="00024A79"/>
    <w:rsid w:val="00026DFC"/>
    <w:rsid w:val="00030686"/>
    <w:rsid w:val="000313C8"/>
    <w:rsid w:val="00033023"/>
    <w:rsid w:val="000332C3"/>
    <w:rsid w:val="00033FEE"/>
    <w:rsid w:val="00035DC5"/>
    <w:rsid w:val="000368B0"/>
    <w:rsid w:val="00036BB3"/>
    <w:rsid w:val="000453D1"/>
    <w:rsid w:val="00045F67"/>
    <w:rsid w:val="00046915"/>
    <w:rsid w:val="00046A4A"/>
    <w:rsid w:val="00047CE6"/>
    <w:rsid w:val="00051E00"/>
    <w:rsid w:val="00053010"/>
    <w:rsid w:val="000538E3"/>
    <w:rsid w:val="000553F7"/>
    <w:rsid w:val="000555B8"/>
    <w:rsid w:val="0005797F"/>
    <w:rsid w:val="00057B53"/>
    <w:rsid w:val="000667CA"/>
    <w:rsid w:val="000677A5"/>
    <w:rsid w:val="00070A7D"/>
    <w:rsid w:val="00070B9A"/>
    <w:rsid w:val="00073435"/>
    <w:rsid w:val="00073C73"/>
    <w:rsid w:val="00073EB2"/>
    <w:rsid w:val="000766D4"/>
    <w:rsid w:val="0008131C"/>
    <w:rsid w:val="0008301B"/>
    <w:rsid w:val="00083F3D"/>
    <w:rsid w:val="00085B4C"/>
    <w:rsid w:val="00086A1E"/>
    <w:rsid w:val="00086F2C"/>
    <w:rsid w:val="0009216B"/>
    <w:rsid w:val="000922B9"/>
    <w:rsid w:val="00092C5E"/>
    <w:rsid w:val="00093674"/>
    <w:rsid w:val="00095BCF"/>
    <w:rsid w:val="00096839"/>
    <w:rsid w:val="000A3058"/>
    <w:rsid w:val="000B00DE"/>
    <w:rsid w:val="000B2386"/>
    <w:rsid w:val="000B2423"/>
    <w:rsid w:val="000C0B36"/>
    <w:rsid w:val="000C2ADF"/>
    <w:rsid w:val="000C34A8"/>
    <w:rsid w:val="000C4D92"/>
    <w:rsid w:val="000C5CF5"/>
    <w:rsid w:val="000D1782"/>
    <w:rsid w:val="000D2FA2"/>
    <w:rsid w:val="000D42C9"/>
    <w:rsid w:val="000E4390"/>
    <w:rsid w:val="000E4716"/>
    <w:rsid w:val="000F13CB"/>
    <w:rsid w:val="000F1AB7"/>
    <w:rsid w:val="000F2603"/>
    <w:rsid w:val="000F2676"/>
    <w:rsid w:val="000F4984"/>
    <w:rsid w:val="000F5DD4"/>
    <w:rsid w:val="000F618F"/>
    <w:rsid w:val="000F6A2C"/>
    <w:rsid w:val="001033FF"/>
    <w:rsid w:val="00103623"/>
    <w:rsid w:val="00105404"/>
    <w:rsid w:val="00105536"/>
    <w:rsid w:val="0010578A"/>
    <w:rsid w:val="00106059"/>
    <w:rsid w:val="0010695D"/>
    <w:rsid w:val="001074D8"/>
    <w:rsid w:val="00107553"/>
    <w:rsid w:val="00107662"/>
    <w:rsid w:val="00107778"/>
    <w:rsid w:val="00110937"/>
    <w:rsid w:val="00116B56"/>
    <w:rsid w:val="00116EC5"/>
    <w:rsid w:val="001170BD"/>
    <w:rsid w:val="00121881"/>
    <w:rsid w:val="00121917"/>
    <w:rsid w:val="00121E44"/>
    <w:rsid w:val="0012295C"/>
    <w:rsid w:val="00122C7C"/>
    <w:rsid w:val="001236D3"/>
    <w:rsid w:val="001237AD"/>
    <w:rsid w:val="00127125"/>
    <w:rsid w:val="00127352"/>
    <w:rsid w:val="001309B3"/>
    <w:rsid w:val="001329F5"/>
    <w:rsid w:val="00132CA8"/>
    <w:rsid w:val="00133274"/>
    <w:rsid w:val="00133DC1"/>
    <w:rsid w:val="0013584F"/>
    <w:rsid w:val="00136CF0"/>
    <w:rsid w:val="001405C7"/>
    <w:rsid w:val="00142322"/>
    <w:rsid w:val="00143666"/>
    <w:rsid w:val="00144BF0"/>
    <w:rsid w:val="00145039"/>
    <w:rsid w:val="00145DC5"/>
    <w:rsid w:val="001527DA"/>
    <w:rsid w:val="0015390D"/>
    <w:rsid w:val="00153DDF"/>
    <w:rsid w:val="00154DC7"/>
    <w:rsid w:val="001558DB"/>
    <w:rsid w:val="00155914"/>
    <w:rsid w:val="00161E77"/>
    <w:rsid w:val="00162314"/>
    <w:rsid w:val="00165029"/>
    <w:rsid w:val="00167C30"/>
    <w:rsid w:val="00171800"/>
    <w:rsid w:val="00171A24"/>
    <w:rsid w:val="001735D8"/>
    <w:rsid w:val="00173F0A"/>
    <w:rsid w:val="001763EC"/>
    <w:rsid w:val="0017650B"/>
    <w:rsid w:val="001807B5"/>
    <w:rsid w:val="00182FDF"/>
    <w:rsid w:val="00183172"/>
    <w:rsid w:val="00183EC0"/>
    <w:rsid w:val="00192713"/>
    <w:rsid w:val="0019379D"/>
    <w:rsid w:val="00193DD0"/>
    <w:rsid w:val="00195583"/>
    <w:rsid w:val="00195756"/>
    <w:rsid w:val="00195B6A"/>
    <w:rsid w:val="001A3237"/>
    <w:rsid w:val="001A6A02"/>
    <w:rsid w:val="001A7547"/>
    <w:rsid w:val="001A7F77"/>
    <w:rsid w:val="001B01B1"/>
    <w:rsid w:val="001B098C"/>
    <w:rsid w:val="001B0C3D"/>
    <w:rsid w:val="001B183B"/>
    <w:rsid w:val="001B2675"/>
    <w:rsid w:val="001B2919"/>
    <w:rsid w:val="001B33C6"/>
    <w:rsid w:val="001B3AC5"/>
    <w:rsid w:val="001B451F"/>
    <w:rsid w:val="001B54B0"/>
    <w:rsid w:val="001B5570"/>
    <w:rsid w:val="001B59A3"/>
    <w:rsid w:val="001B6E50"/>
    <w:rsid w:val="001C075C"/>
    <w:rsid w:val="001C21CB"/>
    <w:rsid w:val="001C3947"/>
    <w:rsid w:val="001C44A5"/>
    <w:rsid w:val="001C5F37"/>
    <w:rsid w:val="001C6394"/>
    <w:rsid w:val="001C6FE9"/>
    <w:rsid w:val="001C7534"/>
    <w:rsid w:val="001C772F"/>
    <w:rsid w:val="001D062D"/>
    <w:rsid w:val="001D0870"/>
    <w:rsid w:val="001D44FA"/>
    <w:rsid w:val="001D4DFC"/>
    <w:rsid w:val="001D6182"/>
    <w:rsid w:val="001D7C82"/>
    <w:rsid w:val="001E066F"/>
    <w:rsid w:val="001E0D23"/>
    <w:rsid w:val="001E0FE7"/>
    <w:rsid w:val="001E403D"/>
    <w:rsid w:val="001E6155"/>
    <w:rsid w:val="001E7285"/>
    <w:rsid w:val="001F1FD0"/>
    <w:rsid w:val="001F32EE"/>
    <w:rsid w:val="001F6A63"/>
    <w:rsid w:val="00201FFD"/>
    <w:rsid w:val="002035B3"/>
    <w:rsid w:val="002039ED"/>
    <w:rsid w:val="00204223"/>
    <w:rsid w:val="002045FE"/>
    <w:rsid w:val="002070E0"/>
    <w:rsid w:val="00210A76"/>
    <w:rsid w:val="00211833"/>
    <w:rsid w:val="00212DBC"/>
    <w:rsid w:val="00215759"/>
    <w:rsid w:val="00215CBE"/>
    <w:rsid w:val="002239DC"/>
    <w:rsid w:val="00223A50"/>
    <w:rsid w:val="00224136"/>
    <w:rsid w:val="00224F37"/>
    <w:rsid w:val="00225B9B"/>
    <w:rsid w:val="0022674F"/>
    <w:rsid w:val="002277D0"/>
    <w:rsid w:val="002301F7"/>
    <w:rsid w:val="002421E6"/>
    <w:rsid w:val="0024441B"/>
    <w:rsid w:val="00245750"/>
    <w:rsid w:val="0024617E"/>
    <w:rsid w:val="002468A7"/>
    <w:rsid w:val="00246A7F"/>
    <w:rsid w:val="00246DAD"/>
    <w:rsid w:val="00251621"/>
    <w:rsid w:val="00253073"/>
    <w:rsid w:val="00253CDB"/>
    <w:rsid w:val="0025476E"/>
    <w:rsid w:val="00255ED5"/>
    <w:rsid w:val="00256F47"/>
    <w:rsid w:val="00261A28"/>
    <w:rsid w:val="00262DB4"/>
    <w:rsid w:val="00270ABA"/>
    <w:rsid w:val="00270C1C"/>
    <w:rsid w:val="00270DDB"/>
    <w:rsid w:val="00272BF8"/>
    <w:rsid w:val="00273714"/>
    <w:rsid w:val="002737E3"/>
    <w:rsid w:val="002752EC"/>
    <w:rsid w:val="002755D4"/>
    <w:rsid w:val="00286726"/>
    <w:rsid w:val="00287116"/>
    <w:rsid w:val="0028767E"/>
    <w:rsid w:val="002913E4"/>
    <w:rsid w:val="00297B89"/>
    <w:rsid w:val="002A0B8D"/>
    <w:rsid w:val="002B110F"/>
    <w:rsid w:val="002B1A15"/>
    <w:rsid w:val="002B1B8F"/>
    <w:rsid w:val="002B2C02"/>
    <w:rsid w:val="002B31C9"/>
    <w:rsid w:val="002B4967"/>
    <w:rsid w:val="002C06F2"/>
    <w:rsid w:val="002C07CC"/>
    <w:rsid w:val="002C2CCE"/>
    <w:rsid w:val="002C2F57"/>
    <w:rsid w:val="002C5814"/>
    <w:rsid w:val="002C59D0"/>
    <w:rsid w:val="002C75E2"/>
    <w:rsid w:val="002D017B"/>
    <w:rsid w:val="002D0B7F"/>
    <w:rsid w:val="002D53AF"/>
    <w:rsid w:val="002D59E5"/>
    <w:rsid w:val="002D5F50"/>
    <w:rsid w:val="002E048C"/>
    <w:rsid w:val="002F03A3"/>
    <w:rsid w:val="002F0ED3"/>
    <w:rsid w:val="002F43A7"/>
    <w:rsid w:val="002F4F09"/>
    <w:rsid w:val="002F5307"/>
    <w:rsid w:val="002F546C"/>
    <w:rsid w:val="002F655D"/>
    <w:rsid w:val="002F6C4D"/>
    <w:rsid w:val="002F6F44"/>
    <w:rsid w:val="00301D86"/>
    <w:rsid w:val="00301E26"/>
    <w:rsid w:val="003061F3"/>
    <w:rsid w:val="003074B1"/>
    <w:rsid w:val="003079EB"/>
    <w:rsid w:val="00307D60"/>
    <w:rsid w:val="0031075A"/>
    <w:rsid w:val="00310F33"/>
    <w:rsid w:val="00316555"/>
    <w:rsid w:val="00325254"/>
    <w:rsid w:val="00327475"/>
    <w:rsid w:val="0032783F"/>
    <w:rsid w:val="00330027"/>
    <w:rsid w:val="0033022A"/>
    <w:rsid w:val="00332A91"/>
    <w:rsid w:val="00333061"/>
    <w:rsid w:val="003336B0"/>
    <w:rsid w:val="00334ECE"/>
    <w:rsid w:val="003375ED"/>
    <w:rsid w:val="00340563"/>
    <w:rsid w:val="00340F26"/>
    <w:rsid w:val="003419B7"/>
    <w:rsid w:val="00343C7B"/>
    <w:rsid w:val="00344173"/>
    <w:rsid w:val="003452F1"/>
    <w:rsid w:val="00347371"/>
    <w:rsid w:val="00351DE2"/>
    <w:rsid w:val="0035221B"/>
    <w:rsid w:val="00352616"/>
    <w:rsid w:val="00355061"/>
    <w:rsid w:val="00355CF6"/>
    <w:rsid w:val="003571D6"/>
    <w:rsid w:val="00361F72"/>
    <w:rsid w:val="00366AB9"/>
    <w:rsid w:val="00367C4A"/>
    <w:rsid w:val="00371AC0"/>
    <w:rsid w:val="00374F7E"/>
    <w:rsid w:val="0037737E"/>
    <w:rsid w:val="00377E67"/>
    <w:rsid w:val="003802CD"/>
    <w:rsid w:val="00382374"/>
    <w:rsid w:val="00382380"/>
    <w:rsid w:val="0038266C"/>
    <w:rsid w:val="0039013C"/>
    <w:rsid w:val="00391129"/>
    <w:rsid w:val="003912DD"/>
    <w:rsid w:val="00391A17"/>
    <w:rsid w:val="00394327"/>
    <w:rsid w:val="0039629F"/>
    <w:rsid w:val="00396AA4"/>
    <w:rsid w:val="003A090E"/>
    <w:rsid w:val="003A3135"/>
    <w:rsid w:val="003A36DD"/>
    <w:rsid w:val="003A4A78"/>
    <w:rsid w:val="003A5D77"/>
    <w:rsid w:val="003A642F"/>
    <w:rsid w:val="003B393B"/>
    <w:rsid w:val="003B407F"/>
    <w:rsid w:val="003B519E"/>
    <w:rsid w:val="003C3DCC"/>
    <w:rsid w:val="003C4163"/>
    <w:rsid w:val="003C438F"/>
    <w:rsid w:val="003C53EC"/>
    <w:rsid w:val="003C5B9E"/>
    <w:rsid w:val="003C7891"/>
    <w:rsid w:val="003D19DF"/>
    <w:rsid w:val="003D238B"/>
    <w:rsid w:val="003D258F"/>
    <w:rsid w:val="003D5A0B"/>
    <w:rsid w:val="003D7C49"/>
    <w:rsid w:val="003E3079"/>
    <w:rsid w:val="003E3C37"/>
    <w:rsid w:val="003E3F07"/>
    <w:rsid w:val="003E57DB"/>
    <w:rsid w:val="003E5857"/>
    <w:rsid w:val="003E59A8"/>
    <w:rsid w:val="003E7833"/>
    <w:rsid w:val="003F0C5F"/>
    <w:rsid w:val="003F12A1"/>
    <w:rsid w:val="003F2E76"/>
    <w:rsid w:val="003F3A3D"/>
    <w:rsid w:val="003F4B90"/>
    <w:rsid w:val="003F526D"/>
    <w:rsid w:val="003F5826"/>
    <w:rsid w:val="003F5ADD"/>
    <w:rsid w:val="003F643C"/>
    <w:rsid w:val="0040003E"/>
    <w:rsid w:val="004012F7"/>
    <w:rsid w:val="00401CB7"/>
    <w:rsid w:val="004020EE"/>
    <w:rsid w:val="004054E0"/>
    <w:rsid w:val="004068CA"/>
    <w:rsid w:val="00410F03"/>
    <w:rsid w:val="004149DE"/>
    <w:rsid w:val="00414E32"/>
    <w:rsid w:val="00415AEB"/>
    <w:rsid w:val="00415DE0"/>
    <w:rsid w:val="0041759A"/>
    <w:rsid w:val="00417796"/>
    <w:rsid w:val="0041789D"/>
    <w:rsid w:val="00420DBD"/>
    <w:rsid w:val="00420E36"/>
    <w:rsid w:val="004218C5"/>
    <w:rsid w:val="00423D58"/>
    <w:rsid w:val="004240D0"/>
    <w:rsid w:val="004240FC"/>
    <w:rsid w:val="0042440B"/>
    <w:rsid w:val="00424C8F"/>
    <w:rsid w:val="00427549"/>
    <w:rsid w:val="00430F47"/>
    <w:rsid w:val="004311D1"/>
    <w:rsid w:val="00431412"/>
    <w:rsid w:val="004319C5"/>
    <w:rsid w:val="0043240A"/>
    <w:rsid w:val="0043337E"/>
    <w:rsid w:val="004422F9"/>
    <w:rsid w:val="0044304B"/>
    <w:rsid w:val="00443196"/>
    <w:rsid w:val="004441D4"/>
    <w:rsid w:val="004447AD"/>
    <w:rsid w:val="00445789"/>
    <w:rsid w:val="004479DF"/>
    <w:rsid w:val="00452171"/>
    <w:rsid w:val="00454763"/>
    <w:rsid w:val="00455FF0"/>
    <w:rsid w:val="0045679D"/>
    <w:rsid w:val="00456B70"/>
    <w:rsid w:val="00457203"/>
    <w:rsid w:val="00457F97"/>
    <w:rsid w:val="00457FAC"/>
    <w:rsid w:val="0046094C"/>
    <w:rsid w:val="00460F56"/>
    <w:rsid w:val="00461615"/>
    <w:rsid w:val="0046162A"/>
    <w:rsid w:val="00461B8F"/>
    <w:rsid w:val="004627C5"/>
    <w:rsid w:val="00466460"/>
    <w:rsid w:val="00466A0C"/>
    <w:rsid w:val="00466ABF"/>
    <w:rsid w:val="00467695"/>
    <w:rsid w:val="00467B31"/>
    <w:rsid w:val="00470208"/>
    <w:rsid w:val="0047088D"/>
    <w:rsid w:val="00470E72"/>
    <w:rsid w:val="004713E1"/>
    <w:rsid w:val="004716C6"/>
    <w:rsid w:val="004722B0"/>
    <w:rsid w:val="00474CAE"/>
    <w:rsid w:val="00475F19"/>
    <w:rsid w:val="00477E8C"/>
    <w:rsid w:val="004810E8"/>
    <w:rsid w:val="004825F2"/>
    <w:rsid w:val="00482E26"/>
    <w:rsid w:val="00483FCE"/>
    <w:rsid w:val="004849A8"/>
    <w:rsid w:val="00484B96"/>
    <w:rsid w:val="00484CD7"/>
    <w:rsid w:val="00485E1D"/>
    <w:rsid w:val="00487E76"/>
    <w:rsid w:val="0049520A"/>
    <w:rsid w:val="00496169"/>
    <w:rsid w:val="004A0C02"/>
    <w:rsid w:val="004A5572"/>
    <w:rsid w:val="004A5DCD"/>
    <w:rsid w:val="004B24E0"/>
    <w:rsid w:val="004B3C8D"/>
    <w:rsid w:val="004B4300"/>
    <w:rsid w:val="004B57D0"/>
    <w:rsid w:val="004B6CF8"/>
    <w:rsid w:val="004B798E"/>
    <w:rsid w:val="004C18B2"/>
    <w:rsid w:val="004C25B5"/>
    <w:rsid w:val="004C495D"/>
    <w:rsid w:val="004C52AB"/>
    <w:rsid w:val="004C6CA9"/>
    <w:rsid w:val="004D05F0"/>
    <w:rsid w:val="004D148B"/>
    <w:rsid w:val="004D151A"/>
    <w:rsid w:val="004D18DA"/>
    <w:rsid w:val="004D4738"/>
    <w:rsid w:val="004D5C1F"/>
    <w:rsid w:val="004E02EA"/>
    <w:rsid w:val="004E1741"/>
    <w:rsid w:val="004E3ADD"/>
    <w:rsid w:val="004E4FDE"/>
    <w:rsid w:val="004E67AB"/>
    <w:rsid w:val="004E78D3"/>
    <w:rsid w:val="004F0268"/>
    <w:rsid w:val="004F0775"/>
    <w:rsid w:val="00500180"/>
    <w:rsid w:val="005057DC"/>
    <w:rsid w:val="00512FC6"/>
    <w:rsid w:val="00514786"/>
    <w:rsid w:val="00515A61"/>
    <w:rsid w:val="00517231"/>
    <w:rsid w:val="00517AB5"/>
    <w:rsid w:val="00520879"/>
    <w:rsid w:val="0052642C"/>
    <w:rsid w:val="005309B1"/>
    <w:rsid w:val="0053174E"/>
    <w:rsid w:val="0053400B"/>
    <w:rsid w:val="005358B2"/>
    <w:rsid w:val="00536273"/>
    <w:rsid w:val="0054150C"/>
    <w:rsid w:val="005418B7"/>
    <w:rsid w:val="00541B1C"/>
    <w:rsid w:val="00543555"/>
    <w:rsid w:val="00543991"/>
    <w:rsid w:val="00543CAC"/>
    <w:rsid w:val="00550B20"/>
    <w:rsid w:val="005524C3"/>
    <w:rsid w:val="00552EDF"/>
    <w:rsid w:val="00553A7F"/>
    <w:rsid w:val="00553CC3"/>
    <w:rsid w:val="00555F5E"/>
    <w:rsid w:val="005566EF"/>
    <w:rsid w:val="005578BB"/>
    <w:rsid w:val="00557FCD"/>
    <w:rsid w:val="005606C2"/>
    <w:rsid w:val="00561C31"/>
    <w:rsid w:val="00561EFD"/>
    <w:rsid w:val="005642CC"/>
    <w:rsid w:val="00566287"/>
    <w:rsid w:val="00572A31"/>
    <w:rsid w:val="00572A5D"/>
    <w:rsid w:val="005762E6"/>
    <w:rsid w:val="00581AEF"/>
    <w:rsid w:val="0058433F"/>
    <w:rsid w:val="0058452C"/>
    <w:rsid w:val="00585356"/>
    <w:rsid w:val="00585E6A"/>
    <w:rsid w:val="0058615A"/>
    <w:rsid w:val="00590CD9"/>
    <w:rsid w:val="005912DB"/>
    <w:rsid w:val="005942F1"/>
    <w:rsid w:val="00596E17"/>
    <w:rsid w:val="005974BC"/>
    <w:rsid w:val="005A1253"/>
    <w:rsid w:val="005A1D68"/>
    <w:rsid w:val="005A3D6A"/>
    <w:rsid w:val="005A5FDB"/>
    <w:rsid w:val="005A7388"/>
    <w:rsid w:val="005A7666"/>
    <w:rsid w:val="005B093E"/>
    <w:rsid w:val="005B1E24"/>
    <w:rsid w:val="005B2EB4"/>
    <w:rsid w:val="005B3C4D"/>
    <w:rsid w:val="005B5CF7"/>
    <w:rsid w:val="005C3FCA"/>
    <w:rsid w:val="005C500C"/>
    <w:rsid w:val="005C6607"/>
    <w:rsid w:val="005C7A1B"/>
    <w:rsid w:val="005D3595"/>
    <w:rsid w:val="005D5168"/>
    <w:rsid w:val="005D68F5"/>
    <w:rsid w:val="005D69D4"/>
    <w:rsid w:val="005E01B1"/>
    <w:rsid w:val="005E2D95"/>
    <w:rsid w:val="005E2F6B"/>
    <w:rsid w:val="005E317B"/>
    <w:rsid w:val="005F0D0C"/>
    <w:rsid w:val="005F19C5"/>
    <w:rsid w:val="005F247B"/>
    <w:rsid w:val="005F4526"/>
    <w:rsid w:val="005F4907"/>
    <w:rsid w:val="005F615D"/>
    <w:rsid w:val="006016AA"/>
    <w:rsid w:val="00603E86"/>
    <w:rsid w:val="00612FA8"/>
    <w:rsid w:val="00613894"/>
    <w:rsid w:val="00614CA3"/>
    <w:rsid w:val="00615483"/>
    <w:rsid w:val="0061563E"/>
    <w:rsid w:val="00615CFC"/>
    <w:rsid w:val="00615EB9"/>
    <w:rsid w:val="006160D0"/>
    <w:rsid w:val="0061672D"/>
    <w:rsid w:val="00620807"/>
    <w:rsid w:val="00620C65"/>
    <w:rsid w:val="00620E82"/>
    <w:rsid w:val="00621FF9"/>
    <w:rsid w:val="00623025"/>
    <w:rsid w:val="00626343"/>
    <w:rsid w:val="0063101D"/>
    <w:rsid w:val="00633565"/>
    <w:rsid w:val="0063680D"/>
    <w:rsid w:val="00640225"/>
    <w:rsid w:val="00640A34"/>
    <w:rsid w:val="006418FF"/>
    <w:rsid w:val="00641C9E"/>
    <w:rsid w:val="00642A2B"/>
    <w:rsid w:val="006441A1"/>
    <w:rsid w:val="00644B40"/>
    <w:rsid w:val="00646DA2"/>
    <w:rsid w:val="00647171"/>
    <w:rsid w:val="006473B0"/>
    <w:rsid w:val="006517C0"/>
    <w:rsid w:val="0065187B"/>
    <w:rsid w:val="00654A89"/>
    <w:rsid w:val="0065691E"/>
    <w:rsid w:val="00661D3F"/>
    <w:rsid w:val="006645AB"/>
    <w:rsid w:val="00667B57"/>
    <w:rsid w:val="00667D6E"/>
    <w:rsid w:val="006723CB"/>
    <w:rsid w:val="0067584D"/>
    <w:rsid w:val="00677714"/>
    <w:rsid w:val="00681534"/>
    <w:rsid w:val="0068242F"/>
    <w:rsid w:val="00682873"/>
    <w:rsid w:val="00683ADE"/>
    <w:rsid w:val="0068785B"/>
    <w:rsid w:val="00690F9F"/>
    <w:rsid w:val="00691084"/>
    <w:rsid w:val="006911EC"/>
    <w:rsid w:val="0069742C"/>
    <w:rsid w:val="006A263C"/>
    <w:rsid w:val="006A41C3"/>
    <w:rsid w:val="006A44BE"/>
    <w:rsid w:val="006A552E"/>
    <w:rsid w:val="006A6C48"/>
    <w:rsid w:val="006A7ADE"/>
    <w:rsid w:val="006B0964"/>
    <w:rsid w:val="006B18E4"/>
    <w:rsid w:val="006B21EE"/>
    <w:rsid w:val="006B24EB"/>
    <w:rsid w:val="006B2939"/>
    <w:rsid w:val="006B3663"/>
    <w:rsid w:val="006B4598"/>
    <w:rsid w:val="006B509D"/>
    <w:rsid w:val="006B656D"/>
    <w:rsid w:val="006B6DD0"/>
    <w:rsid w:val="006B728E"/>
    <w:rsid w:val="006C3181"/>
    <w:rsid w:val="006C3C5A"/>
    <w:rsid w:val="006C4358"/>
    <w:rsid w:val="006C6B05"/>
    <w:rsid w:val="006D047B"/>
    <w:rsid w:val="006D32BF"/>
    <w:rsid w:val="006D4377"/>
    <w:rsid w:val="006D4A1F"/>
    <w:rsid w:val="006D67A7"/>
    <w:rsid w:val="006D6D59"/>
    <w:rsid w:val="006D71AE"/>
    <w:rsid w:val="006D745B"/>
    <w:rsid w:val="006E0CF2"/>
    <w:rsid w:val="006E2335"/>
    <w:rsid w:val="006E4C05"/>
    <w:rsid w:val="006E6DFA"/>
    <w:rsid w:val="006E749C"/>
    <w:rsid w:val="006E754C"/>
    <w:rsid w:val="006F08C4"/>
    <w:rsid w:val="006F4C1D"/>
    <w:rsid w:val="006F51B3"/>
    <w:rsid w:val="006F67E7"/>
    <w:rsid w:val="006F6883"/>
    <w:rsid w:val="007008A2"/>
    <w:rsid w:val="00700953"/>
    <w:rsid w:val="007010A9"/>
    <w:rsid w:val="007018B7"/>
    <w:rsid w:val="00702F63"/>
    <w:rsid w:val="007043BE"/>
    <w:rsid w:val="007105E5"/>
    <w:rsid w:val="007108F0"/>
    <w:rsid w:val="0071226B"/>
    <w:rsid w:val="00713B72"/>
    <w:rsid w:val="00714131"/>
    <w:rsid w:val="0071427D"/>
    <w:rsid w:val="007150EA"/>
    <w:rsid w:val="00721292"/>
    <w:rsid w:val="00722716"/>
    <w:rsid w:val="007246EA"/>
    <w:rsid w:val="007272D6"/>
    <w:rsid w:val="0072753E"/>
    <w:rsid w:val="007309E5"/>
    <w:rsid w:val="00733AF2"/>
    <w:rsid w:val="00734F51"/>
    <w:rsid w:val="0073508D"/>
    <w:rsid w:val="0073793F"/>
    <w:rsid w:val="00743BC0"/>
    <w:rsid w:val="00751B77"/>
    <w:rsid w:val="00752960"/>
    <w:rsid w:val="007534FC"/>
    <w:rsid w:val="00760382"/>
    <w:rsid w:val="00761F72"/>
    <w:rsid w:val="00762AB4"/>
    <w:rsid w:val="00767DB2"/>
    <w:rsid w:val="007774B4"/>
    <w:rsid w:val="007779DD"/>
    <w:rsid w:val="00780716"/>
    <w:rsid w:val="00781CC1"/>
    <w:rsid w:val="00781F59"/>
    <w:rsid w:val="00782586"/>
    <w:rsid w:val="007837AF"/>
    <w:rsid w:val="00783F85"/>
    <w:rsid w:val="007851FE"/>
    <w:rsid w:val="00785C35"/>
    <w:rsid w:val="00786163"/>
    <w:rsid w:val="00786711"/>
    <w:rsid w:val="007871AD"/>
    <w:rsid w:val="00791965"/>
    <w:rsid w:val="0079242E"/>
    <w:rsid w:val="00793B28"/>
    <w:rsid w:val="00794D6C"/>
    <w:rsid w:val="007A0DFD"/>
    <w:rsid w:val="007A0F40"/>
    <w:rsid w:val="007A21FD"/>
    <w:rsid w:val="007A5926"/>
    <w:rsid w:val="007B00A2"/>
    <w:rsid w:val="007B05A1"/>
    <w:rsid w:val="007B2128"/>
    <w:rsid w:val="007B5AA1"/>
    <w:rsid w:val="007B6ECB"/>
    <w:rsid w:val="007C1A74"/>
    <w:rsid w:val="007C23C9"/>
    <w:rsid w:val="007C34B3"/>
    <w:rsid w:val="007C357B"/>
    <w:rsid w:val="007D0FF0"/>
    <w:rsid w:val="007D142D"/>
    <w:rsid w:val="007D1A8D"/>
    <w:rsid w:val="007D230A"/>
    <w:rsid w:val="007D2B46"/>
    <w:rsid w:val="007D555B"/>
    <w:rsid w:val="007D61C1"/>
    <w:rsid w:val="007D6AFB"/>
    <w:rsid w:val="007E007C"/>
    <w:rsid w:val="007E1CAC"/>
    <w:rsid w:val="007E4ECB"/>
    <w:rsid w:val="007E5904"/>
    <w:rsid w:val="007E5E90"/>
    <w:rsid w:val="007E5FE0"/>
    <w:rsid w:val="007E7964"/>
    <w:rsid w:val="007F21D7"/>
    <w:rsid w:val="007F2F01"/>
    <w:rsid w:val="007F4731"/>
    <w:rsid w:val="007F5884"/>
    <w:rsid w:val="007F59CD"/>
    <w:rsid w:val="007F6A3A"/>
    <w:rsid w:val="007F7C5D"/>
    <w:rsid w:val="0080062B"/>
    <w:rsid w:val="00801367"/>
    <w:rsid w:val="00801E52"/>
    <w:rsid w:val="0080342D"/>
    <w:rsid w:val="0080465F"/>
    <w:rsid w:val="00804724"/>
    <w:rsid w:val="00805699"/>
    <w:rsid w:val="00807424"/>
    <w:rsid w:val="008101CA"/>
    <w:rsid w:val="008105AC"/>
    <w:rsid w:val="00811429"/>
    <w:rsid w:val="00813542"/>
    <w:rsid w:val="00813F45"/>
    <w:rsid w:val="008143AD"/>
    <w:rsid w:val="008151AA"/>
    <w:rsid w:val="0082046E"/>
    <w:rsid w:val="008225D8"/>
    <w:rsid w:val="00822CD0"/>
    <w:rsid w:val="00823AC8"/>
    <w:rsid w:val="00823D6B"/>
    <w:rsid w:val="0082482A"/>
    <w:rsid w:val="00824F35"/>
    <w:rsid w:val="00825134"/>
    <w:rsid w:val="00825DD4"/>
    <w:rsid w:val="0082661E"/>
    <w:rsid w:val="00832A64"/>
    <w:rsid w:val="00833EF0"/>
    <w:rsid w:val="008349D6"/>
    <w:rsid w:val="00834BBD"/>
    <w:rsid w:val="00836191"/>
    <w:rsid w:val="008415F7"/>
    <w:rsid w:val="00843899"/>
    <w:rsid w:val="008441B7"/>
    <w:rsid w:val="00844566"/>
    <w:rsid w:val="00845286"/>
    <w:rsid w:val="00845C6C"/>
    <w:rsid w:val="008472B4"/>
    <w:rsid w:val="00847888"/>
    <w:rsid w:val="00852084"/>
    <w:rsid w:val="00860322"/>
    <w:rsid w:val="0086182B"/>
    <w:rsid w:val="00863AA0"/>
    <w:rsid w:val="00864640"/>
    <w:rsid w:val="00865D3F"/>
    <w:rsid w:val="008675E8"/>
    <w:rsid w:val="00867C27"/>
    <w:rsid w:val="00872F55"/>
    <w:rsid w:val="008734AE"/>
    <w:rsid w:val="00880706"/>
    <w:rsid w:val="00881663"/>
    <w:rsid w:val="00881C9C"/>
    <w:rsid w:val="00881FE9"/>
    <w:rsid w:val="0088422D"/>
    <w:rsid w:val="0088459B"/>
    <w:rsid w:val="008847A7"/>
    <w:rsid w:val="0088508C"/>
    <w:rsid w:val="008852D8"/>
    <w:rsid w:val="008872DC"/>
    <w:rsid w:val="0089756F"/>
    <w:rsid w:val="008A061C"/>
    <w:rsid w:val="008A259F"/>
    <w:rsid w:val="008A354F"/>
    <w:rsid w:val="008A3FFE"/>
    <w:rsid w:val="008A5125"/>
    <w:rsid w:val="008A7306"/>
    <w:rsid w:val="008B12DC"/>
    <w:rsid w:val="008B1352"/>
    <w:rsid w:val="008B200F"/>
    <w:rsid w:val="008B42E2"/>
    <w:rsid w:val="008B4742"/>
    <w:rsid w:val="008B4AB3"/>
    <w:rsid w:val="008B548C"/>
    <w:rsid w:val="008B72FD"/>
    <w:rsid w:val="008B7B4B"/>
    <w:rsid w:val="008C0A92"/>
    <w:rsid w:val="008C106C"/>
    <w:rsid w:val="008C3463"/>
    <w:rsid w:val="008C37E0"/>
    <w:rsid w:val="008C4B81"/>
    <w:rsid w:val="008C5053"/>
    <w:rsid w:val="008C5C43"/>
    <w:rsid w:val="008C6C18"/>
    <w:rsid w:val="008D0179"/>
    <w:rsid w:val="008D1CB9"/>
    <w:rsid w:val="008D20F2"/>
    <w:rsid w:val="008D255E"/>
    <w:rsid w:val="008D32F2"/>
    <w:rsid w:val="008D3551"/>
    <w:rsid w:val="008D44A5"/>
    <w:rsid w:val="008D53E9"/>
    <w:rsid w:val="008D56DE"/>
    <w:rsid w:val="008D5DBF"/>
    <w:rsid w:val="008D7039"/>
    <w:rsid w:val="008D7125"/>
    <w:rsid w:val="008E041E"/>
    <w:rsid w:val="008E0F07"/>
    <w:rsid w:val="008E5740"/>
    <w:rsid w:val="008E6A00"/>
    <w:rsid w:val="008E7887"/>
    <w:rsid w:val="008F2CD1"/>
    <w:rsid w:val="008F4860"/>
    <w:rsid w:val="008F5F60"/>
    <w:rsid w:val="008F6569"/>
    <w:rsid w:val="008F6A99"/>
    <w:rsid w:val="008F6D87"/>
    <w:rsid w:val="008F7577"/>
    <w:rsid w:val="009006E5"/>
    <w:rsid w:val="009014AD"/>
    <w:rsid w:val="009016B5"/>
    <w:rsid w:val="00901AEE"/>
    <w:rsid w:val="0090378F"/>
    <w:rsid w:val="0090529D"/>
    <w:rsid w:val="00906EF6"/>
    <w:rsid w:val="00910335"/>
    <w:rsid w:val="009104DD"/>
    <w:rsid w:val="00910C54"/>
    <w:rsid w:val="009123B6"/>
    <w:rsid w:val="00912B45"/>
    <w:rsid w:val="009142EB"/>
    <w:rsid w:val="00915113"/>
    <w:rsid w:val="00915452"/>
    <w:rsid w:val="00922A13"/>
    <w:rsid w:val="00922ECF"/>
    <w:rsid w:val="009259BD"/>
    <w:rsid w:val="00925D70"/>
    <w:rsid w:val="009300F7"/>
    <w:rsid w:val="00930B2B"/>
    <w:rsid w:val="00930BE1"/>
    <w:rsid w:val="009333B7"/>
    <w:rsid w:val="00944282"/>
    <w:rsid w:val="009462EE"/>
    <w:rsid w:val="009501BB"/>
    <w:rsid w:val="00951266"/>
    <w:rsid w:val="00951742"/>
    <w:rsid w:val="00953236"/>
    <w:rsid w:val="00957D77"/>
    <w:rsid w:val="009605B2"/>
    <w:rsid w:val="00960AF7"/>
    <w:rsid w:val="00961850"/>
    <w:rsid w:val="009623AC"/>
    <w:rsid w:val="00964973"/>
    <w:rsid w:val="00965697"/>
    <w:rsid w:val="009664AD"/>
    <w:rsid w:val="0097175E"/>
    <w:rsid w:val="00971D1F"/>
    <w:rsid w:val="0097295A"/>
    <w:rsid w:val="00974B4F"/>
    <w:rsid w:val="009757AA"/>
    <w:rsid w:val="009762F5"/>
    <w:rsid w:val="00976DC6"/>
    <w:rsid w:val="009817B9"/>
    <w:rsid w:val="00981DA8"/>
    <w:rsid w:val="0098213A"/>
    <w:rsid w:val="009822A0"/>
    <w:rsid w:val="00982533"/>
    <w:rsid w:val="00983A02"/>
    <w:rsid w:val="00983C72"/>
    <w:rsid w:val="00984147"/>
    <w:rsid w:val="0098426E"/>
    <w:rsid w:val="00990370"/>
    <w:rsid w:val="00990820"/>
    <w:rsid w:val="009910F2"/>
    <w:rsid w:val="00991790"/>
    <w:rsid w:val="00991A67"/>
    <w:rsid w:val="00991D09"/>
    <w:rsid w:val="009920F8"/>
    <w:rsid w:val="00995326"/>
    <w:rsid w:val="00995E70"/>
    <w:rsid w:val="00996EAD"/>
    <w:rsid w:val="009970B4"/>
    <w:rsid w:val="00997786"/>
    <w:rsid w:val="009A09CA"/>
    <w:rsid w:val="009A27DF"/>
    <w:rsid w:val="009A2D9C"/>
    <w:rsid w:val="009A5B7A"/>
    <w:rsid w:val="009A66EC"/>
    <w:rsid w:val="009A6F7C"/>
    <w:rsid w:val="009A790F"/>
    <w:rsid w:val="009B14D5"/>
    <w:rsid w:val="009B1625"/>
    <w:rsid w:val="009B2DC1"/>
    <w:rsid w:val="009B6481"/>
    <w:rsid w:val="009B659C"/>
    <w:rsid w:val="009B6855"/>
    <w:rsid w:val="009C29ED"/>
    <w:rsid w:val="009C309B"/>
    <w:rsid w:val="009C38CE"/>
    <w:rsid w:val="009C3E41"/>
    <w:rsid w:val="009C55D2"/>
    <w:rsid w:val="009C5D28"/>
    <w:rsid w:val="009C623A"/>
    <w:rsid w:val="009C7EA0"/>
    <w:rsid w:val="009D3AF9"/>
    <w:rsid w:val="009D4AC3"/>
    <w:rsid w:val="009D4CA2"/>
    <w:rsid w:val="009D4FEC"/>
    <w:rsid w:val="009E0B36"/>
    <w:rsid w:val="009E37E6"/>
    <w:rsid w:val="009E3AC6"/>
    <w:rsid w:val="009E5732"/>
    <w:rsid w:val="009E709E"/>
    <w:rsid w:val="009F22AD"/>
    <w:rsid w:val="009F242B"/>
    <w:rsid w:val="009F2AFE"/>
    <w:rsid w:val="009F3943"/>
    <w:rsid w:val="009F3A1F"/>
    <w:rsid w:val="009F3A29"/>
    <w:rsid w:val="009F4D5D"/>
    <w:rsid w:val="009F670C"/>
    <w:rsid w:val="009F7489"/>
    <w:rsid w:val="009F7781"/>
    <w:rsid w:val="00A010A9"/>
    <w:rsid w:val="00A01A44"/>
    <w:rsid w:val="00A038E8"/>
    <w:rsid w:val="00A068E7"/>
    <w:rsid w:val="00A11CBD"/>
    <w:rsid w:val="00A135C5"/>
    <w:rsid w:val="00A13A38"/>
    <w:rsid w:val="00A15273"/>
    <w:rsid w:val="00A1547C"/>
    <w:rsid w:val="00A15EA9"/>
    <w:rsid w:val="00A171FF"/>
    <w:rsid w:val="00A17CE6"/>
    <w:rsid w:val="00A20213"/>
    <w:rsid w:val="00A20AE4"/>
    <w:rsid w:val="00A211CC"/>
    <w:rsid w:val="00A234A9"/>
    <w:rsid w:val="00A234D4"/>
    <w:rsid w:val="00A239AA"/>
    <w:rsid w:val="00A24F70"/>
    <w:rsid w:val="00A26E58"/>
    <w:rsid w:val="00A32DC8"/>
    <w:rsid w:val="00A3419F"/>
    <w:rsid w:val="00A3478A"/>
    <w:rsid w:val="00A34B38"/>
    <w:rsid w:val="00A36B50"/>
    <w:rsid w:val="00A37E9E"/>
    <w:rsid w:val="00A40301"/>
    <w:rsid w:val="00A40A4C"/>
    <w:rsid w:val="00A41CB8"/>
    <w:rsid w:val="00A41D96"/>
    <w:rsid w:val="00A42E7D"/>
    <w:rsid w:val="00A448BD"/>
    <w:rsid w:val="00A46E3A"/>
    <w:rsid w:val="00A46F3C"/>
    <w:rsid w:val="00A477E7"/>
    <w:rsid w:val="00A47FC7"/>
    <w:rsid w:val="00A50130"/>
    <w:rsid w:val="00A502C4"/>
    <w:rsid w:val="00A5127B"/>
    <w:rsid w:val="00A526F0"/>
    <w:rsid w:val="00A53960"/>
    <w:rsid w:val="00A53AEE"/>
    <w:rsid w:val="00A54602"/>
    <w:rsid w:val="00A554B0"/>
    <w:rsid w:val="00A55D2E"/>
    <w:rsid w:val="00A5677A"/>
    <w:rsid w:val="00A612DB"/>
    <w:rsid w:val="00A618CE"/>
    <w:rsid w:val="00A63BDC"/>
    <w:rsid w:val="00A6626A"/>
    <w:rsid w:val="00A67095"/>
    <w:rsid w:val="00A773C7"/>
    <w:rsid w:val="00A77506"/>
    <w:rsid w:val="00A800D7"/>
    <w:rsid w:val="00A80273"/>
    <w:rsid w:val="00A81FD9"/>
    <w:rsid w:val="00A82249"/>
    <w:rsid w:val="00A849BC"/>
    <w:rsid w:val="00A90586"/>
    <w:rsid w:val="00A90A22"/>
    <w:rsid w:val="00A923AF"/>
    <w:rsid w:val="00A926F2"/>
    <w:rsid w:val="00A9277B"/>
    <w:rsid w:val="00A93039"/>
    <w:rsid w:val="00A95695"/>
    <w:rsid w:val="00A95BE7"/>
    <w:rsid w:val="00AA04F7"/>
    <w:rsid w:val="00AA08DF"/>
    <w:rsid w:val="00AA104B"/>
    <w:rsid w:val="00AA327C"/>
    <w:rsid w:val="00AB03AD"/>
    <w:rsid w:val="00AB2233"/>
    <w:rsid w:val="00AB3E68"/>
    <w:rsid w:val="00AB432F"/>
    <w:rsid w:val="00AB784A"/>
    <w:rsid w:val="00AC031A"/>
    <w:rsid w:val="00AC1848"/>
    <w:rsid w:val="00AC621F"/>
    <w:rsid w:val="00AC7769"/>
    <w:rsid w:val="00AC7814"/>
    <w:rsid w:val="00AD0B31"/>
    <w:rsid w:val="00AD3BDC"/>
    <w:rsid w:val="00AD508A"/>
    <w:rsid w:val="00AD71EC"/>
    <w:rsid w:val="00AD7B53"/>
    <w:rsid w:val="00AE0F02"/>
    <w:rsid w:val="00AE2ABD"/>
    <w:rsid w:val="00AE3383"/>
    <w:rsid w:val="00AE3753"/>
    <w:rsid w:val="00AE3E89"/>
    <w:rsid w:val="00AE4094"/>
    <w:rsid w:val="00AE4B46"/>
    <w:rsid w:val="00AE67B2"/>
    <w:rsid w:val="00AE67CF"/>
    <w:rsid w:val="00AE6C26"/>
    <w:rsid w:val="00AE6CE5"/>
    <w:rsid w:val="00AE6DB3"/>
    <w:rsid w:val="00AE7A6C"/>
    <w:rsid w:val="00AF2151"/>
    <w:rsid w:val="00AF2B8F"/>
    <w:rsid w:val="00AF3337"/>
    <w:rsid w:val="00AF3393"/>
    <w:rsid w:val="00AF3A55"/>
    <w:rsid w:val="00AF41C7"/>
    <w:rsid w:val="00AF4B25"/>
    <w:rsid w:val="00AF5A38"/>
    <w:rsid w:val="00AF704B"/>
    <w:rsid w:val="00AF7692"/>
    <w:rsid w:val="00B014DB"/>
    <w:rsid w:val="00B033F8"/>
    <w:rsid w:val="00B057CC"/>
    <w:rsid w:val="00B113D1"/>
    <w:rsid w:val="00B11C45"/>
    <w:rsid w:val="00B135EB"/>
    <w:rsid w:val="00B1389D"/>
    <w:rsid w:val="00B13A4F"/>
    <w:rsid w:val="00B156BD"/>
    <w:rsid w:val="00B20122"/>
    <w:rsid w:val="00B21941"/>
    <w:rsid w:val="00B21E83"/>
    <w:rsid w:val="00B227C1"/>
    <w:rsid w:val="00B230CA"/>
    <w:rsid w:val="00B23564"/>
    <w:rsid w:val="00B23E5B"/>
    <w:rsid w:val="00B252FF"/>
    <w:rsid w:val="00B266A0"/>
    <w:rsid w:val="00B27A3F"/>
    <w:rsid w:val="00B32F31"/>
    <w:rsid w:val="00B335C6"/>
    <w:rsid w:val="00B347C1"/>
    <w:rsid w:val="00B36698"/>
    <w:rsid w:val="00B371C4"/>
    <w:rsid w:val="00B404A7"/>
    <w:rsid w:val="00B406A6"/>
    <w:rsid w:val="00B43B72"/>
    <w:rsid w:val="00B44564"/>
    <w:rsid w:val="00B454B0"/>
    <w:rsid w:val="00B45842"/>
    <w:rsid w:val="00B46744"/>
    <w:rsid w:val="00B51FE8"/>
    <w:rsid w:val="00B532A5"/>
    <w:rsid w:val="00B53527"/>
    <w:rsid w:val="00B54B65"/>
    <w:rsid w:val="00B66400"/>
    <w:rsid w:val="00B67901"/>
    <w:rsid w:val="00B67D67"/>
    <w:rsid w:val="00B73380"/>
    <w:rsid w:val="00B734AB"/>
    <w:rsid w:val="00B7410A"/>
    <w:rsid w:val="00B7510F"/>
    <w:rsid w:val="00B76B23"/>
    <w:rsid w:val="00B81201"/>
    <w:rsid w:val="00B812F0"/>
    <w:rsid w:val="00B8243B"/>
    <w:rsid w:val="00B831EF"/>
    <w:rsid w:val="00B8342F"/>
    <w:rsid w:val="00B83478"/>
    <w:rsid w:val="00B834F1"/>
    <w:rsid w:val="00B84C0F"/>
    <w:rsid w:val="00B85EFE"/>
    <w:rsid w:val="00B866EE"/>
    <w:rsid w:val="00B8702F"/>
    <w:rsid w:val="00B90269"/>
    <w:rsid w:val="00B92A7E"/>
    <w:rsid w:val="00B930A6"/>
    <w:rsid w:val="00B9360B"/>
    <w:rsid w:val="00B93EED"/>
    <w:rsid w:val="00B9614B"/>
    <w:rsid w:val="00B97391"/>
    <w:rsid w:val="00B975C6"/>
    <w:rsid w:val="00B97990"/>
    <w:rsid w:val="00B979A1"/>
    <w:rsid w:val="00BA0E48"/>
    <w:rsid w:val="00BA2730"/>
    <w:rsid w:val="00BA2BA4"/>
    <w:rsid w:val="00BA50A9"/>
    <w:rsid w:val="00BA64DB"/>
    <w:rsid w:val="00BA7383"/>
    <w:rsid w:val="00BA7FB9"/>
    <w:rsid w:val="00BB0018"/>
    <w:rsid w:val="00BB1652"/>
    <w:rsid w:val="00BB50F9"/>
    <w:rsid w:val="00BB6625"/>
    <w:rsid w:val="00BB6CBC"/>
    <w:rsid w:val="00BC050B"/>
    <w:rsid w:val="00BC1AF1"/>
    <w:rsid w:val="00BC2C85"/>
    <w:rsid w:val="00BC3A96"/>
    <w:rsid w:val="00BC523B"/>
    <w:rsid w:val="00BC52B1"/>
    <w:rsid w:val="00BC545C"/>
    <w:rsid w:val="00BC73A0"/>
    <w:rsid w:val="00BC73A2"/>
    <w:rsid w:val="00BC7B4E"/>
    <w:rsid w:val="00BD324F"/>
    <w:rsid w:val="00BD3A5F"/>
    <w:rsid w:val="00BD3C89"/>
    <w:rsid w:val="00BD408C"/>
    <w:rsid w:val="00BD4371"/>
    <w:rsid w:val="00BD578A"/>
    <w:rsid w:val="00BD6CE4"/>
    <w:rsid w:val="00BD7371"/>
    <w:rsid w:val="00BD7AB5"/>
    <w:rsid w:val="00BD7B4D"/>
    <w:rsid w:val="00BE1998"/>
    <w:rsid w:val="00BE1DC7"/>
    <w:rsid w:val="00BE29D4"/>
    <w:rsid w:val="00BE3AD7"/>
    <w:rsid w:val="00BE5BA2"/>
    <w:rsid w:val="00BE6241"/>
    <w:rsid w:val="00BE640C"/>
    <w:rsid w:val="00BE652E"/>
    <w:rsid w:val="00BE790D"/>
    <w:rsid w:val="00BF03E2"/>
    <w:rsid w:val="00BF0659"/>
    <w:rsid w:val="00BF06CB"/>
    <w:rsid w:val="00BF13A5"/>
    <w:rsid w:val="00BF1989"/>
    <w:rsid w:val="00BF2ADC"/>
    <w:rsid w:val="00BF38CE"/>
    <w:rsid w:val="00BF4E9D"/>
    <w:rsid w:val="00BF741B"/>
    <w:rsid w:val="00C0046F"/>
    <w:rsid w:val="00C0243F"/>
    <w:rsid w:val="00C07EDC"/>
    <w:rsid w:val="00C10134"/>
    <w:rsid w:val="00C1202A"/>
    <w:rsid w:val="00C12C57"/>
    <w:rsid w:val="00C14EB8"/>
    <w:rsid w:val="00C160F2"/>
    <w:rsid w:val="00C16974"/>
    <w:rsid w:val="00C20BAB"/>
    <w:rsid w:val="00C23138"/>
    <w:rsid w:val="00C23CC7"/>
    <w:rsid w:val="00C24C43"/>
    <w:rsid w:val="00C26447"/>
    <w:rsid w:val="00C30BE7"/>
    <w:rsid w:val="00C344D9"/>
    <w:rsid w:val="00C34F0D"/>
    <w:rsid w:val="00C4153A"/>
    <w:rsid w:val="00C450C1"/>
    <w:rsid w:val="00C4568D"/>
    <w:rsid w:val="00C50139"/>
    <w:rsid w:val="00C508DB"/>
    <w:rsid w:val="00C52661"/>
    <w:rsid w:val="00C55EED"/>
    <w:rsid w:val="00C56165"/>
    <w:rsid w:val="00C56F21"/>
    <w:rsid w:val="00C61F96"/>
    <w:rsid w:val="00C63634"/>
    <w:rsid w:val="00C64E7E"/>
    <w:rsid w:val="00C65B9E"/>
    <w:rsid w:val="00C664CA"/>
    <w:rsid w:val="00C66C7A"/>
    <w:rsid w:val="00C67F9D"/>
    <w:rsid w:val="00C73773"/>
    <w:rsid w:val="00C76FF7"/>
    <w:rsid w:val="00C80322"/>
    <w:rsid w:val="00C82972"/>
    <w:rsid w:val="00C82C02"/>
    <w:rsid w:val="00C840DE"/>
    <w:rsid w:val="00C86DB5"/>
    <w:rsid w:val="00C91721"/>
    <w:rsid w:val="00C917F4"/>
    <w:rsid w:val="00C94011"/>
    <w:rsid w:val="00C9435C"/>
    <w:rsid w:val="00C946E6"/>
    <w:rsid w:val="00C94C24"/>
    <w:rsid w:val="00CA2985"/>
    <w:rsid w:val="00CA29B9"/>
    <w:rsid w:val="00CA2C6E"/>
    <w:rsid w:val="00CA78FE"/>
    <w:rsid w:val="00CB1180"/>
    <w:rsid w:val="00CB3870"/>
    <w:rsid w:val="00CB494B"/>
    <w:rsid w:val="00CB5242"/>
    <w:rsid w:val="00CB6568"/>
    <w:rsid w:val="00CB78E1"/>
    <w:rsid w:val="00CC2FC8"/>
    <w:rsid w:val="00CC34A6"/>
    <w:rsid w:val="00CC3BA3"/>
    <w:rsid w:val="00CC5901"/>
    <w:rsid w:val="00CD16C6"/>
    <w:rsid w:val="00CD40E8"/>
    <w:rsid w:val="00CD6B1E"/>
    <w:rsid w:val="00CD7E25"/>
    <w:rsid w:val="00CE47B1"/>
    <w:rsid w:val="00CE5974"/>
    <w:rsid w:val="00CE6211"/>
    <w:rsid w:val="00CE7927"/>
    <w:rsid w:val="00CE7D85"/>
    <w:rsid w:val="00CF05BA"/>
    <w:rsid w:val="00CF10AA"/>
    <w:rsid w:val="00CF1D2D"/>
    <w:rsid w:val="00CF21ED"/>
    <w:rsid w:val="00CF2951"/>
    <w:rsid w:val="00CF2BDE"/>
    <w:rsid w:val="00CF2DCC"/>
    <w:rsid w:val="00CF3084"/>
    <w:rsid w:val="00CF3FD8"/>
    <w:rsid w:val="00CF4014"/>
    <w:rsid w:val="00CF4DC5"/>
    <w:rsid w:val="00CF4EC2"/>
    <w:rsid w:val="00CF521B"/>
    <w:rsid w:val="00CF6836"/>
    <w:rsid w:val="00CF792D"/>
    <w:rsid w:val="00D008B6"/>
    <w:rsid w:val="00D00F44"/>
    <w:rsid w:val="00D03B02"/>
    <w:rsid w:val="00D04C52"/>
    <w:rsid w:val="00D10C04"/>
    <w:rsid w:val="00D12658"/>
    <w:rsid w:val="00D14B2D"/>
    <w:rsid w:val="00D14B51"/>
    <w:rsid w:val="00D14E68"/>
    <w:rsid w:val="00D164FA"/>
    <w:rsid w:val="00D17929"/>
    <w:rsid w:val="00D2134A"/>
    <w:rsid w:val="00D22280"/>
    <w:rsid w:val="00D226AC"/>
    <w:rsid w:val="00D23C73"/>
    <w:rsid w:val="00D246EA"/>
    <w:rsid w:val="00D24BAB"/>
    <w:rsid w:val="00D24D5F"/>
    <w:rsid w:val="00D24ECA"/>
    <w:rsid w:val="00D26987"/>
    <w:rsid w:val="00D33034"/>
    <w:rsid w:val="00D3452C"/>
    <w:rsid w:val="00D41191"/>
    <w:rsid w:val="00D4152F"/>
    <w:rsid w:val="00D41584"/>
    <w:rsid w:val="00D45B44"/>
    <w:rsid w:val="00D45F74"/>
    <w:rsid w:val="00D45FCD"/>
    <w:rsid w:val="00D50A11"/>
    <w:rsid w:val="00D50EBC"/>
    <w:rsid w:val="00D51362"/>
    <w:rsid w:val="00D52C41"/>
    <w:rsid w:val="00D54CD2"/>
    <w:rsid w:val="00D62BE2"/>
    <w:rsid w:val="00D635A7"/>
    <w:rsid w:val="00D6476D"/>
    <w:rsid w:val="00D66C4A"/>
    <w:rsid w:val="00D70082"/>
    <w:rsid w:val="00D722C0"/>
    <w:rsid w:val="00D73571"/>
    <w:rsid w:val="00D73954"/>
    <w:rsid w:val="00D75507"/>
    <w:rsid w:val="00D7646B"/>
    <w:rsid w:val="00D82EFD"/>
    <w:rsid w:val="00D848F3"/>
    <w:rsid w:val="00D851D7"/>
    <w:rsid w:val="00D856C2"/>
    <w:rsid w:val="00D85BEA"/>
    <w:rsid w:val="00D86B06"/>
    <w:rsid w:val="00D86BC3"/>
    <w:rsid w:val="00D86D99"/>
    <w:rsid w:val="00D87EE3"/>
    <w:rsid w:val="00D9215D"/>
    <w:rsid w:val="00D92E77"/>
    <w:rsid w:val="00D93C1C"/>
    <w:rsid w:val="00D941E4"/>
    <w:rsid w:val="00D96058"/>
    <w:rsid w:val="00D96906"/>
    <w:rsid w:val="00D96E89"/>
    <w:rsid w:val="00D97745"/>
    <w:rsid w:val="00DA0794"/>
    <w:rsid w:val="00DA1BAD"/>
    <w:rsid w:val="00DA1E49"/>
    <w:rsid w:val="00DA318C"/>
    <w:rsid w:val="00DA3502"/>
    <w:rsid w:val="00DA3B75"/>
    <w:rsid w:val="00DA7C42"/>
    <w:rsid w:val="00DB06B8"/>
    <w:rsid w:val="00DB0AEA"/>
    <w:rsid w:val="00DB207F"/>
    <w:rsid w:val="00DB2213"/>
    <w:rsid w:val="00DB325D"/>
    <w:rsid w:val="00DB46CA"/>
    <w:rsid w:val="00DC15AA"/>
    <w:rsid w:val="00DC2AAF"/>
    <w:rsid w:val="00DC34A7"/>
    <w:rsid w:val="00DC3D98"/>
    <w:rsid w:val="00DC3E05"/>
    <w:rsid w:val="00DC4602"/>
    <w:rsid w:val="00DC48F9"/>
    <w:rsid w:val="00DC5D5F"/>
    <w:rsid w:val="00DC6131"/>
    <w:rsid w:val="00DC6B89"/>
    <w:rsid w:val="00DC6CE1"/>
    <w:rsid w:val="00DC744B"/>
    <w:rsid w:val="00DE07FF"/>
    <w:rsid w:val="00DE2A1F"/>
    <w:rsid w:val="00DE30A2"/>
    <w:rsid w:val="00DE3CB2"/>
    <w:rsid w:val="00DE4090"/>
    <w:rsid w:val="00DE452B"/>
    <w:rsid w:val="00DF3CC8"/>
    <w:rsid w:val="00DF53A0"/>
    <w:rsid w:val="00E00318"/>
    <w:rsid w:val="00E01BD4"/>
    <w:rsid w:val="00E11023"/>
    <w:rsid w:val="00E1156E"/>
    <w:rsid w:val="00E115AB"/>
    <w:rsid w:val="00E11D43"/>
    <w:rsid w:val="00E125D1"/>
    <w:rsid w:val="00E14ADD"/>
    <w:rsid w:val="00E14ADF"/>
    <w:rsid w:val="00E21784"/>
    <w:rsid w:val="00E23529"/>
    <w:rsid w:val="00E24876"/>
    <w:rsid w:val="00E24DC0"/>
    <w:rsid w:val="00E27D3E"/>
    <w:rsid w:val="00E31E87"/>
    <w:rsid w:val="00E32312"/>
    <w:rsid w:val="00E32CA7"/>
    <w:rsid w:val="00E3629D"/>
    <w:rsid w:val="00E40CB4"/>
    <w:rsid w:val="00E4640E"/>
    <w:rsid w:val="00E50763"/>
    <w:rsid w:val="00E5219E"/>
    <w:rsid w:val="00E52351"/>
    <w:rsid w:val="00E52C8D"/>
    <w:rsid w:val="00E53753"/>
    <w:rsid w:val="00E5738E"/>
    <w:rsid w:val="00E576BC"/>
    <w:rsid w:val="00E60174"/>
    <w:rsid w:val="00E601FA"/>
    <w:rsid w:val="00E60C0B"/>
    <w:rsid w:val="00E63830"/>
    <w:rsid w:val="00E657D6"/>
    <w:rsid w:val="00E66B47"/>
    <w:rsid w:val="00E71C3E"/>
    <w:rsid w:val="00E74024"/>
    <w:rsid w:val="00E76643"/>
    <w:rsid w:val="00E769AA"/>
    <w:rsid w:val="00E76BCD"/>
    <w:rsid w:val="00E81A5D"/>
    <w:rsid w:val="00E81B4A"/>
    <w:rsid w:val="00E830EF"/>
    <w:rsid w:val="00E83BE3"/>
    <w:rsid w:val="00E84386"/>
    <w:rsid w:val="00E84773"/>
    <w:rsid w:val="00E86386"/>
    <w:rsid w:val="00E87796"/>
    <w:rsid w:val="00E9001E"/>
    <w:rsid w:val="00E9391C"/>
    <w:rsid w:val="00E9457D"/>
    <w:rsid w:val="00E957AD"/>
    <w:rsid w:val="00EA2B53"/>
    <w:rsid w:val="00EA4065"/>
    <w:rsid w:val="00EA69AA"/>
    <w:rsid w:val="00EA6C39"/>
    <w:rsid w:val="00EB019E"/>
    <w:rsid w:val="00EB16BD"/>
    <w:rsid w:val="00EB33F8"/>
    <w:rsid w:val="00EB383B"/>
    <w:rsid w:val="00EB3896"/>
    <w:rsid w:val="00EB3E63"/>
    <w:rsid w:val="00EB489C"/>
    <w:rsid w:val="00EC1107"/>
    <w:rsid w:val="00EC227E"/>
    <w:rsid w:val="00EC2AD2"/>
    <w:rsid w:val="00EC4A05"/>
    <w:rsid w:val="00EC57A3"/>
    <w:rsid w:val="00EC6890"/>
    <w:rsid w:val="00ED00D5"/>
    <w:rsid w:val="00ED0953"/>
    <w:rsid w:val="00ED24A7"/>
    <w:rsid w:val="00ED3FF9"/>
    <w:rsid w:val="00ED4B2B"/>
    <w:rsid w:val="00ED59A8"/>
    <w:rsid w:val="00ED5FCD"/>
    <w:rsid w:val="00EF044D"/>
    <w:rsid w:val="00EF0A6E"/>
    <w:rsid w:val="00EF2473"/>
    <w:rsid w:val="00EF3766"/>
    <w:rsid w:val="00F02194"/>
    <w:rsid w:val="00F04DD5"/>
    <w:rsid w:val="00F119D3"/>
    <w:rsid w:val="00F1369C"/>
    <w:rsid w:val="00F13BD2"/>
    <w:rsid w:val="00F13F1D"/>
    <w:rsid w:val="00F14CB1"/>
    <w:rsid w:val="00F14F7C"/>
    <w:rsid w:val="00F15947"/>
    <w:rsid w:val="00F15B60"/>
    <w:rsid w:val="00F15E31"/>
    <w:rsid w:val="00F16E35"/>
    <w:rsid w:val="00F2530D"/>
    <w:rsid w:val="00F30241"/>
    <w:rsid w:val="00F316C7"/>
    <w:rsid w:val="00F317F4"/>
    <w:rsid w:val="00F3195A"/>
    <w:rsid w:val="00F33583"/>
    <w:rsid w:val="00F33F19"/>
    <w:rsid w:val="00F35C6E"/>
    <w:rsid w:val="00F37093"/>
    <w:rsid w:val="00F40EF4"/>
    <w:rsid w:val="00F420AC"/>
    <w:rsid w:val="00F45E84"/>
    <w:rsid w:val="00F464A6"/>
    <w:rsid w:val="00F51270"/>
    <w:rsid w:val="00F52285"/>
    <w:rsid w:val="00F523A8"/>
    <w:rsid w:val="00F5639C"/>
    <w:rsid w:val="00F57E9E"/>
    <w:rsid w:val="00F6191E"/>
    <w:rsid w:val="00F62571"/>
    <w:rsid w:val="00F627C9"/>
    <w:rsid w:val="00F6426A"/>
    <w:rsid w:val="00F674C9"/>
    <w:rsid w:val="00F67B96"/>
    <w:rsid w:val="00F719C1"/>
    <w:rsid w:val="00F77343"/>
    <w:rsid w:val="00F80707"/>
    <w:rsid w:val="00F81980"/>
    <w:rsid w:val="00F82EED"/>
    <w:rsid w:val="00F83314"/>
    <w:rsid w:val="00F84103"/>
    <w:rsid w:val="00F843B7"/>
    <w:rsid w:val="00F8523A"/>
    <w:rsid w:val="00F8524F"/>
    <w:rsid w:val="00F852B8"/>
    <w:rsid w:val="00F86F64"/>
    <w:rsid w:val="00F9598B"/>
    <w:rsid w:val="00F95BD8"/>
    <w:rsid w:val="00F96B96"/>
    <w:rsid w:val="00F97AF9"/>
    <w:rsid w:val="00FA0216"/>
    <w:rsid w:val="00FA0589"/>
    <w:rsid w:val="00FA2873"/>
    <w:rsid w:val="00FA7807"/>
    <w:rsid w:val="00FA7E1F"/>
    <w:rsid w:val="00FA7EBF"/>
    <w:rsid w:val="00FB01B4"/>
    <w:rsid w:val="00FB3684"/>
    <w:rsid w:val="00FB62D0"/>
    <w:rsid w:val="00FB6D99"/>
    <w:rsid w:val="00FB7D7A"/>
    <w:rsid w:val="00FC47F2"/>
    <w:rsid w:val="00FC5041"/>
    <w:rsid w:val="00FC53EB"/>
    <w:rsid w:val="00FC71CD"/>
    <w:rsid w:val="00FC7466"/>
    <w:rsid w:val="00FD0047"/>
    <w:rsid w:val="00FD1A70"/>
    <w:rsid w:val="00FD79ED"/>
    <w:rsid w:val="00FE1EBA"/>
    <w:rsid w:val="00FE350E"/>
    <w:rsid w:val="00FE75B0"/>
    <w:rsid w:val="00FE76B7"/>
    <w:rsid w:val="00FE7F47"/>
    <w:rsid w:val="00FF0DD5"/>
    <w:rsid w:val="00FF2125"/>
    <w:rsid w:val="00FF3AEF"/>
    <w:rsid w:val="00FF4035"/>
    <w:rsid w:val="00FF48B7"/>
    <w:rsid w:val="00FF6C45"/>
    <w:rsid w:val="00FF6CAD"/>
    <w:rsid w:val="00FF7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A9487"/>
  <w15:chartTrackingRefBased/>
  <w15:docId w15:val="{F7AC8615-EBA2-4831-9783-37EDF2CA0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01FA"/>
  </w:style>
  <w:style w:type="paragraph" w:styleId="Heading1">
    <w:name w:val="heading 1"/>
    <w:basedOn w:val="Normal"/>
    <w:next w:val="Normal"/>
    <w:link w:val="Heading1Char"/>
    <w:uiPriority w:val="9"/>
    <w:unhideWhenUsed/>
    <w:qFormat/>
    <w:rsid w:val="00D04C52"/>
    <w:pPr>
      <w:keepNext/>
      <w:spacing w:before="240" w:after="60" w:line="24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D04C52"/>
    <w:pPr>
      <w:keepNext/>
      <w:spacing w:before="240" w:after="60" w:line="240" w:lineRule="auto"/>
      <w:outlineLvl w:val="1"/>
    </w:pPr>
    <w:rPr>
      <w:rFonts w:ascii="Calibri Light" w:eastAsia="Times New Roman" w:hAnsi="Calibri Light" w:cs="Times New Roman"/>
      <w:b/>
      <w:bCs/>
      <w:i/>
      <w:iCs/>
      <w:sz w:val="28"/>
      <w:szCs w:val="28"/>
    </w:rPr>
  </w:style>
  <w:style w:type="paragraph" w:styleId="Heading3">
    <w:name w:val="heading 3"/>
    <w:basedOn w:val="Normal"/>
    <w:next w:val="Normal"/>
    <w:link w:val="Heading3Char"/>
    <w:uiPriority w:val="9"/>
    <w:semiHidden/>
    <w:unhideWhenUsed/>
    <w:qFormat/>
    <w:rsid w:val="00D04C52"/>
    <w:pPr>
      <w:keepNext/>
      <w:spacing w:before="240" w:after="60" w:line="240" w:lineRule="auto"/>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iPriority w:val="9"/>
    <w:semiHidden/>
    <w:unhideWhenUsed/>
    <w:qFormat/>
    <w:rsid w:val="00D04C52"/>
    <w:pPr>
      <w:keepNext/>
      <w:keepLines/>
      <w:spacing w:before="40" w:after="0"/>
      <w:outlineLvl w:val="3"/>
    </w:pPr>
    <w:rPr>
      <w:rFonts w:eastAsia="Times New Roman"/>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4C52"/>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D04C52"/>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uiPriority w:val="9"/>
    <w:semiHidden/>
    <w:rsid w:val="00D04C52"/>
    <w:rPr>
      <w:rFonts w:ascii="Calibri Light" w:eastAsia="Times New Roman" w:hAnsi="Calibri Light" w:cs="Times New Roman"/>
      <w:b/>
      <w:bCs/>
      <w:sz w:val="26"/>
      <w:szCs w:val="26"/>
    </w:rPr>
  </w:style>
  <w:style w:type="character" w:customStyle="1" w:styleId="Heading4Char">
    <w:name w:val="Heading 4 Char"/>
    <w:basedOn w:val="DefaultParagraphFont"/>
    <w:link w:val="Heading4"/>
    <w:uiPriority w:val="9"/>
    <w:semiHidden/>
    <w:rsid w:val="00D04C52"/>
    <w:rPr>
      <w:rFonts w:eastAsia="Times New Roman"/>
      <w:b/>
      <w:bCs/>
      <w:sz w:val="28"/>
      <w:szCs w:val="28"/>
    </w:rPr>
  </w:style>
  <w:style w:type="paragraph" w:styleId="ListParagraph">
    <w:name w:val="List Paragraph"/>
    <w:basedOn w:val="Normal"/>
    <w:uiPriority w:val="34"/>
    <w:qFormat/>
    <w:rsid w:val="00D04C52"/>
    <w:pPr>
      <w:ind w:left="720"/>
      <w:contextualSpacing/>
    </w:pPr>
  </w:style>
  <w:style w:type="character" w:styleId="CommentReference">
    <w:name w:val="annotation reference"/>
    <w:basedOn w:val="DefaultParagraphFont"/>
    <w:uiPriority w:val="99"/>
    <w:unhideWhenUsed/>
    <w:rsid w:val="00D04C52"/>
    <w:rPr>
      <w:sz w:val="16"/>
      <w:szCs w:val="16"/>
    </w:rPr>
  </w:style>
  <w:style w:type="paragraph" w:styleId="CommentText">
    <w:name w:val="annotation text"/>
    <w:basedOn w:val="Normal"/>
    <w:link w:val="CommentTextChar"/>
    <w:uiPriority w:val="99"/>
    <w:unhideWhenUsed/>
    <w:rsid w:val="00D04C52"/>
    <w:pPr>
      <w:spacing w:line="240" w:lineRule="auto"/>
    </w:pPr>
    <w:rPr>
      <w:sz w:val="20"/>
      <w:szCs w:val="20"/>
    </w:rPr>
  </w:style>
  <w:style w:type="character" w:customStyle="1" w:styleId="CommentTextChar">
    <w:name w:val="Comment Text Char"/>
    <w:basedOn w:val="DefaultParagraphFont"/>
    <w:link w:val="CommentText"/>
    <w:uiPriority w:val="99"/>
    <w:rsid w:val="00D04C52"/>
    <w:rPr>
      <w:sz w:val="20"/>
      <w:szCs w:val="20"/>
    </w:rPr>
  </w:style>
  <w:style w:type="paragraph" w:styleId="CommentSubject">
    <w:name w:val="annotation subject"/>
    <w:basedOn w:val="CommentText"/>
    <w:next w:val="CommentText"/>
    <w:link w:val="CommentSubjectChar"/>
    <w:uiPriority w:val="99"/>
    <w:semiHidden/>
    <w:unhideWhenUsed/>
    <w:rsid w:val="00D04C52"/>
    <w:rPr>
      <w:b/>
      <w:bCs/>
    </w:rPr>
  </w:style>
  <w:style w:type="character" w:customStyle="1" w:styleId="CommentSubjectChar">
    <w:name w:val="Comment Subject Char"/>
    <w:basedOn w:val="CommentTextChar"/>
    <w:link w:val="CommentSubject"/>
    <w:uiPriority w:val="99"/>
    <w:semiHidden/>
    <w:rsid w:val="00D04C52"/>
    <w:rPr>
      <w:b/>
      <w:bCs/>
      <w:sz w:val="20"/>
      <w:szCs w:val="20"/>
    </w:rPr>
  </w:style>
  <w:style w:type="paragraph" w:styleId="BalloonText">
    <w:name w:val="Balloon Text"/>
    <w:basedOn w:val="Normal"/>
    <w:link w:val="BalloonTextChar"/>
    <w:uiPriority w:val="99"/>
    <w:semiHidden/>
    <w:unhideWhenUsed/>
    <w:rsid w:val="00D04C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4C52"/>
    <w:rPr>
      <w:rFonts w:ascii="Segoe UI" w:hAnsi="Segoe UI" w:cs="Segoe UI"/>
      <w:sz w:val="18"/>
      <w:szCs w:val="18"/>
    </w:rPr>
  </w:style>
  <w:style w:type="character" w:styleId="Hyperlink">
    <w:name w:val="Hyperlink"/>
    <w:basedOn w:val="DefaultParagraphFont"/>
    <w:uiPriority w:val="99"/>
    <w:unhideWhenUsed/>
    <w:rsid w:val="00D04C52"/>
    <w:rPr>
      <w:color w:val="0563C1" w:themeColor="hyperlink"/>
      <w:u w:val="single"/>
    </w:rPr>
  </w:style>
  <w:style w:type="paragraph" w:styleId="FootnoteText">
    <w:name w:val="footnote text"/>
    <w:basedOn w:val="Normal"/>
    <w:link w:val="FootnoteTextChar"/>
    <w:uiPriority w:val="99"/>
    <w:semiHidden/>
    <w:unhideWhenUsed/>
    <w:rsid w:val="00D04C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4C52"/>
    <w:rPr>
      <w:sz w:val="20"/>
      <w:szCs w:val="20"/>
    </w:rPr>
  </w:style>
  <w:style w:type="character" w:styleId="FootnoteReference">
    <w:name w:val="footnote reference"/>
    <w:basedOn w:val="DefaultParagraphFont"/>
    <w:uiPriority w:val="99"/>
    <w:unhideWhenUsed/>
    <w:rsid w:val="00D04C52"/>
    <w:rPr>
      <w:vertAlign w:val="superscript"/>
    </w:rPr>
  </w:style>
  <w:style w:type="table" w:styleId="TableGrid">
    <w:name w:val="Table Grid"/>
    <w:basedOn w:val="TableNormal"/>
    <w:uiPriority w:val="39"/>
    <w:rsid w:val="00D04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04C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4C52"/>
  </w:style>
  <w:style w:type="paragraph" w:styleId="Footer">
    <w:name w:val="footer"/>
    <w:basedOn w:val="Normal"/>
    <w:link w:val="FooterChar"/>
    <w:uiPriority w:val="99"/>
    <w:unhideWhenUsed/>
    <w:rsid w:val="00D04C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4C52"/>
  </w:style>
  <w:style w:type="paragraph" w:customStyle="1" w:styleId="EndNoteBibliographyTitle">
    <w:name w:val="EndNote Bibliography Title"/>
    <w:basedOn w:val="Normal"/>
    <w:link w:val="EndNoteBibliographyTitleChar"/>
    <w:rsid w:val="00D04C52"/>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04C52"/>
    <w:rPr>
      <w:rFonts w:ascii="Calibri" w:hAnsi="Calibri" w:cs="Calibri"/>
      <w:noProof/>
    </w:rPr>
  </w:style>
  <w:style w:type="paragraph" w:customStyle="1" w:styleId="EndNoteBibliography">
    <w:name w:val="EndNote Bibliography"/>
    <w:basedOn w:val="Normal"/>
    <w:link w:val="EndNoteBibliographyChar"/>
    <w:rsid w:val="00D04C52"/>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D04C52"/>
    <w:rPr>
      <w:rFonts w:ascii="Calibri" w:hAnsi="Calibri" w:cs="Calibri"/>
      <w:noProof/>
    </w:rPr>
  </w:style>
  <w:style w:type="paragraph" w:customStyle="1" w:styleId="BodyText">
    <w:name w:val="BodyText"/>
    <w:basedOn w:val="Normal"/>
    <w:link w:val="BodyTextChar"/>
    <w:rsid w:val="00D04C52"/>
    <w:pPr>
      <w:spacing w:after="120" w:line="240" w:lineRule="auto"/>
    </w:pPr>
    <w:rPr>
      <w:rFonts w:ascii="Times New Roman" w:eastAsia="Times New Roman" w:hAnsi="Times New Roman" w:cs="Times New Roman"/>
      <w:sz w:val="24"/>
      <w:szCs w:val="24"/>
    </w:rPr>
  </w:style>
  <w:style w:type="character" w:customStyle="1" w:styleId="BodyTextChar">
    <w:name w:val="BodyText Char"/>
    <w:link w:val="BodyText"/>
    <w:rsid w:val="00D04C52"/>
    <w:rPr>
      <w:rFonts w:ascii="Times New Roman" w:eastAsia="Times New Roman" w:hAnsi="Times New Roman" w:cs="Times New Roman"/>
      <w:sz w:val="24"/>
      <w:szCs w:val="24"/>
    </w:rPr>
  </w:style>
  <w:style w:type="paragraph" w:customStyle="1" w:styleId="ChapterHeading">
    <w:name w:val="ChapterHeading"/>
    <w:link w:val="ChapterHeadingChar"/>
    <w:qFormat/>
    <w:rsid w:val="00D04C52"/>
    <w:pPr>
      <w:keepNext/>
      <w:spacing w:after="240" w:line="240" w:lineRule="auto"/>
      <w:outlineLvl w:val="0"/>
    </w:pPr>
    <w:rPr>
      <w:rFonts w:ascii="Arial" w:eastAsia="Times New Roman" w:hAnsi="Arial" w:cs="Times New Roman"/>
      <w:b/>
      <w:bCs/>
      <w:sz w:val="36"/>
      <w:szCs w:val="24"/>
    </w:rPr>
  </w:style>
  <w:style w:type="character" w:customStyle="1" w:styleId="ChapterHeadingChar">
    <w:name w:val="ChapterHeading Char"/>
    <w:basedOn w:val="DefaultParagraphFont"/>
    <w:link w:val="ChapterHeading"/>
    <w:rsid w:val="00D04C52"/>
    <w:rPr>
      <w:rFonts w:ascii="Arial" w:eastAsia="Times New Roman" w:hAnsi="Arial" w:cs="Times New Roman"/>
      <w:b/>
      <w:bCs/>
      <w:sz w:val="36"/>
      <w:szCs w:val="24"/>
    </w:rPr>
  </w:style>
  <w:style w:type="paragraph" w:customStyle="1" w:styleId="Level1Heading">
    <w:name w:val="Level1Heading"/>
    <w:qFormat/>
    <w:rsid w:val="00D04C52"/>
    <w:pPr>
      <w:keepNext/>
      <w:spacing w:before="240" w:after="240" w:line="240" w:lineRule="auto"/>
      <w:jc w:val="center"/>
      <w:outlineLvl w:val="1"/>
    </w:pPr>
    <w:rPr>
      <w:rFonts w:ascii="Arial" w:eastAsia="Times New Roman" w:hAnsi="Arial" w:cs="Times New Roman"/>
      <w:b/>
      <w:bCs/>
      <w:sz w:val="32"/>
      <w:szCs w:val="24"/>
    </w:rPr>
  </w:style>
  <w:style w:type="paragraph" w:customStyle="1" w:styleId="Level3Heading">
    <w:name w:val="Level3Heading"/>
    <w:qFormat/>
    <w:rsid w:val="00D04C52"/>
    <w:pPr>
      <w:keepNext/>
      <w:spacing w:before="240" w:after="240" w:line="240" w:lineRule="auto"/>
      <w:outlineLvl w:val="3"/>
    </w:pPr>
    <w:rPr>
      <w:rFonts w:ascii="Times New Roman" w:eastAsia="Times New Roman" w:hAnsi="Times New Roman" w:cs="Times New Roman"/>
      <w:b/>
      <w:bCs/>
      <w:sz w:val="24"/>
      <w:szCs w:val="24"/>
    </w:rPr>
  </w:style>
  <w:style w:type="paragraph" w:customStyle="1" w:styleId="text">
    <w:name w:val="text"/>
    <w:basedOn w:val="Normal"/>
    <w:link w:val="textChar"/>
    <w:qFormat/>
    <w:rsid w:val="00D04C52"/>
    <w:pPr>
      <w:spacing w:after="0" w:line="240" w:lineRule="auto"/>
    </w:pPr>
    <w:rPr>
      <w:rFonts w:ascii="Times New Roman" w:hAnsi="Times New Roman"/>
      <w:sz w:val="24"/>
    </w:rPr>
  </w:style>
  <w:style w:type="character" w:customStyle="1" w:styleId="textChar">
    <w:name w:val="text Char"/>
    <w:basedOn w:val="DefaultParagraphFont"/>
    <w:link w:val="text"/>
    <w:rsid w:val="00D04C52"/>
    <w:rPr>
      <w:rFonts w:ascii="Times New Roman" w:hAnsi="Times New Roman"/>
      <w:sz w:val="24"/>
    </w:rPr>
  </w:style>
  <w:style w:type="character" w:customStyle="1" w:styleId="apple-converted-space">
    <w:name w:val="apple-converted-space"/>
    <w:basedOn w:val="DefaultParagraphFont"/>
    <w:rsid w:val="00D04C52"/>
  </w:style>
  <w:style w:type="paragraph" w:customStyle="1" w:styleId="Heading41">
    <w:name w:val="Heading 41"/>
    <w:basedOn w:val="Normal"/>
    <w:next w:val="Normal"/>
    <w:uiPriority w:val="9"/>
    <w:semiHidden/>
    <w:unhideWhenUsed/>
    <w:qFormat/>
    <w:rsid w:val="00D04C52"/>
    <w:pPr>
      <w:keepNext/>
      <w:spacing w:before="240" w:after="60" w:line="240" w:lineRule="auto"/>
      <w:outlineLvl w:val="3"/>
    </w:pPr>
    <w:rPr>
      <w:rFonts w:eastAsia="Times New Roman"/>
      <w:b/>
      <w:bCs/>
      <w:sz w:val="28"/>
      <w:szCs w:val="28"/>
    </w:rPr>
  </w:style>
  <w:style w:type="numbering" w:customStyle="1" w:styleId="NoList1">
    <w:name w:val="No List1"/>
    <w:next w:val="NoList"/>
    <w:uiPriority w:val="99"/>
    <w:semiHidden/>
    <w:unhideWhenUsed/>
    <w:rsid w:val="00D04C52"/>
  </w:style>
  <w:style w:type="paragraph" w:customStyle="1" w:styleId="ParagraphIndent">
    <w:name w:val="ParagraphIndent"/>
    <w:link w:val="ParagraphIndentChar"/>
    <w:qFormat/>
    <w:rsid w:val="00D04C52"/>
    <w:pPr>
      <w:spacing w:after="0" w:line="240" w:lineRule="auto"/>
      <w:ind w:firstLine="360"/>
    </w:pPr>
    <w:rPr>
      <w:rFonts w:ascii="Times New Roman" w:eastAsia="Calibri" w:hAnsi="Times New Roman" w:cs="Times New Roman"/>
      <w:color w:val="000000"/>
      <w:sz w:val="24"/>
      <w:szCs w:val="24"/>
    </w:rPr>
  </w:style>
  <w:style w:type="character" w:customStyle="1" w:styleId="ParagraphIndentChar">
    <w:name w:val="ParagraphIndent Char"/>
    <w:link w:val="ParagraphIndent"/>
    <w:rsid w:val="00D04C52"/>
    <w:rPr>
      <w:rFonts w:ascii="Times New Roman" w:eastAsia="Calibri" w:hAnsi="Times New Roman" w:cs="Times New Roman"/>
      <w:color w:val="000000"/>
      <w:sz w:val="24"/>
      <w:szCs w:val="24"/>
    </w:rPr>
  </w:style>
  <w:style w:type="paragraph" w:customStyle="1" w:styleId="ParagraphNoIndent">
    <w:name w:val="ParagraphNoIndent"/>
    <w:qFormat/>
    <w:rsid w:val="00D04C52"/>
    <w:pPr>
      <w:spacing w:after="0" w:line="240" w:lineRule="auto"/>
    </w:pPr>
    <w:rPr>
      <w:rFonts w:ascii="Times New Roman" w:eastAsia="Times New Roman" w:hAnsi="Times New Roman" w:cs="Times New Roman"/>
      <w:bCs/>
      <w:sz w:val="24"/>
      <w:szCs w:val="24"/>
    </w:rPr>
  </w:style>
  <w:style w:type="paragraph" w:customStyle="1" w:styleId="ReportType">
    <w:name w:val="ReportType"/>
    <w:qFormat/>
    <w:rsid w:val="00D04C52"/>
    <w:pPr>
      <w:spacing w:after="0" w:line="240" w:lineRule="auto"/>
    </w:pPr>
    <w:rPr>
      <w:rFonts w:ascii="Times New Roman" w:eastAsia="Times New Roman" w:hAnsi="Times New Roman" w:cs="Times New Roman"/>
      <w:b/>
      <w:bCs/>
      <w:i/>
      <w:sz w:val="36"/>
      <w:szCs w:val="36"/>
    </w:rPr>
  </w:style>
  <w:style w:type="paragraph" w:customStyle="1" w:styleId="NumberLine">
    <w:name w:val="NumberLine"/>
    <w:qFormat/>
    <w:rsid w:val="00D04C52"/>
    <w:pPr>
      <w:spacing w:after="0" w:line="240" w:lineRule="auto"/>
    </w:pPr>
    <w:rPr>
      <w:rFonts w:ascii="Arial" w:eastAsia="Times New Roman" w:hAnsi="Arial" w:cs="Times New Roman"/>
      <w:b/>
      <w:bCs/>
      <w:sz w:val="28"/>
      <w:szCs w:val="28"/>
    </w:rPr>
  </w:style>
  <w:style w:type="paragraph" w:customStyle="1" w:styleId="ReportTitle">
    <w:name w:val="ReportTitle"/>
    <w:uiPriority w:val="99"/>
    <w:qFormat/>
    <w:rsid w:val="00D04C52"/>
    <w:pPr>
      <w:spacing w:after="0" w:line="240" w:lineRule="auto"/>
    </w:pPr>
    <w:rPr>
      <w:rFonts w:ascii="Arial" w:eastAsia="Times New Roman" w:hAnsi="Arial" w:cs="Times New Roman"/>
      <w:b/>
      <w:bCs/>
      <w:sz w:val="36"/>
      <w:szCs w:val="36"/>
    </w:rPr>
  </w:style>
  <w:style w:type="paragraph" w:customStyle="1" w:styleId="PageNumber">
    <w:name w:val="PageNumber"/>
    <w:qFormat/>
    <w:rsid w:val="00D04C52"/>
    <w:pPr>
      <w:spacing w:after="0" w:line="240" w:lineRule="auto"/>
      <w:jc w:val="center"/>
    </w:pPr>
    <w:rPr>
      <w:rFonts w:ascii="Times New Roman" w:eastAsia="Calibri" w:hAnsi="Times New Roman" w:cs="Times New Roman"/>
      <w:sz w:val="24"/>
      <w:szCs w:val="24"/>
    </w:rPr>
  </w:style>
  <w:style w:type="paragraph" w:customStyle="1" w:styleId="FrontMatterHead">
    <w:name w:val="FrontMatterHead"/>
    <w:qFormat/>
    <w:rsid w:val="00D04C52"/>
    <w:pPr>
      <w:keepNext/>
      <w:spacing w:before="240" w:after="60" w:line="240" w:lineRule="auto"/>
    </w:pPr>
    <w:rPr>
      <w:rFonts w:ascii="Arial" w:eastAsia="Calibri" w:hAnsi="Arial" w:cs="Arial"/>
      <w:b/>
      <w:sz w:val="32"/>
      <w:szCs w:val="32"/>
    </w:rPr>
  </w:style>
  <w:style w:type="paragraph" w:customStyle="1" w:styleId="PreparedForText">
    <w:name w:val="PreparedForText"/>
    <w:qFormat/>
    <w:rsid w:val="00D04C52"/>
    <w:pPr>
      <w:spacing w:after="0" w:line="240" w:lineRule="auto"/>
    </w:pPr>
    <w:rPr>
      <w:rFonts w:ascii="Times New Roman" w:eastAsia="Times New Roman" w:hAnsi="Times New Roman" w:cs="Times New Roman"/>
      <w:bCs/>
      <w:sz w:val="24"/>
      <w:szCs w:val="24"/>
    </w:rPr>
  </w:style>
  <w:style w:type="paragraph" w:customStyle="1" w:styleId="ParagraphNoIndentBold">
    <w:name w:val="ParagraphNoIndentBold"/>
    <w:qFormat/>
    <w:rsid w:val="00D04C52"/>
    <w:pPr>
      <w:spacing w:after="0" w:line="240" w:lineRule="auto"/>
    </w:pPr>
    <w:rPr>
      <w:rFonts w:ascii="Times New Roman" w:eastAsia="Times New Roman" w:hAnsi="Times New Roman" w:cs="Times New Roman"/>
      <w:b/>
      <w:bCs/>
      <w:sz w:val="24"/>
      <w:szCs w:val="24"/>
    </w:rPr>
  </w:style>
  <w:style w:type="paragraph" w:customStyle="1" w:styleId="ContractNumber">
    <w:name w:val="ContractNumber"/>
    <w:next w:val="ParagraphNoIndent"/>
    <w:qFormat/>
    <w:rsid w:val="00D04C52"/>
    <w:pPr>
      <w:spacing w:after="0" w:line="240" w:lineRule="auto"/>
    </w:pPr>
    <w:rPr>
      <w:rFonts w:ascii="Times New Roman" w:eastAsia="Times New Roman" w:hAnsi="Times New Roman" w:cs="Times New Roman"/>
      <w:b/>
      <w:bCs/>
      <w:sz w:val="24"/>
      <w:szCs w:val="24"/>
    </w:rPr>
  </w:style>
  <w:style w:type="paragraph" w:customStyle="1" w:styleId="Investigators">
    <w:name w:val="Investigators"/>
    <w:qFormat/>
    <w:rsid w:val="00D04C52"/>
    <w:pPr>
      <w:spacing w:after="0" w:line="240" w:lineRule="auto"/>
    </w:pPr>
    <w:rPr>
      <w:rFonts w:ascii="Times New Roman" w:eastAsia="Times New Roman" w:hAnsi="Times New Roman" w:cs="Times New Roman"/>
      <w:bCs/>
      <w:sz w:val="24"/>
      <w:szCs w:val="24"/>
    </w:rPr>
  </w:style>
  <w:style w:type="paragraph" w:customStyle="1" w:styleId="PublicationNumberDate">
    <w:name w:val="PublicationNumberDate"/>
    <w:qFormat/>
    <w:rsid w:val="00D04C52"/>
    <w:pPr>
      <w:spacing w:after="0" w:line="240" w:lineRule="auto"/>
    </w:pPr>
    <w:rPr>
      <w:rFonts w:ascii="Times New Roman" w:eastAsia="Times New Roman" w:hAnsi="Times New Roman" w:cs="Times New Roman"/>
      <w:b/>
      <w:bCs/>
      <w:sz w:val="24"/>
      <w:szCs w:val="24"/>
    </w:rPr>
  </w:style>
  <w:style w:type="paragraph" w:customStyle="1" w:styleId="Contents">
    <w:name w:val="Contents"/>
    <w:qFormat/>
    <w:rsid w:val="00D04C52"/>
    <w:pPr>
      <w:keepNext/>
      <w:spacing w:after="0" w:line="240" w:lineRule="auto"/>
      <w:jc w:val="center"/>
    </w:pPr>
    <w:rPr>
      <w:rFonts w:ascii="Arial" w:eastAsia="Calibri" w:hAnsi="Arial" w:cs="Arial"/>
      <w:b/>
      <w:sz w:val="36"/>
      <w:szCs w:val="32"/>
    </w:rPr>
  </w:style>
  <w:style w:type="paragraph" w:customStyle="1" w:styleId="TitlePageReportNumber">
    <w:name w:val="Title Page Report Number"/>
    <w:basedOn w:val="Normal"/>
    <w:rsid w:val="00D04C52"/>
    <w:pPr>
      <w:spacing w:after="0" w:line="240" w:lineRule="auto"/>
    </w:pPr>
    <w:rPr>
      <w:rFonts w:ascii="Arial" w:eastAsia="Times" w:hAnsi="Arial" w:cs="Times New Roman"/>
      <w:b/>
      <w:sz w:val="28"/>
      <w:szCs w:val="20"/>
    </w:rPr>
  </w:style>
  <w:style w:type="paragraph" w:customStyle="1" w:styleId="BodyText1">
    <w:name w:val="Body Text1"/>
    <w:basedOn w:val="Normal"/>
    <w:next w:val="BodyText0"/>
    <w:link w:val="BodyTextChar0"/>
    <w:uiPriority w:val="1"/>
    <w:qFormat/>
    <w:rsid w:val="00D04C52"/>
    <w:pPr>
      <w:spacing w:after="240"/>
    </w:pPr>
    <w:rPr>
      <w:rFonts w:ascii="Times New Roman" w:hAnsi="Times New Roman"/>
    </w:rPr>
  </w:style>
  <w:style w:type="character" w:customStyle="1" w:styleId="BodyTextChar0">
    <w:name w:val="Body Text Char"/>
    <w:basedOn w:val="DefaultParagraphFont"/>
    <w:link w:val="BodyText1"/>
    <w:uiPriority w:val="1"/>
    <w:rsid w:val="00D04C52"/>
    <w:rPr>
      <w:rFonts w:ascii="Times New Roman" w:hAnsi="Times New Roman"/>
    </w:rPr>
  </w:style>
  <w:style w:type="paragraph" w:customStyle="1" w:styleId="KeyQuestion">
    <w:name w:val="KeyQuestion"/>
    <w:basedOn w:val="Normal"/>
    <w:qFormat/>
    <w:rsid w:val="00D04C52"/>
    <w:pPr>
      <w:spacing w:after="0" w:line="240" w:lineRule="auto"/>
      <w:ind w:left="720" w:hanging="720"/>
    </w:pPr>
    <w:rPr>
      <w:rFonts w:ascii="Arial" w:hAnsi="Arial"/>
    </w:rPr>
  </w:style>
  <w:style w:type="paragraph" w:customStyle="1" w:styleId="KeyQuestion2">
    <w:name w:val="KeyQuestion2"/>
    <w:link w:val="KeyQuestion2Char"/>
    <w:qFormat/>
    <w:rsid w:val="00D04C52"/>
    <w:pPr>
      <w:spacing w:after="0" w:line="240" w:lineRule="auto"/>
      <w:ind w:left="1440" w:hanging="720"/>
    </w:pPr>
    <w:rPr>
      <w:rFonts w:ascii="Arial" w:hAnsi="Arial"/>
    </w:rPr>
  </w:style>
  <w:style w:type="character" w:customStyle="1" w:styleId="KeyQuestion2Char">
    <w:name w:val="KeyQuestion2 Char"/>
    <w:basedOn w:val="DefaultParagraphFont"/>
    <w:link w:val="KeyQuestion2"/>
    <w:rsid w:val="00D04C52"/>
    <w:rPr>
      <w:rFonts w:ascii="Arial" w:hAnsi="Arial"/>
    </w:rPr>
  </w:style>
  <w:style w:type="paragraph" w:customStyle="1" w:styleId="Level2Heading">
    <w:name w:val="Level2Heading"/>
    <w:qFormat/>
    <w:rsid w:val="00D04C52"/>
    <w:pPr>
      <w:keepNext/>
      <w:spacing w:before="240" w:after="240" w:line="240" w:lineRule="auto"/>
      <w:outlineLvl w:val="2"/>
    </w:pPr>
    <w:rPr>
      <w:rFonts w:ascii="Arial" w:eastAsia="Times New Roman" w:hAnsi="Arial" w:cs="Times New Roman"/>
      <w:b/>
      <w:bCs/>
      <w:sz w:val="28"/>
      <w:szCs w:val="24"/>
    </w:rPr>
  </w:style>
  <w:style w:type="table" w:customStyle="1" w:styleId="TableGrid1">
    <w:name w:val="Table Grid1"/>
    <w:basedOn w:val="TableNormal"/>
    <w:next w:val="TableGrid"/>
    <w:uiPriority w:val="59"/>
    <w:rsid w:val="00D04C52"/>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D04C52"/>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HRQ1">
    <w:name w:val="AHRQ1"/>
    <w:basedOn w:val="TableGrid"/>
    <w:rsid w:val="00D04C52"/>
    <w:rPr>
      <w:rFonts w:ascii="Arial" w:eastAsia="Times New Roman" w:hAnsi="Arial" w:cs="Times New Roman"/>
      <w:sz w:val="18"/>
      <w:szCs w:val="20"/>
      <w:lang w:val="de-AT" w:eastAsia="de-AT"/>
    </w:rPr>
    <w:tblPr>
      <w:tblBorders>
        <w:top w:val="single" w:sz="12" w:space="0" w:color="auto"/>
        <w:left w:val="none" w:sz="0" w:space="0" w:color="auto"/>
        <w:bottom w:val="single" w:sz="12" w:space="0" w:color="auto"/>
        <w:right w:val="none" w:sz="0" w:space="0" w:color="auto"/>
        <w:insideH w:val="single" w:sz="8" w:space="0" w:color="auto"/>
        <w:insideV w:val="none" w:sz="0" w:space="0" w:color="auto"/>
      </w:tblBorders>
      <w:tblCellMar>
        <w:left w:w="29" w:type="dxa"/>
        <w:right w:w="29" w:type="dxa"/>
      </w:tblCellMar>
    </w:tblPr>
    <w:tblStylePr w:type="firstRow">
      <w:pPr>
        <w:wordWrap/>
        <w:ind w:leftChars="0" w:left="0" w:firstLineChars="0" w:firstLine="0"/>
      </w:pPr>
      <w:rPr>
        <w:b/>
      </w:rPr>
      <w:tblPr/>
      <w:tcPr>
        <w:vAlign w:val="center"/>
      </w:tcPr>
    </w:tblStylePr>
  </w:style>
  <w:style w:type="paragraph" w:styleId="TOC1">
    <w:name w:val="toc 1"/>
    <w:basedOn w:val="Normal"/>
    <w:next w:val="Normal"/>
    <w:autoRedefine/>
    <w:uiPriority w:val="39"/>
    <w:rsid w:val="00D04C52"/>
    <w:pPr>
      <w:tabs>
        <w:tab w:val="right" w:leader="dot" w:pos="9350"/>
      </w:tabs>
      <w:spacing w:after="0" w:line="240" w:lineRule="auto"/>
    </w:pPr>
    <w:rPr>
      <w:rFonts w:ascii="Times New Roman" w:eastAsia="Times New Roman" w:hAnsi="Times New Roman" w:cs="Times New Roman"/>
      <w:b/>
      <w:noProof/>
      <w:sz w:val="24"/>
      <w:szCs w:val="24"/>
      <w:lang w:val="en-CA"/>
    </w:rPr>
  </w:style>
  <w:style w:type="paragraph" w:styleId="TOC2">
    <w:name w:val="toc 2"/>
    <w:basedOn w:val="Normal"/>
    <w:next w:val="Normal"/>
    <w:autoRedefine/>
    <w:uiPriority w:val="39"/>
    <w:rsid w:val="00D04C52"/>
    <w:pPr>
      <w:spacing w:after="0" w:line="240" w:lineRule="auto"/>
      <w:ind w:left="240"/>
    </w:pPr>
    <w:rPr>
      <w:rFonts w:ascii="Times New Roman" w:eastAsia="Times New Roman" w:hAnsi="Times New Roman" w:cs="Times New Roman"/>
      <w:sz w:val="24"/>
      <w:szCs w:val="24"/>
      <w:lang w:val="en-CA"/>
    </w:rPr>
  </w:style>
  <w:style w:type="paragraph" w:customStyle="1" w:styleId="TableTitle">
    <w:name w:val="TableTitle"/>
    <w:link w:val="TableTitleChar"/>
    <w:qFormat/>
    <w:rsid w:val="00D04C52"/>
    <w:pPr>
      <w:keepNext/>
      <w:spacing w:before="240" w:after="0" w:line="240" w:lineRule="auto"/>
    </w:pPr>
    <w:rPr>
      <w:rFonts w:ascii="Arial" w:eastAsia="Calibri" w:hAnsi="Arial" w:cs="Times New Roman"/>
      <w:b/>
      <w:color w:val="000000"/>
      <w:sz w:val="20"/>
      <w:szCs w:val="24"/>
    </w:rPr>
  </w:style>
  <w:style w:type="character" w:customStyle="1" w:styleId="TableTitleChar">
    <w:name w:val="TableTitle Char"/>
    <w:link w:val="TableTitle"/>
    <w:rsid w:val="00D04C52"/>
    <w:rPr>
      <w:rFonts w:ascii="Arial" w:eastAsia="Calibri" w:hAnsi="Arial" w:cs="Times New Roman"/>
      <w:b/>
      <w:color w:val="000000"/>
      <w:sz w:val="20"/>
      <w:szCs w:val="24"/>
    </w:rPr>
  </w:style>
  <w:style w:type="paragraph" w:customStyle="1" w:styleId="TableNote">
    <w:name w:val="TableNote"/>
    <w:link w:val="TableNoteChar"/>
    <w:qFormat/>
    <w:rsid w:val="00D04C52"/>
    <w:pPr>
      <w:spacing w:after="120" w:line="240" w:lineRule="auto"/>
    </w:pPr>
    <w:rPr>
      <w:rFonts w:ascii="Times New Roman" w:eastAsia="Times New Roman" w:hAnsi="Times New Roman" w:cs="Times New Roman"/>
      <w:bCs/>
      <w:sz w:val="18"/>
      <w:szCs w:val="24"/>
    </w:rPr>
  </w:style>
  <w:style w:type="character" w:customStyle="1" w:styleId="TableNoteChar">
    <w:name w:val="TableNote Char"/>
    <w:link w:val="TableNote"/>
    <w:rsid w:val="00D04C52"/>
    <w:rPr>
      <w:rFonts w:ascii="Times New Roman" w:eastAsia="Times New Roman" w:hAnsi="Times New Roman" w:cs="Times New Roman"/>
      <w:bCs/>
      <w:sz w:val="18"/>
      <w:szCs w:val="24"/>
    </w:rPr>
  </w:style>
  <w:style w:type="paragraph" w:customStyle="1" w:styleId="Reference">
    <w:name w:val="Reference"/>
    <w:qFormat/>
    <w:rsid w:val="00D04C52"/>
    <w:pPr>
      <w:keepLines/>
      <w:spacing w:before="120" w:after="120" w:line="240" w:lineRule="auto"/>
      <w:ind w:left="720" w:hanging="720"/>
    </w:pPr>
    <w:rPr>
      <w:rFonts w:ascii="Times New Roman" w:eastAsia="Times New Roman" w:hAnsi="Times New Roman" w:cs="Times New Roman"/>
      <w:bCs/>
      <w:sz w:val="20"/>
      <w:szCs w:val="24"/>
    </w:rPr>
  </w:style>
  <w:style w:type="paragraph" w:customStyle="1" w:styleId="Level5Heading">
    <w:name w:val="Level5Heading"/>
    <w:qFormat/>
    <w:rsid w:val="00D04C52"/>
    <w:pPr>
      <w:keepNext/>
      <w:spacing w:before="240" w:after="0" w:line="240" w:lineRule="auto"/>
      <w:outlineLvl w:val="5"/>
    </w:pPr>
    <w:rPr>
      <w:rFonts w:ascii="Arial" w:eastAsia="Times New Roman" w:hAnsi="Arial" w:cs="Times New Roman"/>
      <w:b/>
      <w:bCs/>
      <w:sz w:val="24"/>
      <w:szCs w:val="24"/>
    </w:rPr>
  </w:style>
  <w:style w:type="paragraph" w:customStyle="1" w:styleId="PreparedByText">
    <w:name w:val="PreparedByText"/>
    <w:qFormat/>
    <w:rsid w:val="00D04C52"/>
    <w:pPr>
      <w:spacing w:after="0" w:line="240" w:lineRule="auto"/>
    </w:pPr>
    <w:rPr>
      <w:rFonts w:ascii="Times New Roman" w:eastAsia="Times New Roman" w:hAnsi="Times New Roman" w:cs="Times New Roman"/>
      <w:bCs/>
      <w:sz w:val="24"/>
      <w:szCs w:val="24"/>
    </w:rPr>
  </w:style>
  <w:style w:type="paragraph" w:customStyle="1" w:styleId="SuggestedCitation">
    <w:name w:val="SuggestedCitation"/>
    <w:qFormat/>
    <w:rsid w:val="00D04C52"/>
    <w:pPr>
      <w:spacing w:after="0" w:line="240" w:lineRule="auto"/>
    </w:pPr>
    <w:rPr>
      <w:rFonts w:ascii="Times New Roman" w:eastAsia="Times New Roman" w:hAnsi="Times New Roman" w:cs="Times New Roman"/>
      <w:bCs/>
      <w:sz w:val="24"/>
      <w:szCs w:val="24"/>
    </w:rPr>
  </w:style>
  <w:style w:type="paragraph" w:customStyle="1" w:styleId="ContentsSubhead">
    <w:name w:val="ContentsSubhead"/>
    <w:qFormat/>
    <w:rsid w:val="00D04C52"/>
    <w:pPr>
      <w:keepNext/>
      <w:spacing w:before="240" w:after="0" w:line="240" w:lineRule="auto"/>
    </w:pPr>
    <w:rPr>
      <w:rFonts w:ascii="Times New Roman" w:eastAsia="Times New Roman" w:hAnsi="Times New Roman" w:cs="Times New Roman"/>
      <w:b/>
      <w:bCs/>
      <w:sz w:val="24"/>
      <w:szCs w:val="28"/>
    </w:rPr>
  </w:style>
  <w:style w:type="paragraph" w:customStyle="1" w:styleId="Level4Heading">
    <w:name w:val="Level4Heading"/>
    <w:qFormat/>
    <w:rsid w:val="00D04C52"/>
    <w:pPr>
      <w:keepNext/>
      <w:spacing w:before="240" w:after="240" w:line="240" w:lineRule="auto"/>
      <w:outlineLvl w:val="4"/>
    </w:pPr>
    <w:rPr>
      <w:rFonts w:ascii="Times New Roman" w:eastAsia="Times New Roman" w:hAnsi="Times New Roman" w:cs="Times New Roman"/>
      <w:bCs/>
      <w:i/>
      <w:sz w:val="24"/>
      <w:szCs w:val="24"/>
    </w:rPr>
  </w:style>
  <w:style w:type="paragraph" w:customStyle="1" w:styleId="TableColumnHead">
    <w:name w:val="TableColumnHead"/>
    <w:qFormat/>
    <w:rsid w:val="00D04C52"/>
    <w:pPr>
      <w:spacing w:after="0" w:line="240" w:lineRule="auto"/>
      <w:jc w:val="center"/>
    </w:pPr>
    <w:rPr>
      <w:rFonts w:ascii="Arial" w:eastAsia="Calibri" w:hAnsi="Arial" w:cs="Arial"/>
      <w:b/>
      <w:bCs/>
      <w:sz w:val="18"/>
      <w:szCs w:val="18"/>
    </w:rPr>
  </w:style>
  <w:style w:type="paragraph" w:customStyle="1" w:styleId="TableSubhead">
    <w:name w:val="TableSubhead"/>
    <w:qFormat/>
    <w:rsid w:val="00D04C52"/>
    <w:pPr>
      <w:spacing w:after="0" w:line="240" w:lineRule="auto"/>
    </w:pPr>
    <w:rPr>
      <w:rFonts w:ascii="Arial" w:eastAsia="Calibri" w:hAnsi="Arial" w:cs="Arial"/>
      <w:b/>
      <w:i/>
      <w:sz w:val="18"/>
      <w:szCs w:val="18"/>
    </w:rPr>
  </w:style>
  <w:style w:type="paragraph" w:customStyle="1" w:styleId="TableText">
    <w:name w:val="TableText"/>
    <w:link w:val="TableTextChar"/>
    <w:qFormat/>
    <w:rsid w:val="00D04C52"/>
    <w:pPr>
      <w:spacing w:after="0" w:line="240" w:lineRule="auto"/>
    </w:pPr>
    <w:rPr>
      <w:rFonts w:ascii="Arial" w:eastAsia="Calibri" w:hAnsi="Arial" w:cs="Arial"/>
      <w:sz w:val="18"/>
      <w:szCs w:val="18"/>
    </w:rPr>
  </w:style>
  <w:style w:type="character" w:customStyle="1" w:styleId="TableTextChar">
    <w:name w:val="TableText Char"/>
    <w:link w:val="TableText"/>
    <w:rsid w:val="00D04C52"/>
    <w:rPr>
      <w:rFonts w:ascii="Arial" w:eastAsia="Calibri" w:hAnsi="Arial" w:cs="Arial"/>
      <w:sz w:val="18"/>
      <w:szCs w:val="18"/>
    </w:rPr>
  </w:style>
  <w:style w:type="paragraph" w:customStyle="1" w:styleId="Level6Heading">
    <w:name w:val="Level6Heading"/>
    <w:qFormat/>
    <w:rsid w:val="00D04C52"/>
    <w:pPr>
      <w:keepNext/>
      <w:spacing w:before="240" w:after="0" w:line="240" w:lineRule="auto"/>
      <w:outlineLvl w:val="6"/>
    </w:pPr>
    <w:rPr>
      <w:rFonts w:ascii="Times New Roman" w:eastAsia="Times New Roman" w:hAnsi="Times New Roman" w:cs="Times New Roman"/>
      <w:b/>
      <w:bCs/>
      <w:sz w:val="24"/>
      <w:szCs w:val="24"/>
    </w:rPr>
  </w:style>
  <w:style w:type="paragraph" w:customStyle="1" w:styleId="Level7Heading">
    <w:name w:val="Level7Heading"/>
    <w:qFormat/>
    <w:rsid w:val="00D04C52"/>
    <w:pPr>
      <w:keepNext/>
      <w:spacing w:after="0" w:line="240" w:lineRule="auto"/>
    </w:pPr>
    <w:rPr>
      <w:rFonts w:ascii="Times New Roman" w:eastAsia="Calibri" w:hAnsi="Times New Roman" w:cs="Times New Roman"/>
      <w:b/>
      <w:color w:val="000000"/>
      <w:sz w:val="24"/>
      <w:szCs w:val="24"/>
    </w:rPr>
  </w:style>
  <w:style w:type="paragraph" w:customStyle="1" w:styleId="Level8Heading">
    <w:name w:val="Level8Heading"/>
    <w:qFormat/>
    <w:rsid w:val="00D04C52"/>
    <w:pPr>
      <w:keepNext/>
      <w:spacing w:after="0" w:line="240" w:lineRule="auto"/>
    </w:pPr>
    <w:rPr>
      <w:rFonts w:ascii="Times New Roman" w:eastAsia="Times New Roman" w:hAnsi="Times New Roman" w:cs="Times New Roman"/>
      <w:bCs/>
      <w:i/>
      <w:sz w:val="24"/>
      <w:szCs w:val="24"/>
    </w:rPr>
  </w:style>
  <w:style w:type="paragraph" w:customStyle="1" w:styleId="Bullet1">
    <w:name w:val="Bullet1"/>
    <w:qFormat/>
    <w:rsid w:val="00D04C52"/>
    <w:pPr>
      <w:numPr>
        <w:numId w:val="10"/>
      </w:numPr>
      <w:spacing w:after="0" w:line="240" w:lineRule="auto"/>
    </w:pPr>
    <w:rPr>
      <w:rFonts w:ascii="Times New Roman" w:eastAsia="Times New Roman" w:hAnsi="Times New Roman" w:cs="Times New Roman"/>
      <w:bCs/>
      <w:sz w:val="24"/>
      <w:szCs w:val="24"/>
    </w:rPr>
  </w:style>
  <w:style w:type="paragraph" w:customStyle="1" w:styleId="Bullet2">
    <w:name w:val="Bullet2"/>
    <w:qFormat/>
    <w:rsid w:val="00D04C52"/>
    <w:pPr>
      <w:numPr>
        <w:ilvl w:val="1"/>
        <w:numId w:val="10"/>
      </w:numPr>
      <w:spacing w:after="0" w:line="240" w:lineRule="auto"/>
      <w:ind w:left="1080"/>
    </w:pPr>
    <w:rPr>
      <w:rFonts w:ascii="Times New Roman" w:eastAsia="Times New Roman" w:hAnsi="Times New Roman" w:cs="Times New Roman"/>
      <w:bCs/>
      <w:sz w:val="24"/>
      <w:szCs w:val="24"/>
    </w:rPr>
  </w:style>
  <w:style w:type="paragraph" w:customStyle="1" w:styleId="TableCenteredText">
    <w:name w:val="TableCenteredText"/>
    <w:qFormat/>
    <w:rsid w:val="00D04C52"/>
    <w:pPr>
      <w:spacing w:after="0" w:line="240" w:lineRule="auto"/>
      <w:jc w:val="center"/>
    </w:pPr>
    <w:rPr>
      <w:rFonts w:ascii="Arial" w:eastAsia="Calibri" w:hAnsi="Arial" w:cs="Arial"/>
      <w:sz w:val="18"/>
      <w:szCs w:val="18"/>
    </w:rPr>
  </w:style>
  <w:style w:type="paragraph" w:customStyle="1" w:styleId="TableLeftText">
    <w:name w:val="TableLeftText"/>
    <w:qFormat/>
    <w:rsid w:val="00D04C52"/>
    <w:pPr>
      <w:spacing w:after="0" w:line="240" w:lineRule="auto"/>
    </w:pPr>
    <w:rPr>
      <w:rFonts w:ascii="Arial" w:eastAsia="Calibri" w:hAnsi="Arial" w:cs="Arial"/>
      <w:sz w:val="18"/>
      <w:szCs w:val="18"/>
    </w:rPr>
  </w:style>
  <w:style w:type="paragraph" w:customStyle="1" w:styleId="TableBoldText">
    <w:name w:val="TableBoldText"/>
    <w:qFormat/>
    <w:rsid w:val="00D04C52"/>
    <w:pPr>
      <w:spacing w:after="0" w:line="240" w:lineRule="auto"/>
    </w:pPr>
    <w:rPr>
      <w:rFonts w:ascii="Arial" w:eastAsia="Calibri" w:hAnsi="Arial" w:cs="Arial"/>
      <w:b/>
      <w:sz w:val="18"/>
      <w:szCs w:val="18"/>
    </w:rPr>
  </w:style>
  <w:style w:type="paragraph" w:customStyle="1" w:styleId="Studies1">
    <w:name w:val="Studies1"/>
    <w:qFormat/>
    <w:rsid w:val="00D04C52"/>
    <w:pPr>
      <w:keepLines/>
      <w:spacing w:before="120" w:after="120" w:line="240" w:lineRule="auto"/>
    </w:pPr>
    <w:rPr>
      <w:rFonts w:ascii="Times New Roman" w:eastAsia="Calibri" w:hAnsi="Times New Roman" w:cs="Arial"/>
      <w:color w:val="000000"/>
      <w:sz w:val="24"/>
      <w:szCs w:val="32"/>
    </w:rPr>
  </w:style>
  <w:style w:type="paragraph" w:customStyle="1" w:styleId="Studies2">
    <w:name w:val="Studies2"/>
    <w:qFormat/>
    <w:rsid w:val="00D04C52"/>
    <w:pPr>
      <w:keepLines/>
      <w:numPr>
        <w:numId w:val="11"/>
      </w:numPr>
      <w:spacing w:before="120" w:after="120" w:line="240" w:lineRule="auto"/>
      <w:ind w:hanging="720"/>
    </w:pPr>
    <w:rPr>
      <w:rFonts w:ascii="Times New Roman" w:eastAsia="Times" w:hAnsi="Times New Roman" w:cs="Times New Roman"/>
      <w:color w:val="000000"/>
      <w:sz w:val="24"/>
      <w:szCs w:val="24"/>
    </w:rPr>
  </w:style>
  <w:style w:type="paragraph" w:customStyle="1" w:styleId="NumberedList">
    <w:name w:val="NumberedList"/>
    <w:basedOn w:val="Bullet1"/>
    <w:qFormat/>
    <w:rsid w:val="00D04C52"/>
    <w:pPr>
      <w:numPr>
        <w:numId w:val="12"/>
      </w:numPr>
      <w:ind w:left="720"/>
    </w:pPr>
  </w:style>
  <w:style w:type="paragraph" w:customStyle="1" w:styleId="ReportSubtitle">
    <w:name w:val="ReportSubtitle"/>
    <w:qFormat/>
    <w:rsid w:val="00D04C52"/>
    <w:pPr>
      <w:spacing w:after="0" w:line="240" w:lineRule="auto"/>
    </w:pPr>
    <w:rPr>
      <w:rFonts w:ascii="Arial" w:eastAsia="Times New Roman" w:hAnsi="Arial" w:cs="Times New Roman"/>
      <w:b/>
      <w:bCs/>
      <w:sz w:val="24"/>
      <w:szCs w:val="24"/>
    </w:rPr>
  </w:style>
  <w:style w:type="paragraph" w:customStyle="1" w:styleId="FrontMatterSubhead">
    <w:name w:val="FrontMatterSubhead"/>
    <w:qFormat/>
    <w:rsid w:val="00D04C52"/>
    <w:pPr>
      <w:keepNext/>
      <w:spacing w:before="120" w:after="0" w:line="240" w:lineRule="auto"/>
    </w:pPr>
    <w:rPr>
      <w:rFonts w:ascii="Arial" w:eastAsia="Calibri" w:hAnsi="Arial" w:cs="Arial"/>
      <w:b/>
      <w:sz w:val="24"/>
      <w:szCs w:val="32"/>
    </w:rPr>
  </w:style>
  <w:style w:type="paragraph" w:customStyle="1" w:styleId="Default">
    <w:name w:val="Default"/>
    <w:rsid w:val="00D04C5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FigureTitle">
    <w:name w:val="FigureTitle"/>
    <w:basedOn w:val="TableTitle"/>
    <w:qFormat/>
    <w:rsid w:val="00D04C52"/>
  </w:style>
  <w:style w:type="character" w:customStyle="1" w:styleId="paragraph">
    <w:name w:val="paragraph"/>
    <w:basedOn w:val="DefaultParagraphFont"/>
    <w:rsid w:val="00D04C52"/>
  </w:style>
  <w:style w:type="character" w:styleId="Strong">
    <w:name w:val="Strong"/>
    <w:basedOn w:val="DefaultParagraphFont"/>
    <w:uiPriority w:val="22"/>
    <w:qFormat/>
    <w:rsid w:val="00D04C52"/>
    <w:rPr>
      <w:b/>
      <w:bCs/>
    </w:rPr>
  </w:style>
  <w:style w:type="character" w:styleId="Emphasis">
    <w:name w:val="Emphasis"/>
    <w:uiPriority w:val="20"/>
    <w:qFormat/>
    <w:rsid w:val="00D04C52"/>
    <w:rPr>
      <w:b/>
      <w:bCs/>
      <w:i w:val="0"/>
      <w:iCs w:val="0"/>
    </w:rPr>
  </w:style>
  <w:style w:type="character" w:styleId="HTMLCite">
    <w:name w:val="HTML Cite"/>
    <w:uiPriority w:val="99"/>
    <w:semiHidden/>
    <w:unhideWhenUsed/>
    <w:rsid w:val="00D04C52"/>
    <w:rPr>
      <w:i/>
      <w:iCs/>
    </w:rPr>
  </w:style>
  <w:style w:type="character" w:customStyle="1" w:styleId="cit-source">
    <w:name w:val="cit-source"/>
    <w:rsid w:val="00D04C52"/>
  </w:style>
  <w:style w:type="character" w:customStyle="1" w:styleId="cit-pub-date">
    <w:name w:val="cit-pub-date"/>
    <w:rsid w:val="00D04C52"/>
  </w:style>
  <w:style w:type="character" w:customStyle="1" w:styleId="cit-vol5">
    <w:name w:val="cit-vol5"/>
    <w:rsid w:val="00D04C52"/>
  </w:style>
  <w:style w:type="character" w:customStyle="1" w:styleId="cit-fpage">
    <w:name w:val="cit-fpage"/>
    <w:rsid w:val="00D04C52"/>
  </w:style>
  <w:style w:type="paragraph" w:styleId="TOC5">
    <w:name w:val="toc 5"/>
    <w:basedOn w:val="Normal"/>
    <w:next w:val="Normal"/>
    <w:autoRedefine/>
    <w:uiPriority w:val="39"/>
    <w:unhideWhenUsed/>
    <w:rsid w:val="00D04C52"/>
    <w:pPr>
      <w:tabs>
        <w:tab w:val="right" w:leader="dot" w:pos="9350"/>
      </w:tabs>
      <w:spacing w:after="0" w:line="240" w:lineRule="auto"/>
      <w:ind w:left="960" w:hanging="960"/>
    </w:pPr>
    <w:rPr>
      <w:rFonts w:ascii="Times" w:eastAsia="Times New Roman" w:hAnsi="Times" w:cs="Times New Roman"/>
      <w:noProof/>
      <w:sz w:val="24"/>
      <w:szCs w:val="20"/>
    </w:rPr>
  </w:style>
  <w:style w:type="paragraph" w:customStyle="1" w:styleId="BulletBlank">
    <w:name w:val="BulletBlank"/>
    <w:basedOn w:val="List2"/>
    <w:qFormat/>
    <w:rsid w:val="00D04C52"/>
    <w:pPr>
      <w:spacing w:before="120"/>
      <w:contextualSpacing w:val="0"/>
    </w:pPr>
    <w:rPr>
      <w:rFonts w:ascii="Times New Roman" w:hAnsi="Times New Roman"/>
      <w:szCs w:val="24"/>
    </w:rPr>
  </w:style>
  <w:style w:type="paragraph" w:styleId="List2">
    <w:name w:val="List 2"/>
    <w:basedOn w:val="Normal"/>
    <w:uiPriority w:val="99"/>
    <w:semiHidden/>
    <w:unhideWhenUsed/>
    <w:rsid w:val="00D04C52"/>
    <w:pPr>
      <w:spacing w:after="0" w:line="240" w:lineRule="auto"/>
      <w:ind w:left="720" w:hanging="360"/>
      <w:contextualSpacing/>
    </w:pPr>
    <w:rPr>
      <w:rFonts w:ascii="Times" w:eastAsia="Times New Roman" w:hAnsi="Times" w:cs="Times New Roman"/>
      <w:sz w:val="24"/>
      <w:szCs w:val="20"/>
    </w:rPr>
  </w:style>
  <w:style w:type="paragraph" w:styleId="Caption">
    <w:name w:val="caption"/>
    <w:basedOn w:val="Normal"/>
    <w:next w:val="Normal"/>
    <w:uiPriority w:val="35"/>
    <w:unhideWhenUsed/>
    <w:qFormat/>
    <w:rsid w:val="00D04C52"/>
    <w:pPr>
      <w:spacing w:after="200" w:line="240" w:lineRule="auto"/>
    </w:pPr>
    <w:rPr>
      <w:rFonts w:ascii="Times" w:eastAsia="Times New Roman" w:hAnsi="Times" w:cs="Times New Roman"/>
      <w:i/>
      <w:iCs/>
      <w:color w:val="1F497D"/>
      <w:sz w:val="18"/>
      <w:szCs w:val="18"/>
    </w:rPr>
  </w:style>
  <w:style w:type="paragraph" w:customStyle="1" w:styleId="Tabletext0">
    <w:name w:val="Table text"/>
    <w:basedOn w:val="Normal"/>
    <w:qFormat/>
    <w:rsid w:val="00D04C52"/>
    <w:pPr>
      <w:spacing w:after="0" w:line="240" w:lineRule="auto"/>
    </w:pPr>
    <w:rPr>
      <w:rFonts w:ascii="Arial" w:hAnsi="Arial" w:cs="Arial"/>
      <w:sz w:val="18"/>
      <w:szCs w:val="18"/>
    </w:rPr>
  </w:style>
  <w:style w:type="paragraph" w:customStyle="1" w:styleId="TableBulletLM">
    <w:name w:val="Table Bullet LM"/>
    <w:basedOn w:val="ListParagraph"/>
    <w:rsid w:val="00D04C52"/>
    <w:pPr>
      <w:numPr>
        <w:numId w:val="13"/>
      </w:numPr>
      <w:tabs>
        <w:tab w:val="num" w:pos="360"/>
      </w:tabs>
      <w:ind w:left="720" w:firstLine="0"/>
    </w:pPr>
    <w:rPr>
      <w:rFonts w:ascii="Arial" w:hAnsi="Arial" w:cs="Arial"/>
      <w:color w:val="000000"/>
      <w:sz w:val="18"/>
      <w:szCs w:val="18"/>
      <w:shd w:val="clear" w:color="auto" w:fill="FFFFFF"/>
    </w:rPr>
  </w:style>
  <w:style w:type="paragraph" w:styleId="BodyTextIndent2">
    <w:name w:val="Body Text Indent 2"/>
    <w:basedOn w:val="Normal"/>
    <w:link w:val="BodyTextIndent2Char"/>
    <w:rsid w:val="00D04C52"/>
    <w:pPr>
      <w:tabs>
        <w:tab w:val="left" w:pos="720"/>
      </w:tabs>
      <w:spacing w:after="0" w:line="240" w:lineRule="auto"/>
      <w:ind w:left="720" w:hanging="720"/>
    </w:pPr>
    <w:rPr>
      <w:rFonts w:ascii="Times New Roman" w:eastAsia="Times" w:hAnsi="Times New Roman" w:cs="Times New Roman"/>
      <w:sz w:val="24"/>
      <w:szCs w:val="20"/>
    </w:rPr>
  </w:style>
  <w:style w:type="character" w:customStyle="1" w:styleId="BodyTextIndent2Char">
    <w:name w:val="Body Text Indent 2 Char"/>
    <w:basedOn w:val="DefaultParagraphFont"/>
    <w:link w:val="BodyTextIndent2"/>
    <w:rsid w:val="00D04C52"/>
    <w:rPr>
      <w:rFonts w:ascii="Times New Roman" w:eastAsia="Times" w:hAnsi="Times New Roman" w:cs="Times New Roman"/>
      <w:sz w:val="24"/>
      <w:szCs w:val="20"/>
    </w:rPr>
  </w:style>
  <w:style w:type="paragraph" w:customStyle="1" w:styleId="AppChapterHeading">
    <w:name w:val="AppChapterHeading"/>
    <w:basedOn w:val="ChapterHeading"/>
    <w:qFormat/>
    <w:rsid w:val="00D04C52"/>
    <w:pPr>
      <w:spacing w:after="120"/>
    </w:pPr>
  </w:style>
  <w:style w:type="paragraph" w:customStyle="1" w:styleId="AppLevel1Heading">
    <w:name w:val="AppLevel1Heading"/>
    <w:basedOn w:val="Normal"/>
    <w:qFormat/>
    <w:rsid w:val="00D04C52"/>
    <w:pPr>
      <w:keepNext/>
      <w:spacing w:before="240" w:after="60" w:line="240" w:lineRule="auto"/>
      <w:outlineLvl w:val="1"/>
    </w:pPr>
    <w:rPr>
      <w:rFonts w:ascii="Arial" w:eastAsia="Times New Roman" w:hAnsi="Arial" w:cs="Times New Roman"/>
      <w:b/>
      <w:bCs/>
      <w:sz w:val="32"/>
      <w:szCs w:val="24"/>
    </w:rPr>
  </w:style>
  <w:style w:type="character" w:customStyle="1" w:styleId="FollowedHyperlink1">
    <w:name w:val="FollowedHyperlink1"/>
    <w:basedOn w:val="DefaultParagraphFont"/>
    <w:uiPriority w:val="99"/>
    <w:semiHidden/>
    <w:unhideWhenUsed/>
    <w:rsid w:val="00D04C52"/>
    <w:rPr>
      <w:color w:val="954F72"/>
      <w:u w:val="single"/>
    </w:rPr>
  </w:style>
  <w:style w:type="paragraph" w:styleId="Revision">
    <w:name w:val="Revision"/>
    <w:hidden/>
    <w:uiPriority w:val="99"/>
    <w:semiHidden/>
    <w:rsid w:val="00D04C52"/>
    <w:pPr>
      <w:spacing w:after="0" w:line="240" w:lineRule="auto"/>
    </w:pPr>
    <w:rPr>
      <w:rFonts w:ascii="Times" w:eastAsia="Times New Roman" w:hAnsi="Times" w:cs="Times New Roman"/>
      <w:sz w:val="24"/>
      <w:szCs w:val="20"/>
    </w:rPr>
  </w:style>
  <w:style w:type="paragraph" w:customStyle="1" w:styleId="ReportText">
    <w:name w:val="Report Text"/>
    <w:basedOn w:val="Normal"/>
    <w:qFormat/>
    <w:rsid w:val="00D04C52"/>
    <w:pPr>
      <w:spacing w:after="0" w:line="240" w:lineRule="auto"/>
      <w:ind w:firstLine="720"/>
    </w:pPr>
    <w:rPr>
      <w:rFonts w:ascii="Times New Roman" w:eastAsia="Times New Roman" w:hAnsi="Times New Roman" w:cs="Times New Roman"/>
      <w:sz w:val="24"/>
      <w:szCs w:val="24"/>
    </w:rPr>
  </w:style>
  <w:style w:type="paragraph" w:customStyle="1" w:styleId="Level2">
    <w:name w:val="Level 2"/>
    <w:basedOn w:val="Normal"/>
    <w:qFormat/>
    <w:rsid w:val="00D04C52"/>
    <w:pPr>
      <w:spacing w:after="0" w:line="240" w:lineRule="auto"/>
    </w:pPr>
    <w:rPr>
      <w:rFonts w:ascii="Times New Roman" w:eastAsia="Times New Roman" w:hAnsi="Times New Roman" w:cs="Times New Roman"/>
      <w:b/>
      <w:bCs/>
      <w:sz w:val="28"/>
      <w:szCs w:val="28"/>
    </w:rPr>
  </w:style>
  <w:style w:type="paragraph" w:customStyle="1" w:styleId="Level4">
    <w:name w:val="Level 4"/>
    <w:basedOn w:val="ReportText"/>
    <w:qFormat/>
    <w:rsid w:val="00D04C52"/>
    <w:rPr>
      <w:i/>
    </w:rPr>
  </w:style>
  <w:style w:type="paragraph" w:customStyle="1" w:styleId="Level1">
    <w:name w:val="Level 1"/>
    <w:basedOn w:val="Normal"/>
    <w:qFormat/>
    <w:rsid w:val="00D04C52"/>
    <w:pPr>
      <w:spacing w:after="120" w:line="240" w:lineRule="auto"/>
    </w:pPr>
    <w:rPr>
      <w:rFonts w:ascii="Arial" w:eastAsia="Times New Roman" w:hAnsi="Arial" w:cs="Times New Roman"/>
      <w:b/>
      <w:sz w:val="32"/>
      <w:szCs w:val="32"/>
    </w:rPr>
  </w:style>
  <w:style w:type="paragraph" w:customStyle="1" w:styleId="ChapterHeading0">
    <w:name w:val="Chapter Heading"/>
    <w:basedOn w:val="Normal"/>
    <w:qFormat/>
    <w:rsid w:val="00D04C52"/>
    <w:pPr>
      <w:spacing w:after="120" w:line="240" w:lineRule="auto"/>
      <w:jc w:val="center"/>
    </w:pPr>
    <w:rPr>
      <w:rFonts w:ascii="Arial" w:eastAsia="Times New Roman" w:hAnsi="Arial" w:cs="Times New Roman"/>
      <w:b/>
      <w:sz w:val="36"/>
      <w:szCs w:val="20"/>
    </w:rPr>
  </w:style>
  <w:style w:type="paragraph" w:customStyle="1" w:styleId="AppTableTitle">
    <w:name w:val="AppTableTitle"/>
    <w:basedOn w:val="TableTitle"/>
    <w:qFormat/>
    <w:rsid w:val="00D04C52"/>
  </w:style>
  <w:style w:type="paragraph" w:styleId="TOC3">
    <w:name w:val="toc 3"/>
    <w:basedOn w:val="Normal"/>
    <w:next w:val="Normal"/>
    <w:autoRedefine/>
    <w:uiPriority w:val="39"/>
    <w:unhideWhenUsed/>
    <w:rsid w:val="00D04C52"/>
    <w:pPr>
      <w:spacing w:after="0" w:line="240" w:lineRule="auto"/>
      <w:ind w:left="480"/>
    </w:pPr>
    <w:rPr>
      <w:rFonts w:ascii="Times" w:eastAsia="Times New Roman" w:hAnsi="Times" w:cs="Times New Roman"/>
      <w:sz w:val="24"/>
      <w:szCs w:val="20"/>
    </w:rPr>
  </w:style>
  <w:style w:type="paragraph" w:customStyle="1" w:styleId="KeyQuestion0">
    <w:name w:val="Key Question"/>
    <w:basedOn w:val="Normal"/>
    <w:qFormat/>
    <w:rsid w:val="00D04C52"/>
    <w:pPr>
      <w:spacing w:after="120" w:line="240" w:lineRule="auto"/>
    </w:pPr>
    <w:rPr>
      <w:rFonts w:ascii="Arial" w:eastAsia="Times New Roman" w:hAnsi="Arial" w:cs="Times New Roman"/>
      <w:sz w:val="32"/>
      <w:szCs w:val="24"/>
    </w:rPr>
  </w:style>
  <w:style w:type="paragraph" w:customStyle="1" w:styleId="TableBullet">
    <w:name w:val="TableBullet"/>
    <w:basedOn w:val="TableText"/>
    <w:qFormat/>
    <w:rsid w:val="00D04C52"/>
    <w:pPr>
      <w:numPr>
        <w:numId w:val="14"/>
      </w:numPr>
      <w:ind w:left="360"/>
    </w:pPr>
  </w:style>
  <w:style w:type="paragraph" w:customStyle="1" w:styleId="TableTitleContinued">
    <w:name w:val="TableTitleContinued"/>
    <w:basedOn w:val="TableTitle0"/>
    <w:qFormat/>
    <w:rsid w:val="00D04C52"/>
  </w:style>
  <w:style w:type="paragraph" w:customStyle="1" w:styleId="TableTitle0">
    <w:name w:val="Table Title"/>
    <w:basedOn w:val="Normal"/>
    <w:qFormat/>
    <w:rsid w:val="00D04C52"/>
    <w:pPr>
      <w:spacing w:before="120" w:after="0" w:line="240" w:lineRule="auto"/>
    </w:pPr>
    <w:rPr>
      <w:rFonts w:ascii="Arial" w:eastAsia="Times New Roman" w:hAnsi="Arial" w:cs="Times New Roman"/>
      <w:b/>
      <w:sz w:val="20"/>
      <w:szCs w:val="20"/>
    </w:rPr>
  </w:style>
  <w:style w:type="paragraph" w:customStyle="1" w:styleId="AppCTableTitle">
    <w:name w:val="AppCTableTitle"/>
    <w:basedOn w:val="Caption"/>
    <w:qFormat/>
    <w:rsid w:val="00D04C52"/>
    <w:pPr>
      <w:spacing w:after="0"/>
    </w:pPr>
    <w:rPr>
      <w:rFonts w:ascii="Arial" w:hAnsi="Arial"/>
      <w:b/>
      <w:bCs/>
      <w:i w:val="0"/>
      <w:iCs w:val="0"/>
      <w:color w:val="auto"/>
      <w:sz w:val="20"/>
      <w:szCs w:val="20"/>
    </w:rPr>
  </w:style>
  <w:style w:type="paragraph" w:customStyle="1" w:styleId="ES-Level1Heading">
    <w:name w:val="ES-Level1Heading"/>
    <w:basedOn w:val="Level1Heading"/>
    <w:qFormat/>
    <w:rsid w:val="00D04C52"/>
  </w:style>
  <w:style w:type="paragraph" w:customStyle="1" w:styleId="ES-Level2Heading">
    <w:name w:val="ES-Level2Heading"/>
    <w:basedOn w:val="Level2Heading"/>
    <w:qFormat/>
    <w:rsid w:val="00D04C52"/>
  </w:style>
  <w:style w:type="paragraph" w:customStyle="1" w:styleId="ES-Level3Heading">
    <w:name w:val="ES-Level3Heading"/>
    <w:basedOn w:val="Level3Heading"/>
    <w:qFormat/>
    <w:rsid w:val="00D04C52"/>
    <w:rPr>
      <w:rFonts w:cs="Arial"/>
    </w:rPr>
  </w:style>
  <w:style w:type="character" w:customStyle="1" w:styleId="A32">
    <w:name w:val="A3+2"/>
    <w:uiPriority w:val="99"/>
    <w:rsid w:val="00D04C52"/>
    <w:rPr>
      <w:color w:val="000000"/>
      <w:sz w:val="21"/>
      <w:szCs w:val="21"/>
    </w:rPr>
  </w:style>
  <w:style w:type="paragraph" w:customStyle="1" w:styleId="blankbullet">
    <w:name w:val="blankbullet"/>
    <w:basedOn w:val="Normal"/>
    <w:qFormat/>
    <w:rsid w:val="00D04C52"/>
    <w:pPr>
      <w:spacing w:after="0" w:line="240" w:lineRule="auto"/>
      <w:ind w:left="806" w:hanging="446"/>
    </w:pPr>
    <w:rPr>
      <w:rFonts w:ascii="Times New Roman" w:eastAsia="Calibri" w:hAnsi="Times New Roman" w:cs="Arial"/>
      <w:sz w:val="24"/>
    </w:rPr>
  </w:style>
  <w:style w:type="paragraph" w:customStyle="1" w:styleId="blankbullet2">
    <w:name w:val="blankbullet2"/>
    <w:basedOn w:val="Normal"/>
    <w:qFormat/>
    <w:rsid w:val="00D04C52"/>
    <w:pPr>
      <w:spacing w:after="0" w:line="240" w:lineRule="auto"/>
      <w:ind w:left="1440" w:hanging="634"/>
    </w:pPr>
    <w:rPr>
      <w:rFonts w:ascii="Times New Roman" w:eastAsia="Calibri" w:hAnsi="Times New Roman" w:cs="Arial"/>
      <w:sz w:val="24"/>
      <w:szCs w:val="23"/>
    </w:rPr>
  </w:style>
  <w:style w:type="character" w:customStyle="1" w:styleId="st1">
    <w:name w:val="st1"/>
    <w:rsid w:val="00D04C52"/>
  </w:style>
  <w:style w:type="character" w:styleId="PageNumber0">
    <w:name w:val="page number"/>
    <w:rsid w:val="00D04C52"/>
    <w:rPr>
      <w:rFonts w:ascii="Verdana" w:hAnsi="Verdana"/>
      <w:b/>
      <w:sz w:val="20"/>
    </w:rPr>
  </w:style>
  <w:style w:type="paragraph" w:customStyle="1" w:styleId="AppTableTitlecontinued">
    <w:name w:val="AppTableTitle(continued)"/>
    <w:basedOn w:val="AppTableTitle"/>
    <w:qFormat/>
    <w:rsid w:val="00D04C52"/>
  </w:style>
  <w:style w:type="paragraph" w:customStyle="1" w:styleId="AppLevel3Heading">
    <w:name w:val="AppLevel3Heading"/>
    <w:basedOn w:val="Normal"/>
    <w:qFormat/>
    <w:rsid w:val="00D04C52"/>
    <w:pPr>
      <w:keepNext/>
      <w:spacing w:before="240" w:after="0" w:line="240" w:lineRule="auto"/>
      <w:outlineLvl w:val="3"/>
    </w:pPr>
    <w:rPr>
      <w:rFonts w:ascii="Arial" w:eastAsia="Times New Roman" w:hAnsi="Arial" w:cs="Times New Roman"/>
      <w:b/>
      <w:bCs/>
      <w:sz w:val="28"/>
      <w:szCs w:val="24"/>
    </w:rPr>
  </w:style>
  <w:style w:type="paragraph" w:customStyle="1" w:styleId="AppLevel2Heading">
    <w:name w:val="AppLevel2Heading"/>
    <w:basedOn w:val="Level2Heading"/>
    <w:qFormat/>
    <w:rsid w:val="00D04C52"/>
  </w:style>
  <w:style w:type="paragraph" w:customStyle="1" w:styleId="ES-Level1HeadingContinued">
    <w:name w:val="ES-Level1HeadingContinued"/>
    <w:basedOn w:val="ES-Level1Heading"/>
    <w:qFormat/>
    <w:rsid w:val="00D04C52"/>
    <w:pPr>
      <w:spacing w:before="0" w:after="0"/>
    </w:pPr>
  </w:style>
  <w:style w:type="paragraph" w:customStyle="1" w:styleId="tabletext1">
    <w:name w:val="table text"/>
    <w:basedOn w:val="Normal"/>
    <w:qFormat/>
    <w:rsid w:val="00D04C52"/>
    <w:pPr>
      <w:spacing w:after="0" w:line="240" w:lineRule="auto"/>
    </w:pPr>
    <w:rPr>
      <w:rFonts w:ascii="Arial" w:eastAsia="Times New Roman" w:hAnsi="Arial" w:cs="Arial"/>
      <w:sz w:val="18"/>
      <w:szCs w:val="18"/>
    </w:rPr>
  </w:style>
  <w:style w:type="paragraph" w:customStyle="1" w:styleId="tableheaders">
    <w:name w:val="table headers"/>
    <w:basedOn w:val="Normal"/>
    <w:qFormat/>
    <w:rsid w:val="00D04C52"/>
    <w:pPr>
      <w:spacing w:after="0" w:line="240" w:lineRule="auto"/>
    </w:pPr>
    <w:rPr>
      <w:rFonts w:ascii="Arial" w:eastAsia="Times New Roman" w:hAnsi="Arial" w:cs="Arial"/>
      <w:b/>
      <w:sz w:val="18"/>
      <w:szCs w:val="18"/>
    </w:rPr>
  </w:style>
  <w:style w:type="paragraph" w:customStyle="1" w:styleId="tablenote0">
    <w:name w:val="table note"/>
    <w:basedOn w:val="Normal"/>
    <w:qFormat/>
    <w:rsid w:val="00D04C52"/>
    <w:pPr>
      <w:spacing w:before="60" w:after="60" w:line="240" w:lineRule="auto"/>
    </w:pPr>
    <w:rPr>
      <w:rFonts w:ascii="Times" w:eastAsia="Times New Roman" w:hAnsi="Times" w:cs="Times New Roman"/>
      <w:sz w:val="18"/>
      <w:szCs w:val="20"/>
    </w:rPr>
  </w:style>
  <w:style w:type="table" w:customStyle="1" w:styleId="TableGridLight1">
    <w:name w:val="Table Grid Light1"/>
    <w:basedOn w:val="TableNormal"/>
    <w:uiPriority w:val="40"/>
    <w:rsid w:val="00D04C52"/>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st">
    <w:name w:val="st"/>
    <w:rsid w:val="00D04C52"/>
  </w:style>
  <w:style w:type="character" w:styleId="PlaceholderText">
    <w:name w:val="Placeholder Text"/>
    <w:uiPriority w:val="99"/>
    <w:semiHidden/>
    <w:rsid w:val="00D04C52"/>
    <w:rPr>
      <w:color w:val="808080"/>
    </w:rPr>
  </w:style>
  <w:style w:type="paragraph" w:styleId="EndnoteText">
    <w:name w:val="endnote text"/>
    <w:basedOn w:val="Normal"/>
    <w:link w:val="EndnoteTextChar"/>
    <w:uiPriority w:val="99"/>
    <w:semiHidden/>
    <w:unhideWhenUsed/>
    <w:rsid w:val="00D04C52"/>
    <w:pPr>
      <w:spacing w:after="0" w:line="240" w:lineRule="auto"/>
    </w:pPr>
    <w:rPr>
      <w:rFonts w:ascii="Times" w:eastAsia="Times New Roman" w:hAnsi="Times" w:cs="Times New Roman"/>
      <w:sz w:val="20"/>
      <w:szCs w:val="20"/>
    </w:rPr>
  </w:style>
  <w:style w:type="character" w:customStyle="1" w:styleId="EndnoteTextChar">
    <w:name w:val="Endnote Text Char"/>
    <w:basedOn w:val="DefaultParagraphFont"/>
    <w:link w:val="EndnoteText"/>
    <w:uiPriority w:val="99"/>
    <w:semiHidden/>
    <w:rsid w:val="00D04C52"/>
    <w:rPr>
      <w:rFonts w:ascii="Times" w:eastAsia="Times New Roman" w:hAnsi="Times" w:cs="Times New Roman"/>
      <w:sz w:val="20"/>
      <w:szCs w:val="20"/>
    </w:rPr>
  </w:style>
  <w:style w:type="paragraph" w:customStyle="1" w:styleId="AppTableTitleContinued0">
    <w:name w:val="AppTableTitleContinued"/>
    <w:basedOn w:val="TableTitleContinued"/>
    <w:qFormat/>
    <w:rsid w:val="00D04C52"/>
  </w:style>
  <w:style w:type="paragraph" w:customStyle="1" w:styleId="biblio">
    <w:name w:val="biblio"/>
    <w:basedOn w:val="Normal"/>
    <w:qFormat/>
    <w:rsid w:val="00D04C52"/>
    <w:pPr>
      <w:autoSpaceDE w:val="0"/>
      <w:autoSpaceDN w:val="0"/>
      <w:adjustRightInd w:val="0"/>
      <w:spacing w:after="0" w:line="240" w:lineRule="auto"/>
      <w:ind w:left="720" w:hanging="720"/>
    </w:pPr>
    <w:rPr>
      <w:rFonts w:ascii="Times New Roman" w:eastAsia="Calibri" w:hAnsi="Times New Roman" w:cs="Times New Roman"/>
      <w:sz w:val="20"/>
      <w:szCs w:val="20"/>
    </w:rPr>
  </w:style>
  <w:style w:type="paragraph" w:styleId="Title">
    <w:name w:val="Title"/>
    <w:basedOn w:val="Normal"/>
    <w:next w:val="Normal"/>
    <w:link w:val="TitleChar"/>
    <w:qFormat/>
    <w:rsid w:val="00D04C52"/>
    <w:pPr>
      <w:spacing w:after="0" w:line="240" w:lineRule="auto"/>
      <w:contextualSpacing/>
    </w:pPr>
    <w:rPr>
      <w:rFonts w:ascii="Cambria" w:eastAsia="Times New Roman" w:hAnsi="Cambria" w:cs="Times New Roman"/>
      <w:spacing w:val="-10"/>
      <w:kern w:val="28"/>
      <w:sz w:val="56"/>
      <w:szCs w:val="56"/>
    </w:rPr>
  </w:style>
  <w:style w:type="character" w:customStyle="1" w:styleId="TitleChar">
    <w:name w:val="Title Char"/>
    <w:basedOn w:val="DefaultParagraphFont"/>
    <w:link w:val="Title"/>
    <w:rsid w:val="00D04C52"/>
    <w:rPr>
      <w:rFonts w:ascii="Cambria" w:eastAsia="Times New Roman" w:hAnsi="Cambria" w:cs="Times New Roman"/>
      <w:spacing w:val="-10"/>
      <w:kern w:val="28"/>
      <w:sz w:val="56"/>
      <w:szCs w:val="56"/>
    </w:rPr>
  </w:style>
  <w:style w:type="paragraph" w:styleId="TOC6">
    <w:name w:val="toc 6"/>
    <w:basedOn w:val="Normal"/>
    <w:next w:val="Normal"/>
    <w:autoRedefine/>
    <w:uiPriority w:val="39"/>
    <w:unhideWhenUsed/>
    <w:rsid w:val="00D04C52"/>
    <w:pPr>
      <w:tabs>
        <w:tab w:val="right" w:leader="dot" w:pos="9360"/>
      </w:tabs>
      <w:spacing w:after="0" w:line="240" w:lineRule="auto"/>
      <w:ind w:left="1200" w:hanging="1200"/>
    </w:pPr>
    <w:rPr>
      <w:rFonts w:ascii="Times" w:eastAsia="Times New Roman" w:hAnsi="Times" w:cs="Times New Roman"/>
      <w:noProof/>
      <w:sz w:val="24"/>
      <w:szCs w:val="20"/>
    </w:rPr>
  </w:style>
  <w:style w:type="paragraph" w:styleId="TOC7">
    <w:name w:val="toc 7"/>
    <w:basedOn w:val="Normal"/>
    <w:next w:val="Normal"/>
    <w:autoRedefine/>
    <w:uiPriority w:val="39"/>
    <w:unhideWhenUsed/>
    <w:rsid w:val="00D04C52"/>
    <w:pPr>
      <w:tabs>
        <w:tab w:val="right" w:leader="dot" w:pos="9360"/>
      </w:tabs>
      <w:spacing w:after="0" w:line="240" w:lineRule="auto"/>
      <w:ind w:left="1080" w:hanging="720"/>
    </w:pPr>
    <w:rPr>
      <w:rFonts w:ascii="Times" w:eastAsia="Times New Roman" w:hAnsi="Times" w:cs="Times New Roman"/>
      <w:sz w:val="24"/>
      <w:szCs w:val="20"/>
    </w:rPr>
  </w:style>
  <w:style w:type="paragraph" w:customStyle="1" w:styleId="APPFigureTitle">
    <w:name w:val="APPFigureTitle"/>
    <w:basedOn w:val="Normal"/>
    <w:qFormat/>
    <w:rsid w:val="00D04C52"/>
    <w:pPr>
      <w:keepNext/>
      <w:spacing w:before="240" w:after="0" w:line="240" w:lineRule="auto"/>
    </w:pPr>
    <w:rPr>
      <w:rFonts w:ascii="Arial" w:eastAsia="Calibri" w:hAnsi="Arial" w:cs="Times New Roman"/>
      <w:b/>
      <w:color w:val="000000"/>
      <w:sz w:val="20"/>
      <w:szCs w:val="24"/>
    </w:rPr>
  </w:style>
  <w:style w:type="paragraph" w:styleId="TOCHeading">
    <w:name w:val="TOC Heading"/>
    <w:basedOn w:val="Heading1"/>
    <w:next w:val="Normal"/>
    <w:uiPriority w:val="39"/>
    <w:unhideWhenUsed/>
    <w:qFormat/>
    <w:rsid w:val="00D04C52"/>
    <w:pPr>
      <w:outlineLvl w:val="9"/>
    </w:pPr>
    <w:rPr>
      <w:rFonts w:ascii="Calibri Light" w:hAnsi="Calibri Light"/>
    </w:rPr>
  </w:style>
  <w:style w:type="paragraph" w:customStyle="1" w:styleId="APPGFigureTitle">
    <w:name w:val="APPGFigureTitle"/>
    <w:basedOn w:val="APPFigureTitle"/>
    <w:qFormat/>
    <w:rsid w:val="00D04C52"/>
  </w:style>
  <w:style w:type="paragraph" w:customStyle="1" w:styleId="AppDTableTitle">
    <w:name w:val="AppDTableTitle"/>
    <w:basedOn w:val="AppTableTitle"/>
    <w:qFormat/>
    <w:rsid w:val="00D04C52"/>
  </w:style>
  <w:style w:type="paragraph" w:customStyle="1" w:styleId="APPETableTitle">
    <w:name w:val="APPETableTitle"/>
    <w:basedOn w:val="AppTableTitle"/>
    <w:qFormat/>
    <w:rsid w:val="00D04C52"/>
  </w:style>
  <w:style w:type="character" w:customStyle="1" w:styleId="xbe">
    <w:name w:val="_xbe"/>
    <w:rsid w:val="00D04C52"/>
  </w:style>
  <w:style w:type="paragraph" w:customStyle="1" w:styleId="tabletitle1">
    <w:name w:val="tabletitle"/>
    <w:basedOn w:val="Normal"/>
    <w:uiPriority w:val="99"/>
    <w:rsid w:val="00D04C52"/>
    <w:pPr>
      <w:keepNext/>
      <w:spacing w:before="240" w:after="0" w:line="240" w:lineRule="auto"/>
    </w:pPr>
    <w:rPr>
      <w:rFonts w:ascii="Arial" w:eastAsia="Calibri" w:hAnsi="Arial" w:cs="Arial"/>
      <w:b/>
      <w:bCs/>
      <w:color w:val="000000"/>
      <w:sz w:val="20"/>
      <w:szCs w:val="20"/>
    </w:rPr>
  </w:style>
  <w:style w:type="paragraph" w:customStyle="1" w:styleId="TableTextIndent1">
    <w:name w:val="TableTextIndent1"/>
    <w:basedOn w:val="TableText"/>
    <w:qFormat/>
    <w:rsid w:val="00D04C52"/>
    <w:pPr>
      <w:ind w:left="187"/>
    </w:pPr>
  </w:style>
  <w:style w:type="character" w:customStyle="1" w:styleId="tgc">
    <w:name w:val="_tgc"/>
    <w:basedOn w:val="DefaultParagraphFont"/>
    <w:rsid w:val="00D04C52"/>
  </w:style>
  <w:style w:type="character" w:customStyle="1" w:styleId="references">
    <w:name w:val="references"/>
    <w:basedOn w:val="DefaultParagraphFont"/>
    <w:rsid w:val="00D04C52"/>
  </w:style>
  <w:style w:type="paragraph" w:customStyle="1" w:styleId="FigureKQ">
    <w:name w:val="FigureKQ"/>
    <w:basedOn w:val="TableNote"/>
    <w:qFormat/>
    <w:rsid w:val="00D04C52"/>
    <w:pPr>
      <w:ind w:left="504" w:hanging="504"/>
      <w:contextualSpacing/>
    </w:pPr>
  </w:style>
  <w:style w:type="character" w:customStyle="1" w:styleId="search-number">
    <w:name w:val="search-number"/>
    <w:basedOn w:val="DefaultParagraphFont"/>
    <w:rsid w:val="00D04C52"/>
  </w:style>
  <w:style w:type="character" w:customStyle="1" w:styleId="term">
    <w:name w:val="term"/>
    <w:basedOn w:val="DefaultParagraphFont"/>
    <w:rsid w:val="00D04C52"/>
  </w:style>
  <w:style w:type="paragraph" w:customStyle="1" w:styleId="PageNumber-Left">
    <w:name w:val="PageNumber-Left"/>
    <w:basedOn w:val="PageNumber"/>
    <w:qFormat/>
    <w:rsid w:val="00D04C52"/>
    <w:pPr>
      <w:jc w:val="left"/>
    </w:pPr>
  </w:style>
  <w:style w:type="paragraph" w:customStyle="1" w:styleId="AppFigureTitle0">
    <w:name w:val="AppFigureTitle"/>
    <w:basedOn w:val="FigureTitle"/>
    <w:qFormat/>
    <w:rsid w:val="00D04C52"/>
  </w:style>
  <w:style w:type="paragraph" w:customStyle="1" w:styleId="AppTableText">
    <w:name w:val="AppTableText"/>
    <w:basedOn w:val="TableText"/>
    <w:qFormat/>
    <w:rsid w:val="00D04C52"/>
  </w:style>
  <w:style w:type="paragraph" w:customStyle="1" w:styleId="AppTableNote">
    <w:name w:val="AppTableNote"/>
    <w:basedOn w:val="TableNote"/>
    <w:qFormat/>
    <w:rsid w:val="00D04C52"/>
  </w:style>
  <w:style w:type="character" w:customStyle="1" w:styleId="highlight">
    <w:name w:val="highlight"/>
    <w:basedOn w:val="DefaultParagraphFont"/>
    <w:rsid w:val="00D04C52"/>
  </w:style>
  <w:style w:type="paragraph" w:customStyle="1" w:styleId="TableParagraph">
    <w:name w:val="Table Paragraph"/>
    <w:basedOn w:val="Normal"/>
    <w:uiPriority w:val="1"/>
    <w:qFormat/>
    <w:rsid w:val="00D04C52"/>
    <w:pPr>
      <w:widowControl w:val="0"/>
      <w:suppressAutoHyphens/>
      <w:autoSpaceDE w:val="0"/>
      <w:autoSpaceDN w:val="0"/>
      <w:spacing w:after="0" w:line="240" w:lineRule="auto"/>
      <w:textAlignment w:val="baseline"/>
    </w:pPr>
    <w:rPr>
      <w:rFonts w:ascii="Times New Roman" w:eastAsia="Times New Roman" w:hAnsi="Times New Roman" w:cs="Times New Roman"/>
      <w:sz w:val="24"/>
      <w:szCs w:val="24"/>
    </w:rPr>
  </w:style>
  <w:style w:type="paragraph" w:customStyle="1" w:styleId="TableNoteKQ">
    <w:name w:val="TableNoteKQ"/>
    <w:basedOn w:val="TableNote"/>
    <w:qFormat/>
    <w:rsid w:val="00D04C52"/>
    <w:pPr>
      <w:ind w:left="360" w:hanging="360"/>
    </w:pPr>
    <w:rPr>
      <w:szCs w:val="18"/>
    </w:rPr>
  </w:style>
  <w:style w:type="paragraph" w:styleId="NoSpacing">
    <w:name w:val="No Spacing"/>
    <w:uiPriority w:val="1"/>
    <w:qFormat/>
    <w:rsid w:val="00D04C52"/>
    <w:pPr>
      <w:spacing w:after="0" w:line="240" w:lineRule="auto"/>
    </w:pPr>
    <w:rPr>
      <w:rFonts w:ascii="Calibri" w:eastAsia="Calibri" w:hAnsi="Calibri" w:cs="Times New Roman"/>
    </w:rPr>
  </w:style>
  <w:style w:type="paragraph" w:customStyle="1" w:styleId="TableHeader">
    <w:name w:val="TableHeader"/>
    <w:basedOn w:val="TableText"/>
    <w:qFormat/>
    <w:rsid w:val="00D04C52"/>
    <w:pPr>
      <w:jc w:val="center"/>
    </w:pPr>
    <w:rPr>
      <w:rFonts w:eastAsia="Times New Roman"/>
      <w:b/>
      <w:bCs/>
    </w:rPr>
  </w:style>
  <w:style w:type="paragraph" w:customStyle="1" w:styleId="Title1">
    <w:name w:val="Title1"/>
    <w:basedOn w:val="Normal"/>
    <w:rsid w:val="00D04C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
    <w:name w:val="desc"/>
    <w:basedOn w:val="Normal"/>
    <w:rsid w:val="00D04C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tails">
    <w:name w:val="details"/>
    <w:basedOn w:val="Normal"/>
    <w:rsid w:val="00D04C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rnl">
    <w:name w:val="jrnl"/>
    <w:basedOn w:val="DefaultParagraphFont"/>
    <w:rsid w:val="00D04C52"/>
  </w:style>
  <w:style w:type="table" w:customStyle="1" w:styleId="GridTable4-Accent31">
    <w:name w:val="Grid Table 4 - Accent 31"/>
    <w:basedOn w:val="TableNormal"/>
    <w:uiPriority w:val="49"/>
    <w:rsid w:val="00D04C52"/>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3-Accent61">
    <w:name w:val="List Table 3 - Accent 61"/>
    <w:basedOn w:val="TableNormal"/>
    <w:uiPriority w:val="48"/>
    <w:rsid w:val="00D04C52"/>
    <w:pPr>
      <w:spacing w:after="0" w:line="240" w:lineRule="auto"/>
    </w:p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stTable3-Accent41">
    <w:name w:val="List Table 3 - Accent 41"/>
    <w:basedOn w:val="TableNormal"/>
    <w:uiPriority w:val="48"/>
    <w:rsid w:val="00D04C52"/>
    <w:pPr>
      <w:spacing w:after="0" w:line="240" w:lineRule="auto"/>
    </w:p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stTable3-Accent51">
    <w:name w:val="List Table 3 - Accent 51"/>
    <w:basedOn w:val="TableNormal"/>
    <w:uiPriority w:val="48"/>
    <w:rsid w:val="00D04C52"/>
    <w:pPr>
      <w:spacing w:after="0" w:line="240" w:lineRule="auto"/>
    </w:p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paragraph" w:customStyle="1" w:styleId="xl65">
    <w:name w:val="xl65"/>
    <w:basedOn w:val="Normal"/>
    <w:rsid w:val="00D04C52"/>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al"/>
    <w:rsid w:val="00D04C52"/>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al"/>
    <w:rsid w:val="00D04C52"/>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GridTable4-Accent32">
    <w:name w:val="Grid Table 4 - Accent 32"/>
    <w:basedOn w:val="TableNormal"/>
    <w:uiPriority w:val="49"/>
    <w:rsid w:val="00D04C52"/>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11">
    <w:name w:val="Table Grid11"/>
    <w:basedOn w:val="TableNormal"/>
    <w:next w:val="TableGrid"/>
    <w:uiPriority w:val="39"/>
    <w:rsid w:val="00D04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04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04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qj">
    <w:name w:val="aqj"/>
    <w:basedOn w:val="DefaultParagraphFont"/>
    <w:rsid w:val="00D04C52"/>
  </w:style>
  <w:style w:type="paragraph" w:styleId="DocumentMap">
    <w:name w:val="Document Map"/>
    <w:basedOn w:val="Normal"/>
    <w:link w:val="DocumentMapChar"/>
    <w:uiPriority w:val="99"/>
    <w:semiHidden/>
    <w:unhideWhenUsed/>
    <w:rsid w:val="00D04C52"/>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04C52"/>
    <w:rPr>
      <w:rFonts w:ascii="Tahoma" w:hAnsi="Tahoma" w:cs="Tahoma"/>
      <w:sz w:val="16"/>
      <w:szCs w:val="16"/>
    </w:rPr>
  </w:style>
  <w:style w:type="table" w:customStyle="1" w:styleId="TableGrid4">
    <w:name w:val="Table Grid4"/>
    <w:basedOn w:val="TableNormal"/>
    <w:next w:val="TableGrid"/>
    <w:uiPriority w:val="39"/>
    <w:rsid w:val="00D04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04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04C52"/>
  </w:style>
  <w:style w:type="paragraph" w:customStyle="1" w:styleId="font5">
    <w:name w:val="font5"/>
    <w:basedOn w:val="Normal"/>
    <w:rsid w:val="00D04C52"/>
    <w:pPr>
      <w:spacing w:before="100" w:beforeAutospacing="1" w:after="100" w:afterAutospacing="1" w:line="240" w:lineRule="auto"/>
    </w:pPr>
    <w:rPr>
      <w:rFonts w:ascii="Times New Roman" w:eastAsia="Times New Roman" w:hAnsi="Times New Roman" w:cs="Times New Roman"/>
      <w:i/>
      <w:iCs/>
      <w:color w:val="000000"/>
      <w:sz w:val="20"/>
      <w:szCs w:val="20"/>
    </w:rPr>
  </w:style>
  <w:style w:type="paragraph" w:customStyle="1" w:styleId="xl68">
    <w:name w:val="xl68"/>
    <w:basedOn w:val="Normal"/>
    <w:rsid w:val="00D04C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D04C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D04C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D04C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D04C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D04C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74">
    <w:name w:val="xl74"/>
    <w:basedOn w:val="Normal"/>
    <w:rsid w:val="00D04C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al"/>
    <w:rsid w:val="00D04C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76">
    <w:name w:val="xl76"/>
    <w:basedOn w:val="Normal"/>
    <w:rsid w:val="00D04C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77">
    <w:name w:val="xl77"/>
    <w:basedOn w:val="Normal"/>
    <w:rsid w:val="00D04C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D04C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79">
    <w:name w:val="xl79"/>
    <w:basedOn w:val="Normal"/>
    <w:rsid w:val="00D04C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0">
    <w:name w:val="xl80"/>
    <w:basedOn w:val="Normal"/>
    <w:rsid w:val="00D04C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1">
    <w:name w:val="xl81"/>
    <w:basedOn w:val="Normal"/>
    <w:rsid w:val="00D04C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Normal"/>
    <w:rsid w:val="00D04C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83">
    <w:name w:val="xl83"/>
    <w:basedOn w:val="Normal"/>
    <w:rsid w:val="00D04C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rPr>
  </w:style>
  <w:style w:type="paragraph" w:customStyle="1" w:styleId="xl84">
    <w:name w:val="xl84"/>
    <w:basedOn w:val="Normal"/>
    <w:rsid w:val="00D04C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rPr>
  </w:style>
  <w:style w:type="character" w:customStyle="1" w:styleId="ref-journal">
    <w:name w:val="ref-journal"/>
    <w:basedOn w:val="DefaultParagraphFont"/>
    <w:rsid w:val="00D04C52"/>
  </w:style>
  <w:style w:type="character" w:customStyle="1" w:styleId="ref-vol">
    <w:name w:val="ref-vol"/>
    <w:basedOn w:val="DefaultParagraphFont"/>
    <w:rsid w:val="00D04C52"/>
  </w:style>
  <w:style w:type="paragraph" w:customStyle="1" w:styleId="Normal1">
    <w:name w:val="Normal1"/>
    <w:rsid w:val="00D04C52"/>
    <w:rPr>
      <w:rFonts w:ascii="Calibri" w:eastAsia="Calibri" w:hAnsi="Calibri" w:cs="Calibri"/>
      <w:color w:val="000000"/>
    </w:rPr>
  </w:style>
  <w:style w:type="character" w:customStyle="1" w:styleId="ref-label">
    <w:name w:val="ref-label"/>
    <w:basedOn w:val="DefaultParagraphFont"/>
    <w:rsid w:val="00D04C52"/>
  </w:style>
  <w:style w:type="character" w:customStyle="1" w:styleId="cit-name-surname">
    <w:name w:val="cit-name-surname"/>
    <w:basedOn w:val="DefaultParagraphFont"/>
    <w:rsid w:val="00D04C52"/>
  </w:style>
  <w:style w:type="character" w:customStyle="1" w:styleId="cit-name-given-names">
    <w:name w:val="cit-name-given-names"/>
    <w:basedOn w:val="DefaultParagraphFont"/>
    <w:rsid w:val="00D04C52"/>
  </w:style>
  <w:style w:type="character" w:customStyle="1" w:styleId="cit-etal">
    <w:name w:val="cit-etal"/>
    <w:basedOn w:val="DefaultParagraphFont"/>
    <w:rsid w:val="00D04C52"/>
  </w:style>
  <w:style w:type="character" w:customStyle="1" w:styleId="cit-article-title">
    <w:name w:val="cit-article-title"/>
    <w:basedOn w:val="DefaultParagraphFont"/>
    <w:rsid w:val="00D04C52"/>
  </w:style>
  <w:style w:type="character" w:customStyle="1" w:styleId="cit-vol">
    <w:name w:val="cit-vol"/>
    <w:basedOn w:val="DefaultParagraphFont"/>
    <w:rsid w:val="00D04C52"/>
  </w:style>
  <w:style w:type="character" w:customStyle="1" w:styleId="cit-issue">
    <w:name w:val="cit-issue"/>
    <w:basedOn w:val="DefaultParagraphFont"/>
    <w:rsid w:val="00D04C52"/>
  </w:style>
  <w:style w:type="character" w:customStyle="1" w:styleId="cit-lpage">
    <w:name w:val="cit-lpage"/>
    <w:basedOn w:val="DefaultParagraphFont"/>
    <w:rsid w:val="00D04C52"/>
  </w:style>
  <w:style w:type="numbering" w:customStyle="1" w:styleId="NoList2">
    <w:name w:val="No List2"/>
    <w:next w:val="NoList"/>
    <w:uiPriority w:val="99"/>
    <w:semiHidden/>
    <w:unhideWhenUsed/>
    <w:rsid w:val="00D04C52"/>
  </w:style>
  <w:style w:type="table" w:customStyle="1" w:styleId="TableGrid6">
    <w:name w:val="Table Grid6"/>
    <w:basedOn w:val="TableNormal"/>
    <w:next w:val="TableGrid"/>
    <w:uiPriority w:val="39"/>
    <w:rsid w:val="00D04C52"/>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HRQ11">
    <w:name w:val="AHRQ11"/>
    <w:basedOn w:val="TableGrid"/>
    <w:rsid w:val="00D04C52"/>
    <w:rPr>
      <w:rFonts w:ascii="Arial" w:eastAsia="Times New Roman" w:hAnsi="Arial" w:cs="Times New Roman"/>
      <w:sz w:val="18"/>
      <w:szCs w:val="20"/>
      <w:lang w:val="de-AT" w:eastAsia="de-AT"/>
    </w:rPr>
    <w:tblPr>
      <w:tblBorders>
        <w:top w:val="single" w:sz="12" w:space="0" w:color="auto"/>
        <w:left w:val="none" w:sz="0" w:space="0" w:color="auto"/>
        <w:bottom w:val="single" w:sz="12" w:space="0" w:color="auto"/>
        <w:right w:val="none" w:sz="0" w:space="0" w:color="auto"/>
        <w:insideH w:val="single" w:sz="8" w:space="0" w:color="auto"/>
        <w:insideV w:val="none" w:sz="0" w:space="0" w:color="auto"/>
      </w:tblBorders>
      <w:tblCellMar>
        <w:left w:w="29" w:type="dxa"/>
        <w:right w:w="29" w:type="dxa"/>
      </w:tblCellMar>
    </w:tblPr>
    <w:tblStylePr w:type="firstRow">
      <w:pPr>
        <w:wordWrap/>
        <w:ind w:leftChars="0" w:left="0" w:firstLineChars="0" w:firstLine="0"/>
      </w:pPr>
      <w:rPr>
        <w:b/>
      </w:rPr>
      <w:tblPr/>
      <w:tcPr>
        <w:vAlign w:val="center"/>
      </w:tcPr>
    </w:tblStylePr>
  </w:style>
  <w:style w:type="table" w:customStyle="1" w:styleId="TableGridLight11">
    <w:name w:val="Table Grid Light11"/>
    <w:basedOn w:val="TableNormal"/>
    <w:uiPriority w:val="40"/>
    <w:rsid w:val="00D04C52"/>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4-Accent311">
    <w:name w:val="Grid Table 4 - Accent 311"/>
    <w:basedOn w:val="TableNormal"/>
    <w:uiPriority w:val="49"/>
    <w:rsid w:val="00D04C52"/>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3-Accent611">
    <w:name w:val="List Table 3 - Accent 611"/>
    <w:basedOn w:val="TableNormal"/>
    <w:uiPriority w:val="48"/>
    <w:rsid w:val="00D04C52"/>
    <w:pPr>
      <w:spacing w:after="0" w:line="240" w:lineRule="auto"/>
    </w:p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stTable3-Accent411">
    <w:name w:val="List Table 3 - Accent 411"/>
    <w:basedOn w:val="TableNormal"/>
    <w:uiPriority w:val="48"/>
    <w:rsid w:val="00D04C52"/>
    <w:pPr>
      <w:spacing w:after="0" w:line="240" w:lineRule="auto"/>
    </w:p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stTable3-Accent511">
    <w:name w:val="List Table 3 - Accent 511"/>
    <w:basedOn w:val="TableNormal"/>
    <w:uiPriority w:val="48"/>
    <w:rsid w:val="00D04C52"/>
    <w:pPr>
      <w:spacing w:after="0" w:line="240" w:lineRule="auto"/>
    </w:p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GridTable4-Accent321">
    <w:name w:val="Grid Table 4 - Accent 321"/>
    <w:basedOn w:val="TableNormal"/>
    <w:uiPriority w:val="49"/>
    <w:rsid w:val="00D04C52"/>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21">
    <w:name w:val="Table Grid21"/>
    <w:basedOn w:val="TableNormal"/>
    <w:next w:val="TableGrid"/>
    <w:uiPriority w:val="39"/>
    <w:rsid w:val="00D04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D04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D04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D04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D04C52"/>
  </w:style>
  <w:style w:type="numbering" w:customStyle="1" w:styleId="NoList3">
    <w:name w:val="No List3"/>
    <w:next w:val="NoList"/>
    <w:uiPriority w:val="99"/>
    <w:semiHidden/>
    <w:unhideWhenUsed/>
    <w:rsid w:val="00D04C52"/>
  </w:style>
  <w:style w:type="table" w:customStyle="1" w:styleId="TableGrid7">
    <w:name w:val="Table Grid7"/>
    <w:basedOn w:val="TableNormal"/>
    <w:next w:val="TableGrid"/>
    <w:uiPriority w:val="39"/>
    <w:rsid w:val="00D04C52"/>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AHRQ12">
    <w:name w:val="AHRQ12"/>
    <w:basedOn w:val="TableGrid"/>
    <w:rsid w:val="00D04C52"/>
    <w:rPr>
      <w:rFonts w:ascii="Arial" w:eastAsia="Times New Roman" w:hAnsi="Arial" w:cs="Times New Roman"/>
      <w:sz w:val="18"/>
      <w:szCs w:val="20"/>
      <w:lang w:val="de-AT" w:eastAsia="de-AT"/>
    </w:rPr>
    <w:tblPr>
      <w:tblBorders>
        <w:top w:val="single" w:sz="12" w:space="0" w:color="auto"/>
        <w:left w:val="none" w:sz="0" w:space="0" w:color="auto"/>
        <w:bottom w:val="single" w:sz="12" w:space="0" w:color="auto"/>
        <w:right w:val="none" w:sz="0" w:space="0" w:color="auto"/>
        <w:insideH w:val="single" w:sz="8" w:space="0" w:color="auto"/>
        <w:insideV w:val="none" w:sz="0" w:space="0" w:color="auto"/>
      </w:tblBorders>
      <w:tblCellMar>
        <w:left w:w="29" w:type="dxa"/>
        <w:right w:w="29" w:type="dxa"/>
      </w:tblCellMar>
    </w:tblPr>
    <w:tblStylePr w:type="firstRow">
      <w:pPr>
        <w:wordWrap/>
        <w:ind w:leftChars="0" w:left="0" w:firstLineChars="0" w:firstLine="0"/>
      </w:pPr>
      <w:rPr>
        <w:b/>
      </w:rPr>
      <w:tblPr/>
      <w:tcPr>
        <w:vAlign w:val="center"/>
      </w:tcPr>
    </w:tblStylePr>
  </w:style>
  <w:style w:type="table" w:customStyle="1" w:styleId="TableGridLight12">
    <w:name w:val="Table Grid Light12"/>
    <w:basedOn w:val="TableNormal"/>
    <w:uiPriority w:val="40"/>
    <w:rsid w:val="00D04C52"/>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4-Accent312">
    <w:name w:val="Grid Table 4 - Accent 312"/>
    <w:basedOn w:val="TableNormal"/>
    <w:uiPriority w:val="49"/>
    <w:rsid w:val="00D04C52"/>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3-Accent612">
    <w:name w:val="List Table 3 - Accent 612"/>
    <w:basedOn w:val="TableNormal"/>
    <w:uiPriority w:val="48"/>
    <w:rsid w:val="00D04C52"/>
    <w:pPr>
      <w:spacing w:after="0" w:line="240" w:lineRule="auto"/>
    </w:p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customStyle="1" w:styleId="ListTable3-Accent412">
    <w:name w:val="List Table 3 - Accent 412"/>
    <w:basedOn w:val="TableNormal"/>
    <w:uiPriority w:val="48"/>
    <w:rsid w:val="00D04C52"/>
    <w:pPr>
      <w:spacing w:after="0" w:line="240" w:lineRule="auto"/>
    </w:p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ListTable3-Accent512">
    <w:name w:val="List Table 3 - Accent 512"/>
    <w:basedOn w:val="TableNormal"/>
    <w:uiPriority w:val="48"/>
    <w:rsid w:val="00D04C52"/>
    <w:pPr>
      <w:spacing w:after="0" w:line="240" w:lineRule="auto"/>
    </w:p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GridTable4-Accent322">
    <w:name w:val="Grid Table 4 - Accent 322"/>
    <w:basedOn w:val="TableNormal"/>
    <w:uiPriority w:val="49"/>
    <w:rsid w:val="00D04C52"/>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12">
    <w:name w:val="Table Grid12"/>
    <w:basedOn w:val="TableNormal"/>
    <w:next w:val="TableGrid"/>
    <w:uiPriority w:val="39"/>
    <w:rsid w:val="00D04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D04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D04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39"/>
    <w:rsid w:val="00D04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D04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04C52"/>
  </w:style>
  <w:style w:type="character" w:customStyle="1" w:styleId="Heading4Char1">
    <w:name w:val="Heading 4 Char1"/>
    <w:basedOn w:val="DefaultParagraphFont"/>
    <w:uiPriority w:val="9"/>
    <w:semiHidden/>
    <w:rsid w:val="00D04C52"/>
    <w:rPr>
      <w:rFonts w:asciiTheme="majorHAnsi" w:eastAsiaTheme="majorEastAsia" w:hAnsiTheme="majorHAnsi" w:cstheme="majorBidi"/>
      <w:i/>
      <w:iCs/>
      <w:color w:val="2E74B5" w:themeColor="accent1" w:themeShade="BF"/>
    </w:rPr>
  </w:style>
  <w:style w:type="paragraph" w:styleId="BodyText0">
    <w:name w:val="Body Text"/>
    <w:basedOn w:val="Normal"/>
    <w:link w:val="BodyTextChar1"/>
    <w:uiPriority w:val="1"/>
    <w:unhideWhenUsed/>
    <w:qFormat/>
    <w:rsid w:val="00D04C52"/>
    <w:pPr>
      <w:spacing w:after="120"/>
    </w:pPr>
  </w:style>
  <w:style w:type="character" w:customStyle="1" w:styleId="BodyTextChar1">
    <w:name w:val="Body Text Char1"/>
    <w:basedOn w:val="DefaultParagraphFont"/>
    <w:link w:val="BodyText0"/>
    <w:uiPriority w:val="99"/>
    <w:rsid w:val="00D04C52"/>
  </w:style>
  <w:style w:type="character" w:styleId="FollowedHyperlink">
    <w:name w:val="FollowedHyperlink"/>
    <w:basedOn w:val="DefaultParagraphFont"/>
    <w:uiPriority w:val="99"/>
    <w:semiHidden/>
    <w:unhideWhenUsed/>
    <w:rsid w:val="00D04C52"/>
    <w:rPr>
      <w:color w:val="954F72" w:themeColor="followedHyperlink"/>
      <w:u w:val="single"/>
    </w:rPr>
  </w:style>
  <w:style w:type="table" w:customStyle="1" w:styleId="TableGrid8">
    <w:name w:val="Table Grid8"/>
    <w:basedOn w:val="TableNormal"/>
    <w:next w:val="TableGrid"/>
    <w:uiPriority w:val="39"/>
    <w:rsid w:val="00D04C52"/>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323">
    <w:name w:val="Grid Table 4 - Accent 323"/>
    <w:basedOn w:val="TableNormal"/>
    <w:uiPriority w:val="49"/>
    <w:rsid w:val="00D04C52"/>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9">
    <w:name w:val="Table Grid9"/>
    <w:basedOn w:val="TableNormal"/>
    <w:next w:val="TableGrid"/>
    <w:uiPriority w:val="39"/>
    <w:rsid w:val="00D04C52"/>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
    <w:name w:val="Unresolved Mention1"/>
    <w:basedOn w:val="DefaultParagraphFont"/>
    <w:uiPriority w:val="99"/>
    <w:semiHidden/>
    <w:unhideWhenUsed/>
    <w:rsid w:val="005B3C4D"/>
    <w:rPr>
      <w:color w:val="808080"/>
      <w:shd w:val="clear" w:color="auto" w:fill="E6E6E6"/>
    </w:rPr>
  </w:style>
  <w:style w:type="character" w:customStyle="1" w:styleId="UnresolvedMention2">
    <w:name w:val="Unresolved Mention2"/>
    <w:basedOn w:val="DefaultParagraphFont"/>
    <w:uiPriority w:val="99"/>
    <w:semiHidden/>
    <w:unhideWhenUsed/>
    <w:rsid w:val="00783F85"/>
    <w:rPr>
      <w:color w:val="605E5C"/>
      <w:shd w:val="clear" w:color="auto" w:fill="E1DFDD"/>
    </w:rPr>
  </w:style>
  <w:style w:type="character" w:customStyle="1" w:styleId="UnresolvedMention3">
    <w:name w:val="Unresolved Mention3"/>
    <w:basedOn w:val="DefaultParagraphFont"/>
    <w:uiPriority w:val="99"/>
    <w:semiHidden/>
    <w:unhideWhenUsed/>
    <w:rsid w:val="00485E1D"/>
    <w:rPr>
      <w:color w:val="605E5C"/>
      <w:shd w:val="clear" w:color="auto" w:fill="E1DFDD"/>
    </w:rPr>
  </w:style>
  <w:style w:type="character" w:customStyle="1" w:styleId="UnresolvedMention30">
    <w:name w:val="Unresolved Mention3"/>
    <w:basedOn w:val="DefaultParagraphFont"/>
    <w:uiPriority w:val="99"/>
    <w:semiHidden/>
    <w:unhideWhenUsed/>
    <w:rsid w:val="00BC7B4E"/>
    <w:rPr>
      <w:color w:val="605E5C"/>
      <w:shd w:val="clear" w:color="auto" w:fill="E1DFDD"/>
    </w:rPr>
  </w:style>
  <w:style w:type="character" w:customStyle="1" w:styleId="UnresolvedMention4">
    <w:name w:val="Unresolved Mention4"/>
    <w:basedOn w:val="DefaultParagraphFont"/>
    <w:uiPriority w:val="99"/>
    <w:semiHidden/>
    <w:unhideWhenUsed/>
    <w:rsid w:val="003E7833"/>
    <w:rPr>
      <w:color w:val="605E5C"/>
      <w:shd w:val="clear" w:color="auto" w:fill="E1DFDD"/>
    </w:rPr>
  </w:style>
  <w:style w:type="character" w:styleId="UnresolvedMention">
    <w:name w:val="Unresolved Mention"/>
    <w:basedOn w:val="DefaultParagraphFont"/>
    <w:uiPriority w:val="99"/>
    <w:semiHidden/>
    <w:unhideWhenUsed/>
    <w:rsid w:val="004810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502806">
      <w:bodyDiv w:val="1"/>
      <w:marLeft w:val="0"/>
      <w:marRight w:val="0"/>
      <w:marTop w:val="0"/>
      <w:marBottom w:val="0"/>
      <w:divBdr>
        <w:top w:val="none" w:sz="0" w:space="0" w:color="auto"/>
        <w:left w:val="none" w:sz="0" w:space="0" w:color="auto"/>
        <w:bottom w:val="none" w:sz="0" w:space="0" w:color="auto"/>
        <w:right w:val="none" w:sz="0" w:space="0" w:color="auto"/>
      </w:divBdr>
    </w:div>
    <w:div w:id="415907246">
      <w:bodyDiv w:val="1"/>
      <w:marLeft w:val="0"/>
      <w:marRight w:val="0"/>
      <w:marTop w:val="0"/>
      <w:marBottom w:val="0"/>
      <w:divBdr>
        <w:top w:val="none" w:sz="0" w:space="0" w:color="auto"/>
        <w:left w:val="none" w:sz="0" w:space="0" w:color="auto"/>
        <w:bottom w:val="none" w:sz="0" w:space="0" w:color="auto"/>
        <w:right w:val="none" w:sz="0" w:space="0" w:color="auto"/>
      </w:divBdr>
    </w:div>
    <w:div w:id="597561394">
      <w:bodyDiv w:val="1"/>
      <w:marLeft w:val="0"/>
      <w:marRight w:val="0"/>
      <w:marTop w:val="0"/>
      <w:marBottom w:val="0"/>
      <w:divBdr>
        <w:top w:val="none" w:sz="0" w:space="0" w:color="auto"/>
        <w:left w:val="none" w:sz="0" w:space="0" w:color="auto"/>
        <w:bottom w:val="none" w:sz="0" w:space="0" w:color="auto"/>
        <w:right w:val="none" w:sz="0" w:space="0" w:color="auto"/>
      </w:divBdr>
    </w:div>
    <w:div w:id="912548961">
      <w:bodyDiv w:val="1"/>
      <w:marLeft w:val="0"/>
      <w:marRight w:val="0"/>
      <w:marTop w:val="0"/>
      <w:marBottom w:val="0"/>
      <w:divBdr>
        <w:top w:val="none" w:sz="0" w:space="0" w:color="auto"/>
        <w:left w:val="none" w:sz="0" w:space="0" w:color="auto"/>
        <w:bottom w:val="none" w:sz="0" w:space="0" w:color="auto"/>
        <w:right w:val="none" w:sz="0" w:space="0" w:color="auto"/>
      </w:divBdr>
    </w:div>
    <w:div w:id="1153371432">
      <w:bodyDiv w:val="1"/>
      <w:marLeft w:val="0"/>
      <w:marRight w:val="0"/>
      <w:marTop w:val="0"/>
      <w:marBottom w:val="0"/>
      <w:divBdr>
        <w:top w:val="none" w:sz="0" w:space="0" w:color="auto"/>
        <w:left w:val="none" w:sz="0" w:space="0" w:color="auto"/>
        <w:bottom w:val="none" w:sz="0" w:space="0" w:color="auto"/>
        <w:right w:val="none" w:sz="0" w:space="0" w:color="auto"/>
      </w:divBdr>
    </w:div>
    <w:div w:id="1168984494">
      <w:bodyDiv w:val="1"/>
      <w:marLeft w:val="0"/>
      <w:marRight w:val="0"/>
      <w:marTop w:val="0"/>
      <w:marBottom w:val="0"/>
      <w:divBdr>
        <w:top w:val="none" w:sz="0" w:space="0" w:color="auto"/>
        <w:left w:val="none" w:sz="0" w:space="0" w:color="auto"/>
        <w:bottom w:val="none" w:sz="0" w:space="0" w:color="auto"/>
        <w:right w:val="none" w:sz="0" w:space="0" w:color="auto"/>
      </w:divBdr>
    </w:div>
    <w:div w:id="1394279405">
      <w:bodyDiv w:val="1"/>
      <w:marLeft w:val="0"/>
      <w:marRight w:val="0"/>
      <w:marTop w:val="0"/>
      <w:marBottom w:val="0"/>
      <w:divBdr>
        <w:top w:val="none" w:sz="0" w:space="0" w:color="auto"/>
        <w:left w:val="none" w:sz="0" w:space="0" w:color="auto"/>
        <w:bottom w:val="none" w:sz="0" w:space="0" w:color="auto"/>
        <w:right w:val="none" w:sz="0" w:space="0" w:color="auto"/>
      </w:divBdr>
    </w:div>
    <w:div w:id="1398167947">
      <w:bodyDiv w:val="1"/>
      <w:marLeft w:val="0"/>
      <w:marRight w:val="0"/>
      <w:marTop w:val="0"/>
      <w:marBottom w:val="0"/>
      <w:divBdr>
        <w:top w:val="none" w:sz="0" w:space="0" w:color="auto"/>
        <w:left w:val="none" w:sz="0" w:space="0" w:color="auto"/>
        <w:bottom w:val="none" w:sz="0" w:space="0" w:color="auto"/>
        <w:right w:val="none" w:sz="0" w:space="0" w:color="auto"/>
      </w:divBdr>
    </w:div>
    <w:div w:id="1456024125">
      <w:bodyDiv w:val="1"/>
      <w:marLeft w:val="0"/>
      <w:marRight w:val="0"/>
      <w:marTop w:val="0"/>
      <w:marBottom w:val="0"/>
      <w:divBdr>
        <w:top w:val="none" w:sz="0" w:space="0" w:color="auto"/>
        <w:left w:val="none" w:sz="0" w:space="0" w:color="auto"/>
        <w:bottom w:val="none" w:sz="0" w:space="0" w:color="auto"/>
        <w:right w:val="none" w:sz="0" w:space="0" w:color="auto"/>
      </w:divBdr>
    </w:div>
    <w:div w:id="1583492355">
      <w:bodyDiv w:val="1"/>
      <w:marLeft w:val="0"/>
      <w:marRight w:val="0"/>
      <w:marTop w:val="0"/>
      <w:marBottom w:val="0"/>
      <w:divBdr>
        <w:top w:val="none" w:sz="0" w:space="0" w:color="auto"/>
        <w:left w:val="none" w:sz="0" w:space="0" w:color="auto"/>
        <w:bottom w:val="none" w:sz="0" w:space="0" w:color="auto"/>
        <w:right w:val="none" w:sz="0" w:space="0" w:color="auto"/>
      </w:divBdr>
    </w:div>
    <w:div w:id="1995983842">
      <w:bodyDiv w:val="1"/>
      <w:marLeft w:val="0"/>
      <w:marRight w:val="0"/>
      <w:marTop w:val="0"/>
      <w:marBottom w:val="0"/>
      <w:divBdr>
        <w:top w:val="none" w:sz="0" w:space="0" w:color="auto"/>
        <w:left w:val="none" w:sz="0" w:space="0" w:color="auto"/>
        <w:bottom w:val="none" w:sz="0" w:space="0" w:color="auto"/>
        <w:right w:val="none" w:sz="0" w:space="0" w:color="auto"/>
      </w:divBdr>
    </w:div>
    <w:div w:id="2006206538">
      <w:bodyDiv w:val="1"/>
      <w:marLeft w:val="0"/>
      <w:marRight w:val="0"/>
      <w:marTop w:val="0"/>
      <w:marBottom w:val="0"/>
      <w:divBdr>
        <w:top w:val="none" w:sz="0" w:space="0" w:color="auto"/>
        <w:left w:val="none" w:sz="0" w:space="0" w:color="auto"/>
        <w:bottom w:val="none" w:sz="0" w:space="0" w:color="auto"/>
        <w:right w:val="none" w:sz="0" w:space="0" w:color="auto"/>
      </w:divBdr>
    </w:div>
    <w:div w:id="2013675821">
      <w:bodyDiv w:val="1"/>
      <w:marLeft w:val="0"/>
      <w:marRight w:val="0"/>
      <w:marTop w:val="0"/>
      <w:marBottom w:val="0"/>
      <w:divBdr>
        <w:top w:val="none" w:sz="0" w:space="0" w:color="auto"/>
        <w:left w:val="none" w:sz="0" w:space="0" w:color="auto"/>
        <w:bottom w:val="none" w:sz="0" w:space="0" w:color="auto"/>
        <w:right w:val="none" w:sz="0" w:space="0" w:color="auto"/>
      </w:divBdr>
    </w:div>
    <w:div w:id="2076077006">
      <w:bodyDiv w:val="1"/>
      <w:marLeft w:val="0"/>
      <w:marRight w:val="0"/>
      <w:marTop w:val="0"/>
      <w:marBottom w:val="0"/>
      <w:divBdr>
        <w:top w:val="none" w:sz="0" w:space="0" w:color="auto"/>
        <w:left w:val="none" w:sz="0" w:space="0" w:color="auto"/>
        <w:bottom w:val="none" w:sz="0" w:space="0" w:color="auto"/>
        <w:right w:val="none" w:sz="0" w:space="0" w:color="auto"/>
      </w:divBdr>
    </w:div>
    <w:div w:id="2088837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8E0985565F4343B2685544D02FD731" ma:contentTypeVersion="11" ma:contentTypeDescription="Create a new document." ma:contentTypeScope="" ma:versionID="97d1b2a3f543819d3be89db64145da46">
  <xsd:schema xmlns:xsd="http://www.w3.org/2001/XMLSchema" xmlns:xs="http://www.w3.org/2001/XMLSchema" xmlns:p="http://schemas.microsoft.com/office/2006/metadata/properties" xmlns:ns3="9c0bd23c-0da7-4359-9e2c-2ea504afdae8" xmlns:ns4="50042d3a-be31-43d8-99fe-0c8c22cbe20f" targetNamespace="http://schemas.microsoft.com/office/2006/metadata/properties" ma:root="true" ma:fieldsID="06739587c0df56702303808299c3deb8" ns3:_="" ns4:_="">
    <xsd:import namespace="9c0bd23c-0da7-4359-9e2c-2ea504afdae8"/>
    <xsd:import namespace="50042d3a-be31-43d8-99fe-0c8c22cbe20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0bd23c-0da7-4359-9e2c-2ea504afda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042d3a-be31-43d8-99fe-0c8c22cbe20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27D9E-90DD-4651-8D54-B2F0BCF5B31B}">
  <ds:schemaRefs>
    <ds:schemaRef ds:uri="http://schemas.microsoft.com/office/2006/metadata/properties"/>
    <ds:schemaRef ds:uri="http://purl.org/dc/terms/"/>
    <ds:schemaRef ds:uri="9c0bd23c-0da7-4359-9e2c-2ea504afdae8"/>
    <ds:schemaRef ds:uri="http://schemas.microsoft.com/office/2006/documentManagement/types"/>
    <ds:schemaRef ds:uri="http://schemas.microsoft.com/office/infopath/2007/PartnerControls"/>
    <ds:schemaRef ds:uri="50042d3a-be31-43d8-99fe-0c8c22cbe20f"/>
    <ds:schemaRef ds:uri="http://purl.org/dc/elements/1.1/"/>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DD1337AD-3EAD-4DCF-B7D0-592AB52BA3DE}">
  <ds:schemaRefs>
    <ds:schemaRef ds:uri="http://schemas.microsoft.com/sharepoint/v3/contenttype/forms"/>
  </ds:schemaRefs>
</ds:datastoreItem>
</file>

<file path=customXml/itemProps3.xml><?xml version="1.0" encoding="utf-8"?>
<ds:datastoreItem xmlns:ds="http://schemas.openxmlformats.org/officeDocument/2006/customXml" ds:itemID="{96EE45CA-9C2E-471F-BE15-E82E56D1C7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0bd23c-0da7-4359-9e2c-2ea504afdae8"/>
    <ds:schemaRef ds:uri="50042d3a-be31-43d8-99fe-0c8c22cbe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9FE9AA-6658-4F21-A4FE-44929758C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324</Pages>
  <Words>229111</Words>
  <Characters>1305938</Characters>
  <Application>Microsoft Office Word</Application>
  <DocSecurity>0</DocSecurity>
  <Lines>10882</Lines>
  <Paragraphs>3063</Paragraphs>
  <ScaleCrop>false</ScaleCrop>
  <HeadingPairs>
    <vt:vector size="2" baseType="variant">
      <vt:variant>
        <vt:lpstr>Title</vt:lpstr>
      </vt:variant>
      <vt:variant>
        <vt:i4>1</vt:i4>
      </vt:variant>
    </vt:vector>
  </HeadingPairs>
  <TitlesOfParts>
    <vt:vector size="1" baseType="lpstr">
      <vt:lpstr/>
    </vt:vector>
  </TitlesOfParts>
  <Company>RJRT</Company>
  <LinksUpToDate>false</LinksUpToDate>
  <CharactersWithSpaces>1531986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Mimi M</dc:creator>
  <cp:keywords/>
  <dc:description/>
  <cp:lastModifiedBy>Kim, Mimi M</cp:lastModifiedBy>
  <cp:revision>2</cp:revision>
  <cp:lastPrinted>2019-10-21T16:30:00Z</cp:lastPrinted>
  <dcterms:created xsi:type="dcterms:W3CDTF">2020-01-07T14:05:00Z</dcterms:created>
  <dcterms:modified xsi:type="dcterms:W3CDTF">2020-01-07T14:05:00Z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0x010100D98E0985565F4343B2685544D02FD731</vt:lpwstr>
  </property>
</Properties>
</file>