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5AB4" w:rsidRDefault="000B5AB4" w:rsidP="000B5AB4">
      <w:pPr>
        <w:jc w:val="center"/>
      </w:pPr>
      <w:r>
        <w:t>Additional File 5</w:t>
      </w:r>
    </w:p>
    <w:p w:rsidR="002E1991" w:rsidRDefault="002E1991" w:rsidP="000B5AB4">
      <w:pPr>
        <w:jc w:val="center"/>
      </w:pPr>
      <w:r>
        <w:t>Risk of Bias Assessment</w:t>
      </w:r>
    </w:p>
    <w:tbl>
      <w:tblPr>
        <w:tblStyle w:val="TableGrid"/>
        <w:tblW w:w="0" w:type="auto"/>
        <w:tblLook w:val="04A0" w:firstRow="1" w:lastRow="0" w:firstColumn="1" w:lastColumn="0" w:noHBand="0" w:noVBand="1"/>
      </w:tblPr>
      <w:tblGrid>
        <w:gridCol w:w="4724"/>
        <w:gridCol w:w="1549"/>
        <w:gridCol w:w="1654"/>
        <w:gridCol w:w="1433"/>
      </w:tblGrid>
      <w:tr w:rsidR="00976F76" w:rsidTr="00976F76">
        <w:tc>
          <w:tcPr>
            <w:tcW w:w="7927" w:type="dxa"/>
            <w:gridSpan w:val="3"/>
            <w:tcBorders>
              <w:left w:val="nil"/>
              <w:bottom w:val="single" w:sz="4" w:space="0" w:color="auto"/>
              <w:right w:val="nil"/>
            </w:tcBorders>
          </w:tcPr>
          <w:p w:rsidR="00976F76" w:rsidRDefault="00976F76">
            <w:r>
              <w:t xml:space="preserve">Table 8 </w:t>
            </w:r>
          </w:p>
          <w:p w:rsidR="00976F76" w:rsidRDefault="00976F76"/>
          <w:p w:rsidR="00976F76" w:rsidRDefault="00976F76" w:rsidP="000C1808">
            <w:r>
              <w:t>JBI Critical Appraisal Checklist for Case</w:t>
            </w:r>
            <w:r>
              <w:t xml:space="preserve"> Series</w:t>
            </w:r>
          </w:p>
        </w:tc>
        <w:tc>
          <w:tcPr>
            <w:tcW w:w="1433" w:type="dxa"/>
            <w:tcBorders>
              <w:left w:val="nil"/>
              <w:bottom w:val="single" w:sz="4" w:space="0" w:color="auto"/>
              <w:right w:val="nil"/>
            </w:tcBorders>
          </w:tcPr>
          <w:p w:rsidR="00976F76" w:rsidRDefault="00976F76"/>
        </w:tc>
      </w:tr>
      <w:tr w:rsidR="00976F76" w:rsidTr="00976F76">
        <w:tc>
          <w:tcPr>
            <w:tcW w:w="4724" w:type="dxa"/>
            <w:tcBorders>
              <w:left w:val="nil"/>
              <w:bottom w:val="single" w:sz="4" w:space="0" w:color="auto"/>
              <w:right w:val="nil"/>
            </w:tcBorders>
          </w:tcPr>
          <w:p w:rsidR="00976F76" w:rsidRPr="00F955AA" w:rsidRDefault="00976F76">
            <w:pPr>
              <w:rPr>
                <w:b/>
              </w:rPr>
            </w:pPr>
          </w:p>
          <w:p w:rsidR="00976F76" w:rsidRPr="00F955AA" w:rsidRDefault="00976F76">
            <w:pPr>
              <w:rPr>
                <w:b/>
              </w:rPr>
            </w:pPr>
            <w:r w:rsidRPr="00F955AA">
              <w:rPr>
                <w:b/>
              </w:rPr>
              <w:t>JBI checklist questions</w:t>
            </w:r>
          </w:p>
          <w:p w:rsidR="00976F76" w:rsidRPr="00F955AA" w:rsidRDefault="00976F76">
            <w:pPr>
              <w:rPr>
                <w:b/>
              </w:rPr>
            </w:pPr>
          </w:p>
        </w:tc>
        <w:tc>
          <w:tcPr>
            <w:tcW w:w="1549" w:type="dxa"/>
            <w:tcBorders>
              <w:left w:val="nil"/>
              <w:bottom w:val="single" w:sz="4" w:space="0" w:color="auto"/>
              <w:right w:val="nil"/>
            </w:tcBorders>
          </w:tcPr>
          <w:p w:rsidR="00976F76" w:rsidRPr="00F955AA" w:rsidRDefault="00976F76" w:rsidP="008762F6">
            <w:pPr>
              <w:jc w:val="center"/>
              <w:rPr>
                <w:b/>
              </w:rPr>
            </w:pPr>
          </w:p>
          <w:p w:rsidR="00976F76" w:rsidRPr="00F955AA" w:rsidRDefault="00976F76" w:rsidP="008762F6">
            <w:pPr>
              <w:jc w:val="center"/>
              <w:rPr>
                <w:b/>
              </w:rPr>
            </w:pPr>
            <w:r w:rsidRPr="00F955AA">
              <w:rPr>
                <w:b/>
              </w:rPr>
              <w:t>Ferrari et al. 2011</w:t>
            </w:r>
            <w:r w:rsidRPr="00F955AA">
              <w:rPr>
                <w:b/>
                <w:color w:val="70AD47" w:themeColor="accent6"/>
                <w:vertAlign w:val="superscript"/>
              </w:rPr>
              <w:t>62</w:t>
            </w:r>
          </w:p>
        </w:tc>
        <w:tc>
          <w:tcPr>
            <w:tcW w:w="1654" w:type="dxa"/>
            <w:tcBorders>
              <w:left w:val="nil"/>
              <w:bottom w:val="single" w:sz="4" w:space="0" w:color="auto"/>
              <w:right w:val="nil"/>
            </w:tcBorders>
          </w:tcPr>
          <w:p w:rsidR="00976F76" w:rsidRPr="00F955AA" w:rsidRDefault="00976F76" w:rsidP="008762F6">
            <w:pPr>
              <w:jc w:val="center"/>
              <w:rPr>
                <w:b/>
              </w:rPr>
            </w:pPr>
          </w:p>
          <w:p w:rsidR="00976F76" w:rsidRPr="00F955AA" w:rsidRDefault="00976F76" w:rsidP="008762F6">
            <w:pPr>
              <w:jc w:val="center"/>
              <w:rPr>
                <w:b/>
              </w:rPr>
            </w:pPr>
            <w:r w:rsidRPr="00F955AA">
              <w:rPr>
                <w:b/>
              </w:rPr>
              <w:t>Prechtl et al. 1993</w:t>
            </w:r>
            <w:r w:rsidRPr="00F955AA">
              <w:rPr>
                <w:b/>
                <w:color w:val="70AD47" w:themeColor="accent6"/>
                <w:vertAlign w:val="superscript"/>
              </w:rPr>
              <w:t>63</w:t>
            </w:r>
          </w:p>
        </w:tc>
        <w:tc>
          <w:tcPr>
            <w:tcW w:w="1433" w:type="dxa"/>
            <w:tcBorders>
              <w:left w:val="nil"/>
              <w:bottom w:val="single" w:sz="4" w:space="0" w:color="auto"/>
              <w:right w:val="nil"/>
            </w:tcBorders>
          </w:tcPr>
          <w:p w:rsidR="00976F76" w:rsidRDefault="00976F76" w:rsidP="008762F6">
            <w:pPr>
              <w:jc w:val="center"/>
              <w:rPr>
                <w:b/>
              </w:rPr>
            </w:pPr>
          </w:p>
          <w:p w:rsidR="00976F76" w:rsidRPr="00976F76" w:rsidRDefault="00976F76" w:rsidP="008762F6">
            <w:pPr>
              <w:jc w:val="center"/>
              <w:rPr>
                <w:b/>
              </w:rPr>
            </w:pPr>
            <w:r w:rsidRPr="00976F76">
              <w:rPr>
                <w:b/>
              </w:rPr>
              <w:t>%</w:t>
            </w:r>
          </w:p>
        </w:tc>
      </w:tr>
      <w:tr w:rsidR="00976F76" w:rsidTr="00976F76">
        <w:tc>
          <w:tcPr>
            <w:tcW w:w="4724" w:type="dxa"/>
            <w:tcBorders>
              <w:left w:val="nil"/>
              <w:bottom w:val="nil"/>
              <w:right w:val="nil"/>
            </w:tcBorders>
          </w:tcPr>
          <w:p w:rsidR="00976F76" w:rsidRDefault="00976F76" w:rsidP="008762F6">
            <w:r>
              <w:t>Were</w:t>
            </w:r>
            <w:r>
              <w:t xml:space="preserve"> there clear criteria for inclusion in the case series?</w:t>
            </w:r>
          </w:p>
          <w:p w:rsidR="00976F76" w:rsidRDefault="00976F76" w:rsidP="008762F6"/>
        </w:tc>
        <w:tc>
          <w:tcPr>
            <w:tcW w:w="1549" w:type="dxa"/>
            <w:tcBorders>
              <w:left w:val="nil"/>
              <w:bottom w:val="nil"/>
              <w:right w:val="nil"/>
            </w:tcBorders>
          </w:tcPr>
          <w:p w:rsidR="00AB73D5" w:rsidRDefault="00AB73D5" w:rsidP="008762F6">
            <w:pPr>
              <w:jc w:val="center"/>
            </w:pPr>
          </w:p>
          <w:p w:rsidR="00976F76" w:rsidRDefault="00976F76" w:rsidP="008762F6">
            <w:pPr>
              <w:jc w:val="center"/>
            </w:pPr>
            <w:r>
              <w:t>Yes</w:t>
            </w:r>
          </w:p>
        </w:tc>
        <w:tc>
          <w:tcPr>
            <w:tcW w:w="1654" w:type="dxa"/>
            <w:tcBorders>
              <w:left w:val="nil"/>
              <w:bottom w:val="nil"/>
              <w:right w:val="nil"/>
            </w:tcBorders>
          </w:tcPr>
          <w:p w:rsidR="00AB73D5" w:rsidRDefault="00AB73D5" w:rsidP="008762F6">
            <w:pPr>
              <w:jc w:val="center"/>
            </w:pPr>
          </w:p>
          <w:p w:rsidR="00976F76" w:rsidRDefault="00976F76" w:rsidP="008762F6">
            <w:pPr>
              <w:jc w:val="center"/>
            </w:pPr>
            <w:r>
              <w:t>Uncertain</w:t>
            </w:r>
          </w:p>
        </w:tc>
        <w:tc>
          <w:tcPr>
            <w:tcW w:w="1433" w:type="dxa"/>
            <w:tcBorders>
              <w:left w:val="nil"/>
              <w:bottom w:val="nil"/>
              <w:right w:val="nil"/>
            </w:tcBorders>
          </w:tcPr>
          <w:p w:rsidR="00AB73D5" w:rsidRDefault="00AB73D5" w:rsidP="008762F6">
            <w:pPr>
              <w:jc w:val="center"/>
            </w:pPr>
          </w:p>
          <w:p w:rsidR="00976F76" w:rsidRDefault="00976F76" w:rsidP="008762F6">
            <w:pPr>
              <w:jc w:val="center"/>
            </w:pPr>
            <w:r>
              <w:t>50.0</w:t>
            </w:r>
          </w:p>
        </w:tc>
      </w:tr>
      <w:tr w:rsidR="00976F76" w:rsidTr="00976F76">
        <w:tc>
          <w:tcPr>
            <w:tcW w:w="4724" w:type="dxa"/>
            <w:tcBorders>
              <w:top w:val="nil"/>
              <w:left w:val="nil"/>
              <w:bottom w:val="nil"/>
              <w:right w:val="nil"/>
            </w:tcBorders>
          </w:tcPr>
          <w:p w:rsidR="00976F76" w:rsidRDefault="00976F76">
            <w:r>
              <w:t>Was the condition measured in a standard, reliable way for all participants included in the case series?</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170C34" w:rsidP="008762F6">
            <w:pPr>
              <w:jc w:val="center"/>
            </w:pPr>
            <w:r>
              <w:t>Uncertain</w:t>
            </w:r>
          </w:p>
        </w:tc>
        <w:tc>
          <w:tcPr>
            <w:tcW w:w="1654" w:type="dxa"/>
            <w:tcBorders>
              <w:top w:val="nil"/>
              <w:left w:val="nil"/>
              <w:bottom w:val="nil"/>
              <w:right w:val="nil"/>
            </w:tcBorders>
          </w:tcPr>
          <w:p w:rsidR="00AB73D5" w:rsidRDefault="00AB73D5" w:rsidP="008762F6">
            <w:pPr>
              <w:jc w:val="center"/>
            </w:pPr>
          </w:p>
          <w:p w:rsidR="00976F76" w:rsidRDefault="00170C34" w:rsidP="008762F6">
            <w:pPr>
              <w:jc w:val="center"/>
            </w:pPr>
            <w:r>
              <w:t>Uncertain</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0.0</w:t>
            </w:r>
          </w:p>
        </w:tc>
      </w:tr>
      <w:tr w:rsidR="00976F76" w:rsidTr="00976F76">
        <w:tc>
          <w:tcPr>
            <w:tcW w:w="4724" w:type="dxa"/>
            <w:tcBorders>
              <w:top w:val="nil"/>
              <w:left w:val="nil"/>
              <w:bottom w:val="nil"/>
              <w:right w:val="nil"/>
            </w:tcBorders>
          </w:tcPr>
          <w:p w:rsidR="00976F76" w:rsidRDefault="00976F76">
            <w:r>
              <w:t>Were valid methods used for identification of the condition for all participants included in the case series?</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654"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100.0</w:t>
            </w:r>
          </w:p>
        </w:tc>
      </w:tr>
      <w:tr w:rsidR="00976F76" w:rsidTr="00976F76">
        <w:tc>
          <w:tcPr>
            <w:tcW w:w="4724" w:type="dxa"/>
            <w:tcBorders>
              <w:top w:val="nil"/>
              <w:left w:val="nil"/>
              <w:bottom w:val="nil"/>
              <w:right w:val="nil"/>
            </w:tcBorders>
          </w:tcPr>
          <w:p w:rsidR="00976F76" w:rsidRDefault="00976F76">
            <w:r>
              <w:t>Did the case series have consecutive inclusion of participants?</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976F76" w:rsidP="008762F6">
            <w:pPr>
              <w:jc w:val="center"/>
            </w:pPr>
            <w:r>
              <w:t>Uncertain</w:t>
            </w:r>
          </w:p>
        </w:tc>
        <w:tc>
          <w:tcPr>
            <w:tcW w:w="1654" w:type="dxa"/>
            <w:tcBorders>
              <w:top w:val="nil"/>
              <w:left w:val="nil"/>
              <w:bottom w:val="nil"/>
              <w:right w:val="nil"/>
            </w:tcBorders>
          </w:tcPr>
          <w:p w:rsidR="00AB73D5" w:rsidRDefault="00AB73D5" w:rsidP="008762F6">
            <w:pPr>
              <w:jc w:val="center"/>
            </w:pPr>
          </w:p>
          <w:p w:rsidR="00976F76" w:rsidRDefault="00976F76" w:rsidP="008762F6">
            <w:pPr>
              <w:jc w:val="center"/>
            </w:pPr>
            <w:r>
              <w:t>Uncertain</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0.0</w:t>
            </w:r>
          </w:p>
        </w:tc>
      </w:tr>
      <w:tr w:rsidR="00976F76" w:rsidTr="00976F76">
        <w:tc>
          <w:tcPr>
            <w:tcW w:w="4724" w:type="dxa"/>
            <w:tcBorders>
              <w:top w:val="nil"/>
              <w:left w:val="nil"/>
              <w:bottom w:val="nil"/>
              <w:right w:val="nil"/>
            </w:tcBorders>
          </w:tcPr>
          <w:p w:rsidR="00976F76" w:rsidRDefault="00976F76">
            <w:r>
              <w:t>Did the case series have complete inclusion of participants?</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345F05" w:rsidP="008762F6">
            <w:pPr>
              <w:jc w:val="center"/>
            </w:pPr>
            <w:r>
              <w:t>Uncertain</w:t>
            </w:r>
          </w:p>
        </w:tc>
        <w:tc>
          <w:tcPr>
            <w:tcW w:w="1654" w:type="dxa"/>
            <w:tcBorders>
              <w:top w:val="nil"/>
              <w:left w:val="nil"/>
              <w:bottom w:val="nil"/>
              <w:right w:val="nil"/>
            </w:tcBorders>
          </w:tcPr>
          <w:p w:rsidR="00AB73D5" w:rsidRDefault="00AB73D5" w:rsidP="008762F6">
            <w:pPr>
              <w:jc w:val="center"/>
            </w:pPr>
          </w:p>
          <w:p w:rsidR="00976F76" w:rsidRDefault="00976F76" w:rsidP="008762F6">
            <w:pPr>
              <w:jc w:val="center"/>
            </w:pPr>
            <w:r>
              <w:t>Uncertain</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0.0</w:t>
            </w:r>
          </w:p>
        </w:tc>
      </w:tr>
      <w:tr w:rsidR="00976F76" w:rsidTr="00976F76">
        <w:tc>
          <w:tcPr>
            <w:tcW w:w="4724" w:type="dxa"/>
            <w:tcBorders>
              <w:top w:val="nil"/>
              <w:left w:val="nil"/>
              <w:bottom w:val="nil"/>
              <w:right w:val="nil"/>
            </w:tcBorders>
          </w:tcPr>
          <w:p w:rsidR="00976F76" w:rsidRDefault="00976F76">
            <w:r>
              <w:t>Was there clear reporting of the demographics of the participants in the study?</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654"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100.0</w:t>
            </w:r>
          </w:p>
        </w:tc>
      </w:tr>
      <w:tr w:rsidR="00976F76" w:rsidTr="00976F76">
        <w:tc>
          <w:tcPr>
            <w:tcW w:w="4724" w:type="dxa"/>
            <w:tcBorders>
              <w:top w:val="nil"/>
              <w:left w:val="nil"/>
              <w:bottom w:val="nil"/>
              <w:right w:val="nil"/>
            </w:tcBorders>
          </w:tcPr>
          <w:p w:rsidR="00976F76" w:rsidRDefault="00976F76">
            <w:r>
              <w:t>Was there clear reporting of clinical information of the participants?</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654"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100.0</w:t>
            </w:r>
          </w:p>
        </w:tc>
      </w:tr>
      <w:tr w:rsidR="00976F76" w:rsidTr="00976F76">
        <w:tc>
          <w:tcPr>
            <w:tcW w:w="4724" w:type="dxa"/>
            <w:tcBorders>
              <w:top w:val="nil"/>
              <w:left w:val="nil"/>
              <w:bottom w:val="nil"/>
              <w:right w:val="nil"/>
            </w:tcBorders>
          </w:tcPr>
          <w:p w:rsidR="00976F76" w:rsidRDefault="00976F76">
            <w:r>
              <w:t>Were the outcomes or follow up results of cases clearly reported?</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654"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100.0</w:t>
            </w:r>
          </w:p>
        </w:tc>
      </w:tr>
      <w:tr w:rsidR="00976F76" w:rsidTr="00976F76">
        <w:tc>
          <w:tcPr>
            <w:tcW w:w="4724" w:type="dxa"/>
            <w:tcBorders>
              <w:top w:val="nil"/>
              <w:left w:val="nil"/>
              <w:bottom w:val="nil"/>
              <w:right w:val="nil"/>
            </w:tcBorders>
          </w:tcPr>
          <w:p w:rsidR="00976F76" w:rsidRDefault="00976F76">
            <w:r>
              <w:t>Was there clear reporting of the presenting site(s)/clinic(s) demographic information?</w:t>
            </w:r>
          </w:p>
          <w:p w:rsidR="00976F76" w:rsidRDefault="00976F76"/>
        </w:tc>
        <w:tc>
          <w:tcPr>
            <w:tcW w:w="1549"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654" w:type="dxa"/>
            <w:tcBorders>
              <w:top w:val="nil"/>
              <w:left w:val="nil"/>
              <w:bottom w:val="nil"/>
              <w:right w:val="nil"/>
            </w:tcBorders>
          </w:tcPr>
          <w:p w:rsidR="00AB73D5" w:rsidRDefault="00AB73D5" w:rsidP="008762F6">
            <w:pPr>
              <w:jc w:val="center"/>
            </w:pPr>
          </w:p>
          <w:p w:rsidR="00976F76" w:rsidRDefault="00976F76" w:rsidP="008762F6">
            <w:pPr>
              <w:jc w:val="center"/>
            </w:pPr>
            <w:r>
              <w:t>Yes</w:t>
            </w:r>
          </w:p>
        </w:tc>
        <w:tc>
          <w:tcPr>
            <w:tcW w:w="1433" w:type="dxa"/>
            <w:tcBorders>
              <w:top w:val="nil"/>
              <w:left w:val="nil"/>
              <w:bottom w:val="nil"/>
              <w:right w:val="nil"/>
            </w:tcBorders>
          </w:tcPr>
          <w:p w:rsidR="00AB73D5" w:rsidRDefault="00AB73D5" w:rsidP="008762F6">
            <w:pPr>
              <w:jc w:val="center"/>
            </w:pPr>
          </w:p>
          <w:p w:rsidR="00976F76" w:rsidRDefault="00976F76" w:rsidP="008762F6">
            <w:pPr>
              <w:jc w:val="center"/>
            </w:pPr>
            <w:r>
              <w:t>100.0</w:t>
            </w:r>
          </w:p>
        </w:tc>
      </w:tr>
      <w:tr w:rsidR="00976F76" w:rsidTr="00AB73D5">
        <w:tc>
          <w:tcPr>
            <w:tcW w:w="4724" w:type="dxa"/>
            <w:tcBorders>
              <w:top w:val="nil"/>
              <w:left w:val="nil"/>
              <w:right w:val="nil"/>
            </w:tcBorders>
          </w:tcPr>
          <w:p w:rsidR="00976F76" w:rsidRDefault="00976F76" w:rsidP="00AB73D5">
            <w:r>
              <w:t>Was statistical analysis appropriate?</w:t>
            </w:r>
          </w:p>
        </w:tc>
        <w:tc>
          <w:tcPr>
            <w:tcW w:w="1549" w:type="dxa"/>
            <w:tcBorders>
              <w:top w:val="nil"/>
              <w:left w:val="nil"/>
              <w:right w:val="nil"/>
            </w:tcBorders>
          </w:tcPr>
          <w:p w:rsidR="00AB73D5" w:rsidRDefault="00976F76" w:rsidP="00AB73D5">
            <w:pPr>
              <w:jc w:val="center"/>
            </w:pPr>
            <w:r>
              <w:t>Yes</w:t>
            </w:r>
          </w:p>
        </w:tc>
        <w:tc>
          <w:tcPr>
            <w:tcW w:w="1654" w:type="dxa"/>
            <w:tcBorders>
              <w:top w:val="nil"/>
              <w:left w:val="nil"/>
              <w:right w:val="nil"/>
            </w:tcBorders>
          </w:tcPr>
          <w:p w:rsidR="00976F76" w:rsidRDefault="00976F76" w:rsidP="00AB73D5">
            <w:pPr>
              <w:jc w:val="center"/>
            </w:pPr>
            <w:r>
              <w:t>Yes</w:t>
            </w:r>
          </w:p>
        </w:tc>
        <w:tc>
          <w:tcPr>
            <w:tcW w:w="1433" w:type="dxa"/>
            <w:tcBorders>
              <w:top w:val="nil"/>
              <w:left w:val="nil"/>
              <w:right w:val="nil"/>
            </w:tcBorders>
          </w:tcPr>
          <w:p w:rsidR="00976F76" w:rsidRDefault="00976F76" w:rsidP="00AB73D5">
            <w:pPr>
              <w:jc w:val="center"/>
            </w:pPr>
            <w:r>
              <w:t>100.0</w:t>
            </w:r>
          </w:p>
        </w:tc>
      </w:tr>
    </w:tbl>
    <w:p w:rsidR="00DD36DE" w:rsidRDefault="00DD36DE"/>
    <w:p w:rsidR="00DD36DE" w:rsidRDefault="00DD36DE"/>
    <w:p w:rsidR="00F955AA" w:rsidRDefault="00F955AA"/>
    <w:p w:rsidR="00F955AA" w:rsidRDefault="00F955AA"/>
    <w:p w:rsidR="00F955AA" w:rsidRDefault="00F955AA"/>
    <w:p w:rsidR="00F955AA" w:rsidRDefault="00F955AA">
      <w:r>
        <w:rPr>
          <w:noProof/>
          <w:lang w:eastAsia="en-TT"/>
        </w:rPr>
        <w:lastRenderedPageBreak/>
        <w:drawing>
          <wp:inline distT="0" distB="0" distL="0" distR="0" wp14:anchorId="781E7628" wp14:editId="1A645181">
            <wp:extent cx="5676492" cy="8436334"/>
            <wp:effectExtent l="0" t="0" r="63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02630" cy="8475181"/>
                    </a:xfrm>
                    <a:prstGeom prst="rect">
                      <a:avLst/>
                    </a:prstGeom>
                  </pic:spPr>
                </pic:pic>
              </a:graphicData>
            </a:graphic>
          </wp:inline>
        </w:drawing>
      </w:r>
    </w:p>
    <w:p w:rsidR="0004399E" w:rsidRDefault="0004399E" w:rsidP="0004399E">
      <w:pPr>
        <w:pStyle w:val="sub-subsec"/>
        <w:shd w:val="clear" w:color="auto" w:fill="FFFFFF"/>
        <w:rPr>
          <w:rFonts w:ascii="Verdana" w:hAnsi="Verdana"/>
          <w:b/>
          <w:bCs/>
          <w:color w:val="000000"/>
          <w:sz w:val="20"/>
          <w:szCs w:val="20"/>
        </w:rPr>
      </w:pPr>
      <w:r>
        <w:rPr>
          <w:rFonts w:ascii="Verdana" w:hAnsi="Verdana"/>
          <w:b/>
          <w:bCs/>
          <w:color w:val="000000"/>
          <w:sz w:val="20"/>
          <w:szCs w:val="20"/>
        </w:rPr>
        <w:lastRenderedPageBreak/>
        <w:t xml:space="preserve">Quality of Included Case </w:t>
      </w:r>
      <w:r>
        <w:rPr>
          <w:rFonts w:ascii="Verdana" w:hAnsi="Verdana"/>
          <w:b/>
          <w:bCs/>
          <w:color w:val="000000"/>
          <w:sz w:val="20"/>
          <w:szCs w:val="20"/>
        </w:rPr>
        <w:t>Series</w:t>
      </w:r>
    </w:p>
    <w:p w:rsidR="0004399E" w:rsidRDefault="0004399E" w:rsidP="0004399E">
      <w:pPr>
        <w:pStyle w:val="NormalWeb"/>
        <w:shd w:val="clear" w:color="auto" w:fill="FFFFFF"/>
      </w:pPr>
      <w:r>
        <w:rPr>
          <w:rFonts w:ascii="Verdana" w:hAnsi="Verdana"/>
          <w:color w:val="000000"/>
          <w:sz w:val="20"/>
          <w:szCs w:val="20"/>
        </w:rPr>
        <w:t xml:space="preserve">The quality of evidence derived from a review is largely dependent on the quality of the studies included. </w:t>
      </w:r>
      <w:r w:rsidR="007B69E6">
        <w:rPr>
          <w:rFonts w:ascii="Verdana" w:hAnsi="Verdana"/>
          <w:color w:val="000000"/>
          <w:sz w:val="20"/>
          <w:szCs w:val="20"/>
        </w:rPr>
        <w:t xml:space="preserve">Neither study scored 100% on all ten questions. </w:t>
      </w:r>
      <w:r w:rsidR="00DD3DDD">
        <w:rPr>
          <w:rFonts w:ascii="Verdana" w:hAnsi="Verdana"/>
          <w:color w:val="000000"/>
          <w:sz w:val="20"/>
          <w:szCs w:val="20"/>
        </w:rPr>
        <w:t>The two studies scored 100% for six of the ten questions</w:t>
      </w:r>
      <w:r w:rsidR="007B69E6">
        <w:rPr>
          <w:rFonts w:ascii="Verdana" w:hAnsi="Verdana"/>
          <w:color w:val="000000"/>
          <w:sz w:val="20"/>
          <w:szCs w:val="20"/>
        </w:rPr>
        <w:t xml:space="preserve"> on the checklist</w:t>
      </w:r>
      <w:r w:rsidR="00DD3DDD">
        <w:rPr>
          <w:rFonts w:ascii="Verdana" w:hAnsi="Verdana"/>
          <w:color w:val="000000"/>
          <w:sz w:val="20"/>
          <w:szCs w:val="20"/>
        </w:rPr>
        <w:t xml:space="preserve">. These questions </w:t>
      </w:r>
      <w:r w:rsidR="007B69E6">
        <w:rPr>
          <w:rFonts w:ascii="Verdana" w:hAnsi="Verdana"/>
          <w:color w:val="000000"/>
          <w:sz w:val="20"/>
          <w:szCs w:val="20"/>
        </w:rPr>
        <w:t>assess</w:t>
      </w:r>
      <w:r w:rsidR="00DD3DDD">
        <w:rPr>
          <w:rFonts w:ascii="Verdana" w:hAnsi="Verdana"/>
          <w:color w:val="000000"/>
          <w:sz w:val="20"/>
          <w:szCs w:val="20"/>
        </w:rPr>
        <w:t xml:space="preserve"> the two included studies as being </w:t>
      </w:r>
      <w:r w:rsidR="007B69E6">
        <w:rPr>
          <w:rFonts w:ascii="Verdana" w:hAnsi="Verdana"/>
          <w:color w:val="000000"/>
          <w:sz w:val="20"/>
          <w:szCs w:val="20"/>
        </w:rPr>
        <w:t>moderate</w:t>
      </w:r>
      <w:r w:rsidR="00DD3DDD">
        <w:rPr>
          <w:rFonts w:ascii="Verdana" w:hAnsi="Verdana"/>
          <w:color w:val="000000"/>
          <w:sz w:val="20"/>
          <w:szCs w:val="20"/>
        </w:rPr>
        <w:t xml:space="preserve"> quality case series </w:t>
      </w:r>
      <w:r w:rsidR="007B69E6">
        <w:rPr>
          <w:rFonts w:ascii="Verdana" w:hAnsi="Verdana"/>
          <w:color w:val="000000"/>
          <w:sz w:val="20"/>
          <w:szCs w:val="20"/>
        </w:rPr>
        <w:t>as there were limitations. They had good scores for using</w:t>
      </w:r>
      <w:r w:rsidR="00DD3DDD">
        <w:rPr>
          <w:rFonts w:ascii="Verdana" w:hAnsi="Verdana"/>
          <w:color w:val="000000"/>
          <w:sz w:val="20"/>
          <w:szCs w:val="20"/>
        </w:rPr>
        <w:t xml:space="preserve"> </w:t>
      </w:r>
      <w:r w:rsidR="00DD3DDD">
        <w:t>valid methods</w:t>
      </w:r>
      <w:r w:rsidR="00DD3DDD">
        <w:t xml:space="preserve"> for identification of the condition for all participants</w:t>
      </w:r>
      <w:r w:rsidR="00DD3DDD">
        <w:t>, ha</w:t>
      </w:r>
      <w:r w:rsidR="007B69E6">
        <w:t>ving</w:t>
      </w:r>
      <w:r w:rsidR="00DD3DDD">
        <w:t xml:space="preserve"> clear reporting of the demographics of the participants in the study, as well as</w:t>
      </w:r>
      <w:r w:rsidR="007B69E6">
        <w:t>, having</w:t>
      </w:r>
      <w:r w:rsidR="00DD3DDD">
        <w:t xml:space="preserve"> clear clinical information of the participants. The outcomes of the cases were clearly reported for both studies</w:t>
      </w:r>
      <w:r w:rsidR="00466EF8">
        <w:t xml:space="preserve">. They </w:t>
      </w:r>
      <w:r w:rsidR="00DD3DDD">
        <w:t xml:space="preserve">also had clear reporting of the presenting sites demographic information and used appropriate statistical </w:t>
      </w:r>
      <w:r w:rsidR="00466EF8">
        <w:t>analysis</w:t>
      </w:r>
      <w:r w:rsidR="00DD3DDD">
        <w:t xml:space="preserve">. </w:t>
      </w:r>
    </w:p>
    <w:p w:rsidR="007B69E6" w:rsidRDefault="00AF201C" w:rsidP="0004399E">
      <w:pPr>
        <w:pStyle w:val="NormalWeb"/>
        <w:shd w:val="clear" w:color="auto" w:fill="FFFFFF"/>
        <w:rPr>
          <w:rFonts w:ascii="Verdana" w:hAnsi="Verdana"/>
          <w:color w:val="000000"/>
          <w:sz w:val="20"/>
          <w:szCs w:val="20"/>
        </w:rPr>
      </w:pPr>
      <w:r>
        <w:t>According to the JBI method, for the study participants, t</w:t>
      </w:r>
      <w:r>
        <w:t xml:space="preserve">he authors </w:t>
      </w:r>
      <w:r>
        <w:t xml:space="preserve">should provide clear </w:t>
      </w:r>
      <w:r>
        <w:t>and exclusion criteria. The</w:t>
      </w:r>
      <w:r>
        <w:t xml:space="preserve">se inclusion and </w:t>
      </w:r>
      <w:r>
        <w:t>exclusion criteria should be specified with sufficient detail and all the necessary information critical to the study.</w:t>
      </w:r>
      <w:r>
        <w:t xml:space="preserve"> While Ferrari </w:t>
      </w:r>
      <w:proofErr w:type="gramStart"/>
      <w:r>
        <w:t>et</w:t>
      </w:r>
      <w:proofErr w:type="gramEnd"/>
      <w:r>
        <w:t xml:space="preserve"> al.</w:t>
      </w:r>
      <w:r w:rsidRPr="00AF201C">
        <w:rPr>
          <w:color w:val="70AD47" w:themeColor="accent6"/>
        </w:rPr>
        <w:t>62</w:t>
      </w:r>
      <w:r>
        <w:t xml:space="preserve"> did fulfil this criteria, </w:t>
      </w:r>
      <w:r>
        <w:rPr>
          <w:rFonts w:eastAsiaTheme="majorEastAsia"/>
          <w:lang w:val="en-AU"/>
        </w:rPr>
        <w:t>o</w:t>
      </w:r>
      <w:r w:rsidRPr="00E64A3D">
        <w:rPr>
          <w:rFonts w:eastAsiaTheme="majorEastAsia"/>
          <w:lang w:val="en-AU"/>
        </w:rPr>
        <w:t>f note, Prechtl</w:t>
      </w:r>
      <w:r>
        <w:rPr>
          <w:rFonts w:eastAsiaTheme="majorEastAsia"/>
          <w:lang w:val="en-AU"/>
        </w:rPr>
        <w:t xml:space="preserve"> et al.</w:t>
      </w:r>
      <w:r w:rsidRPr="003E2F75">
        <w:rPr>
          <w:rFonts w:eastAsiaTheme="minorEastAsia"/>
          <w:color w:val="70AD47" w:themeColor="accent6"/>
          <w:vertAlign w:val="superscript"/>
          <w:lang w:val="en-AU"/>
        </w:rPr>
        <w:t>63</w:t>
      </w:r>
      <w:r w:rsidRPr="00E64A3D">
        <w:rPr>
          <w:rFonts w:eastAsiaTheme="majorEastAsia"/>
          <w:lang w:val="en-AU"/>
        </w:rPr>
        <w:t xml:space="preserve"> did not</w:t>
      </w:r>
      <w:r w:rsidR="00CD3C82">
        <w:rPr>
          <w:rFonts w:eastAsiaTheme="majorEastAsia"/>
          <w:lang w:val="en-AU"/>
        </w:rPr>
        <w:t xml:space="preserve"> state their exclusion criteria and so t</w:t>
      </w:r>
      <w:r w:rsidR="00CD3C82" w:rsidRPr="00CD3C82">
        <w:rPr>
          <w:rFonts w:eastAsiaTheme="majorEastAsia"/>
          <w:lang w:val="en-AU"/>
        </w:rPr>
        <w:t>his may limit the generalizability of the results</w:t>
      </w:r>
      <w:r w:rsidR="00CD3C82">
        <w:rPr>
          <w:rFonts w:eastAsiaTheme="majorEastAsia"/>
          <w:lang w:val="en-AU"/>
        </w:rPr>
        <w:t>.</w:t>
      </w:r>
      <w:r>
        <w:rPr>
          <w:rFonts w:eastAsiaTheme="majorEastAsia"/>
          <w:lang w:val="en-AU"/>
        </w:rPr>
        <w:t xml:space="preserve"> </w:t>
      </w:r>
      <w:r w:rsidR="00DB5A89">
        <w:rPr>
          <w:rFonts w:eastAsiaTheme="majorEastAsia"/>
          <w:lang w:val="en-AU"/>
        </w:rPr>
        <w:t>For good quality case series, t</w:t>
      </w:r>
      <w:r w:rsidR="00DB5A89">
        <w:t xml:space="preserve">he study should clearly describe the method of measurement of the condition. This should be done in a standard (i.e. same way for all patients) and reliable (i.e. repeatable and reproducible results) way. </w:t>
      </w:r>
      <w:r>
        <w:rPr>
          <w:rFonts w:eastAsiaTheme="majorEastAsia"/>
          <w:lang w:val="en-AU"/>
        </w:rPr>
        <w:t>The clinical condition</w:t>
      </w:r>
      <w:r w:rsidR="005E5F3F">
        <w:rPr>
          <w:rFonts w:eastAsiaTheme="majorEastAsia"/>
          <w:lang w:val="en-AU"/>
        </w:rPr>
        <w:t xml:space="preserve"> </w:t>
      </w:r>
      <w:r>
        <w:rPr>
          <w:rFonts w:eastAsiaTheme="majorEastAsia"/>
          <w:lang w:val="en-AU"/>
        </w:rPr>
        <w:t xml:space="preserve">for our study is NE. </w:t>
      </w:r>
      <w:r w:rsidR="005E5F3F">
        <w:rPr>
          <w:rFonts w:eastAsiaTheme="majorEastAsia"/>
          <w:lang w:val="en-AU"/>
        </w:rPr>
        <w:t>Both studies listed a number of criteria for possible inclusion</w:t>
      </w:r>
      <w:r w:rsidR="002442C0">
        <w:rPr>
          <w:rFonts w:eastAsiaTheme="majorEastAsia"/>
          <w:lang w:val="en-AU"/>
        </w:rPr>
        <w:t xml:space="preserve"> </w:t>
      </w:r>
      <w:r w:rsidR="005E5F3F">
        <w:rPr>
          <w:rFonts w:eastAsiaTheme="majorEastAsia"/>
          <w:lang w:val="en-AU"/>
        </w:rPr>
        <w:t>for NE but did not state the number or combination of these criteria required for the diagnosis</w:t>
      </w:r>
      <w:r w:rsidR="00967D74">
        <w:rPr>
          <w:rFonts w:eastAsiaTheme="majorEastAsia"/>
          <w:lang w:val="en-AU"/>
        </w:rPr>
        <w:t xml:space="preserve"> and so scored 0.0% for this question</w:t>
      </w:r>
      <w:r w:rsidR="005E5F3F">
        <w:rPr>
          <w:rFonts w:eastAsiaTheme="majorEastAsia"/>
          <w:lang w:val="en-AU"/>
        </w:rPr>
        <w:t xml:space="preserve">. </w:t>
      </w:r>
      <w:r w:rsidR="00E84552">
        <w:rPr>
          <w:rFonts w:eastAsiaTheme="majorEastAsia"/>
          <w:lang w:val="en-AU"/>
        </w:rPr>
        <w:t xml:space="preserve">They did use a standard, </w:t>
      </w:r>
      <w:proofErr w:type="spellStart"/>
      <w:r w:rsidR="00E84552">
        <w:rPr>
          <w:rFonts w:eastAsiaTheme="majorEastAsia"/>
          <w:lang w:val="en-AU"/>
        </w:rPr>
        <w:t>albiet</w:t>
      </w:r>
      <w:proofErr w:type="spellEnd"/>
      <w:r w:rsidR="00E84552">
        <w:rPr>
          <w:rFonts w:eastAsiaTheme="majorEastAsia"/>
          <w:lang w:val="en-AU"/>
        </w:rPr>
        <w:t xml:space="preserve"> different, method for </w:t>
      </w:r>
      <w:r w:rsidR="00A6576B">
        <w:t xml:space="preserve">NE </w:t>
      </w:r>
      <w:r w:rsidR="00DB5A89">
        <w:t>severity</w:t>
      </w:r>
      <w:r w:rsidR="00E84552">
        <w:t>,</w:t>
      </w:r>
      <w:r w:rsidR="00DB5A89">
        <w:t xml:space="preserve"> </w:t>
      </w:r>
      <w:r w:rsidR="00E84552">
        <w:t xml:space="preserve">with </w:t>
      </w:r>
      <w:r w:rsidR="00DB5A89">
        <w:t xml:space="preserve">Ferrari </w:t>
      </w:r>
      <w:proofErr w:type="gramStart"/>
      <w:r w:rsidR="00DB5A89">
        <w:t>et</w:t>
      </w:r>
      <w:proofErr w:type="gramEnd"/>
      <w:r w:rsidR="00DB5A89">
        <w:t xml:space="preserve"> al.</w:t>
      </w:r>
      <w:r w:rsidR="00DB5A89" w:rsidRPr="00DB5A89">
        <w:rPr>
          <w:color w:val="70AD47" w:themeColor="accent6"/>
          <w:vertAlign w:val="superscript"/>
        </w:rPr>
        <w:t>62</w:t>
      </w:r>
      <w:r w:rsidR="00DB5A89">
        <w:t xml:space="preserve"> use the</w:t>
      </w:r>
      <w:r w:rsidR="00A6576B">
        <w:t xml:space="preserve"> Sarnat staging</w:t>
      </w:r>
      <w:r w:rsidR="00A6576B" w:rsidRPr="00A6576B">
        <w:rPr>
          <w:color w:val="70AD47" w:themeColor="accent6"/>
          <w:vertAlign w:val="superscript"/>
        </w:rPr>
        <w:t>10</w:t>
      </w:r>
      <w:r w:rsidR="00DB5A89">
        <w:t xml:space="preserve"> while </w:t>
      </w:r>
      <w:proofErr w:type="spellStart"/>
      <w:r w:rsidR="00DB5A89">
        <w:t>Pretchl</w:t>
      </w:r>
      <w:proofErr w:type="spellEnd"/>
      <w:r w:rsidR="00DB5A89">
        <w:t xml:space="preserve"> et al.</w:t>
      </w:r>
      <w:r w:rsidR="00DB5A89" w:rsidRPr="00DB5A89">
        <w:rPr>
          <w:color w:val="70AD47" w:themeColor="accent6"/>
          <w:vertAlign w:val="superscript"/>
        </w:rPr>
        <w:t>63</w:t>
      </w:r>
      <w:r w:rsidR="00DB5A89">
        <w:t xml:space="preserve"> used the Levine method</w:t>
      </w:r>
      <w:r w:rsidR="00E84552" w:rsidRPr="00E84552">
        <w:rPr>
          <w:color w:val="70AD47" w:themeColor="accent6"/>
          <w:vertAlign w:val="superscript"/>
        </w:rPr>
        <w:t>65</w:t>
      </w:r>
      <w:r w:rsidR="00CD3C82" w:rsidRPr="00CD3C82">
        <w:rPr>
          <w:rFonts w:eastAsiaTheme="majorEastAsia"/>
          <w:lang w:val="en-AU"/>
        </w:rPr>
        <w:t xml:space="preserve">. </w:t>
      </w:r>
      <w:r w:rsidR="00047272">
        <w:rPr>
          <w:rFonts w:eastAsiaTheme="majorEastAsia"/>
          <w:lang w:val="en-AU"/>
        </w:rPr>
        <w:t>With regards to consecutive inclusion, s</w:t>
      </w:r>
      <w:proofErr w:type="spellStart"/>
      <w:r w:rsidR="00047272" w:rsidRPr="00047272">
        <w:rPr>
          <w:rFonts w:eastAsiaTheme="majorEastAsia"/>
        </w:rPr>
        <w:t>tudies</w:t>
      </w:r>
      <w:proofErr w:type="spellEnd"/>
      <w:r w:rsidR="00047272" w:rsidRPr="00047272">
        <w:rPr>
          <w:rFonts w:eastAsiaTheme="majorEastAsia"/>
        </w:rPr>
        <w:t xml:space="preserve"> that indicate a consecutive inclusion are more reliable than those that do not. </w:t>
      </w:r>
      <w:r w:rsidR="00047272">
        <w:rPr>
          <w:rFonts w:eastAsiaTheme="majorEastAsia"/>
        </w:rPr>
        <w:t xml:space="preserve">Neither of our included studies </w:t>
      </w:r>
      <w:r w:rsidR="00047272" w:rsidRPr="00047272">
        <w:rPr>
          <w:rFonts w:eastAsiaTheme="majorEastAsia"/>
        </w:rPr>
        <w:t>state</w:t>
      </w:r>
      <w:r w:rsidR="00047272">
        <w:rPr>
          <w:rFonts w:eastAsiaTheme="majorEastAsia"/>
        </w:rPr>
        <w:t>d clearly</w:t>
      </w:r>
      <w:r w:rsidR="00047272" w:rsidRPr="00047272">
        <w:rPr>
          <w:rFonts w:eastAsiaTheme="majorEastAsia"/>
        </w:rPr>
        <w:t xml:space="preserve"> if they </w:t>
      </w:r>
      <w:r w:rsidR="00FE3482">
        <w:rPr>
          <w:rFonts w:eastAsiaTheme="majorEastAsia"/>
        </w:rPr>
        <w:t>did consecutive inclusion</w:t>
      </w:r>
      <w:r w:rsidR="00047272" w:rsidRPr="00047272">
        <w:rPr>
          <w:rFonts w:eastAsiaTheme="majorEastAsia"/>
        </w:rPr>
        <w:t xml:space="preserve"> of every neonate meeting the inclusion criteria, at their institutions, during the identified periods. </w:t>
      </w:r>
      <w:r w:rsidR="00047272">
        <w:rPr>
          <w:rFonts w:eastAsiaTheme="majorEastAsia"/>
        </w:rPr>
        <w:t>Thus they both scored 0.0% for this.</w:t>
      </w:r>
      <w:r w:rsidR="00FE3482">
        <w:rPr>
          <w:rFonts w:eastAsiaTheme="majorEastAsia"/>
        </w:rPr>
        <w:t xml:space="preserve"> Along a similar vein, </w:t>
      </w:r>
      <w:r w:rsidR="00FE3482">
        <w:t>t</w:t>
      </w:r>
      <w:r w:rsidR="00FE3482">
        <w:t>he completeness of a case series</w:t>
      </w:r>
      <w:r w:rsidR="00967D74">
        <w:t xml:space="preserve"> contributes to its reliability</w:t>
      </w:r>
      <w:r w:rsidR="00FE3482">
        <w:t xml:space="preserve">. Studies that indicate a complete inclusion are more reliable than those that do not. </w:t>
      </w:r>
      <w:r w:rsidR="000C0480">
        <w:t>Neither</w:t>
      </w:r>
      <w:r w:rsidR="00E570F9">
        <w:t xml:space="preserve"> Ferrari </w:t>
      </w:r>
      <w:proofErr w:type="gramStart"/>
      <w:r w:rsidR="00E570F9">
        <w:t>et</w:t>
      </w:r>
      <w:proofErr w:type="gramEnd"/>
      <w:r w:rsidR="00E570F9">
        <w:t xml:space="preserve"> al.</w:t>
      </w:r>
      <w:r w:rsidR="00E570F9" w:rsidRPr="00E570F9">
        <w:rPr>
          <w:color w:val="70AD47" w:themeColor="accent6"/>
          <w:vertAlign w:val="superscript"/>
        </w:rPr>
        <w:t>62</w:t>
      </w:r>
      <w:r w:rsidR="00E570F9">
        <w:t xml:space="preserve"> </w:t>
      </w:r>
      <w:r w:rsidR="000C0480">
        <w:t xml:space="preserve">nor </w:t>
      </w:r>
      <w:r w:rsidR="000C0480" w:rsidRPr="00A6576B">
        <w:rPr>
          <w:rFonts w:eastAsiaTheme="majorEastAsia"/>
          <w:lang w:val="en-AU"/>
        </w:rPr>
        <w:t>Prechtl et al.</w:t>
      </w:r>
      <w:r w:rsidR="000C0480" w:rsidRPr="00A6576B">
        <w:rPr>
          <w:rFonts w:eastAsiaTheme="minorEastAsia"/>
          <w:color w:val="70AD47" w:themeColor="accent6"/>
          <w:vertAlign w:val="superscript"/>
          <w:lang w:val="en-AU"/>
        </w:rPr>
        <w:t xml:space="preserve"> 63</w:t>
      </w:r>
      <w:r w:rsidR="00E570F9">
        <w:t xml:space="preserve">clearly stated that they included all </w:t>
      </w:r>
      <w:r w:rsidR="000C0480">
        <w:t xml:space="preserve">the </w:t>
      </w:r>
      <w:r w:rsidR="00E570F9">
        <w:t>patients</w:t>
      </w:r>
      <w:r w:rsidR="00FE3482">
        <w:t xml:space="preserve"> </w:t>
      </w:r>
      <w:r w:rsidR="00E570F9">
        <w:t>in</w:t>
      </w:r>
      <w:r w:rsidR="000C0480">
        <w:t xml:space="preserve"> </w:t>
      </w:r>
      <w:r w:rsidR="000C0480">
        <w:rPr>
          <w:rFonts w:eastAsiaTheme="majorEastAsia"/>
          <w:lang w:val="en-AU"/>
        </w:rPr>
        <w:t xml:space="preserve">their studies and scored 0.0% for this question. </w:t>
      </w:r>
    </w:p>
    <w:p w:rsidR="00BA42AF" w:rsidRDefault="0004399E" w:rsidP="0004399E">
      <w:pPr>
        <w:pStyle w:val="NormalWeb"/>
        <w:shd w:val="clear" w:color="auto" w:fill="FFFFFF"/>
        <w:rPr>
          <w:rFonts w:ascii="Verdana" w:hAnsi="Verdana"/>
          <w:color w:val="000000"/>
          <w:sz w:val="20"/>
          <w:szCs w:val="20"/>
        </w:rPr>
      </w:pPr>
      <w:r>
        <w:rPr>
          <w:rFonts w:ascii="Verdana" w:hAnsi="Verdana"/>
          <w:color w:val="000000"/>
          <w:sz w:val="20"/>
          <w:szCs w:val="20"/>
        </w:rPr>
        <w:t>The biases include selection,</w:t>
      </w:r>
      <w:r w:rsidR="00BA42AF">
        <w:rPr>
          <w:rFonts w:ascii="Verdana" w:hAnsi="Verdana"/>
          <w:color w:val="000000"/>
          <w:sz w:val="20"/>
          <w:szCs w:val="20"/>
        </w:rPr>
        <w:t xml:space="preserve"> information</w:t>
      </w:r>
      <w:r w:rsidR="00967D74">
        <w:rPr>
          <w:rFonts w:ascii="Verdana" w:hAnsi="Verdana"/>
          <w:color w:val="000000"/>
          <w:sz w:val="20"/>
          <w:szCs w:val="20"/>
        </w:rPr>
        <w:t xml:space="preserve"> and sampling variation. </w:t>
      </w:r>
      <w:r>
        <w:rPr>
          <w:rFonts w:ascii="Verdana" w:hAnsi="Verdana"/>
          <w:color w:val="000000"/>
          <w:sz w:val="20"/>
          <w:szCs w:val="20"/>
        </w:rPr>
        <w:t xml:space="preserve">Selection bias </w:t>
      </w:r>
      <w:r w:rsidR="00BA42AF">
        <w:rPr>
          <w:rFonts w:ascii="Verdana" w:hAnsi="Verdana"/>
          <w:color w:val="000000"/>
          <w:sz w:val="20"/>
          <w:szCs w:val="20"/>
        </w:rPr>
        <w:t>is typical of case series as it is a choice of a series of patients with a particular illness (NE), and a suspected linked outcome (CP</w:t>
      </w:r>
      <w:proofErr w:type="gramStart"/>
      <w:r w:rsidR="00BA42AF">
        <w:rPr>
          <w:rFonts w:ascii="Verdana" w:hAnsi="Verdana"/>
          <w:color w:val="000000"/>
          <w:sz w:val="20"/>
          <w:szCs w:val="20"/>
        </w:rPr>
        <w:t>)</w:t>
      </w:r>
      <w:r w:rsidR="00E84552" w:rsidRPr="00E84552">
        <w:rPr>
          <w:rFonts w:ascii="Verdana" w:hAnsi="Verdana"/>
          <w:color w:val="70AD47" w:themeColor="accent6"/>
          <w:sz w:val="20"/>
          <w:szCs w:val="20"/>
          <w:vertAlign w:val="superscript"/>
        </w:rPr>
        <w:t>66</w:t>
      </w:r>
      <w:proofErr w:type="gramEnd"/>
      <w:r w:rsidR="00BA42AF" w:rsidRPr="00967D74">
        <w:rPr>
          <w:rFonts w:ascii="Verdana" w:hAnsi="Verdana"/>
          <w:sz w:val="20"/>
          <w:szCs w:val="20"/>
        </w:rPr>
        <w:t xml:space="preserve">. </w:t>
      </w:r>
      <w:r w:rsidR="00BA42AF">
        <w:rPr>
          <w:rFonts w:ascii="Verdana" w:hAnsi="Verdana"/>
          <w:color w:val="000000"/>
          <w:sz w:val="20"/>
          <w:szCs w:val="20"/>
        </w:rPr>
        <w:t xml:space="preserve">Selection bias limits the generalizability of results. Information bias is less in retrospectively collected data as it is determined by what is already documented in the medical chart. </w:t>
      </w:r>
      <w:r w:rsidR="002442C0">
        <w:rPr>
          <w:rFonts w:ascii="Verdana" w:hAnsi="Verdana"/>
          <w:color w:val="000000"/>
          <w:sz w:val="20"/>
          <w:szCs w:val="20"/>
        </w:rPr>
        <w:t xml:space="preserve">These two studies both were prospectively collected data making them susceptible to information bias. </w:t>
      </w:r>
      <w:r w:rsidR="00967D74">
        <w:rPr>
          <w:rFonts w:ascii="Verdana" w:hAnsi="Verdana"/>
          <w:color w:val="000000"/>
          <w:sz w:val="20"/>
          <w:szCs w:val="20"/>
        </w:rPr>
        <w:t xml:space="preserve">With regards to sampling variation, the precise determination of the rate of a disease, other than by chance, requires a large sample size. </w:t>
      </w:r>
      <w:r w:rsidR="00967D74" w:rsidRPr="00967D74">
        <w:rPr>
          <w:rFonts w:ascii="Verdana" w:hAnsi="Verdana"/>
          <w:color w:val="000000"/>
          <w:sz w:val="20"/>
          <w:szCs w:val="20"/>
        </w:rPr>
        <w:t>Both studies can be described as employing small sample sizes</w:t>
      </w:r>
      <w:r w:rsidR="00967D74">
        <w:rPr>
          <w:rFonts w:ascii="Verdana" w:hAnsi="Verdana"/>
          <w:color w:val="000000"/>
          <w:sz w:val="20"/>
          <w:szCs w:val="20"/>
        </w:rPr>
        <w:t xml:space="preserve">, Ferrari </w:t>
      </w:r>
      <w:proofErr w:type="gramStart"/>
      <w:r w:rsidR="00967D74">
        <w:rPr>
          <w:rFonts w:ascii="Verdana" w:hAnsi="Verdana"/>
          <w:color w:val="000000"/>
          <w:sz w:val="20"/>
          <w:szCs w:val="20"/>
        </w:rPr>
        <w:t>et</w:t>
      </w:r>
      <w:proofErr w:type="gramEnd"/>
      <w:r w:rsidR="00967D74">
        <w:rPr>
          <w:rFonts w:ascii="Verdana" w:hAnsi="Verdana"/>
          <w:color w:val="000000"/>
          <w:sz w:val="20"/>
          <w:szCs w:val="20"/>
        </w:rPr>
        <w:t xml:space="preserve"> al.</w:t>
      </w:r>
      <w:r w:rsidR="00967D74" w:rsidRPr="00967D74">
        <w:rPr>
          <w:rFonts w:ascii="Verdana" w:hAnsi="Verdana"/>
          <w:color w:val="70AD47" w:themeColor="accent6"/>
          <w:sz w:val="20"/>
          <w:szCs w:val="20"/>
          <w:vertAlign w:val="superscript"/>
        </w:rPr>
        <w:t>62</w:t>
      </w:r>
      <w:r w:rsidR="00967D74">
        <w:rPr>
          <w:rFonts w:ascii="Verdana" w:hAnsi="Verdana"/>
          <w:color w:val="000000"/>
          <w:sz w:val="20"/>
          <w:szCs w:val="20"/>
        </w:rPr>
        <w:t xml:space="preserve"> had 34 cases and </w:t>
      </w:r>
      <w:proofErr w:type="spellStart"/>
      <w:r w:rsidR="00967D74">
        <w:rPr>
          <w:rFonts w:ascii="Verdana" w:hAnsi="Verdana"/>
          <w:color w:val="000000"/>
          <w:sz w:val="20"/>
          <w:szCs w:val="20"/>
        </w:rPr>
        <w:t>Pretchl</w:t>
      </w:r>
      <w:proofErr w:type="spellEnd"/>
      <w:r w:rsidR="00967D74">
        <w:rPr>
          <w:rFonts w:ascii="Verdana" w:hAnsi="Verdana"/>
          <w:color w:val="000000"/>
          <w:sz w:val="20"/>
          <w:szCs w:val="20"/>
        </w:rPr>
        <w:t xml:space="preserve"> et al.</w:t>
      </w:r>
      <w:r w:rsidR="00967D74" w:rsidRPr="00967D74">
        <w:rPr>
          <w:rFonts w:ascii="Verdana" w:hAnsi="Verdana"/>
          <w:color w:val="70AD47" w:themeColor="accent6"/>
          <w:sz w:val="20"/>
          <w:szCs w:val="20"/>
          <w:vertAlign w:val="superscript"/>
        </w:rPr>
        <w:t>63</w:t>
      </w:r>
      <w:r w:rsidR="00967D74">
        <w:rPr>
          <w:rFonts w:ascii="Verdana" w:hAnsi="Verdana"/>
          <w:color w:val="000000"/>
          <w:sz w:val="20"/>
          <w:szCs w:val="20"/>
        </w:rPr>
        <w:t xml:space="preserve"> had 26 cases</w:t>
      </w:r>
      <w:r w:rsidR="00967D74" w:rsidRPr="00967D74">
        <w:rPr>
          <w:rFonts w:ascii="Verdana" w:hAnsi="Verdana"/>
          <w:color w:val="000000"/>
          <w:sz w:val="20"/>
          <w:szCs w:val="20"/>
        </w:rPr>
        <w:t xml:space="preserve"> </w:t>
      </w:r>
      <w:r w:rsidR="00967D74">
        <w:rPr>
          <w:rFonts w:ascii="Verdana" w:hAnsi="Verdana"/>
          <w:color w:val="000000"/>
          <w:sz w:val="20"/>
          <w:szCs w:val="20"/>
        </w:rPr>
        <w:t>with a</w:t>
      </w:r>
      <w:r w:rsidR="00967D74" w:rsidRPr="00967D74">
        <w:rPr>
          <w:rFonts w:ascii="Verdana" w:hAnsi="Verdana"/>
          <w:color w:val="000000"/>
          <w:sz w:val="20"/>
          <w:szCs w:val="20"/>
        </w:rPr>
        <w:t xml:space="preserve"> follow up period of over three to four years. Sample size may have been limited by the collection method as neither study stated if they were inclusive of every neonate meeting the inclusion criteria, at their institutions, during the identified periods.</w:t>
      </w:r>
      <w:bookmarkStart w:id="0" w:name="_GoBack"/>
      <w:bookmarkEnd w:id="0"/>
    </w:p>
    <w:sectPr w:rsidR="00BA42A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47FFB"/>
    <w:multiLevelType w:val="hybridMultilevel"/>
    <w:tmpl w:val="B590CEBC"/>
    <w:lvl w:ilvl="0" w:tplc="2C09000F">
      <w:start w:val="1"/>
      <w:numFmt w:val="decimal"/>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6DE"/>
    <w:rsid w:val="0004399E"/>
    <w:rsid w:val="00047272"/>
    <w:rsid w:val="000B5AB4"/>
    <w:rsid w:val="000C0480"/>
    <w:rsid w:val="000C1808"/>
    <w:rsid w:val="00170C34"/>
    <w:rsid w:val="002442C0"/>
    <w:rsid w:val="002E1991"/>
    <w:rsid w:val="00332FED"/>
    <w:rsid w:val="00345F05"/>
    <w:rsid w:val="00466EF8"/>
    <w:rsid w:val="005E5F3F"/>
    <w:rsid w:val="007B69E6"/>
    <w:rsid w:val="0085166F"/>
    <w:rsid w:val="008762F6"/>
    <w:rsid w:val="00967D74"/>
    <w:rsid w:val="00976F76"/>
    <w:rsid w:val="00A6576B"/>
    <w:rsid w:val="00AB73D5"/>
    <w:rsid w:val="00AD0AC9"/>
    <w:rsid w:val="00AF201C"/>
    <w:rsid w:val="00BA42AF"/>
    <w:rsid w:val="00CD3C82"/>
    <w:rsid w:val="00D1673E"/>
    <w:rsid w:val="00DB5A89"/>
    <w:rsid w:val="00DD36DE"/>
    <w:rsid w:val="00DD3DDD"/>
    <w:rsid w:val="00E570F9"/>
    <w:rsid w:val="00E84552"/>
    <w:rsid w:val="00F955AA"/>
    <w:rsid w:val="00FA6CA6"/>
    <w:rsid w:val="00FE3482"/>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864877-55FA-4D43-891A-966FC9AD6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T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36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1808"/>
    <w:pPr>
      <w:ind w:left="720"/>
      <w:contextualSpacing/>
    </w:pPr>
  </w:style>
  <w:style w:type="paragraph" w:customStyle="1" w:styleId="sub-subsec">
    <w:name w:val="sub-subsec"/>
    <w:basedOn w:val="Normal"/>
    <w:rsid w:val="0004399E"/>
    <w:pPr>
      <w:spacing w:before="100" w:beforeAutospacing="1" w:after="100" w:afterAutospacing="1" w:line="240" w:lineRule="auto"/>
    </w:pPr>
    <w:rPr>
      <w:rFonts w:ascii="Times New Roman" w:eastAsia="Times New Roman" w:hAnsi="Times New Roman" w:cs="Times New Roman"/>
      <w:sz w:val="24"/>
      <w:szCs w:val="24"/>
      <w:lang w:eastAsia="en-TT"/>
    </w:rPr>
  </w:style>
  <w:style w:type="paragraph" w:styleId="NormalWeb">
    <w:name w:val="Normal (Web)"/>
    <w:basedOn w:val="Normal"/>
    <w:uiPriority w:val="99"/>
    <w:semiHidden/>
    <w:unhideWhenUsed/>
    <w:rsid w:val="0004399E"/>
    <w:pPr>
      <w:spacing w:before="100" w:beforeAutospacing="1" w:after="100" w:afterAutospacing="1" w:line="240" w:lineRule="auto"/>
    </w:pPr>
    <w:rPr>
      <w:rFonts w:ascii="Times New Roman" w:eastAsia="Times New Roman" w:hAnsi="Times New Roman" w:cs="Times New Roman"/>
      <w:sz w:val="24"/>
      <w:szCs w:val="24"/>
      <w:lang w:eastAsia="en-TT"/>
    </w:rPr>
  </w:style>
  <w:style w:type="character" w:styleId="Hyperlink">
    <w:name w:val="Hyperlink"/>
    <w:basedOn w:val="DefaultParagraphFont"/>
    <w:uiPriority w:val="99"/>
    <w:semiHidden/>
    <w:unhideWhenUsed/>
    <w:rsid w:val="000439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2734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706</Words>
  <Characters>4028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Judye</dc:creator>
  <cp:keywords/>
  <dc:description/>
  <cp:lastModifiedBy>Judye</cp:lastModifiedBy>
  <cp:revision>2</cp:revision>
  <dcterms:created xsi:type="dcterms:W3CDTF">2020-05-24T18:33:00Z</dcterms:created>
  <dcterms:modified xsi:type="dcterms:W3CDTF">2020-05-24T18:33:00Z</dcterms:modified>
</cp:coreProperties>
</file>