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6CBC" w14:textId="39F6FEA0" w:rsidR="00EE2E97" w:rsidRPr="00811F79" w:rsidRDefault="005502D8">
      <w:pPr>
        <w:rPr>
          <w:rFonts w:ascii="Arial" w:hAnsi="Arial" w:cs="Arial"/>
          <w:sz w:val="20"/>
          <w:szCs w:val="20"/>
        </w:rPr>
      </w:pPr>
      <w:r w:rsidRPr="005502D8">
        <w:rPr>
          <w:rFonts w:ascii="Arial" w:hAnsi="Arial" w:cs="Arial"/>
          <w:sz w:val="20"/>
          <w:szCs w:val="20"/>
        </w:rPr>
        <w:t>Supplemental</w:t>
      </w:r>
      <w:r>
        <w:rPr>
          <w:rFonts w:ascii="Arial" w:hAnsi="Arial" w:cs="Arial" w:hint="eastAsia"/>
          <w:sz w:val="20"/>
          <w:szCs w:val="20"/>
        </w:rPr>
        <w:t xml:space="preserve"> t</w:t>
      </w:r>
      <w:r w:rsidR="00EE2E97" w:rsidRPr="00811F79">
        <w:rPr>
          <w:rFonts w:ascii="Arial" w:hAnsi="Arial" w:cs="Arial"/>
          <w:sz w:val="20"/>
          <w:szCs w:val="20"/>
        </w:rPr>
        <w:t>able S2</w:t>
      </w:r>
      <w:r w:rsidR="006D5686" w:rsidRPr="00811F79">
        <w:rPr>
          <w:rFonts w:ascii="Arial" w:hAnsi="Arial" w:cs="Arial"/>
          <w:sz w:val="20"/>
          <w:szCs w:val="20"/>
        </w:rPr>
        <w:t xml:space="preserve">. Criteria for the </w:t>
      </w:r>
      <w:r w:rsidR="000B1A25" w:rsidRPr="00811F79">
        <w:rPr>
          <w:rFonts w:ascii="Arial" w:hAnsi="Arial" w:cs="Arial"/>
          <w:sz w:val="20"/>
          <w:szCs w:val="20"/>
        </w:rPr>
        <w:t>i</w:t>
      </w:r>
      <w:r w:rsidR="006D5686" w:rsidRPr="00811F79">
        <w:rPr>
          <w:rFonts w:ascii="Arial" w:hAnsi="Arial" w:cs="Arial"/>
          <w:sz w:val="20"/>
          <w:szCs w:val="20"/>
        </w:rPr>
        <w:t xml:space="preserve">nclusion and </w:t>
      </w:r>
      <w:r w:rsidR="000B1A25" w:rsidRPr="00811F79">
        <w:rPr>
          <w:rFonts w:ascii="Arial" w:hAnsi="Arial" w:cs="Arial"/>
          <w:sz w:val="20"/>
          <w:szCs w:val="20"/>
        </w:rPr>
        <w:t>e</w:t>
      </w:r>
      <w:r w:rsidR="006D5686" w:rsidRPr="00811F79">
        <w:rPr>
          <w:rFonts w:ascii="Arial" w:hAnsi="Arial" w:cs="Arial"/>
          <w:sz w:val="20"/>
          <w:szCs w:val="20"/>
        </w:rPr>
        <w:t xml:space="preserve">xclusion of </w:t>
      </w:r>
      <w:r w:rsidR="000B1A25" w:rsidRPr="00811F79">
        <w:rPr>
          <w:rFonts w:ascii="Arial" w:hAnsi="Arial" w:cs="Arial"/>
          <w:sz w:val="20"/>
          <w:szCs w:val="20"/>
        </w:rPr>
        <w:t>s</w:t>
      </w:r>
      <w:r w:rsidR="006D5686" w:rsidRPr="00811F79">
        <w:rPr>
          <w:rFonts w:ascii="Arial" w:hAnsi="Arial" w:cs="Arial"/>
          <w:sz w:val="20"/>
          <w:szCs w:val="20"/>
        </w:rPr>
        <w:t xml:space="preserve">tudy </w:t>
      </w:r>
      <w:r w:rsidR="000B1A25" w:rsidRPr="00811F79">
        <w:rPr>
          <w:rFonts w:ascii="Arial" w:hAnsi="Arial" w:cs="Arial"/>
          <w:sz w:val="20"/>
          <w:szCs w:val="20"/>
        </w:rPr>
        <w:t>p</w:t>
      </w:r>
      <w:r w:rsidR="006D5686" w:rsidRPr="00811F79">
        <w:rPr>
          <w:rFonts w:ascii="Arial" w:hAnsi="Arial" w:cs="Arial"/>
          <w:sz w:val="20"/>
          <w:szCs w:val="20"/>
        </w:rPr>
        <w:t>articipants.</w:t>
      </w:r>
    </w:p>
    <w:tbl>
      <w:tblPr>
        <w:tblStyle w:val="a3"/>
        <w:tblW w:w="0" w:type="auto"/>
        <w:tblBorders>
          <w:top w:val="single" w:sz="8" w:space="0" w:color="auto"/>
          <w:left w:val="none" w:sz="0" w:space="0" w:color="auto"/>
          <w:bottom w:val="single" w:sz="8" w:space="0" w:color="auto"/>
          <w:right w:val="none" w:sz="0" w:space="0" w:color="auto"/>
          <w:insideH w:val="none" w:sz="0" w:space="0" w:color="auto"/>
          <w:insideV w:val="single" w:sz="8" w:space="0" w:color="auto"/>
        </w:tblBorders>
        <w:tblLook w:val="04A0" w:firstRow="1" w:lastRow="0" w:firstColumn="1" w:lastColumn="0" w:noHBand="0" w:noVBand="1"/>
      </w:tblPr>
      <w:tblGrid>
        <w:gridCol w:w="8522"/>
      </w:tblGrid>
      <w:tr w:rsidR="009222B9" w:rsidRPr="00811F79" w14:paraId="604F9F90" w14:textId="77777777" w:rsidTr="009222B9">
        <w:tc>
          <w:tcPr>
            <w:tcW w:w="8522" w:type="dxa"/>
            <w:tcBorders>
              <w:top w:val="single" w:sz="8" w:space="0" w:color="auto"/>
              <w:bottom w:val="nil"/>
            </w:tcBorders>
          </w:tcPr>
          <w:p w14:paraId="54587364" w14:textId="5EB1C522" w:rsidR="009222B9" w:rsidRPr="00811F79" w:rsidRDefault="006D5686">
            <w:pPr>
              <w:rPr>
                <w:rFonts w:ascii="Arial" w:hAnsi="Arial" w:cs="Arial"/>
                <w:b/>
                <w:bCs/>
                <w:sz w:val="20"/>
                <w:szCs w:val="20"/>
              </w:rPr>
            </w:pPr>
            <w:r w:rsidRPr="00811F79">
              <w:rPr>
                <w:rFonts w:ascii="Arial" w:hAnsi="Arial" w:cs="Arial"/>
                <w:b/>
                <w:bCs/>
                <w:sz w:val="20"/>
                <w:szCs w:val="20"/>
              </w:rPr>
              <w:t>Inclusion Criteria:</w:t>
            </w:r>
          </w:p>
        </w:tc>
      </w:tr>
      <w:tr w:rsidR="00EE2E97" w:rsidRPr="00811F79" w14:paraId="2F089AD6" w14:textId="77777777" w:rsidTr="009222B9">
        <w:tc>
          <w:tcPr>
            <w:tcW w:w="8522" w:type="dxa"/>
            <w:tcBorders>
              <w:top w:val="nil"/>
            </w:tcBorders>
          </w:tcPr>
          <w:p w14:paraId="4F98ABEE" w14:textId="6B2E2AEE" w:rsidR="00EE2E97" w:rsidRPr="00811F79" w:rsidRDefault="00E92189">
            <w:pPr>
              <w:rPr>
                <w:rFonts w:ascii="Arial" w:hAnsi="Arial" w:cs="Arial"/>
                <w:sz w:val="20"/>
                <w:szCs w:val="20"/>
              </w:rPr>
            </w:pPr>
            <w:r w:rsidRPr="00811F79">
              <w:rPr>
                <w:rFonts w:ascii="Arial" w:hAnsi="Arial" w:cs="Arial"/>
                <w:sz w:val="20"/>
                <w:szCs w:val="20"/>
              </w:rPr>
              <w:t>Adult patients were diagnosed with AML based on the 2016 revision to the World Health Organization classification of myeloid neoplasms and acute leukemia, utilizing bone marrow morphology, immunophenotyping, cytogenetics, and molecular biology.</w:t>
            </w:r>
          </w:p>
        </w:tc>
      </w:tr>
      <w:tr w:rsidR="00EE2E97" w:rsidRPr="00811F79" w14:paraId="4E8ADFAF" w14:textId="77777777" w:rsidTr="00EE2E97">
        <w:tc>
          <w:tcPr>
            <w:tcW w:w="8522" w:type="dxa"/>
          </w:tcPr>
          <w:p w14:paraId="7828C141" w14:textId="676F3D4B" w:rsidR="00EE2E97" w:rsidRPr="00811F79" w:rsidRDefault="000B1A25">
            <w:pPr>
              <w:rPr>
                <w:rFonts w:ascii="Arial" w:hAnsi="Arial" w:cs="Arial"/>
                <w:sz w:val="20"/>
                <w:szCs w:val="20"/>
              </w:rPr>
            </w:pPr>
            <w:r w:rsidRPr="00811F79">
              <w:rPr>
                <w:rFonts w:ascii="Arial" w:hAnsi="Arial" w:cs="Arial"/>
                <w:sz w:val="20"/>
                <w:szCs w:val="20"/>
              </w:rPr>
              <w:t>Treatment with Ven-HMAs was administered for a minimum duration of one complete course.</w:t>
            </w:r>
          </w:p>
        </w:tc>
      </w:tr>
      <w:tr w:rsidR="00EE2E97" w:rsidRPr="00811F79" w14:paraId="5B368ADD" w14:textId="77777777" w:rsidTr="00EE2E97">
        <w:tc>
          <w:tcPr>
            <w:tcW w:w="8522" w:type="dxa"/>
          </w:tcPr>
          <w:p w14:paraId="40B42D31" w14:textId="75D200FC" w:rsidR="00EE2E97" w:rsidRPr="00811F79" w:rsidRDefault="001614AB">
            <w:pPr>
              <w:rPr>
                <w:rFonts w:ascii="Arial" w:hAnsi="Arial" w:cs="Arial"/>
                <w:sz w:val="20"/>
                <w:szCs w:val="20"/>
              </w:rPr>
            </w:pPr>
            <w:r w:rsidRPr="00811F79">
              <w:rPr>
                <w:rFonts w:ascii="Arial" w:hAnsi="Arial" w:cs="Arial"/>
                <w:sz w:val="20"/>
                <w:szCs w:val="20"/>
              </w:rPr>
              <w:t>The patient's medical records included comprehensive laboratory data, particularly molecular biology and cytogenetics.</w:t>
            </w:r>
          </w:p>
        </w:tc>
      </w:tr>
      <w:tr w:rsidR="00EE2E97" w:rsidRPr="00811F79" w14:paraId="2731B950" w14:textId="77777777" w:rsidTr="00EE2E97">
        <w:tc>
          <w:tcPr>
            <w:tcW w:w="8522" w:type="dxa"/>
          </w:tcPr>
          <w:p w14:paraId="567A26DC" w14:textId="414FBD2A" w:rsidR="00EE2E97" w:rsidRPr="00811F79" w:rsidRDefault="001614AB">
            <w:pPr>
              <w:rPr>
                <w:rFonts w:ascii="Arial" w:hAnsi="Arial" w:cs="Arial"/>
                <w:b/>
                <w:bCs/>
                <w:sz w:val="20"/>
                <w:szCs w:val="20"/>
              </w:rPr>
            </w:pPr>
            <w:r w:rsidRPr="00811F79">
              <w:rPr>
                <w:rFonts w:ascii="Arial" w:hAnsi="Arial" w:cs="Arial"/>
                <w:b/>
                <w:bCs/>
                <w:sz w:val="20"/>
                <w:szCs w:val="20"/>
              </w:rPr>
              <w:t>Exclusion criteria:</w:t>
            </w:r>
          </w:p>
        </w:tc>
      </w:tr>
      <w:tr w:rsidR="00EE2E97" w:rsidRPr="00811F79" w14:paraId="240600B3" w14:textId="77777777" w:rsidTr="00EE2E97">
        <w:tc>
          <w:tcPr>
            <w:tcW w:w="8522" w:type="dxa"/>
          </w:tcPr>
          <w:p w14:paraId="399F016A" w14:textId="6E94651E" w:rsidR="00EE2E97" w:rsidRPr="00811F79" w:rsidRDefault="001614AB">
            <w:pPr>
              <w:rPr>
                <w:rFonts w:ascii="Arial" w:hAnsi="Arial" w:cs="Arial"/>
                <w:sz w:val="20"/>
                <w:szCs w:val="20"/>
              </w:rPr>
            </w:pPr>
            <w:r w:rsidRPr="00811F79">
              <w:rPr>
                <w:rFonts w:ascii="Arial" w:hAnsi="Arial" w:cs="Arial"/>
                <w:sz w:val="20"/>
                <w:szCs w:val="20"/>
              </w:rPr>
              <w:t>Patients with acute promyelocytic leukemia and chronic myeloid leukemia in accelerated phase or blast crisis.</w:t>
            </w:r>
          </w:p>
        </w:tc>
      </w:tr>
      <w:tr w:rsidR="00EE2E97" w:rsidRPr="00811F79" w14:paraId="0D3E12BA" w14:textId="77777777" w:rsidTr="00EE2E97">
        <w:tc>
          <w:tcPr>
            <w:tcW w:w="8522" w:type="dxa"/>
          </w:tcPr>
          <w:p w14:paraId="1555878E" w14:textId="1161FC23" w:rsidR="00EE2E97" w:rsidRPr="00811F79" w:rsidRDefault="001614AB">
            <w:pPr>
              <w:rPr>
                <w:rFonts w:ascii="Arial" w:hAnsi="Arial" w:cs="Arial"/>
                <w:sz w:val="20"/>
                <w:szCs w:val="20"/>
              </w:rPr>
            </w:pPr>
            <w:r w:rsidRPr="00811F79">
              <w:rPr>
                <w:rFonts w:ascii="Arial" w:hAnsi="Arial" w:cs="Arial"/>
                <w:sz w:val="20"/>
                <w:szCs w:val="20"/>
              </w:rPr>
              <w:t>Patients with other active malignant tumors or those with mental health disorders.</w:t>
            </w:r>
          </w:p>
        </w:tc>
      </w:tr>
      <w:tr w:rsidR="00EE2E97" w:rsidRPr="00811F79" w14:paraId="286D06F6" w14:textId="77777777" w:rsidTr="00EE2E97">
        <w:tc>
          <w:tcPr>
            <w:tcW w:w="8522" w:type="dxa"/>
          </w:tcPr>
          <w:p w14:paraId="21612FA1" w14:textId="042035C8" w:rsidR="00EE2E97" w:rsidRPr="00811F79" w:rsidRDefault="00DA2339">
            <w:pPr>
              <w:rPr>
                <w:rFonts w:ascii="Arial" w:hAnsi="Arial" w:cs="Arial"/>
                <w:sz w:val="20"/>
                <w:szCs w:val="20"/>
              </w:rPr>
            </w:pPr>
            <w:r w:rsidRPr="00811F79">
              <w:rPr>
                <w:rFonts w:ascii="Arial" w:hAnsi="Arial" w:cs="Arial"/>
                <w:sz w:val="20"/>
                <w:szCs w:val="20"/>
              </w:rPr>
              <w:t>Patients who received Ven-HMAs as consolidation therapy following complete remission of AML.</w:t>
            </w:r>
          </w:p>
        </w:tc>
      </w:tr>
      <w:tr w:rsidR="00EE2E97" w:rsidRPr="00811F79" w14:paraId="781EC2CD" w14:textId="77777777" w:rsidTr="00EE2E97">
        <w:tc>
          <w:tcPr>
            <w:tcW w:w="8522" w:type="dxa"/>
          </w:tcPr>
          <w:p w14:paraId="5B5C1F04" w14:textId="66B69342" w:rsidR="00EE2E97" w:rsidRPr="00811F79" w:rsidRDefault="00DA2339">
            <w:pPr>
              <w:rPr>
                <w:rFonts w:ascii="Arial" w:hAnsi="Arial" w:cs="Arial"/>
                <w:sz w:val="20"/>
                <w:szCs w:val="20"/>
              </w:rPr>
            </w:pPr>
            <w:r w:rsidRPr="00811F79">
              <w:rPr>
                <w:rFonts w:ascii="Arial" w:hAnsi="Arial" w:cs="Arial"/>
                <w:sz w:val="20"/>
                <w:szCs w:val="20"/>
              </w:rPr>
              <w:t>Patients who received treatments with medications other than Ven and HMAs.</w:t>
            </w:r>
          </w:p>
        </w:tc>
      </w:tr>
      <w:tr w:rsidR="00EE2E97" w:rsidRPr="00811F79" w14:paraId="18AD31BD" w14:textId="77777777" w:rsidTr="00EE2E97">
        <w:tc>
          <w:tcPr>
            <w:tcW w:w="8522" w:type="dxa"/>
          </w:tcPr>
          <w:p w14:paraId="03CADDD7" w14:textId="4E467D16" w:rsidR="00EE2E97" w:rsidRPr="00811F79" w:rsidRDefault="00DA2339">
            <w:pPr>
              <w:rPr>
                <w:rFonts w:ascii="Arial" w:hAnsi="Arial" w:cs="Arial"/>
                <w:sz w:val="20"/>
                <w:szCs w:val="20"/>
              </w:rPr>
            </w:pPr>
            <w:r w:rsidRPr="00811F79">
              <w:rPr>
                <w:rFonts w:ascii="Arial" w:hAnsi="Arial" w:cs="Arial"/>
                <w:sz w:val="20"/>
                <w:szCs w:val="20"/>
              </w:rPr>
              <w:t>Pregnant and lactating individuals.</w:t>
            </w:r>
          </w:p>
        </w:tc>
      </w:tr>
    </w:tbl>
    <w:p w14:paraId="78C71D9A" w14:textId="0F94FFC1" w:rsidR="00FF2057" w:rsidRPr="00811F79" w:rsidRDefault="00DA2339">
      <w:pPr>
        <w:rPr>
          <w:rFonts w:ascii="Arial" w:hAnsi="Arial" w:cs="Arial"/>
          <w:sz w:val="20"/>
          <w:szCs w:val="20"/>
        </w:rPr>
      </w:pPr>
      <w:r w:rsidRPr="00811F79">
        <w:rPr>
          <w:rFonts w:ascii="Arial" w:hAnsi="Arial" w:cs="Arial"/>
          <w:sz w:val="20"/>
          <w:szCs w:val="20"/>
        </w:rPr>
        <w:t xml:space="preserve">Abbreviations: Ven, Venetoclax; HMAs, </w:t>
      </w:r>
      <w:r w:rsidR="00E657D3" w:rsidRPr="00811F79">
        <w:rPr>
          <w:rFonts w:ascii="Arial" w:hAnsi="Arial" w:cs="Arial"/>
          <w:sz w:val="20"/>
          <w:szCs w:val="20"/>
        </w:rPr>
        <w:t>Hypomethylating agents.</w:t>
      </w:r>
    </w:p>
    <w:sectPr w:rsidR="00FF2057" w:rsidRPr="00811F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748FE"/>
    <w:rsid w:val="000B1A25"/>
    <w:rsid w:val="000E5AFC"/>
    <w:rsid w:val="001614AB"/>
    <w:rsid w:val="003E1666"/>
    <w:rsid w:val="00405873"/>
    <w:rsid w:val="005502D8"/>
    <w:rsid w:val="006D462C"/>
    <w:rsid w:val="006D5686"/>
    <w:rsid w:val="00811F79"/>
    <w:rsid w:val="009222B9"/>
    <w:rsid w:val="00C748FE"/>
    <w:rsid w:val="00DA2339"/>
    <w:rsid w:val="00DE4D95"/>
    <w:rsid w:val="00E657D3"/>
    <w:rsid w:val="00E92189"/>
    <w:rsid w:val="00EE2E97"/>
    <w:rsid w:val="00FF2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43752"/>
  <w15:chartTrackingRefBased/>
  <w15:docId w15:val="{EA4FCAE2-4140-4527-A94C-AAD5CCDC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浪子 天涯</dc:creator>
  <cp:keywords/>
  <dc:description/>
  <cp:lastModifiedBy>浪子 天涯</cp:lastModifiedBy>
  <cp:revision>7</cp:revision>
  <dcterms:created xsi:type="dcterms:W3CDTF">2024-12-30T09:03:00Z</dcterms:created>
  <dcterms:modified xsi:type="dcterms:W3CDTF">2025-02-03T06:41:00Z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ef4db312ab771d1ca8c40fce8b3f2bead26623d5570a41cccee9e8483df83f39</vt:lpwstr>
  </property>
</Properties>
</file>