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LineNumbers/>
        <w:spacing w:line="480" w:lineRule="auto"/>
        <w:jc w:val="both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Supplementary material</w:t>
      </w:r>
    </w:p>
    <w:p>
      <w:pPr>
        <w:suppressLineNumbers/>
        <w:spacing w:line="480" w:lineRule="auto"/>
        <w:jc w:val="center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Subtab.1 </w:t>
      </w:r>
      <w:r>
        <w:rPr>
          <w:rFonts w:hint="eastAsia" w:ascii="Times New Roman" w:hAnsi="Times New Roman" w:cs="Times New Roman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>he</w:t>
      </w:r>
      <w:r>
        <w:rPr>
          <w:rFonts w:hint="eastAsia" w:ascii="Times New Roman" w:hAnsi="Times New Roman" w:cs="Times New Roman"/>
          <w:sz w:val="20"/>
          <w:szCs w:val="20"/>
        </w:rPr>
        <w:t xml:space="preserve"> MCC value</w:t>
      </w:r>
      <w:r>
        <w:rPr>
          <w:rFonts w:ascii="Times New Roman" w:hAnsi="Times New Roman" w:cs="Times New Roman"/>
          <w:sz w:val="20"/>
          <w:szCs w:val="20"/>
        </w:rPr>
        <w:t xml:space="preserve"> of </w:t>
      </w:r>
      <w:r>
        <w:rPr>
          <w:rFonts w:hint="eastAsia" w:ascii="Times New Roman" w:hAnsi="Times New Roman" w:cs="Times New Roman"/>
          <w:sz w:val="20"/>
          <w:szCs w:val="20"/>
        </w:rPr>
        <w:t xml:space="preserve">core </w:t>
      </w:r>
      <w:r>
        <w:rPr>
          <w:rFonts w:ascii="Times New Roman" w:hAnsi="Times New Roman" w:cs="Times New Roman"/>
          <w:sz w:val="20"/>
          <w:szCs w:val="20"/>
        </w:rPr>
        <w:t>genera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(Top10)</w:t>
      </w:r>
      <w:r>
        <w:rPr>
          <w:rFonts w:hint="eastAsia" w:ascii="Times New Roman" w:hAnsi="Times New Roman" w:cs="Times New Roman"/>
          <w:sz w:val="20"/>
          <w:szCs w:val="20"/>
        </w:rPr>
        <w:t xml:space="preserve"> from </w:t>
      </w:r>
      <w:r>
        <w:rPr>
          <w:rFonts w:ascii="Times New Roman" w:hAnsi="Times New Roman" w:cs="Times New Roman"/>
          <w:sz w:val="20"/>
          <w:szCs w:val="20"/>
        </w:rPr>
        <w:t>each</w:t>
      </w:r>
      <w:r>
        <w:rPr>
          <w:rFonts w:hint="eastAsia" w:ascii="Times New Roman" w:hAnsi="Times New Roman" w:cs="Times New Roman"/>
          <w:sz w:val="20"/>
          <w:szCs w:val="20"/>
        </w:rPr>
        <w:t xml:space="preserve"> group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974"/>
        <w:gridCol w:w="2486"/>
        <w:gridCol w:w="975"/>
        <w:gridCol w:w="2179"/>
        <w:gridCol w:w="877"/>
        <w:gridCol w:w="2486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346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20"/>
                <w:szCs w:val="20"/>
                <w:vertAlign w:val="baseline"/>
                <w:lang w:val="en-US" w:eastAsia="zh-CN"/>
              </w:rPr>
              <w:t>CK</w:t>
            </w:r>
          </w:p>
        </w:tc>
        <w:tc>
          <w:tcPr>
            <w:tcW w:w="3461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20"/>
                <w:szCs w:val="20"/>
                <w:vertAlign w:val="baseline"/>
                <w:lang w:val="en-US" w:eastAsia="zh-CN"/>
              </w:rPr>
              <w:t>C</w:t>
            </w:r>
          </w:p>
        </w:tc>
        <w:tc>
          <w:tcPr>
            <w:tcW w:w="3056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20"/>
                <w:szCs w:val="20"/>
                <w:vertAlign w:val="baseline"/>
                <w:lang w:val="en-US" w:eastAsia="zh-CN"/>
              </w:rPr>
              <w:t>S</w:t>
            </w:r>
          </w:p>
        </w:tc>
        <w:tc>
          <w:tcPr>
            <w:tcW w:w="3461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20"/>
                <w:szCs w:val="20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86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Taxonomy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MCC</w:t>
            </w:r>
          </w:p>
        </w:tc>
        <w:tc>
          <w:tcPr>
            <w:tcW w:w="2486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Taxonomy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MCC</w:t>
            </w:r>
          </w:p>
        </w:tc>
        <w:tc>
          <w:tcPr>
            <w:tcW w:w="2179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Taxonomy</w:t>
            </w: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MCC</w:t>
            </w:r>
          </w:p>
        </w:tc>
        <w:tc>
          <w:tcPr>
            <w:tcW w:w="2486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Taxonomy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MCC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Phenylobacterium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85800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Cupriavidus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6480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Candidatus Solibacter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1134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Cupriavidus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Methylobacterium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85800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Gemmatimonas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6480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Herbaspirillum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1134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Gemmatimonas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Sphingomonas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85800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Bryobacter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6480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Klebsiella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1128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Bryobacter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Paenibacillus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85800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Enterobacter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6480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Dyella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986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Enterobacter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Ralstonia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85722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Brevibacillus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5760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Pandoraea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864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Brevibacillus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Elizabethkingia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80670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Dyella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5046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Chujaibacter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846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Dyella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Delftia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80670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Sphingomonas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5046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Bryobacter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846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Sphingomonas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Lysinibacillus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45510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Pseudomonas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5046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Bradyrhizobium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Pseudomonas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Candidatus_Solibacter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40358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Candidatus_Solibacter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Bacillus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Candidatus_Solibacter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8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Phenylobacterium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40358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Cupriavidus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217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Sphingomonas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248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Mycobacterium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40345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CK: T</w:t>
      </w:r>
      <w:r>
        <w:rPr>
          <w:rFonts w:hint="eastAsia" w:ascii="Times New Roman" w:hAnsi="Times New Roman" w:cs="Times New Roman"/>
          <w:sz w:val="20"/>
          <w:szCs w:val="20"/>
        </w:rPr>
        <w:t>he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samples from the control group without calcium treatment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C: T</w:t>
      </w:r>
      <w:r>
        <w:rPr>
          <w:rFonts w:hint="eastAsia" w:ascii="Times New Roman" w:hAnsi="Times New Roman" w:cs="Times New Roman"/>
          <w:sz w:val="20"/>
          <w:szCs w:val="20"/>
        </w:rPr>
        <w:t>he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samples from the group with calcium treatment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S: T</w:t>
      </w:r>
      <w:r>
        <w:rPr>
          <w:rFonts w:hint="eastAsia" w:ascii="Times New Roman" w:hAnsi="Times New Roman" w:cs="Times New Roman"/>
          <w:sz w:val="20"/>
          <w:szCs w:val="20"/>
        </w:rPr>
        <w:t>he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samples from the group at the seedling stage</w:t>
      </w:r>
    </w:p>
    <w:p>
      <w:pPr>
        <w:keepNext w:val="0"/>
        <w:keepLines w:val="0"/>
        <w:pageBreakBefore w:val="0"/>
        <w:widowControl w:val="0"/>
        <w:suppressLineNumbers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P: T</w:t>
      </w:r>
      <w:r>
        <w:rPr>
          <w:rFonts w:hint="eastAsia" w:ascii="Times New Roman" w:hAnsi="Times New Roman" w:cs="Times New Roman"/>
          <w:sz w:val="20"/>
          <w:szCs w:val="20"/>
        </w:rPr>
        <w:t>he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samples from the group at the podding stage</w:t>
      </w:r>
    </w:p>
    <w:p>
      <w:pPr>
        <w:suppressLineNumbers/>
        <w:spacing w:line="480" w:lineRule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suppressLineNumbers/>
        <w:spacing w:line="480" w:lineRule="auto"/>
        <w:rPr>
          <w:rFonts w:hint="default" w:ascii="Times New Roman" w:hAnsi="Times New Roman" w:cs="Times New Roman"/>
          <w:sz w:val="20"/>
          <w:szCs w:val="20"/>
          <w:lang w:val="en-US" w:eastAsia="zh-CN"/>
        </w:rPr>
        <w:sectPr>
          <w:pgSz w:w="16838" w:h="11906" w:orient="landscape"/>
          <w:pgMar w:top="1418" w:right="1701" w:bottom="1418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0" w:num="1"/>
          <w:docGrid w:type="lines" w:linePitch="312" w:charSpace="0"/>
        </w:sectPr>
      </w:pPr>
      <w:bookmarkStart w:id="0" w:name="_GoBack"/>
      <w:bookmarkEnd w:id="0"/>
    </w:p>
    <w:p>
      <w:pPr>
        <w:suppressLineNumbers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Subtab.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Linear regression analysis of the predominant strains </w:t>
      </w:r>
      <w:r>
        <w:rPr>
          <w:rFonts w:ascii="Times New Roman" w:hAnsi="Times New Roman" w:cs="Times New Roman"/>
          <w:i/>
          <w:sz w:val="20"/>
          <w:szCs w:val="20"/>
        </w:rPr>
        <w:t>S. marcescens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N. panipatense</w:t>
      </w:r>
      <w:r>
        <w:rPr>
          <w:rFonts w:ascii="Times New Roman" w:hAnsi="Times New Roman" w:cs="Times New Roman"/>
          <w:sz w:val="20"/>
          <w:szCs w:val="20"/>
        </w:rPr>
        <w:t xml:space="preserve">, which are significantly enriched by calcium application, </w:t>
      </w:r>
    </w:p>
    <w:p>
      <w:pPr>
        <w:suppressLineNumbers/>
        <w:spacing w:after="156" w:afterLines="50"/>
        <w:jc w:val="center"/>
        <w:rPr>
          <w:rFonts w:ascii="Times New Roman" w:hAnsi="Times New Roman" w:eastAsia="宋体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against the four main pathogens by gradient dilution of the aseptic fermentation filtrate</w:t>
      </w:r>
    </w:p>
    <w:tbl>
      <w:tblPr>
        <w:tblStyle w:val="4"/>
        <w:tblW w:w="146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0"/>
        <w:gridCol w:w="2194"/>
        <w:gridCol w:w="1359"/>
        <w:gridCol w:w="1359"/>
        <w:gridCol w:w="1359"/>
        <w:gridCol w:w="1359"/>
        <w:gridCol w:w="1447"/>
        <w:gridCol w:w="25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08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br w:type="page"/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Antagonistic bacteria</w:t>
            </w:r>
          </w:p>
          <w:p>
            <w:pPr>
              <w:suppressLineNumbers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>v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s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Pathogenic fungi</w:t>
            </w:r>
          </w:p>
        </w:tc>
        <w:tc>
          <w:tcPr>
            <w:tcW w:w="219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6883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0"/>
                <w:szCs w:val="20"/>
              </w:rPr>
              <w:t xml:space="preserve">Inhibition rate in different proportion of the filtrated fermentation liquid </w:t>
            </w:r>
          </w:p>
        </w:tc>
        <w:tc>
          <w:tcPr>
            <w:tcW w:w="250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Linear regression equation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08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219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359" w:type="dxa"/>
            <w:tcBorders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CK</w:t>
            </w:r>
          </w:p>
        </w:tc>
        <w:tc>
          <w:tcPr>
            <w:tcW w:w="1359" w:type="dxa"/>
            <w:tcBorders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0"/>
                <w:szCs w:val="20"/>
              </w:rPr>
              <w:t>50%</w:t>
            </w:r>
          </w:p>
        </w:tc>
        <w:tc>
          <w:tcPr>
            <w:tcW w:w="1359" w:type="dxa"/>
            <w:tcBorders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0"/>
                <w:szCs w:val="20"/>
              </w:rPr>
              <w:t>25%</w:t>
            </w:r>
          </w:p>
        </w:tc>
        <w:tc>
          <w:tcPr>
            <w:tcW w:w="1359" w:type="dxa"/>
            <w:tcBorders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0"/>
                <w:szCs w:val="20"/>
              </w:rPr>
              <w:t>12.5%</w:t>
            </w:r>
          </w:p>
        </w:tc>
        <w:tc>
          <w:tcPr>
            <w:tcW w:w="1447" w:type="dxa"/>
            <w:tcBorders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0"/>
                <w:szCs w:val="20"/>
              </w:rPr>
              <w:t>6.25%</w:t>
            </w:r>
          </w:p>
        </w:tc>
        <w:tc>
          <w:tcPr>
            <w:tcW w:w="250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08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  <w:t>S. marcescens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vs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F. solani</w:t>
            </w:r>
          </w:p>
        </w:tc>
        <w:tc>
          <w:tcPr>
            <w:tcW w:w="2194" w:type="dxa"/>
            <w:tcBorders>
              <w:top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Colony diameter (cm)</w:t>
            </w:r>
          </w:p>
        </w:tc>
        <w:tc>
          <w:tcPr>
            <w:tcW w:w="135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uppressLineNumbers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6.45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35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uppressLineNumbers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359" w:type="dxa"/>
            <w:tcBorders>
              <w:top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359" w:type="dxa"/>
            <w:tcBorders>
              <w:top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5.50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1447" w:type="dxa"/>
            <w:tcBorders>
              <w:top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6.22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250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 = -26.899x + 104.13</w:t>
            </w:r>
          </w:p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0.955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4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0"/>
                <w:szCs w:val="20"/>
              </w:rPr>
              <w:t>Inhibition rate (%)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82.69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46.51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14.73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3.62</w:t>
            </w:r>
          </w:p>
        </w:tc>
        <w:tc>
          <w:tcPr>
            <w:tcW w:w="25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08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  <w:t>S. marcescens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vs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  <w:t>A.flavus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Colony diameter (cm)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5.90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250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 = -28.011x + 113.35</w:t>
            </w:r>
          </w:p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0.9898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4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0"/>
                <w:szCs w:val="20"/>
              </w:rPr>
              <w:t>Inhibition rate (%)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88.83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52.59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28.34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3.54</w:t>
            </w:r>
          </w:p>
        </w:tc>
        <w:tc>
          <w:tcPr>
            <w:tcW w:w="25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08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  <w:t>N. Panipatense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vs</w:t>
            </w: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S. rolfsii</w:t>
            </w:r>
          </w:p>
        </w:tc>
        <w:tc>
          <w:tcPr>
            <w:tcW w:w="2194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Colony diameter (cm)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6.75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5.95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250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 = -26.37x + 114.44</w:t>
            </w:r>
          </w:p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0.9863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0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4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0"/>
                <w:szCs w:val="20"/>
              </w:rPr>
              <w:t>Inhibition rate (%)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91.85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57.04</w:t>
            </w:r>
          </w:p>
        </w:tc>
        <w:tc>
          <w:tcPr>
            <w:tcW w:w="1359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33.33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11.85</w:t>
            </w:r>
          </w:p>
        </w:tc>
        <w:tc>
          <w:tcPr>
            <w:tcW w:w="25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080" w:type="dxa"/>
            <w:vMerge w:val="restart"/>
            <w:tcBorders>
              <w:bottom w:val="single" w:color="auto" w:sz="12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  <w:t>N. panipatense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vs</w:t>
            </w: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L. arachidicola</w:t>
            </w:r>
          </w:p>
        </w:tc>
        <w:tc>
          <w:tcPr>
            <w:tcW w:w="2194" w:type="dxa"/>
            <w:tcBorders>
              <w:bottom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Colony diameter (cm)</w:t>
            </w:r>
          </w:p>
        </w:tc>
        <w:tc>
          <w:tcPr>
            <w:tcW w:w="1359" w:type="dxa"/>
            <w:tcBorders>
              <w:bottom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6.28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359" w:type="dxa"/>
            <w:tcBorders>
              <w:bottom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359" w:type="dxa"/>
            <w:tcBorders>
              <w:bottom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359" w:type="dxa"/>
            <w:tcBorders>
              <w:bottom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4.75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447" w:type="dxa"/>
            <w:tcBorders>
              <w:bottom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2502" w:type="dxa"/>
            <w:vMerge w:val="restart"/>
            <w:tcBorders>
              <w:bottom w:val="single" w:color="auto" w:sz="12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 = -25.65x + 109.95</w:t>
            </w:r>
          </w:p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0.9427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080" w:type="dxa"/>
            <w:vMerge w:val="continue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4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0"/>
                <w:szCs w:val="20"/>
              </w:rPr>
              <w:t>Inhibition rate (%)</w:t>
            </w:r>
          </w:p>
        </w:tc>
        <w:tc>
          <w:tcPr>
            <w:tcW w:w="1359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9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90.72</w:t>
            </w:r>
          </w:p>
        </w:tc>
        <w:tc>
          <w:tcPr>
            <w:tcW w:w="1359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53.32</w:t>
            </w:r>
          </w:p>
        </w:tc>
        <w:tc>
          <w:tcPr>
            <w:tcW w:w="1359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24.40</w:t>
            </w:r>
          </w:p>
        </w:tc>
        <w:tc>
          <w:tcPr>
            <w:tcW w:w="1447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14.85</w:t>
            </w:r>
          </w:p>
        </w:tc>
        <w:tc>
          <w:tcPr>
            <w:tcW w:w="2502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uppressLineNumbers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>
      <w:pPr>
        <w:widowControl/>
        <w:suppressLineNumbers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Note: Values are mean±standard error of three replicate</w:t>
      </w:r>
    </w:p>
    <w:p>
      <w:pPr>
        <w:suppressLineNumbers/>
        <w:spacing w:line="480" w:lineRule="auto"/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8751B"/>
    <w:rsid w:val="59287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2021-06-03T13:56:00Z</dcterms:created>
  <dc:creator>朝与同歌暮同酒</dc:creator>
  <cp:lastModifiedBy>朝与同歌暮同酒</cp:lastModifiedBy>
  <dcterms:modified xsi:type="dcterms:W3CDTF">2021-06-03T13:58:13Z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3DA0DA33CC894EDCB3BAA52EC4924B9F</vt:lpwstr>
  </property>
</Properties>
</file>