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56F36" w14:textId="21C801CE" w:rsidR="0040189C" w:rsidRDefault="0040189C" w:rsidP="00DD77A8">
      <w:pPr>
        <w:spacing w:before="240" w:after="60"/>
        <w:jc w:val="both"/>
        <w:rPr>
          <w:rFonts w:ascii="Times New Roman" w:hAnsi="Times New Roman" w:cs="Times New Roman"/>
          <w:color w:val="000000"/>
          <w:sz w:val="20"/>
          <w:szCs w:val="20"/>
          <w:lang w:eastAsia="zh-CN"/>
        </w:rPr>
      </w:pPr>
      <w:r>
        <w:rPr>
          <w:noProof/>
        </w:rPr>
        <w:drawing>
          <wp:inline distT="0" distB="0" distL="0" distR="0" wp14:anchorId="3EE5D307" wp14:editId="74B14AAF">
            <wp:extent cx="5274310" cy="4315460"/>
            <wp:effectExtent l="0" t="0" r="2540" b="8890"/>
            <wp:docPr id="1888797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4315460"/>
                    </a:xfrm>
                    <a:prstGeom prst="rect">
                      <a:avLst/>
                    </a:prstGeom>
                    <a:noFill/>
                    <a:ln>
                      <a:noFill/>
                    </a:ln>
                  </pic:spPr>
                </pic:pic>
              </a:graphicData>
            </a:graphic>
          </wp:inline>
        </w:drawing>
      </w:r>
      <w:r w:rsidR="00DD77A8" w:rsidRPr="00DD77A8">
        <w:rPr>
          <w:rFonts w:ascii="Times New Roman" w:hAnsi="Times New Roman" w:cs="Times New Roman" w:hint="eastAsia"/>
          <w:b/>
          <w:bCs/>
          <w:color w:val="000000"/>
          <w:sz w:val="20"/>
          <w:szCs w:val="20"/>
          <w:lang w:eastAsia="zh-CN"/>
        </w:rPr>
        <w:t>Figure S1 Global distribution and invasion rate of fall webworm.</w:t>
      </w:r>
      <w:r w:rsidR="00DD77A8" w:rsidRPr="00DD77A8">
        <w:rPr>
          <w:rFonts w:ascii="Times New Roman" w:hAnsi="Times New Roman" w:cs="Times New Roman" w:hint="eastAsia"/>
          <w:color w:val="000000"/>
          <w:sz w:val="20"/>
          <w:szCs w:val="20"/>
          <w:lang w:eastAsia="zh-CN"/>
        </w:rPr>
        <w:t xml:space="preserve"> (A) First reports of the fall webworm in various countries from 1770 to 2019. (B) Distribution heatmap of the fall webworm in three global hotspot regions.</w:t>
      </w:r>
    </w:p>
    <w:p w14:paraId="10FA0139" w14:textId="77777777" w:rsidR="0040189C" w:rsidRDefault="0040189C">
      <w:pPr>
        <w:spacing w:after="0"/>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br w:type="page"/>
      </w:r>
    </w:p>
    <w:p w14:paraId="616D56DA" w14:textId="1CE61991" w:rsidR="0040189C" w:rsidRPr="00DD77A8" w:rsidRDefault="0040189C" w:rsidP="00DD77A8">
      <w:pPr>
        <w:spacing w:before="240" w:after="60"/>
        <w:jc w:val="both"/>
        <w:rPr>
          <w:rFonts w:ascii="Times New Roman" w:hAnsi="Times New Roman" w:cs="Times New Roman"/>
          <w:color w:val="000000"/>
          <w:sz w:val="20"/>
          <w:szCs w:val="20"/>
          <w:lang w:eastAsia="zh-CN"/>
        </w:rPr>
      </w:pPr>
      <w:r>
        <w:rPr>
          <w:noProof/>
        </w:rPr>
        <w:lastRenderedPageBreak/>
        <w:drawing>
          <wp:inline distT="0" distB="0" distL="0" distR="0" wp14:anchorId="61DF23D3" wp14:editId="3B3B802E">
            <wp:extent cx="5274310" cy="2595245"/>
            <wp:effectExtent l="0" t="0" r="2540" b="0"/>
            <wp:docPr id="14388594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4310" cy="2595245"/>
                    </a:xfrm>
                    <a:prstGeom prst="rect">
                      <a:avLst/>
                    </a:prstGeom>
                    <a:noFill/>
                    <a:ln>
                      <a:noFill/>
                    </a:ln>
                  </pic:spPr>
                </pic:pic>
              </a:graphicData>
            </a:graphic>
          </wp:inline>
        </w:drawing>
      </w:r>
    </w:p>
    <w:p w14:paraId="3F8852C5" w14:textId="50413FC5" w:rsidR="0040189C" w:rsidRDefault="00DD77A8" w:rsidP="00DD77A8">
      <w:pPr>
        <w:spacing w:before="240" w:after="60"/>
        <w:jc w:val="both"/>
        <w:rPr>
          <w:rFonts w:ascii="Times New Roman" w:hAnsi="Times New Roman" w:cs="Times New Roman"/>
          <w:color w:val="000000"/>
          <w:sz w:val="20"/>
          <w:szCs w:val="20"/>
          <w:lang w:eastAsia="zh-CN"/>
        </w:rPr>
      </w:pPr>
      <w:r w:rsidRPr="00DD77A8">
        <w:rPr>
          <w:rFonts w:ascii="Times New Roman" w:hAnsi="Times New Roman" w:cs="Times New Roman" w:hint="eastAsia"/>
          <w:b/>
          <w:bCs/>
          <w:color w:val="000000"/>
          <w:sz w:val="20"/>
          <w:szCs w:val="20"/>
          <w:lang w:eastAsia="zh-CN"/>
        </w:rPr>
        <w:t xml:space="preserve">Figure S2 World Forest Distribution. </w:t>
      </w:r>
      <w:r w:rsidRPr="00DD77A8">
        <w:rPr>
          <w:rFonts w:ascii="Times New Roman" w:hAnsi="Times New Roman" w:cs="Times New Roman" w:hint="eastAsia"/>
          <w:color w:val="000000"/>
          <w:sz w:val="20"/>
          <w:szCs w:val="20"/>
          <w:lang w:eastAsia="zh-CN"/>
        </w:rPr>
        <w:t xml:space="preserve">(A) The world's forests are primarily distributed in tropical regions, followed by boreal, temperate, and subtropical zones. Brazil, Canada, and Russia together hold more than half of the world's primary forests. Among these, Brazil has no distribution of the fall webworm, while only a few temperate forests in Canada and Russia are within the distribution range of the fall webworm. (B) The top ten countries in the world by </w:t>
      </w:r>
      <w:r w:rsidR="001A30EE" w:rsidRPr="001A30EE">
        <w:rPr>
          <w:rFonts w:ascii="Times New Roman" w:hAnsi="Times New Roman" w:cs="Times New Roman" w:hint="eastAsia"/>
          <w:color w:val="000000"/>
          <w:sz w:val="20"/>
          <w:szCs w:val="20"/>
          <w:lang w:eastAsia="zh-CN"/>
        </w:rPr>
        <w:t>natural</w:t>
      </w:r>
      <w:r w:rsidRPr="00DD77A8">
        <w:rPr>
          <w:rFonts w:ascii="Times New Roman" w:hAnsi="Times New Roman" w:cs="Times New Roman" w:hint="eastAsia"/>
          <w:color w:val="000000"/>
          <w:sz w:val="20"/>
          <w:szCs w:val="20"/>
          <w:lang w:eastAsia="zh-CN"/>
        </w:rPr>
        <w:t xml:space="preserve"> forest area. Among these, Russia, Canada, the United States, and China have fall webworm distribution; Brazil, Australia, the Democratic Republic of the Congo, Indonesia, Peru, and India have not yet reported the presence of the fall webworm.</w:t>
      </w:r>
    </w:p>
    <w:p w14:paraId="4DD2F033" w14:textId="77777777" w:rsidR="0040189C" w:rsidRDefault="0040189C">
      <w:pPr>
        <w:spacing w:after="0"/>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br w:type="page"/>
      </w:r>
    </w:p>
    <w:p w14:paraId="402C5E8E" w14:textId="066E1C29" w:rsidR="00DD77A8" w:rsidRPr="00DD77A8" w:rsidRDefault="0040189C" w:rsidP="0040189C">
      <w:pPr>
        <w:spacing w:before="240" w:after="60"/>
        <w:jc w:val="center"/>
        <w:rPr>
          <w:rFonts w:ascii="Times New Roman" w:hAnsi="Times New Roman" w:cs="Times New Roman"/>
          <w:color w:val="000000"/>
          <w:sz w:val="20"/>
          <w:szCs w:val="20"/>
          <w:lang w:eastAsia="zh-CN"/>
        </w:rPr>
      </w:pPr>
      <w:r>
        <w:rPr>
          <w:noProof/>
        </w:rPr>
        <w:lastRenderedPageBreak/>
        <w:drawing>
          <wp:inline distT="0" distB="0" distL="0" distR="0" wp14:anchorId="06C598B1" wp14:editId="331B593E">
            <wp:extent cx="3698240" cy="2557780"/>
            <wp:effectExtent l="0" t="0" r="0" b="0"/>
            <wp:docPr id="19449438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8240" cy="2557780"/>
                    </a:xfrm>
                    <a:prstGeom prst="rect">
                      <a:avLst/>
                    </a:prstGeom>
                    <a:noFill/>
                    <a:ln>
                      <a:noFill/>
                    </a:ln>
                  </pic:spPr>
                </pic:pic>
              </a:graphicData>
            </a:graphic>
          </wp:inline>
        </w:drawing>
      </w:r>
    </w:p>
    <w:p w14:paraId="6BDC1579" w14:textId="680412DD" w:rsidR="0040189C" w:rsidRDefault="00DD77A8" w:rsidP="00DD77A8">
      <w:pPr>
        <w:spacing w:before="240" w:after="60"/>
        <w:jc w:val="both"/>
        <w:rPr>
          <w:rFonts w:ascii="Times New Roman" w:hAnsi="Times New Roman" w:cs="Times New Roman"/>
          <w:color w:val="000000"/>
          <w:sz w:val="20"/>
          <w:szCs w:val="20"/>
          <w:lang w:eastAsia="zh-CN"/>
        </w:rPr>
      </w:pPr>
      <w:r w:rsidRPr="00DD77A8">
        <w:rPr>
          <w:rFonts w:ascii="Times New Roman" w:hAnsi="Times New Roman" w:cs="Times New Roman" w:hint="eastAsia"/>
          <w:b/>
          <w:bCs/>
          <w:color w:val="000000"/>
          <w:sz w:val="20"/>
          <w:szCs w:val="20"/>
          <w:lang w:eastAsia="zh-CN"/>
        </w:rPr>
        <w:t>Figure S3 Trends in global forest resources from 1990 to 2020.</w:t>
      </w:r>
      <w:r w:rsidRPr="00DD77A8">
        <w:rPr>
          <w:rFonts w:ascii="Times New Roman" w:hAnsi="Times New Roman" w:cs="Times New Roman" w:hint="eastAsia"/>
          <w:color w:val="000000"/>
          <w:sz w:val="20"/>
          <w:szCs w:val="20"/>
          <w:lang w:eastAsia="zh-CN"/>
        </w:rPr>
        <w:t xml:space="preserve"> Green represents the area of natural forests, while orange represents the area of planted forests.</w:t>
      </w:r>
    </w:p>
    <w:p w14:paraId="7F548B1D" w14:textId="77777777" w:rsidR="0040189C" w:rsidRDefault="0040189C">
      <w:pPr>
        <w:spacing w:after="0"/>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br w:type="page"/>
      </w:r>
    </w:p>
    <w:p w14:paraId="76745594" w14:textId="019C8E4C" w:rsidR="00DD77A8" w:rsidRPr="00DD77A8" w:rsidRDefault="0040189C" w:rsidP="00DD77A8">
      <w:pPr>
        <w:spacing w:before="240" w:after="60"/>
        <w:jc w:val="both"/>
        <w:rPr>
          <w:rFonts w:ascii="Times New Roman" w:hAnsi="Times New Roman" w:cs="Times New Roman"/>
          <w:color w:val="000000"/>
          <w:sz w:val="20"/>
          <w:szCs w:val="20"/>
          <w:lang w:eastAsia="zh-CN"/>
        </w:rPr>
      </w:pPr>
      <w:r>
        <w:rPr>
          <w:noProof/>
        </w:rPr>
        <w:lastRenderedPageBreak/>
        <w:drawing>
          <wp:inline distT="0" distB="0" distL="0" distR="0" wp14:anchorId="609F32E2" wp14:editId="61271346">
            <wp:extent cx="5274310" cy="3788410"/>
            <wp:effectExtent l="0" t="0" r="2540" b="2540"/>
            <wp:docPr id="3070314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3788410"/>
                    </a:xfrm>
                    <a:prstGeom prst="rect">
                      <a:avLst/>
                    </a:prstGeom>
                    <a:noFill/>
                    <a:ln>
                      <a:noFill/>
                    </a:ln>
                  </pic:spPr>
                </pic:pic>
              </a:graphicData>
            </a:graphic>
          </wp:inline>
        </w:drawing>
      </w:r>
    </w:p>
    <w:p w14:paraId="7530AEDA" w14:textId="2DD961EE" w:rsidR="0040189C" w:rsidRDefault="00DD77A8" w:rsidP="00DD77A8">
      <w:pPr>
        <w:spacing w:before="240" w:after="60"/>
        <w:jc w:val="both"/>
        <w:rPr>
          <w:rFonts w:ascii="Times New Roman" w:hAnsi="Times New Roman" w:cs="Times New Roman"/>
          <w:color w:val="000000"/>
          <w:sz w:val="20"/>
          <w:szCs w:val="20"/>
          <w:lang w:eastAsia="zh-CN"/>
        </w:rPr>
      </w:pPr>
      <w:r w:rsidRPr="00DD77A8">
        <w:rPr>
          <w:rFonts w:ascii="Times New Roman" w:hAnsi="Times New Roman" w:cs="Times New Roman" w:hint="eastAsia"/>
          <w:b/>
          <w:bCs/>
          <w:color w:val="000000"/>
          <w:sz w:val="20"/>
          <w:szCs w:val="20"/>
          <w:lang w:eastAsia="zh-CN"/>
        </w:rPr>
        <w:t>Figure S4 Comparison of temperature and precipitation in the native and invaded distribution areas of the fall webworm.</w:t>
      </w:r>
      <w:r w:rsidRPr="00DD77A8">
        <w:rPr>
          <w:rFonts w:ascii="Times New Roman" w:hAnsi="Times New Roman" w:cs="Times New Roman" w:hint="eastAsia"/>
          <w:color w:val="000000"/>
          <w:sz w:val="20"/>
          <w:szCs w:val="20"/>
          <w:lang w:eastAsia="zh-CN"/>
        </w:rPr>
        <w:t xml:space="preserve"> It can be observed that after invading new areas, the fall webworm is able to adapt to lower annual mean temperature, mean diurnal temperature range, isothermality, mean temperature of the driest quarter, mean temperature of the coldest quarter, annual precipitation, precipitation of the driest month, precipitation of the driest quarter, and precipitation of the coldest quarter. It is also able to adapt to higher temperature seasonality, mean temperature of the wettest quarter, precipitation of the wettest month, precipitation seasonality, precipitation of the wettest quarter, and precipitation of the warmest quarter.</w:t>
      </w:r>
    </w:p>
    <w:p w14:paraId="078EB3E5" w14:textId="77777777" w:rsidR="0040189C" w:rsidRDefault="0040189C">
      <w:pPr>
        <w:spacing w:after="0"/>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br w:type="page"/>
      </w:r>
    </w:p>
    <w:p w14:paraId="02F937AC" w14:textId="51A65E5D" w:rsidR="00DD77A8" w:rsidRPr="00DD77A8" w:rsidRDefault="0040189C" w:rsidP="00DD77A8">
      <w:pPr>
        <w:spacing w:before="240" w:after="60"/>
        <w:jc w:val="both"/>
        <w:rPr>
          <w:rFonts w:ascii="Times New Roman" w:hAnsi="Times New Roman" w:cs="Times New Roman"/>
          <w:color w:val="000000"/>
          <w:sz w:val="20"/>
          <w:szCs w:val="20"/>
          <w:lang w:eastAsia="zh-CN"/>
        </w:rPr>
      </w:pPr>
      <w:r>
        <w:rPr>
          <w:noProof/>
        </w:rPr>
        <w:lastRenderedPageBreak/>
        <w:drawing>
          <wp:inline distT="0" distB="0" distL="0" distR="0" wp14:anchorId="15D3B0C3" wp14:editId="7AE93F1C">
            <wp:extent cx="5274310" cy="4763770"/>
            <wp:effectExtent l="0" t="0" r="2540" b="0"/>
            <wp:docPr id="15771299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763770"/>
                    </a:xfrm>
                    <a:prstGeom prst="rect">
                      <a:avLst/>
                    </a:prstGeom>
                    <a:noFill/>
                    <a:ln>
                      <a:noFill/>
                    </a:ln>
                  </pic:spPr>
                </pic:pic>
              </a:graphicData>
            </a:graphic>
          </wp:inline>
        </w:drawing>
      </w:r>
    </w:p>
    <w:p w14:paraId="67B0D09D" w14:textId="01C6DDB5" w:rsidR="0040189C" w:rsidRDefault="00DD77A8" w:rsidP="00DD77A8">
      <w:pPr>
        <w:spacing w:before="240" w:after="60"/>
        <w:jc w:val="both"/>
        <w:rPr>
          <w:rFonts w:ascii="Times New Roman" w:hAnsi="Times New Roman" w:cs="Times New Roman"/>
          <w:b/>
          <w:bCs/>
          <w:color w:val="000000"/>
          <w:sz w:val="20"/>
          <w:szCs w:val="20"/>
          <w:lang w:eastAsia="zh-CN"/>
        </w:rPr>
      </w:pPr>
      <w:r w:rsidRPr="00DD77A8">
        <w:rPr>
          <w:rFonts w:ascii="Times New Roman" w:hAnsi="Times New Roman" w:cs="Times New Roman" w:hint="eastAsia"/>
          <w:b/>
          <w:bCs/>
          <w:color w:val="000000"/>
          <w:sz w:val="20"/>
          <w:szCs w:val="20"/>
          <w:lang w:eastAsia="zh-CN"/>
        </w:rPr>
        <w:t>Figure S5 Pearson correlation test between 19 environmental variables in the native and invaded distribution sites of the fall webworm (dark red represents a highly positive correlation, and dark blue represents a highly negative correlation).</w:t>
      </w:r>
    </w:p>
    <w:p w14:paraId="45340F31" w14:textId="77777777" w:rsidR="0040189C" w:rsidRDefault="0040189C">
      <w:pPr>
        <w:spacing w:after="0"/>
        <w:rPr>
          <w:rFonts w:ascii="Times New Roman" w:hAnsi="Times New Roman" w:cs="Times New Roman"/>
          <w:b/>
          <w:bCs/>
          <w:color w:val="000000"/>
          <w:sz w:val="20"/>
          <w:szCs w:val="20"/>
          <w:lang w:eastAsia="zh-CN"/>
        </w:rPr>
      </w:pPr>
      <w:r>
        <w:rPr>
          <w:rFonts w:ascii="Times New Roman" w:hAnsi="Times New Roman" w:cs="Times New Roman"/>
          <w:b/>
          <w:bCs/>
          <w:color w:val="000000"/>
          <w:sz w:val="20"/>
          <w:szCs w:val="20"/>
          <w:lang w:eastAsia="zh-CN"/>
        </w:rPr>
        <w:br w:type="page"/>
      </w:r>
    </w:p>
    <w:p w14:paraId="03F24ED4" w14:textId="4A5F8E0C" w:rsidR="00DD77A8" w:rsidRPr="00DD77A8" w:rsidRDefault="0040189C" w:rsidP="0040189C">
      <w:pPr>
        <w:spacing w:before="240" w:after="60"/>
        <w:jc w:val="center"/>
        <w:rPr>
          <w:rFonts w:ascii="Times New Roman" w:hAnsi="Times New Roman" w:cs="Times New Roman"/>
          <w:b/>
          <w:bCs/>
          <w:color w:val="000000"/>
          <w:sz w:val="20"/>
          <w:szCs w:val="20"/>
          <w:lang w:eastAsia="zh-CN"/>
        </w:rPr>
      </w:pPr>
      <w:r>
        <w:rPr>
          <w:noProof/>
        </w:rPr>
        <w:lastRenderedPageBreak/>
        <w:drawing>
          <wp:inline distT="0" distB="0" distL="0" distR="0" wp14:anchorId="013F71D7" wp14:editId="5625959B">
            <wp:extent cx="2326741" cy="1960038"/>
            <wp:effectExtent l="0" t="0" r="0" b="2540"/>
            <wp:docPr id="10920093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062" cy="1965363"/>
                    </a:xfrm>
                    <a:prstGeom prst="rect">
                      <a:avLst/>
                    </a:prstGeom>
                    <a:noFill/>
                    <a:ln>
                      <a:noFill/>
                    </a:ln>
                  </pic:spPr>
                </pic:pic>
              </a:graphicData>
            </a:graphic>
          </wp:inline>
        </w:drawing>
      </w:r>
    </w:p>
    <w:p w14:paraId="053FF4C6" w14:textId="788BFF61" w:rsidR="0040189C" w:rsidRDefault="00DD77A8" w:rsidP="00DD77A8">
      <w:pPr>
        <w:spacing w:before="240" w:after="60"/>
        <w:jc w:val="both"/>
        <w:rPr>
          <w:rFonts w:ascii="Times New Roman" w:hAnsi="Times New Roman" w:cs="Times New Roman"/>
          <w:b/>
          <w:bCs/>
          <w:color w:val="000000"/>
          <w:sz w:val="20"/>
          <w:szCs w:val="20"/>
          <w:lang w:eastAsia="zh-CN"/>
        </w:rPr>
      </w:pPr>
      <w:r w:rsidRPr="00DD77A8">
        <w:rPr>
          <w:rFonts w:ascii="Times New Roman" w:hAnsi="Times New Roman" w:cs="Times New Roman" w:hint="eastAsia"/>
          <w:b/>
          <w:bCs/>
          <w:color w:val="000000"/>
          <w:sz w:val="20"/>
          <w:szCs w:val="20"/>
          <w:lang w:eastAsia="zh-CN"/>
        </w:rPr>
        <w:t>Figure S6 Heatmap of correlations for the remaining 9 climate variables with weaker correlations, after removing 10 variables with Spearman correlation coefficients greater than 0.8.</w:t>
      </w:r>
    </w:p>
    <w:p w14:paraId="2DD1221A" w14:textId="77777777" w:rsidR="0040189C" w:rsidRDefault="0040189C">
      <w:pPr>
        <w:spacing w:after="0"/>
        <w:rPr>
          <w:rFonts w:ascii="Times New Roman" w:hAnsi="Times New Roman" w:cs="Times New Roman"/>
          <w:b/>
          <w:bCs/>
          <w:color w:val="000000"/>
          <w:sz w:val="20"/>
          <w:szCs w:val="20"/>
          <w:lang w:eastAsia="zh-CN"/>
        </w:rPr>
      </w:pPr>
      <w:r>
        <w:rPr>
          <w:rFonts w:ascii="Times New Roman" w:hAnsi="Times New Roman" w:cs="Times New Roman"/>
          <w:b/>
          <w:bCs/>
          <w:color w:val="000000"/>
          <w:sz w:val="20"/>
          <w:szCs w:val="20"/>
          <w:lang w:eastAsia="zh-CN"/>
        </w:rPr>
        <w:br w:type="page"/>
      </w:r>
    </w:p>
    <w:p w14:paraId="5282A1F4" w14:textId="5A25807C" w:rsidR="00DD77A8" w:rsidRPr="00DD77A8" w:rsidRDefault="0040189C" w:rsidP="00DD77A8">
      <w:pPr>
        <w:spacing w:before="240" w:after="60"/>
        <w:jc w:val="both"/>
        <w:rPr>
          <w:rFonts w:ascii="Times New Roman" w:hAnsi="Times New Roman" w:cs="Times New Roman"/>
          <w:b/>
          <w:bCs/>
          <w:color w:val="000000"/>
          <w:sz w:val="20"/>
          <w:szCs w:val="20"/>
          <w:lang w:eastAsia="zh-CN"/>
        </w:rPr>
      </w:pPr>
      <w:r>
        <w:rPr>
          <w:noProof/>
        </w:rPr>
        <w:lastRenderedPageBreak/>
        <w:drawing>
          <wp:inline distT="0" distB="0" distL="0" distR="0" wp14:anchorId="0033453D" wp14:editId="39ADA87D">
            <wp:extent cx="5274310" cy="3241675"/>
            <wp:effectExtent l="0" t="0" r="0" b="0"/>
            <wp:docPr id="819614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241675"/>
                    </a:xfrm>
                    <a:prstGeom prst="rect">
                      <a:avLst/>
                    </a:prstGeom>
                    <a:noFill/>
                    <a:ln>
                      <a:noFill/>
                    </a:ln>
                  </pic:spPr>
                </pic:pic>
              </a:graphicData>
            </a:graphic>
          </wp:inline>
        </w:drawing>
      </w:r>
    </w:p>
    <w:p w14:paraId="019E0C53" w14:textId="1B4896E3" w:rsidR="0040189C" w:rsidRDefault="00DD77A8" w:rsidP="00DD77A8">
      <w:pPr>
        <w:spacing w:before="240" w:after="60"/>
        <w:jc w:val="both"/>
        <w:rPr>
          <w:rFonts w:ascii="Times New Roman" w:hAnsi="Times New Roman" w:cs="Times New Roman"/>
          <w:color w:val="000000"/>
          <w:sz w:val="20"/>
          <w:szCs w:val="20"/>
          <w:lang w:eastAsia="zh-CN"/>
        </w:rPr>
      </w:pPr>
      <w:r w:rsidRPr="00DD77A8">
        <w:rPr>
          <w:rFonts w:ascii="Times New Roman" w:hAnsi="Times New Roman" w:cs="Times New Roman" w:hint="eastAsia"/>
          <w:b/>
          <w:bCs/>
          <w:color w:val="000000"/>
          <w:sz w:val="20"/>
          <w:szCs w:val="20"/>
          <w:lang w:eastAsia="zh-CN"/>
        </w:rPr>
        <w:t>Figure S7 Principal component analysis (PCA) of climate differentiation between the native and invasive ranges of the fall webworm.</w:t>
      </w:r>
      <w:r w:rsidRPr="00DD77A8">
        <w:rPr>
          <w:rFonts w:ascii="Times New Roman" w:hAnsi="Times New Roman" w:cs="Times New Roman" w:hint="eastAsia"/>
          <w:color w:val="000000"/>
          <w:sz w:val="20"/>
          <w:szCs w:val="20"/>
          <w:lang w:eastAsia="zh-CN"/>
        </w:rPr>
        <w:t xml:space="preserve"> The climate variables influencing PCA1 are primarily Annual Mean Temperature, Temperature Seasonality, Mean Temperature of the Driest Quarter</w:t>
      </w:r>
      <w:r w:rsidR="007057A6">
        <w:rPr>
          <w:rFonts w:ascii="Times New Roman" w:hAnsi="Times New Roman" w:cs="Times New Roman" w:hint="eastAsia"/>
          <w:color w:val="000000"/>
          <w:sz w:val="20"/>
          <w:szCs w:val="20"/>
          <w:lang w:eastAsia="zh-CN"/>
        </w:rPr>
        <w:t>,</w:t>
      </w:r>
      <w:r w:rsidR="007057A6" w:rsidRPr="007057A6">
        <w:rPr>
          <w:rFonts w:ascii="Times New Roman" w:hAnsi="Times New Roman" w:cs="Times New Roman" w:hint="eastAsia"/>
          <w:color w:val="000000"/>
          <w:sz w:val="20"/>
          <w:szCs w:val="20"/>
          <w:lang w:eastAsia="zh-CN"/>
        </w:rPr>
        <w:t xml:space="preserve"> </w:t>
      </w:r>
      <w:r w:rsidR="007057A6" w:rsidRPr="00DD77A8">
        <w:rPr>
          <w:rFonts w:ascii="Times New Roman" w:hAnsi="Times New Roman" w:cs="Times New Roman" w:hint="eastAsia"/>
          <w:color w:val="000000"/>
          <w:sz w:val="20"/>
          <w:szCs w:val="20"/>
          <w:lang w:eastAsia="zh-CN"/>
        </w:rPr>
        <w:t>and Precipitation of the Wettest Month</w:t>
      </w:r>
      <w:r w:rsidRPr="00DD77A8">
        <w:rPr>
          <w:rFonts w:ascii="Times New Roman" w:hAnsi="Times New Roman" w:cs="Times New Roman" w:hint="eastAsia"/>
          <w:color w:val="000000"/>
          <w:sz w:val="20"/>
          <w:szCs w:val="20"/>
          <w:lang w:eastAsia="zh-CN"/>
        </w:rPr>
        <w:t>. The climate variables influencing PCA2 are mainly Mean Diurnal Range, Mean Temperature of the Wettest Quarter, and Annual Precipitation. The climate variables influencing PCA3 are primarily Precipitation</w:t>
      </w:r>
      <w:r w:rsidR="007057A6">
        <w:rPr>
          <w:rFonts w:ascii="Times New Roman" w:hAnsi="Times New Roman" w:cs="Times New Roman" w:hint="eastAsia"/>
          <w:color w:val="000000"/>
          <w:sz w:val="20"/>
          <w:szCs w:val="20"/>
          <w:lang w:eastAsia="zh-CN"/>
        </w:rPr>
        <w:t xml:space="preserve"> Seasonality</w:t>
      </w:r>
      <w:r w:rsidRPr="00DD77A8">
        <w:rPr>
          <w:rFonts w:ascii="Times New Roman" w:hAnsi="Times New Roman" w:cs="Times New Roman" w:hint="eastAsia"/>
          <w:color w:val="000000"/>
          <w:sz w:val="20"/>
          <w:szCs w:val="20"/>
          <w:lang w:eastAsia="zh-CN"/>
        </w:rPr>
        <w:t>, and Precipitation of the Warmest Quarter.</w:t>
      </w:r>
    </w:p>
    <w:p w14:paraId="4A71193A" w14:textId="77777777" w:rsidR="0040189C" w:rsidRDefault="0040189C">
      <w:pPr>
        <w:spacing w:after="0"/>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br w:type="page"/>
      </w:r>
    </w:p>
    <w:p w14:paraId="0EA1912D" w14:textId="7AECFF00" w:rsidR="00DD77A8" w:rsidRPr="00DD77A8" w:rsidRDefault="0040189C" w:rsidP="0040189C">
      <w:pPr>
        <w:spacing w:before="240" w:after="60"/>
        <w:jc w:val="center"/>
        <w:rPr>
          <w:rFonts w:ascii="Times New Roman" w:hAnsi="Times New Roman" w:cs="Times New Roman"/>
          <w:color w:val="000000"/>
          <w:sz w:val="20"/>
          <w:szCs w:val="20"/>
          <w:lang w:eastAsia="zh-CN"/>
        </w:rPr>
      </w:pPr>
      <w:r>
        <w:rPr>
          <w:noProof/>
          <w14:ligatures w14:val="standardContextual"/>
        </w:rPr>
        <w:lastRenderedPageBreak/>
        <w:drawing>
          <wp:inline distT="0" distB="0" distL="0" distR="0" wp14:anchorId="70FFA393" wp14:editId="1A3332EB">
            <wp:extent cx="4806315" cy="2874010"/>
            <wp:effectExtent l="0" t="0" r="0" b="2540"/>
            <wp:docPr id="177777117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771176"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806315" cy="2874010"/>
                    </a:xfrm>
                    <a:prstGeom prst="rect">
                      <a:avLst/>
                    </a:prstGeom>
                    <a:noFill/>
                    <a:ln>
                      <a:noFill/>
                    </a:ln>
                  </pic:spPr>
                </pic:pic>
              </a:graphicData>
            </a:graphic>
          </wp:inline>
        </w:drawing>
      </w:r>
    </w:p>
    <w:p w14:paraId="274B8F11" w14:textId="2B9D16E3" w:rsidR="0040189C" w:rsidRDefault="00DD77A8" w:rsidP="00DD77A8">
      <w:pPr>
        <w:spacing w:before="240" w:after="60"/>
        <w:jc w:val="both"/>
        <w:rPr>
          <w:rFonts w:ascii="Times New Roman" w:hAnsi="Times New Roman" w:cs="Times New Roman"/>
          <w:color w:val="000000"/>
          <w:sz w:val="20"/>
          <w:szCs w:val="20"/>
          <w:lang w:eastAsia="zh-CN"/>
        </w:rPr>
      </w:pPr>
      <w:r w:rsidRPr="00DD77A8">
        <w:rPr>
          <w:rFonts w:ascii="Times New Roman" w:hAnsi="Times New Roman" w:cs="Times New Roman" w:hint="eastAsia"/>
          <w:b/>
          <w:bCs/>
          <w:color w:val="000000"/>
          <w:sz w:val="20"/>
          <w:szCs w:val="20"/>
          <w:lang w:eastAsia="zh-CN"/>
        </w:rPr>
        <w:t xml:space="preserve">Figure S8 AUC plot of the species distribution model for the fall webworm. </w:t>
      </w:r>
      <w:r w:rsidRPr="00DD77A8">
        <w:rPr>
          <w:rFonts w:ascii="Times New Roman" w:hAnsi="Times New Roman" w:cs="Times New Roman" w:hint="eastAsia"/>
          <w:color w:val="000000"/>
          <w:sz w:val="20"/>
          <w:szCs w:val="20"/>
          <w:lang w:eastAsia="zh-CN"/>
        </w:rPr>
        <w:t>An AUC value between 0.5 and 0.7 indicates moderate model prediction accuracy, between 0.7 and 0.9 indicates good accuracy, and values above 0.9 suggest excellent prediction accuracy. In this study, the AUC value for the model training dataset was 0.786, indicating good model prediction accuracy.</w:t>
      </w:r>
    </w:p>
    <w:p w14:paraId="4483DAE1" w14:textId="77777777" w:rsidR="0040189C" w:rsidRDefault="0040189C">
      <w:pPr>
        <w:spacing w:after="0"/>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br w:type="page"/>
      </w:r>
    </w:p>
    <w:p w14:paraId="47087C80" w14:textId="01131366" w:rsidR="00DD77A8" w:rsidRPr="00DD77A8" w:rsidRDefault="0040189C" w:rsidP="00DD77A8">
      <w:pPr>
        <w:spacing w:before="240" w:after="60"/>
        <w:jc w:val="both"/>
        <w:rPr>
          <w:rFonts w:ascii="Times New Roman" w:hAnsi="Times New Roman" w:cs="Times New Roman"/>
          <w:color w:val="000000"/>
          <w:sz w:val="20"/>
          <w:szCs w:val="20"/>
          <w:lang w:eastAsia="zh-CN"/>
        </w:rPr>
      </w:pPr>
      <w:r>
        <w:rPr>
          <w:noProof/>
          <w14:ligatures w14:val="standardContextual"/>
        </w:rPr>
        <w:lastRenderedPageBreak/>
        <w:drawing>
          <wp:inline distT="0" distB="0" distL="0" distR="0" wp14:anchorId="53DBE999" wp14:editId="0A6C945C">
            <wp:extent cx="5274310" cy="1940560"/>
            <wp:effectExtent l="0" t="0" r="2540" b="2540"/>
            <wp:docPr id="102418900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9006" name="图片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1940560"/>
                    </a:xfrm>
                    <a:prstGeom prst="rect">
                      <a:avLst/>
                    </a:prstGeom>
                    <a:noFill/>
                    <a:ln>
                      <a:noFill/>
                    </a:ln>
                  </pic:spPr>
                </pic:pic>
              </a:graphicData>
            </a:graphic>
          </wp:inline>
        </w:drawing>
      </w:r>
    </w:p>
    <w:p w14:paraId="18BC3A86" w14:textId="0A632A38" w:rsidR="0040189C" w:rsidRDefault="00DD77A8" w:rsidP="00DD77A8">
      <w:pPr>
        <w:spacing w:before="240" w:after="60"/>
        <w:jc w:val="both"/>
        <w:rPr>
          <w:rFonts w:ascii="Times New Roman" w:hAnsi="Times New Roman" w:cs="Times New Roman"/>
          <w:color w:val="000000"/>
          <w:sz w:val="20"/>
          <w:szCs w:val="20"/>
          <w:lang w:eastAsia="zh-CN"/>
        </w:rPr>
      </w:pPr>
      <w:r w:rsidRPr="00DD77A8">
        <w:rPr>
          <w:rFonts w:ascii="Times New Roman" w:hAnsi="Times New Roman" w:cs="Times New Roman" w:hint="eastAsia"/>
          <w:b/>
          <w:bCs/>
          <w:color w:val="000000"/>
          <w:sz w:val="20"/>
          <w:szCs w:val="20"/>
          <w:lang w:eastAsia="zh-CN"/>
        </w:rPr>
        <w:t>Figure S9 The stepwise evaluation of the main environmental factors.</w:t>
      </w:r>
      <w:r w:rsidRPr="00DD77A8">
        <w:rPr>
          <w:rFonts w:ascii="Times New Roman" w:hAnsi="Times New Roman" w:cs="Times New Roman" w:hint="eastAsia"/>
          <w:color w:val="000000"/>
          <w:sz w:val="20"/>
          <w:szCs w:val="20"/>
          <w:lang w:eastAsia="zh-CN"/>
        </w:rPr>
        <w:t xml:space="preserve"> It shows that the most influential factor is the annual average temperature (bio1). Other significant factors include precipitation of the wettest month (bio13), average temperature of the wettest quarter (bio8), and standard deviation of temperature seasonality (bio4), all of which are considered to have important impacts on the distribution of the fall webworm. The least influential factors are the mean diurnal range (bio2) and annual precipitation (bio12).</w:t>
      </w:r>
    </w:p>
    <w:p w14:paraId="195750D5" w14:textId="77777777" w:rsidR="0040189C" w:rsidRDefault="0040189C">
      <w:pPr>
        <w:spacing w:after="0"/>
        <w:rPr>
          <w:rFonts w:ascii="Times New Roman" w:hAnsi="Times New Roman" w:cs="Times New Roman"/>
          <w:color w:val="000000"/>
          <w:sz w:val="20"/>
          <w:szCs w:val="20"/>
          <w:lang w:eastAsia="zh-CN"/>
        </w:rPr>
      </w:pPr>
      <w:r>
        <w:rPr>
          <w:rFonts w:ascii="Times New Roman" w:hAnsi="Times New Roman" w:cs="Times New Roman"/>
          <w:color w:val="000000"/>
          <w:sz w:val="20"/>
          <w:szCs w:val="20"/>
          <w:lang w:eastAsia="zh-CN"/>
        </w:rPr>
        <w:br w:type="page"/>
      </w:r>
    </w:p>
    <w:p w14:paraId="27448305" w14:textId="475026A1" w:rsidR="0040189C" w:rsidRDefault="0040189C" w:rsidP="00DD77A8">
      <w:pPr>
        <w:spacing w:before="240" w:after="60"/>
        <w:jc w:val="both"/>
        <w:rPr>
          <w:rFonts w:ascii="Times New Roman" w:hAnsi="Times New Roman" w:cs="Times New Roman"/>
          <w:color w:val="000000"/>
          <w:sz w:val="20"/>
          <w:szCs w:val="20"/>
          <w:lang w:eastAsia="zh-CN"/>
        </w:rPr>
      </w:pPr>
      <w:r>
        <w:rPr>
          <w:noProof/>
          <w14:ligatures w14:val="standardContextual"/>
        </w:rPr>
        <w:lastRenderedPageBreak/>
        <w:drawing>
          <wp:inline distT="0" distB="0" distL="0" distR="0" wp14:anchorId="68E6D36A" wp14:editId="7A497D0B">
            <wp:extent cx="5273675" cy="5236845"/>
            <wp:effectExtent l="0" t="0" r="3175" b="1905"/>
            <wp:docPr id="11266" name="图片 9" descr="HC bio因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图片 9" descr="HC bio因子"/>
                    <pic:cNvPicPr>
                      <a:picLocks noChangeAspect="1"/>
                    </pic:cNvPicPr>
                  </pic:nvPicPr>
                  <pic:blipFill>
                    <a:blip r:embed="rId13"/>
                    <a:stretch>
                      <a:fillRect/>
                    </a:stretch>
                  </pic:blipFill>
                  <pic:spPr>
                    <a:xfrm>
                      <a:off x="0" y="0"/>
                      <a:ext cx="5273675" cy="5236845"/>
                    </a:xfrm>
                    <a:prstGeom prst="rect">
                      <a:avLst/>
                    </a:prstGeom>
                    <a:noFill/>
                    <a:ln w="9525">
                      <a:noFill/>
                    </a:ln>
                  </pic:spPr>
                </pic:pic>
              </a:graphicData>
            </a:graphic>
          </wp:inline>
        </w:drawing>
      </w:r>
    </w:p>
    <w:p w14:paraId="081DE044" w14:textId="248B2354" w:rsidR="00DD77A8" w:rsidRPr="00DD77A8" w:rsidRDefault="00DD77A8" w:rsidP="0040189C">
      <w:pPr>
        <w:spacing w:after="0"/>
        <w:rPr>
          <w:rFonts w:ascii="Times New Roman" w:hAnsi="Times New Roman" w:cs="Times New Roman"/>
          <w:color w:val="000000"/>
          <w:sz w:val="20"/>
          <w:szCs w:val="20"/>
          <w:lang w:eastAsia="zh-CN"/>
        </w:rPr>
      </w:pPr>
      <w:r w:rsidRPr="00DD77A8">
        <w:rPr>
          <w:rFonts w:ascii="Times New Roman" w:hAnsi="Times New Roman" w:cs="Times New Roman" w:hint="eastAsia"/>
          <w:b/>
          <w:bCs/>
          <w:color w:val="000000"/>
          <w:sz w:val="20"/>
          <w:szCs w:val="20"/>
          <w:lang w:eastAsia="zh-CN"/>
        </w:rPr>
        <w:t>Figure S10 Response curves of the main clima</w:t>
      </w:r>
      <w:r w:rsidRPr="00DD77A8">
        <w:rPr>
          <w:rFonts w:ascii="Times New Roman" w:hAnsi="Times New Roman" w:cs="Times New Roman"/>
          <w:b/>
          <w:bCs/>
          <w:color w:val="000000"/>
          <w:sz w:val="20"/>
          <w:szCs w:val="20"/>
          <w:lang w:eastAsia="zh-CN"/>
        </w:rPr>
        <w:t xml:space="preserve">te factors. </w:t>
      </w:r>
      <w:r w:rsidRPr="00DD77A8">
        <w:rPr>
          <w:rFonts w:ascii="Times New Roman" w:hAnsi="Times New Roman" w:cs="Times New Roman"/>
          <w:color w:val="000000"/>
          <w:sz w:val="20"/>
          <w:szCs w:val="20"/>
          <w:lang w:eastAsia="zh-CN"/>
        </w:rPr>
        <w:t>The optimal annual average temperature for the fall webworm is 10-18°C, the optimal mean diurnal range is 9-11°C, the optimal average temperature of the wettest quarter is 26°C, the optimal standard deviation of temperature seasonality is 1100, the optimal pr</w:t>
      </w:r>
      <w:r w:rsidRPr="00DD77A8">
        <w:rPr>
          <w:rFonts w:ascii="Times New Roman" w:hAnsi="Times New Roman" w:cs="Times New Roman" w:hint="eastAsia"/>
          <w:color w:val="000000"/>
          <w:sz w:val="20"/>
          <w:szCs w:val="20"/>
          <w:lang w:eastAsia="zh-CN"/>
        </w:rPr>
        <w:t>ecipitation of the wettest month is 200 mm, and the optimal annual precipitation is 600-1400 mm.</w:t>
      </w:r>
    </w:p>
    <w:p w14:paraId="0F18512B" w14:textId="77777777" w:rsidR="00691238" w:rsidRDefault="00691238">
      <w:pPr>
        <w:rPr>
          <w:rFonts w:hint="eastAsia"/>
        </w:rPr>
      </w:pPr>
    </w:p>
    <w:sectPr w:rsidR="0069123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74A"/>
    <w:rsid w:val="00135E00"/>
    <w:rsid w:val="001A30EE"/>
    <w:rsid w:val="0040189C"/>
    <w:rsid w:val="005A3432"/>
    <w:rsid w:val="00691238"/>
    <w:rsid w:val="007057A6"/>
    <w:rsid w:val="009B3CB0"/>
    <w:rsid w:val="00DD77A8"/>
    <w:rsid w:val="00E059B8"/>
    <w:rsid w:val="00EE074A"/>
    <w:rsid w:val="00EF1D2C"/>
    <w:rsid w:val="00FB3A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7A808"/>
  <w15:chartTrackingRefBased/>
  <w15:docId w15:val="{FA56A0CC-5AC0-4BA0-B0D0-4318566F5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77A8"/>
    <w:pPr>
      <w:spacing w:after="200"/>
    </w:pPr>
    <w:rPr>
      <w:kern w:val="0"/>
      <w:sz w:val="22"/>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jpeg"/><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627</Words>
  <Characters>3574</Characters>
  <Application>Microsoft Office Word</Application>
  <DocSecurity>0</DocSecurity>
  <Lines>29</Lines>
  <Paragraphs>8</Paragraphs>
  <ScaleCrop>false</ScaleCrop>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Ning</dc:creator>
  <cp:keywords/>
  <dc:description/>
  <cp:lastModifiedBy>Jing Ning</cp:lastModifiedBy>
  <cp:revision>4</cp:revision>
  <dcterms:created xsi:type="dcterms:W3CDTF">2025-01-10T10:23:00Z</dcterms:created>
  <dcterms:modified xsi:type="dcterms:W3CDTF">2025-01-10T10:42:00Z</dcterms:modified>
</cp:coreProperties>
</file>