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1993" w14:textId="25E90324" w:rsidR="00B83746" w:rsidRPr="00B83746" w:rsidRDefault="00B83746" w:rsidP="00B83746">
      <w:pPr>
        <w:jc w:val="center"/>
        <w:rPr>
          <w:rFonts w:ascii="Times New Roman" w:eastAsia="DengXian Light" w:hAnsi="Times New Roman" w:cs="Times New Roman"/>
          <w:spacing w:val="-10"/>
          <w:kern w:val="28"/>
          <w:sz w:val="36"/>
          <w:szCs w:val="36"/>
          <w:lang w:eastAsia="zh-CN"/>
          <w14:ligatures w14:val="none"/>
        </w:rPr>
      </w:pPr>
      <w:r w:rsidRPr="00B83746">
        <w:rPr>
          <w:rFonts w:ascii="Times New Roman" w:eastAsia="DengXian Light" w:hAnsi="Times New Roman" w:cs="Times New Roman"/>
          <w:spacing w:val="-10"/>
          <w:kern w:val="28"/>
          <w:sz w:val="36"/>
          <w:szCs w:val="36"/>
          <w:lang w:eastAsia="zh-CN"/>
          <w14:ligatures w14:val="none"/>
        </w:rPr>
        <w:t>Supplementary Information</w:t>
      </w:r>
    </w:p>
    <w:p w14:paraId="2E9E0952" w14:textId="2D2F31AE" w:rsidR="00B83746" w:rsidRPr="00B83746" w:rsidRDefault="00B83746" w:rsidP="00B83746">
      <w:pPr>
        <w:jc w:val="center"/>
        <w:rPr>
          <w:rFonts w:ascii="Times New Roman" w:eastAsia="DengXian Light" w:hAnsi="Times New Roman" w:cs="Times New Roman"/>
          <w:spacing w:val="-10"/>
          <w:kern w:val="28"/>
          <w:sz w:val="44"/>
          <w:szCs w:val="44"/>
          <w:lang w:eastAsia="zh-CN"/>
          <w14:ligatures w14:val="none"/>
        </w:rPr>
      </w:pPr>
      <w:r>
        <w:rPr>
          <w:rFonts w:ascii="Times New Roman" w:eastAsia="DengXian Light" w:hAnsi="Times New Roman" w:cs="Times New Roman"/>
          <w:spacing w:val="-10"/>
          <w:kern w:val="28"/>
          <w:sz w:val="44"/>
          <w:szCs w:val="44"/>
          <w:lang w:eastAsia="zh-CN"/>
          <w14:ligatures w14:val="none"/>
        </w:rPr>
        <w:br/>
      </w:r>
      <w:r w:rsidRPr="00B83746">
        <w:rPr>
          <w:rFonts w:ascii="Times New Roman" w:eastAsia="DengXian Light" w:hAnsi="Times New Roman" w:cs="Times New Roman"/>
          <w:spacing w:val="-10"/>
          <w:kern w:val="28"/>
          <w:sz w:val="44"/>
          <w:szCs w:val="44"/>
          <w:lang w:eastAsia="zh-CN"/>
          <w14:ligatures w14:val="none"/>
        </w:rPr>
        <w:t xml:space="preserve">Waveguide Excitation and Spin Pumping of </w:t>
      </w:r>
      <w:proofErr w:type="spellStart"/>
      <w:r w:rsidRPr="00B83746">
        <w:rPr>
          <w:rFonts w:ascii="Times New Roman" w:eastAsia="DengXian Light" w:hAnsi="Times New Roman" w:cs="Times New Roman"/>
          <w:spacing w:val="-10"/>
          <w:kern w:val="28"/>
          <w:sz w:val="44"/>
          <w:szCs w:val="44"/>
          <w:lang w:eastAsia="zh-CN"/>
          <w14:ligatures w14:val="none"/>
        </w:rPr>
        <w:t>Chirally</w:t>
      </w:r>
      <w:proofErr w:type="spellEnd"/>
      <w:r w:rsidRPr="00B83746">
        <w:rPr>
          <w:rFonts w:ascii="Times New Roman" w:eastAsia="DengXian Light" w:hAnsi="Times New Roman" w:cs="Times New Roman"/>
          <w:spacing w:val="-10"/>
          <w:kern w:val="28"/>
          <w:sz w:val="44"/>
          <w:szCs w:val="44"/>
          <w:lang w:eastAsia="zh-CN"/>
          <w14:ligatures w14:val="none"/>
        </w:rPr>
        <w:t xml:space="preserve"> Coupled Quantum Dots</w:t>
      </w:r>
    </w:p>
    <w:p w14:paraId="7FD8676D" w14:textId="77777777" w:rsidR="00B83746" w:rsidRPr="00B83746" w:rsidRDefault="00B83746" w:rsidP="00B83746">
      <w:pPr>
        <w:jc w:val="center"/>
        <w:rPr>
          <w:rFonts w:ascii="Times New Roman" w:eastAsia="DengXian" w:hAnsi="Times New Roman" w:cs="Arial"/>
          <w:kern w:val="0"/>
          <w:sz w:val="21"/>
          <w:szCs w:val="21"/>
          <w:lang w:eastAsia="zh-CN"/>
          <w14:ligatures w14:val="none"/>
        </w:rPr>
      </w:pPr>
      <w:r w:rsidRPr="00B83746">
        <w:rPr>
          <w:rFonts w:ascii="Times New Roman" w:eastAsia="DengXian" w:hAnsi="Times New Roman" w:cs="Arial"/>
          <w:kern w:val="0"/>
          <w:sz w:val="21"/>
          <w:szCs w:val="21"/>
          <w:lang w:eastAsia="zh-CN"/>
          <w14:ligatures w14:val="none"/>
        </w:rPr>
        <w:t>Savvas Germanis,</w:t>
      </w:r>
      <w:proofErr w:type="gramStart"/>
      <w:r w:rsidRPr="00B83746">
        <w:rPr>
          <w:rFonts w:ascii="Times New Roman" w:eastAsia="DengXian" w:hAnsi="Times New Roman" w:cs="Arial"/>
          <w:kern w:val="0"/>
          <w:sz w:val="21"/>
          <w:szCs w:val="21"/>
          <w:vertAlign w:val="superscript"/>
          <w:lang w:eastAsia="zh-CN"/>
          <w14:ligatures w14:val="none"/>
        </w:rPr>
        <w:t>1,†</w:t>
      </w:r>
      <w:proofErr w:type="gramEnd"/>
      <w:r w:rsidRPr="00B83746">
        <w:rPr>
          <w:rFonts w:ascii="Times New Roman" w:eastAsia="DengXian" w:hAnsi="Times New Roman" w:cs="Arial"/>
          <w:kern w:val="0"/>
          <w:sz w:val="21"/>
          <w:szCs w:val="21"/>
          <w:lang w:eastAsia="zh-CN"/>
          <w14:ligatures w14:val="none"/>
        </w:rPr>
        <w:t xml:space="preserve"> </w:t>
      </w:r>
      <w:proofErr w:type="spellStart"/>
      <w:r w:rsidRPr="00B83746">
        <w:rPr>
          <w:rFonts w:ascii="Times New Roman" w:eastAsia="DengXian" w:hAnsi="Times New Roman" w:cs="Arial"/>
          <w:kern w:val="0"/>
          <w:sz w:val="21"/>
          <w:szCs w:val="21"/>
          <w:lang w:eastAsia="zh-CN"/>
          <w14:ligatures w14:val="none"/>
        </w:rPr>
        <w:t>Xuchao</w:t>
      </w:r>
      <w:proofErr w:type="spellEnd"/>
      <w:r w:rsidRPr="00B83746">
        <w:rPr>
          <w:rFonts w:ascii="Times New Roman" w:eastAsia="DengXian" w:hAnsi="Times New Roman" w:cs="Arial"/>
          <w:kern w:val="0"/>
          <w:sz w:val="21"/>
          <w:szCs w:val="21"/>
          <w:lang w:eastAsia="zh-CN"/>
          <w14:ligatures w14:val="none"/>
        </w:rPr>
        <w:t xml:space="preserve"> Chen,</w:t>
      </w:r>
      <w:r w:rsidRPr="00B83746">
        <w:rPr>
          <w:rFonts w:ascii="Times New Roman" w:eastAsia="DengXian" w:hAnsi="Times New Roman" w:cs="Arial"/>
          <w:kern w:val="0"/>
          <w:sz w:val="21"/>
          <w:szCs w:val="21"/>
          <w:vertAlign w:val="superscript"/>
          <w:lang w:eastAsia="zh-CN"/>
          <w14:ligatures w14:val="none"/>
        </w:rPr>
        <w:footnoteReference w:id="1"/>
      </w:r>
      <w:r w:rsidRPr="00B83746">
        <w:rPr>
          <w:rFonts w:ascii="Times New Roman" w:eastAsia="DengXian" w:hAnsi="Times New Roman" w:cs="Arial"/>
          <w:kern w:val="0"/>
          <w:sz w:val="21"/>
          <w:szCs w:val="21"/>
          <w:vertAlign w:val="superscript"/>
          <w:lang w:eastAsia="zh-CN"/>
          <w14:ligatures w14:val="none"/>
        </w:rPr>
        <w:t>,†</w:t>
      </w:r>
      <w:r w:rsidRPr="00B83746">
        <w:rPr>
          <w:rFonts w:ascii="Times New Roman" w:eastAsia="DengXian" w:hAnsi="Times New Roman" w:cs="Arial"/>
          <w:kern w:val="0"/>
          <w:sz w:val="21"/>
          <w:szCs w:val="21"/>
          <w:lang w:eastAsia="zh-CN"/>
          <w14:ligatures w14:val="none"/>
        </w:rPr>
        <w:t xml:space="preserve"> René Dost,</w:t>
      </w:r>
      <w:r w:rsidRPr="00B83746">
        <w:rPr>
          <w:rFonts w:ascii="Times New Roman" w:eastAsia="DengXian" w:hAnsi="Times New Roman" w:cs="Arial"/>
          <w:kern w:val="0"/>
          <w:sz w:val="21"/>
          <w:szCs w:val="21"/>
          <w:vertAlign w:val="superscript"/>
          <w:lang w:eastAsia="zh-CN"/>
          <w14:ligatures w14:val="none"/>
        </w:rPr>
        <w:t>1</w:t>
      </w:r>
      <w:r w:rsidRPr="00B83746">
        <w:rPr>
          <w:rFonts w:ascii="Times New Roman" w:eastAsia="DengXian" w:hAnsi="Times New Roman" w:cs="Arial"/>
          <w:kern w:val="0"/>
          <w:sz w:val="21"/>
          <w:szCs w:val="21"/>
          <w:lang w:eastAsia="zh-CN"/>
          <w14:ligatures w14:val="none"/>
        </w:rPr>
        <w:t xml:space="preserve"> Dominic J. Hallett,</w:t>
      </w:r>
      <w:r w:rsidRPr="00B83746">
        <w:rPr>
          <w:rFonts w:ascii="Times New Roman" w:eastAsia="DengXian" w:hAnsi="Times New Roman" w:cs="Arial"/>
          <w:kern w:val="0"/>
          <w:sz w:val="21"/>
          <w:szCs w:val="21"/>
          <w:vertAlign w:val="superscript"/>
          <w:lang w:eastAsia="zh-CN"/>
          <w14:ligatures w14:val="none"/>
        </w:rPr>
        <w:t>1</w:t>
      </w:r>
      <w:r w:rsidRPr="00B83746">
        <w:rPr>
          <w:rFonts w:ascii="Times New Roman" w:eastAsia="DengXian" w:hAnsi="Times New Roman" w:cs="Arial"/>
          <w:kern w:val="0"/>
          <w:sz w:val="21"/>
          <w:szCs w:val="21"/>
          <w:lang w:eastAsia="zh-CN"/>
          <w14:ligatures w14:val="none"/>
        </w:rPr>
        <w:t xml:space="preserve"> Edmund Clarke,</w:t>
      </w:r>
      <w:r w:rsidRPr="00B83746">
        <w:rPr>
          <w:rFonts w:ascii="Times New Roman" w:eastAsia="DengXian" w:hAnsi="Times New Roman" w:cs="Arial"/>
          <w:kern w:val="0"/>
          <w:sz w:val="21"/>
          <w:szCs w:val="21"/>
          <w:vertAlign w:val="superscript"/>
          <w:lang w:eastAsia="zh-CN"/>
          <w14:ligatures w14:val="none"/>
        </w:rPr>
        <w:t>2</w:t>
      </w:r>
      <w:r w:rsidRPr="00B83746">
        <w:rPr>
          <w:rFonts w:ascii="Times New Roman" w:eastAsia="DengXian" w:hAnsi="Times New Roman" w:cs="Arial"/>
          <w:kern w:val="0"/>
          <w:sz w:val="21"/>
          <w:szCs w:val="21"/>
          <w:lang w:eastAsia="zh-CN"/>
          <w14:ligatures w14:val="none"/>
        </w:rPr>
        <w:t xml:space="preserve"> Pallavi K. Patil,</w:t>
      </w:r>
      <w:r w:rsidRPr="00B83746">
        <w:rPr>
          <w:rFonts w:ascii="Times New Roman" w:eastAsia="DengXian" w:hAnsi="Times New Roman" w:cs="Arial"/>
          <w:kern w:val="0"/>
          <w:sz w:val="21"/>
          <w:szCs w:val="21"/>
          <w:vertAlign w:val="superscript"/>
          <w:lang w:eastAsia="zh-CN"/>
          <w14:ligatures w14:val="none"/>
        </w:rPr>
        <w:t>2</w:t>
      </w:r>
      <w:r w:rsidRPr="00B83746">
        <w:rPr>
          <w:rFonts w:ascii="Times New Roman" w:eastAsia="DengXian" w:hAnsi="Times New Roman" w:cs="Arial"/>
          <w:kern w:val="0"/>
          <w:sz w:val="21"/>
          <w:szCs w:val="21"/>
          <w:lang w:eastAsia="zh-CN"/>
          <w14:ligatures w14:val="none"/>
        </w:rPr>
        <w:t xml:space="preserve"> Maurice S. Skolnick,</w:t>
      </w:r>
      <w:r w:rsidRPr="00B83746">
        <w:rPr>
          <w:rFonts w:ascii="Times New Roman" w:eastAsia="DengXian" w:hAnsi="Times New Roman" w:cs="Arial"/>
          <w:kern w:val="0"/>
          <w:sz w:val="21"/>
          <w:szCs w:val="21"/>
          <w:vertAlign w:val="superscript"/>
          <w:lang w:eastAsia="zh-CN"/>
          <w14:ligatures w14:val="none"/>
        </w:rPr>
        <w:t>1</w:t>
      </w:r>
      <w:r w:rsidRPr="00B83746">
        <w:rPr>
          <w:rFonts w:ascii="Times New Roman" w:eastAsia="DengXian" w:hAnsi="Times New Roman" w:cs="Arial"/>
          <w:kern w:val="0"/>
          <w:sz w:val="21"/>
          <w:szCs w:val="21"/>
          <w:lang w:eastAsia="zh-CN"/>
          <w14:ligatures w14:val="none"/>
        </w:rPr>
        <w:t xml:space="preserve"> Luke R. Wilson,</w:t>
      </w:r>
      <w:r w:rsidRPr="00B83746">
        <w:rPr>
          <w:rFonts w:ascii="Times New Roman" w:eastAsia="DengXian" w:hAnsi="Times New Roman" w:cs="Arial"/>
          <w:kern w:val="0"/>
          <w:sz w:val="21"/>
          <w:szCs w:val="21"/>
          <w:vertAlign w:val="superscript"/>
          <w:lang w:eastAsia="zh-CN"/>
          <w14:ligatures w14:val="none"/>
        </w:rPr>
        <w:t>1</w:t>
      </w:r>
      <w:r w:rsidRPr="00B83746">
        <w:rPr>
          <w:rFonts w:ascii="Times New Roman" w:eastAsia="DengXian" w:hAnsi="Times New Roman" w:cs="Arial"/>
          <w:kern w:val="0"/>
          <w:sz w:val="21"/>
          <w:szCs w:val="21"/>
          <w:lang w:eastAsia="zh-CN"/>
          <w14:ligatures w14:val="none"/>
        </w:rPr>
        <w:t xml:space="preserve"> Hamidreza Siampour,</w:t>
      </w:r>
      <w:r w:rsidRPr="00B83746">
        <w:rPr>
          <w:rFonts w:ascii="Times New Roman" w:eastAsia="DengXian" w:hAnsi="Times New Roman" w:cs="Arial"/>
          <w:kern w:val="0"/>
          <w:sz w:val="21"/>
          <w:szCs w:val="21"/>
          <w:vertAlign w:val="superscript"/>
          <w:lang w:eastAsia="zh-CN"/>
          <w14:ligatures w14:val="none"/>
        </w:rPr>
        <w:t>3,*</w:t>
      </w:r>
      <w:r w:rsidRPr="00B83746">
        <w:rPr>
          <w:rFonts w:ascii="Times New Roman" w:eastAsia="DengXian" w:hAnsi="Times New Roman" w:cs="Arial"/>
          <w:kern w:val="0"/>
          <w:sz w:val="21"/>
          <w:szCs w:val="21"/>
          <w:lang w:eastAsia="zh-CN"/>
          <w14:ligatures w14:val="none"/>
        </w:rPr>
        <w:t xml:space="preserve"> A. Mark Fox</w:t>
      </w:r>
      <w:r w:rsidRPr="00B83746">
        <w:rPr>
          <w:rFonts w:ascii="Times New Roman" w:eastAsia="DengXian" w:hAnsi="Times New Roman" w:cs="Arial"/>
          <w:kern w:val="0"/>
          <w:sz w:val="21"/>
          <w:szCs w:val="21"/>
          <w:vertAlign w:val="superscript"/>
          <w:lang w:eastAsia="zh-CN"/>
          <w14:ligatures w14:val="none"/>
        </w:rPr>
        <w:t>1,*</w:t>
      </w:r>
    </w:p>
    <w:p w14:paraId="2C04BC3B" w14:textId="77777777" w:rsidR="00B83746" w:rsidRPr="00B83746" w:rsidRDefault="00B83746" w:rsidP="00B83746">
      <w:pPr>
        <w:jc w:val="center"/>
        <w:rPr>
          <w:rFonts w:ascii="Times New Roman" w:eastAsia="DengXian" w:hAnsi="Times New Roman" w:cs="Arial"/>
          <w:kern w:val="0"/>
          <w:sz w:val="21"/>
          <w:szCs w:val="21"/>
          <w:lang w:eastAsia="zh-CN"/>
          <w14:ligatures w14:val="none"/>
        </w:rPr>
      </w:pPr>
      <w:r w:rsidRPr="00B83746">
        <w:rPr>
          <w:rFonts w:ascii="Times New Roman" w:eastAsia="DengXian" w:hAnsi="Times New Roman" w:cs="Arial"/>
          <w:kern w:val="0"/>
          <w:sz w:val="21"/>
          <w:szCs w:val="21"/>
          <w:vertAlign w:val="superscript"/>
          <w:lang w:eastAsia="zh-CN"/>
          <w14:ligatures w14:val="none"/>
        </w:rPr>
        <w:t xml:space="preserve">1 </w:t>
      </w:r>
      <w:r w:rsidRPr="00B83746">
        <w:rPr>
          <w:rFonts w:ascii="Times New Roman" w:eastAsia="DengXian" w:hAnsi="Times New Roman" w:cs="Arial"/>
          <w:kern w:val="0"/>
          <w:sz w:val="21"/>
          <w:szCs w:val="21"/>
          <w:lang w:eastAsia="zh-CN"/>
          <w14:ligatures w14:val="none"/>
        </w:rPr>
        <w:t>School of Mathematical and Physical Sciences, University of Sheffield, Hicks Building, Sheffield S3 7RH, UK</w:t>
      </w:r>
    </w:p>
    <w:p w14:paraId="4CB5F22F" w14:textId="77777777" w:rsidR="00B83746" w:rsidRPr="00B83746" w:rsidRDefault="00B83746" w:rsidP="00B83746">
      <w:pPr>
        <w:jc w:val="center"/>
        <w:rPr>
          <w:rFonts w:ascii="Times New Roman" w:eastAsia="DengXian" w:hAnsi="Times New Roman" w:cs="Arial"/>
          <w:kern w:val="0"/>
          <w:sz w:val="21"/>
          <w:szCs w:val="21"/>
          <w:lang w:eastAsia="zh-CN"/>
          <w14:ligatures w14:val="none"/>
        </w:rPr>
      </w:pPr>
      <w:r w:rsidRPr="00B83746">
        <w:rPr>
          <w:rFonts w:ascii="Times New Roman" w:eastAsia="DengXian" w:hAnsi="Times New Roman" w:cs="Arial"/>
          <w:kern w:val="0"/>
          <w:sz w:val="21"/>
          <w:szCs w:val="21"/>
          <w:vertAlign w:val="superscript"/>
          <w:lang w:eastAsia="zh-CN"/>
          <w14:ligatures w14:val="none"/>
        </w:rPr>
        <w:t xml:space="preserve">2 </w:t>
      </w:r>
      <w:r w:rsidRPr="00B83746">
        <w:rPr>
          <w:rFonts w:ascii="Times New Roman" w:eastAsia="DengXian" w:hAnsi="Times New Roman" w:cs="Arial"/>
          <w:kern w:val="0"/>
          <w:sz w:val="21"/>
          <w:szCs w:val="21"/>
          <w:lang w:eastAsia="zh-CN"/>
          <w14:ligatures w14:val="none"/>
        </w:rPr>
        <w:t>EPSRC National Epitaxy Facility, School of Electrical and Electronic Engineering, University of Sheffield, Sheffield S1 3JD, UK</w:t>
      </w:r>
    </w:p>
    <w:p w14:paraId="7B18CB3D" w14:textId="77777777" w:rsidR="00B83746" w:rsidRPr="00B83746" w:rsidRDefault="00B83746" w:rsidP="00B83746">
      <w:pPr>
        <w:jc w:val="center"/>
        <w:rPr>
          <w:rFonts w:ascii="Times New Roman" w:eastAsia="DengXian" w:hAnsi="Times New Roman" w:cs="Arial"/>
          <w:kern w:val="0"/>
          <w:sz w:val="21"/>
          <w:szCs w:val="21"/>
          <w:lang w:eastAsia="zh-CN"/>
          <w14:ligatures w14:val="none"/>
        </w:rPr>
      </w:pPr>
      <w:r w:rsidRPr="00B83746">
        <w:rPr>
          <w:rFonts w:ascii="Times New Roman" w:eastAsia="DengXian" w:hAnsi="Times New Roman" w:cs="Arial"/>
          <w:kern w:val="0"/>
          <w:sz w:val="21"/>
          <w:szCs w:val="21"/>
          <w:vertAlign w:val="superscript"/>
          <w:lang w:eastAsia="zh-CN"/>
          <w14:ligatures w14:val="none"/>
        </w:rPr>
        <w:t xml:space="preserve">3 </w:t>
      </w:r>
      <w:r w:rsidRPr="00B83746">
        <w:rPr>
          <w:rFonts w:ascii="Times New Roman" w:eastAsia="DengXian" w:hAnsi="Times New Roman" w:cs="Arial"/>
          <w:kern w:val="0"/>
          <w:sz w:val="21"/>
          <w:szCs w:val="21"/>
          <w:lang w:eastAsia="zh-CN"/>
          <w14:ligatures w14:val="none"/>
        </w:rPr>
        <w:t>School of Mathematics and Physics, Queen’s University Belfast, University Road, Belfast BT7 1NN, UK</w:t>
      </w:r>
    </w:p>
    <w:p w14:paraId="6B75801E" w14:textId="499D26E0" w:rsidR="00BB51A9" w:rsidRDefault="00B83746" w:rsidP="00C62FAF">
      <w:pPr>
        <w:jc w:val="center"/>
        <w:rPr>
          <w:rFonts w:ascii="Times New Roman" w:eastAsia="DengXian" w:hAnsi="Times New Roman" w:cs="Arial"/>
          <w:kern w:val="0"/>
          <w:sz w:val="21"/>
          <w:szCs w:val="21"/>
          <w:lang w:eastAsia="zh-CN"/>
          <w14:ligatures w14:val="none"/>
        </w:rPr>
      </w:pPr>
      <w:r w:rsidRPr="00B83746">
        <w:rPr>
          <w:rFonts w:ascii="Times New Roman" w:eastAsia="DengXian" w:hAnsi="Times New Roman" w:cs="Arial"/>
          <w:kern w:val="0"/>
          <w:sz w:val="21"/>
          <w:szCs w:val="21"/>
          <w:vertAlign w:val="superscript"/>
          <w:lang w:eastAsia="zh-CN"/>
          <w14:ligatures w14:val="none"/>
        </w:rPr>
        <w:t xml:space="preserve">* </w:t>
      </w:r>
      <w:r w:rsidRPr="00B83746">
        <w:rPr>
          <w:rFonts w:ascii="Times New Roman" w:eastAsia="DengXian" w:hAnsi="Times New Roman" w:cs="Arial"/>
          <w:kern w:val="0"/>
          <w:sz w:val="21"/>
          <w:szCs w:val="21"/>
          <w:lang w:eastAsia="zh-CN"/>
          <w14:ligatures w14:val="none"/>
        </w:rPr>
        <w:t>Emails:</w:t>
      </w:r>
      <w:r w:rsidRPr="00B83746">
        <w:rPr>
          <w:rFonts w:ascii="Times New Roman" w:eastAsia="DengXian" w:hAnsi="Times New Roman" w:cs="Arial"/>
          <w:kern w:val="0"/>
          <w:sz w:val="21"/>
          <w:szCs w:val="21"/>
          <w:vertAlign w:val="superscript"/>
          <w:lang w:eastAsia="zh-CN"/>
          <w14:ligatures w14:val="none"/>
        </w:rPr>
        <w:t xml:space="preserve"> </w:t>
      </w:r>
      <w:hyperlink r:id="rId6" w:history="1">
        <w:r w:rsidRPr="00B83746">
          <w:rPr>
            <w:rFonts w:ascii="Times New Roman" w:eastAsia="DengXian" w:hAnsi="Times New Roman" w:cs="Arial"/>
            <w:color w:val="0000FF"/>
            <w:kern w:val="0"/>
            <w:sz w:val="21"/>
            <w:szCs w:val="21"/>
            <w:u w:val="single"/>
            <w:lang w:eastAsia="zh-CN"/>
            <w14:ligatures w14:val="none"/>
          </w:rPr>
          <w:t>h.siampour@qub.ac.uk</w:t>
        </w:r>
      </w:hyperlink>
      <w:r w:rsidRPr="00B83746">
        <w:rPr>
          <w:rFonts w:ascii="Times New Roman" w:eastAsia="DengXian" w:hAnsi="Times New Roman" w:cs="Arial"/>
          <w:color w:val="0000FF"/>
          <w:kern w:val="0"/>
          <w:sz w:val="21"/>
          <w:szCs w:val="21"/>
          <w:u w:val="single"/>
          <w:lang w:eastAsia="zh-CN"/>
          <w14:ligatures w14:val="none"/>
        </w:rPr>
        <w:t>,</w:t>
      </w:r>
      <w:r w:rsidRPr="00B83746">
        <w:rPr>
          <w:rFonts w:ascii="Times New Roman" w:eastAsia="DengXian" w:hAnsi="Times New Roman" w:cs="Arial"/>
          <w:color w:val="0000FF"/>
          <w:kern w:val="0"/>
          <w:sz w:val="21"/>
          <w:szCs w:val="21"/>
          <w:lang w:eastAsia="zh-CN"/>
          <w14:ligatures w14:val="none"/>
        </w:rPr>
        <w:t xml:space="preserve"> </w:t>
      </w:r>
      <w:hyperlink r:id="rId7" w:history="1">
        <w:r w:rsidRPr="00B83746">
          <w:rPr>
            <w:rFonts w:ascii="Times New Roman" w:eastAsia="DengXian" w:hAnsi="Times New Roman" w:cs="Arial"/>
            <w:color w:val="0000FF"/>
            <w:kern w:val="0"/>
            <w:sz w:val="21"/>
            <w:szCs w:val="21"/>
            <w:u w:val="single"/>
            <w:lang w:eastAsia="zh-CN"/>
            <w14:ligatures w14:val="none"/>
          </w:rPr>
          <w:t>mark.fox@sheffield.ac.uk</w:t>
        </w:r>
      </w:hyperlink>
      <w:r w:rsidR="00C62FAF">
        <w:rPr>
          <w:rFonts w:ascii="Times New Roman" w:eastAsia="DengXian" w:hAnsi="Times New Roman" w:cs="Arial"/>
          <w:kern w:val="0"/>
          <w:sz w:val="21"/>
          <w:szCs w:val="21"/>
          <w:lang w:eastAsia="zh-CN"/>
          <w14:ligatures w14:val="none"/>
        </w:rPr>
        <w:br/>
      </w:r>
      <w:r w:rsidR="00C62FAF">
        <w:rPr>
          <w:rFonts w:ascii="Times New Roman" w:eastAsia="DengXian" w:hAnsi="Times New Roman" w:cs="Arial"/>
          <w:kern w:val="0"/>
          <w:sz w:val="21"/>
          <w:szCs w:val="21"/>
          <w:lang w:eastAsia="zh-CN"/>
          <w14:ligatures w14:val="none"/>
        </w:rPr>
        <w:tab/>
      </w:r>
    </w:p>
    <w:p w14:paraId="0C3EADE5"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6C3A755C"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57FA5088"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75472445"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61525792"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3E82654B"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3B159B30"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690DB474"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58B884CB"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453917FB"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24EEC9EE"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6B1AFB3A"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70BD0632"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0404F2C5"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1A4D4FD6" w14:textId="22FC767F" w:rsidR="00C62FAF" w:rsidRDefault="00C62FAF" w:rsidP="00C62FAF">
      <w:pPr>
        <w:jc w:val="center"/>
        <w:rPr>
          <w:rFonts w:ascii="Times New Roman" w:eastAsia="DengXian" w:hAnsi="Times New Roman" w:cs="Arial"/>
          <w:kern w:val="0"/>
          <w:sz w:val="21"/>
          <w:szCs w:val="21"/>
          <w:lang w:eastAsia="zh-CN"/>
          <w14:ligatures w14:val="none"/>
        </w:rPr>
      </w:pPr>
      <w:r>
        <w:rPr>
          <w:rFonts w:ascii="Times New Roman" w:eastAsia="DengXian" w:hAnsi="Times New Roman" w:cs="Arial"/>
          <w:kern w:val="0"/>
          <w:sz w:val="21"/>
          <w:szCs w:val="21"/>
          <w:lang w:eastAsia="zh-CN"/>
          <w14:ligatures w14:val="none"/>
        </w:rPr>
        <w:tab/>
      </w:r>
    </w:p>
    <w:p w14:paraId="1444C55C" w14:textId="77777777" w:rsidR="00C62FAF" w:rsidRDefault="00C62FAF" w:rsidP="00C62FAF">
      <w:pPr>
        <w:jc w:val="center"/>
        <w:rPr>
          <w:rFonts w:ascii="Times New Roman" w:eastAsia="DengXian" w:hAnsi="Times New Roman" w:cs="Arial"/>
          <w:kern w:val="0"/>
          <w:sz w:val="21"/>
          <w:szCs w:val="21"/>
          <w:lang w:eastAsia="zh-CN"/>
          <w14:ligatures w14:val="none"/>
        </w:rPr>
      </w:pPr>
    </w:p>
    <w:p w14:paraId="0F5DA2EF" w14:textId="77777777" w:rsidR="00C62FAF" w:rsidRPr="00C62FAF" w:rsidRDefault="00C62FAF" w:rsidP="00C62FAF">
      <w:pPr>
        <w:jc w:val="center"/>
        <w:rPr>
          <w:rFonts w:ascii="Times New Roman" w:eastAsia="DengXian" w:hAnsi="Times New Roman" w:cs="Arial"/>
          <w:kern w:val="0"/>
          <w:sz w:val="21"/>
          <w:szCs w:val="21"/>
          <w:lang w:eastAsia="zh-CN"/>
          <w14:ligatures w14:val="none"/>
        </w:rPr>
      </w:pPr>
    </w:p>
    <w:p w14:paraId="25277B4D" w14:textId="77777777" w:rsidR="00BB51A9" w:rsidRDefault="00BB51A9"/>
    <w:p w14:paraId="4C3CFABD" w14:textId="77777777" w:rsidR="00BB51A9" w:rsidRPr="00BB51A9" w:rsidRDefault="00BB51A9" w:rsidP="00BB51A9">
      <w:pPr>
        <w:jc w:val="both"/>
        <w:rPr>
          <w:rFonts w:ascii="Times New Roman" w:eastAsia="DengXian" w:hAnsi="Times New Roman" w:cs="Arial"/>
          <w:color w:val="2B2B2E"/>
          <w:kern w:val="0"/>
          <w:sz w:val="24"/>
          <w:shd w:val="clear" w:color="auto" w:fill="FFFFFF"/>
          <w:lang w:eastAsia="zh-CN"/>
          <w14:ligatures w14:val="none"/>
        </w:rPr>
      </w:pPr>
      <w:r w:rsidRPr="00BB51A9">
        <w:rPr>
          <w:rFonts w:ascii="Times New Roman" w:eastAsia="DengXian" w:hAnsi="Times New Roman" w:cs="Arial"/>
          <w:b/>
          <w:bCs/>
          <w:color w:val="2B2B2E"/>
          <w:kern w:val="0"/>
          <w:sz w:val="24"/>
          <w:shd w:val="clear" w:color="auto" w:fill="FFFFFF"/>
          <w:lang w:eastAsia="zh-CN"/>
          <w14:ligatures w14:val="none"/>
        </w:rPr>
        <w:lastRenderedPageBreak/>
        <w:t>Section S1</w:t>
      </w:r>
      <w:r w:rsidRPr="00BB51A9">
        <w:rPr>
          <w:rFonts w:ascii="Times New Roman" w:eastAsia="DengXian" w:hAnsi="Times New Roman" w:cs="Arial"/>
          <w:color w:val="2B2B2E"/>
          <w:kern w:val="0"/>
          <w:sz w:val="24"/>
          <w:shd w:val="clear" w:color="auto" w:fill="FFFFFF"/>
          <w:lang w:eastAsia="zh-CN"/>
          <w14:ligatures w14:val="none"/>
        </w:rPr>
        <w:t>: Cryogenic photoluminescence setup and p-shell excitation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B51A9" w:rsidRPr="00BB51A9" w14:paraId="7D5F970A" w14:textId="77777777" w:rsidTr="006A7AAC">
        <w:trPr>
          <w:trHeight w:val="4785"/>
        </w:trPr>
        <w:tc>
          <w:tcPr>
            <w:tcW w:w="9016" w:type="dxa"/>
          </w:tcPr>
          <w:p w14:paraId="5A6C0744" w14:textId="77777777" w:rsidR="00BB51A9" w:rsidRPr="00BB51A9" w:rsidRDefault="00BB51A9" w:rsidP="00BB51A9">
            <w:pPr>
              <w:jc w:val="center"/>
              <w:rPr>
                <w:rFonts w:ascii="Times New Roman" w:hAnsi="Times New Roman" w:cs="Arial"/>
                <w:color w:val="2B2B2E"/>
                <w:sz w:val="24"/>
                <w:shd w:val="clear" w:color="auto" w:fill="FFFFFF"/>
              </w:rPr>
            </w:pPr>
            <w:r w:rsidRPr="00BB51A9">
              <w:rPr>
                <w:rFonts w:ascii="Times New Roman" w:hAnsi="Times New Roman" w:cs="Arial"/>
                <w:color w:val="2B2B2E"/>
                <w:sz w:val="24"/>
                <w:shd w:val="clear" w:color="auto" w:fill="FFFFFF"/>
              </w:rPr>
              <w:br/>
            </w:r>
            <w:r w:rsidRPr="00BB51A9">
              <w:rPr>
                <w:rFonts w:ascii="Times New Roman" w:hAnsi="Times New Roman" w:cs="Arial"/>
                <w:noProof/>
                <w:color w:val="2B2B2E"/>
                <w:sz w:val="24"/>
                <w:shd w:val="clear" w:color="auto" w:fill="FFFFFF"/>
              </w:rPr>
              <w:drawing>
                <wp:inline distT="0" distB="0" distL="0" distR="0" wp14:anchorId="39446E81" wp14:editId="115013C6">
                  <wp:extent cx="5465104" cy="3312000"/>
                  <wp:effectExtent l="0" t="0" r="2540" b="3175"/>
                  <wp:docPr id="2193123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5104" cy="3312000"/>
                          </a:xfrm>
                          <a:prstGeom prst="rect">
                            <a:avLst/>
                          </a:prstGeom>
                          <a:noFill/>
                          <a:ln>
                            <a:noFill/>
                          </a:ln>
                        </pic:spPr>
                      </pic:pic>
                    </a:graphicData>
                  </a:graphic>
                </wp:inline>
              </w:drawing>
            </w:r>
          </w:p>
        </w:tc>
      </w:tr>
      <w:tr w:rsidR="00BB51A9" w:rsidRPr="00BB51A9" w14:paraId="3E7DDBF9" w14:textId="77777777" w:rsidTr="006A7AAC">
        <w:trPr>
          <w:trHeight w:val="1665"/>
        </w:trPr>
        <w:tc>
          <w:tcPr>
            <w:tcW w:w="9016" w:type="dxa"/>
          </w:tcPr>
          <w:p w14:paraId="57324495" w14:textId="77777777" w:rsidR="00BB51A9" w:rsidRPr="00BB51A9" w:rsidRDefault="00BB51A9" w:rsidP="00BB51A9">
            <w:pPr>
              <w:jc w:val="both"/>
              <w:rPr>
                <w:rFonts w:ascii="Times New Roman" w:hAnsi="Times New Roman" w:cs="Arial"/>
                <w:noProof/>
                <w:color w:val="2B2B2E"/>
                <w:sz w:val="24"/>
                <w:shd w:val="clear" w:color="auto" w:fill="FFFFFF"/>
              </w:rPr>
            </w:pPr>
            <w:r w:rsidRPr="00BB51A9">
              <w:rPr>
                <w:rFonts w:ascii="Times New Roman" w:hAnsi="Times New Roman" w:cs="Arial"/>
                <w:b/>
                <w:bCs/>
                <w:color w:val="2B2B2E"/>
                <w:sz w:val="20"/>
                <w:szCs w:val="18"/>
                <w:shd w:val="clear" w:color="auto" w:fill="FFFFFF"/>
              </w:rPr>
              <w:t>Figure S1</w:t>
            </w:r>
            <w:r w:rsidRPr="00BB51A9">
              <w:rPr>
                <w:rFonts w:ascii="Times New Roman" w:hAnsi="Times New Roman" w:cs="Arial"/>
                <w:color w:val="2B2B2E"/>
                <w:sz w:val="20"/>
                <w:szCs w:val="18"/>
                <w:shd w:val="clear" w:color="auto" w:fill="FFFFFF"/>
              </w:rPr>
              <w:t xml:space="preserve">: </w:t>
            </w:r>
            <w:r w:rsidRPr="00BB51A9">
              <w:rPr>
                <w:rFonts w:ascii="Times New Roman" w:hAnsi="Times New Roman" w:cs="Arial"/>
                <w:color w:val="2B2B2E"/>
                <w:sz w:val="20"/>
                <w:szCs w:val="20"/>
                <w:shd w:val="clear" w:color="auto" w:fill="FFFFFF"/>
              </w:rPr>
              <w:t>Schematic diagram of the experimental setup. SM: scanning mirror; Mir.: dielectric mirror; BS: beam splitter cube; LP: linear polarizer; WP: halfwave plate; BPF: narrow band pass filter (acting as a flip mirror, which is off the path when observing the full spectrum); FBS: fibre beam splitter; CCD: charged coupled device camera. The time correlation setup, used for both HBT and PL decay time measurements, includes two fast superconducting nanowire single-photon detectors (SNSPDs) and a single-photon counting module. The liquid helium cryostat features a sample space surrounded by superconducting coils, enabling magneto-photoluminescence studies with a Faraday-geometry magnetic field applied along the sample axis.</w:t>
            </w:r>
            <w:r w:rsidRPr="00BB51A9">
              <w:rPr>
                <w:rFonts w:ascii="Times New Roman" w:hAnsi="Times New Roman" w:cs="Arial"/>
                <w:color w:val="2B2B2E"/>
                <w:sz w:val="24"/>
                <w:shd w:val="clear" w:color="auto" w:fill="FFFFFF"/>
              </w:rPr>
              <w:t xml:space="preserve"> </w:t>
            </w:r>
          </w:p>
        </w:tc>
      </w:tr>
    </w:tbl>
    <w:p w14:paraId="7D6CC31C" w14:textId="77777777" w:rsidR="00BB51A9" w:rsidRPr="00BB51A9" w:rsidRDefault="00BB51A9" w:rsidP="00BB51A9">
      <w:pPr>
        <w:jc w:val="both"/>
        <w:rPr>
          <w:rFonts w:ascii="Times New Roman" w:eastAsia="DengXian" w:hAnsi="Times New Roman" w:cs="Arial"/>
          <w:color w:val="2B2B2E"/>
          <w:kern w:val="0"/>
          <w:sz w:val="24"/>
          <w:shd w:val="clear" w:color="auto" w:fill="FFFFFF"/>
          <w:lang w:eastAsia="zh-CN"/>
          <w14:ligatures w14:val="none"/>
        </w:rPr>
      </w:pPr>
      <w:r w:rsidRPr="00BB51A9">
        <w:rPr>
          <w:rFonts w:ascii="Times New Roman" w:eastAsia="DengXian" w:hAnsi="Times New Roman" w:cs="Arial"/>
          <w:color w:val="2B2B2E"/>
          <w:kern w:val="0"/>
          <w:sz w:val="24"/>
          <w:shd w:val="clear" w:color="auto" w:fill="FFFFFF"/>
          <w:lang w:eastAsia="zh-CN"/>
          <w14:ligatures w14:val="none"/>
        </w:rPr>
        <w:br/>
        <w:t xml:space="preserve">The experimental setup (Figure S1) consists of scanning dielectric mirrors (SM) and dielectric mirrors (Mir.) to direct the excitation and detection paths. On the setup's left-hand side, a linear polarizer (LP) and a half-wave plate (WP), rotate the linear polarisation of excitation laser light to be matched with the angle of linearly polarised </w:t>
      </w:r>
      <w:proofErr w:type="spellStart"/>
      <w:r w:rsidRPr="00BB51A9">
        <w:rPr>
          <w:rFonts w:ascii="Times New Roman" w:eastAsia="DengXian" w:hAnsi="Times New Roman" w:cs="Arial"/>
          <w:color w:val="2B2B2E"/>
          <w:kern w:val="0"/>
          <w:sz w:val="24"/>
          <w:shd w:val="clear" w:color="auto" w:fill="FFFFFF"/>
          <w:lang w:eastAsia="zh-CN"/>
          <w14:ligatures w14:val="none"/>
        </w:rPr>
        <w:t>outcoupler’s</w:t>
      </w:r>
      <w:proofErr w:type="spellEnd"/>
      <w:r w:rsidRPr="00BB51A9">
        <w:rPr>
          <w:rFonts w:ascii="Times New Roman" w:eastAsia="DengXian" w:hAnsi="Times New Roman" w:cs="Arial"/>
          <w:color w:val="2B2B2E"/>
          <w:kern w:val="0"/>
          <w:sz w:val="24"/>
          <w:shd w:val="clear" w:color="auto" w:fill="FFFFFF"/>
          <w:lang w:eastAsia="zh-CN"/>
          <w14:ligatures w14:val="none"/>
        </w:rPr>
        <w:t xml:space="preserve"> mode. On the right-hand side, the combination of LP and WP serves to enhance the collection efficiency of the setup. A narrow band-pass filter (BPF) filters the spectrum by selecting only the bandwidth containing the photoluminescence (PL) emission line under investigation for time-resolved PL and correlation measurements. When in the mode of observing the full spectrum, the BPF is off the path. Two fast superconducting nanowire single-photon detectors (SNSPDs) facilitate time-correlated measurements as parts of a Hanbury and Twist setup. A liquid helium cryostat houses the sample for magneto-photoluminescence studies under a magnetic field perpendicular to the device’s plane.</w:t>
      </w:r>
    </w:p>
    <w:tbl>
      <w:tblPr>
        <w:tblStyle w:val="TableGrid1"/>
        <w:tblpPr w:leftFromText="180" w:rightFromText="180" w:vertAnchor="text" w:horzAnchor="page" w:tblpX="1501" w:tblpY="367"/>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BB51A9" w:rsidRPr="00BB51A9" w14:paraId="3EBB554C" w14:textId="77777777" w:rsidTr="006A7AAC">
        <w:tc>
          <w:tcPr>
            <w:tcW w:w="8926" w:type="dxa"/>
          </w:tcPr>
          <w:p w14:paraId="5085F957" w14:textId="77777777" w:rsidR="00BB51A9" w:rsidRPr="00BB51A9" w:rsidRDefault="00BB51A9" w:rsidP="00BB51A9">
            <w:pPr>
              <w:jc w:val="center"/>
              <w:rPr>
                <w:rFonts w:ascii="Times New Roman" w:hAnsi="Times New Roman" w:cs="Arial"/>
                <w:color w:val="2B2B2E"/>
                <w:sz w:val="24"/>
                <w:shd w:val="clear" w:color="auto" w:fill="FFFFFF"/>
              </w:rPr>
            </w:pPr>
            <w:r w:rsidRPr="00BB51A9">
              <w:rPr>
                <w:rFonts w:ascii="Times New Roman" w:hAnsi="Times New Roman" w:cs="Arial"/>
                <w:noProof/>
                <w:color w:val="2B2B2E"/>
                <w:sz w:val="24"/>
                <w:shd w:val="clear" w:color="auto" w:fill="FFFFFF"/>
              </w:rPr>
              <w:lastRenderedPageBreak/>
              <w:drawing>
                <wp:inline distT="0" distB="0" distL="0" distR="0" wp14:anchorId="48133C4A" wp14:editId="24FCC6EA">
                  <wp:extent cx="2946400" cy="3076575"/>
                  <wp:effectExtent l="0" t="0" r="6350" b="9525"/>
                  <wp:docPr id="495485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85970" name=""/>
                          <pic:cNvPicPr/>
                        </pic:nvPicPr>
                        <pic:blipFill rotWithShape="1">
                          <a:blip r:embed="rId9"/>
                          <a:srcRect l="1905" r="9714"/>
                          <a:stretch/>
                        </pic:blipFill>
                        <pic:spPr bwMode="auto">
                          <a:xfrm>
                            <a:off x="0" y="0"/>
                            <a:ext cx="2946811" cy="3077004"/>
                          </a:xfrm>
                          <a:prstGeom prst="rect">
                            <a:avLst/>
                          </a:prstGeom>
                          <a:ln>
                            <a:noFill/>
                          </a:ln>
                          <a:extLst>
                            <a:ext uri="{53640926-AAD7-44D8-BBD7-CCE9431645EC}">
                              <a14:shadowObscured xmlns:a14="http://schemas.microsoft.com/office/drawing/2010/main"/>
                            </a:ext>
                          </a:extLst>
                        </pic:spPr>
                      </pic:pic>
                    </a:graphicData>
                  </a:graphic>
                </wp:inline>
              </w:drawing>
            </w:r>
          </w:p>
        </w:tc>
      </w:tr>
      <w:tr w:rsidR="00BB51A9" w:rsidRPr="00BB51A9" w14:paraId="06B9C8FA" w14:textId="77777777" w:rsidTr="006A7AAC">
        <w:trPr>
          <w:trHeight w:val="648"/>
        </w:trPr>
        <w:tc>
          <w:tcPr>
            <w:tcW w:w="8926" w:type="dxa"/>
          </w:tcPr>
          <w:p w14:paraId="33C42485" w14:textId="77777777" w:rsidR="00BB51A9" w:rsidRPr="00BB51A9" w:rsidRDefault="00BB51A9" w:rsidP="00BB51A9">
            <w:pPr>
              <w:jc w:val="both"/>
              <w:rPr>
                <w:rFonts w:ascii="Times New Roman" w:hAnsi="Times New Roman" w:cs="Arial"/>
                <w:color w:val="2B2B2E"/>
                <w:sz w:val="24"/>
                <w:shd w:val="clear" w:color="auto" w:fill="FFFFFF"/>
              </w:rPr>
            </w:pPr>
            <w:r w:rsidRPr="00BB51A9">
              <w:rPr>
                <w:rFonts w:ascii="Times New Roman" w:eastAsia="Times New Roman" w:hAnsi="Times New Roman" w:cs="Times New Roman"/>
                <w:b/>
                <w:bCs/>
                <w:color w:val="000000"/>
                <w:sz w:val="20"/>
                <w:szCs w:val="20"/>
                <w:shd w:val="clear" w:color="auto" w:fill="FFFFFF"/>
              </w:rPr>
              <w:t>Figure S2</w:t>
            </w:r>
            <w:r w:rsidRPr="00BB51A9">
              <w:rPr>
                <w:rFonts w:ascii="Times New Roman" w:eastAsia="Times New Roman" w:hAnsi="Times New Roman" w:cs="Times New Roman"/>
                <w:color w:val="000000"/>
                <w:sz w:val="20"/>
                <w:szCs w:val="20"/>
                <w:shd w:val="clear" w:color="auto" w:fill="FFFFFF"/>
              </w:rPr>
              <w:t>:</w:t>
            </w:r>
            <w:r w:rsidRPr="00BB51A9">
              <w:rPr>
                <w:rFonts w:ascii="Times New Roman" w:eastAsia="Times New Roman" w:hAnsi="Times New Roman" w:cs="Times New Roman"/>
                <w:b/>
                <w:bCs/>
                <w:color w:val="000000"/>
                <w:sz w:val="20"/>
                <w:szCs w:val="20"/>
                <w:shd w:val="clear" w:color="auto" w:fill="FFFFFF"/>
              </w:rPr>
              <w:t xml:space="preserve"> </w:t>
            </w:r>
            <w:r w:rsidRPr="00BB51A9">
              <w:rPr>
                <w:rFonts w:ascii="Times New Roman" w:eastAsia="Times New Roman" w:hAnsi="Times New Roman" w:cs="Times New Roman"/>
                <w:color w:val="000000"/>
                <w:sz w:val="20"/>
                <w:szCs w:val="20"/>
                <w:shd w:val="clear" w:color="auto" w:fill="FFFFFF"/>
              </w:rPr>
              <w:t xml:space="preserve">PL integrated intensity graph of the exciton line as a function of the CW laser excitation energy detuning from the emission of the QD exciton line in the remote, in-plane excitation experimental scheme. </w:t>
            </w:r>
          </w:p>
        </w:tc>
      </w:tr>
    </w:tbl>
    <w:p w14:paraId="205FDD50" w14:textId="77777777" w:rsidR="00BB51A9" w:rsidRPr="00BB51A9" w:rsidRDefault="00BB51A9" w:rsidP="00BB51A9">
      <w:pPr>
        <w:jc w:val="both"/>
        <w:rPr>
          <w:rFonts w:ascii="Times New Roman" w:eastAsia="DengXian" w:hAnsi="Times New Roman" w:cs="Arial"/>
          <w:color w:val="2B2B2E"/>
          <w:kern w:val="0"/>
          <w:sz w:val="24"/>
          <w:shd w:val="clear" w:color="auto" w:fill="FFFFFF"/>
          <w:lang w:eastAsia="zh-CN"/>
          <w14:ligatures w14:val="none"/>
        </w:rPr>
      </w:pPr>
    </w:p>
    <w:p w14:paraId="18BA0C46" w14:textId="77777777" w:rsidR="00BB51A9" w:rsidRPr="00BB51A9" w:rsidRDefault="00BB51A9" w:rsidP="00BB51A9">
      <w:pPr>
        <w:jc w:val="both"/>
        <w:rPr>
          <w:rFonts w:ascii="Times New Roman" w:eastAsia="DengXian" w:hAnsi="Times New Roman" w:cs="Arial"/>
          <w:color w:val="2B2B2E"/>
          <w:kern w:val="0"/>
          <w:sz w:val="24"/>
          <w:shd w:val="clear" w:color="auto" w:fill="FFFFFF"/>
          <w:lang w:eastAsia="zh-CN"/>
          <w14:ligatures w14:val="none"/>
        </w:rPr>
      </w:pPr>
      <w:r w:rsidRPr="00BB51A9">
        <w:rPr>
          <w:rFonts w:ascii="Times New Roman" w:eastAsia="DengXian" w:hAnsi="Times New Roman" w:cs="Arial"/>
          <w:color w:val="2B2B2E"/>
          <w:kern w:val="0"/>
          <w:sz w:val="24"/>
          <w:shd w:val="clear" w:color="auto" w:fill="FFFFFF"/>
          <w:lang w:eastAsia="zh-CN"/>
          <w14:ligatures w14:val="none"/>
        </w:rPr>
        <w:t>Figure S2 shows a photoluminescence excitation (PLE) spectrum of QD1 in the vicinity of the p-shell transition.  P-shell excitation experiments provided the ability to initialise the circularly polarized optical state efficiently through the relaxation process from p-states to the ground, preserving the spin memory of the initial p-state. Special care was taken during the measurements to maintain the stability of the quasi-resonant excitation energy, as the total diode field (comprising the built-in and applied fields) varied under different excitation conditions (direct and in-plane). This variation was primarily due to the differing excitation power densities of the photogenerated optical field and its contribution to the total diode field. This enabled us to compare the effects of local and remote excitation schemes on directional contrast measurements.</w:t>
      </w:r>
    </w:p>
    <w:p w14:paraId="34759479" w14:textId="77777777" w:rsidR="00BB51A9" w:rsidRPr="00BB51A9" w:rsidRDefault="00BB51A9" w:rsidP="00BB51A9">
      <w:pPr>
        <w:jc w:val="both"/>
        <w:rPr>
          <w:rFonts w:ascii="Times New Roman" w:eastAsia="DengXian" w:hAnsi="Times New Roman" w:cs="Arial"/>
          <w:color w:val="2B2B2E"/>
          <w:kern w:val="0"/>
          <w:sz w:val="24"/>
          <w:shd w:val="clear" w:color="auto" w:fill="FFFFFF"/>
          <w:lang w:eastAsia="zh-CN"/>
          <w14:ligatures w14:val="none"/>
        </w:rPr>
      </w:pPr>
      <w:r w:rsidRPr="00BB51A9">
        <w:rPr>
          <w:rFonts w:ascii="Times New Roman" w:eastAsia="DengXian" w:hAnsi="Times New Roman" w:cs="Arial"/>
          <w:b/>
          <w:bCs/>
          <w:color w:val="2B2B2E"/>
          <w:kern w:val="0"/>
          <w:sz w:val="24"/>
          <w:shd w:val="clear" w:color="auto" w:fill="FFFFFF"/>
          <w:lang w:eastAsia="zh-CN"/>
          <w14:ligatures w14:val="none"/>
        </w:rPr>
        <w:t>Section S2</w:t>
      </w:r>
      <w:r w:rsidRPr="00BB51A9">
        <w:rPr>
          <w:rFonts w:ascii="Times New Roman" w:eastAsia="DengXian" w:hAnsi="Times New Roman" w:cs="Arial"/>
          <w:color w:val="2B2B2E"/>
          <w:kern w:val="0"/>
          <w:sz w:val="24"/>
          <w:shd w:val="clear" w:color="auto" w:fill="FFFFFF"/>
          <w:lang w:eastAsia="zh-CN"/>
          <w14:ligatures w14:val="none"/>
        </w:rPr>
        <w:t>: HBT correlation measurements</w:t>
      </w:r>
    </w:p>
    <w:p w14:paraId="1DCDC4E5" w14:textId="77777777" w:rsidR="00BB51A9" w:rsidRPr="00BB51A9" w:rsidRDefault="00BB51A9" w:rsidP="00BB51A9">
      <w:pPr>
        <w:jc w:val="both"/>
        <w:rPr>
          <w:rFonts w:ascii="Times New Roman" w:eastAsia="DengXian" w:hAnsi="Times New Roman" w:cs="Arial"/>
          <w:color w:val="2B2B2E"/>
          <w:kern w:val="0"/>
          <w:sz w:val="24"/>
          <w:shd w:val="clear" w:color="auto" w:fill="FFFFFF"/>
          <w:lang w:eastAsia="zh-CN"/>
          <w14:ligatures w14:val="none"/>
        </w:rPr>
      </w:pPr>
      <w:bookmarkStart w:id="0" w:name="_Hlk180618150"/>
      <w:r w:rsidRPr="00BB51A9">
        <w:rPr>
          <w:rFonts w:ascii="Times New Roman" w:eastAsia="DengXian" w:hAnsi="Times New Roman" w:cs="Arial"/>
          <w:color w:val="2B2B2E"/>
          <w:kern w:val="0"/>
          <w:sz w:val="24"/>
          <w:shd w:val="clear" w:color="auto" w:fill="FFFFFF"/>
          <w:lang w:eastAsia="zh-CN"/>
          <w14:ligatures w14:val="none"/>
        </w:rPr>
        <w:t xml:space="preserve">Figure S3 shows Hanbury Brown–Twiss (HBT) measurements of the second-order correlation function </w:t>
      </w:r>
      <m:oMath>
        <m:sSup>
          <m:sSupPr>
            <m:ctrlPr>
              <w:rPr>
                <w:rFonts w:ascii="Cambria Math" w:eastAsia="DengXian" w:hAnsi="Cambria Math" w:cs="Arial"/>
                <w:i/>
                <w:color w:val="2B2B2E"/>
                <w:kern w:val="0"/>
                <w:sz w:val="24"/>
                <w:shd w:val="clear" w:color="auto" w:fill="FFFFFF"/>
                <w:lang w:eastAsia="zh-CN"/>
                <w14:ligatures w14:val="none"/>
              </w:rPr>
            </m:ctrlPr>
          </m:sSupPr>
          <m:e>
            <m:r>
              <w:rPr>
                <w:rFonts w:ascii="Cambria Math" w:eastAsia="DengXian" w:hAnsi="Cambria Math" w:cs="Arial"/>
                <w:color w:val="2B2B2E"/>
                <w:kern w:val="0"/>
                <w:sz w:val="24"/>
                <w:shd w:val="clear" w:color="auto" w:fill="FFFFFF"/>
                <w:lang w:eastAsia="zh-CN"/>
                <w14:ligatures w14:val="none"/>
              </w:rPr>
              <m:t>g</m:t>
            </m:r>
          </m:e>
          <m:sup>
            <m:r>
              <w:rPr>
                <w:rFonts w:ascii="Cambria Math" w:eastAsia="DengXian" w:hAnsi="Cambria Math" w:cs="Arial"/>
                <w:color w:val="2B2B2E"/>
                <w:kern w:val="0"/>
                <w:sz w:val="24"/>
                <w:shd w:val="clear" w:color="auto" w:fill="FFFFFF"/>
                <w:lang w:eastAsia="zh-CN"/>
                <w14:ligatures w14:val="none"/>
              </w:rPr>
              <m:t>2</m:t>
            </m:r>
          </m:sup>
        </m:sSup>
        <m:d>
          <m:dPr>
            <m:ctrlPr>
              <w:rPr>
                <w:rFonts w:ascii="Cambria Math" w:eastAsia="DengXian" w:hAnsi="Cambria Math" w:cs="Arial"/>
                <w:i/>
                <w:color w:val="2B2B2E"/>
                <w:kern w:val="0"/>
                <w:sz w:val="24"/>
                <w:shd w:val="clear" w:color="auto" w:fill="FFFFFF"/>
                <w:lang w:eastAsia="zh-CN"/>
                <w14:ligatures w14:val="none"/>
              </w:rPr>
            </m:ctrlPr>
          </m:dPr>
          <m:e>
            <m:r>
              <w:rPr>
                <w:rFonts w:ascii="Cambria Math" w:eastAsia="DengXian" w:hAnsi="Cambria Math" w:cs="Arial"/>
                <w:color w:val="2B2B2E"/>
                <w:kern w:val="0"/>
                <w:sz w:val="24"/>
                <w:shd w:val="clear" w:color="auto" w:fill="FFFFFF"/>
                <w:lang w:eastAsia="zh-CN"/>
                <w14:ligatures w14:val="none"/>
              </w:rPr>
              <m:t>τ</m:t>
            </m:r>
          </m:e>
        </m:d>
      </m:oMath>
      <w:r w:rsidRPr="00BB51A9">
        <w:rPr>
          <w:rFonts w:ascii="Times New Roman" w:eastAsia="DengXian" w:hAnsi="Times New Roman" w:cs="Arial"/>
          <w:color w:val="2B2B2E"/>
          <w:kern w:val="0"/>
          <w:sz w:val="24"/>
          <w:shd w:val="clear" w:color="auto" w:fill="FFFFFF"/>
          <w:lang w:eastAsia="zh-CN"/>
          <w14:ligatures w14:val="none"/>
        </w:rPr>
        <w:t xml:space="preserve"> under pulsed excitation on the p-shell absorption line, operating below the saturation regime of the exciton state. </w:t>
      </w:r>
      <w:bookmarkEnd w:id="0"/>
      <w:r w:rsidRPr="00BB51A9">
        <w:rPr>
          <w:rFonts w:ascii="Times New Roman" w:eastAsia="DengXian" w:hAnsi="Times New Roman" w:cs="Arial"/>
          <w:color w:val="2B2B2E"/>
          <w:kern w:val="0"/>
          <w:sz w:val="24"/>
          <w:shd w:val="clear" w:color="auto" w:fill="FFFFFF"/>
          <w:lang w:eastAsia="zh-CN"/>
          <w14:ligatures w14:val="none"/>
        </w:rPr>
        <w:t>The multiphoton emission at zero delay is highly suppressed, dropping to approximately 21% of the adjacent peaks, demonstrating the ability of the QD to act as a single-photon source. The value of g</w:t>
      </w:r>
      <w:r w:rsidRPr="00BB51A9">
        <w:rPr>
          <w:rFonts w:ascii="Times New Roman" w:eastAsia="DengXian" w:hAnsi="Times New Roman" w:cs="Arial"/>
          <w:color w:val="2B2B2E"/>
          <w:kern w:val="0"/>
          <w:sz w:val="24"/>
          <w:shd w:val="clear" w:color="auto" w:fill="FFFFFF"/>
          <w:vertAlign w:val="superscript"/>
          <w:lang w:eastAsia="zh-CN"/>
          <w14:ligatures w14:val="none"/>
        </w:rPr>
        <w:t>2</w:t>
      </w:r>
      <w:r w:rsidRPr="00BB51A9">
        <w:rPr>
          <w:rFonts w:ascii="Times New Roman" w:eastAsia="DengXian" w:hAnsi="Times New Roman" w:cs="Arial"/>
          <w:color w:val="2B2B2E"/>
          <w:kern w:val="0"/>
          <w:sz w:val="24"/>
          <w:shd w:val="clear" w:color="auto" w:fill="FFFFFF"/>
          <w:lang w:eastAsia="zh-CN"/>
          <w14:ligatures w14:val="none"/>
        </w:rPr>
        <w:t>(0) is higher than in the CW results in Figure 4c on account of the different pumping conditions. Through autocorrelation measurements, we have shown strong photon antibunching behaviour in both CW and pulsed excitation schemes, validating this QD as a single-photon source suitable for chiral quantum-optical experiments. For pulsed excitation measurements, a weak non-resonant laser was used in addition to the quasi-resonant laser to stabilise charge fluctuations in the quantum dot vicinity, as the emission lines were broad under pulsed excitation. This helped to improve the signal quality, particularly in the lifetime measurements.</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B51A9" w:rsidRPr="00BB51A9" w14:paraId="02E1E09D" w14:textId="77777777" w:rsidTr="006A7AAC">
        <w:tc>
          <w:tcPr>
            <w:tcW w:w="9016" w:type="dxa"/>
          </w:tcPr>
          <w:p w14:paraId="7A073DFC" w14:textId="77777777" w:rsidR="00BB51A9" w:rsidRPr="00BB51A9" w:rsidRDefault="00BB51A9" w:rsidP="00BB51A9">
            <w:pPr>
              <w:jc w:val="center"/>
              <w:rPr>
                <w:rFonts w:ascii="Times New Roman" w:hAnsi="Times New Roman" w:cs="Arial"/>
                <w:b/>
                <w:bCs/>
                <w:color w:val="2B2B2E"/>
                <w:sz w:val="20"/>
                <w:szCs w:val="18"/>
                <w:shd w:val="clear" w:color="auto" w:fill="FFFFFF"/>
              </w:rPr>
            </w:pPr>
            <w:r w:rsidRPr="00BB51A9">
              <w:rPr>
                <w:rFonts w:ascii="Times New Roman" w:hAnsi="Times New Roman" w:cs="Arial"/>
                <w:b/>
                <w:bCs/>
                <w:noProof/>
                <w:color w:val="2B2B2E"/>
                <w:sz w:val="24"/>
                <w:shd w:val="clear" w:color="auto" w:fill="FFFFFF"/>
              </w:rPr>
              <w:lastRenderedPageBreak/>
              <w:drawing>
                <wp:inline distT="0" distB="0" distL="0" distR="0" wp14:anchorId="1067C54B" wp14:editId="78089041">
                  <wp:extent cx="2551680" cy="2196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r="11081"/>
                          <a:stretch/>
                        </pic:blipFill>
                        <pic:spPr bwMode="auto">
                          <a:xfrm>
                            <a:off x="0" y="0"/>
                            <a:ext cx="2551680" cy="2196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B51A9" w:rsidRPr="00BB51A9" w14:paraId="7FB50D35" w14:textId="77777777" w:rsidTr="006A7AAC">
        <w:tc>
          <w:tcPr>
            <w:tcW w:w="9016" w:type="dxa"/>
          </w:tcPr>
          <w:p w14:paraId="2E72A873" w14:textId="77777777" w:rsidR="00BB51A9" w:rsidRPr="00BB51A9" w:rsidRDefault="00BB51A9" w:rsidP="00BB51A9">
            <w:pPr>
              <w:jc w:val="both"/>
              <w:rPr>
                <w:rFonts w:ascii="Times New Roman" w:hAnsi="Times New Roman" w:cs="Arial"/>
                <w:color w:val="2B2B2E"/>
                <w:kern w:val="0"/>
                <w:sz w:val="20"/>
                <w:szCs w:val="18"/>
                <w:shd w:val="clear" w:color="auto" w:fill="FFFFFF"/>
                <w14:ligatures w14:val="none"/>
              </w:rPr>
            </w:pPr>
            <w:r w:rsidRPr="00BB51A9">
              <w:rPr>
                <w:rFonts w:ascii="Times New Roman" w:hAnsi="Times New Roman" w:cs="Arial"/>
                <w:b/>
                <w:bCs/>
                <w:color w:val="2B2B2E"/>
                <w:kern w:val="0"/>
                <w:sz w:val="20"/>
                <w:szCs w:val="18"/>
                <w:shd w:val="clear" w:color="auto" w:fill="FFFFFF"/>
                <w14:ligatures w14:val="none"/>
              </w:rPr>
              <w:t>Figure S3</w:t>
            </w:r>
            <w:r w:rsidRPr="00BB51A9">
              <w:rPr>
                <w:rFonts w:ascii="Times New Roman" w:hAnsi="Times New Roman" w:cs="Arial"/>
                <w:color w:val="2B2B2E"/>
                <w:kern w:val="0"/>
                <w:sz w:val="20"/>
                <w:szCs w:val="18"/>
                <w:shd w:val="clear" w:color="auto" w:fill="FFFFFF"/>
                <w14:ligatures w14:val="none"/>
              </w:rPr>
              <w:t>:</w:t>
            </w:r>
            <w:r w:rsidRPr="00BB51A9">
              <w:rPr>
                <w:rFonts w:ascii="Times New Roman" w:hAnsi="Times New Roman" w:cs="Arial"/>
                <w:b/>
                <w:bCs/>
                <w:color w:val="2B2B2E"/>
                <w:kern w:val="0"/>
                <w:sz w:val="20"/>
                <w:szCs w:val="18"/>
                <w:shd w:val="clear" w:color="auto" w:fill="FFFFFF"/>
                <w14:ligatures w14:val="none"/>
              </w:rPr>
              <w:t xml:space="preserve"> </w:t>
            </w:r>
            <w:r w:rsidRPr="00BB51A9">
              <w:rPr>
                <w:rFonts w:ascii="Times New Roman" w:hAnsi="Times New Roman" w:cs="Arial"/>
                <w:color w:val="2B2B2E"/>
                <w:kern w:val="0"/>
                <w:sz w:val="20"/>
                <w:szCs w:val="18"/>
                <w:shd w:val="clear" w:color="auto" w:fill="FFFFFF"/>
                <w14:ligatures w14:val="none"/>
              </w:rPr>
              <w:t>Auto-correlation PL histograms without background correction obtained using an HBT setup. The second-order correlation function under pulsed excitation conditions is shown.</w:t>
            </w:r>
          </w:p>
        </w:tc>
      </w:tr>
    </w:tbl>
    <w:p w14:paraId="5FC89B65" w14:textId="77777777" w:rsidR="00BB51A9" w:rsidRPr="00BB51A9" w:rsidRDefault="00BB51A9" w:rsidP="00BB51A9">
      <w:pPr>
        <w:jc w:val="both"/>
        <w:rPr>
          <w:rFonts w:ascii="Times New Roman" w:eastAsia="DengXian" w:hAnsi="Times New Roman" w:cs="Arial"/>
          <w:b/>
          <w:bCs/>
          <w:color w:val="2B2B2E"/>
          <w:kern w:val="0"/>
          <w:sz w:val="24"/>
          <w:shd w:val="clear" w:color="auto" w:fill="FFFFFF"/>
          <w:lang w:eastAsia="zh-CN"/>
          <w14:ligatures w14:val="none"/>
        </w:rPr>
      </w:pPr>
    </w:p>
    <w:p w14:paraId="2DFE5652" w14:textId="77777777" w:rsidR="00BB51A9" w:rsidRPr="00BB51A9" w:rsidRDefault="00BB51A9" w:rsidP="00BB51A9">
      <w:pPr>
        <w:jc w:val="both"/>
        <w:rPr>
          <w:rFonts w:ascii="Times New Roman" w:eastAsia="DengXian" w:hAnsi="Times New Roman" w:cs="Arial"/>
          <w:color w:val="2B2B2E"/>
          <w:kern w:val="0"/>
          <w:sz w:val="24"/>
          <w:shd w:val="clear" w:color="auto" w:fill="FFFFFF"/>
          <w:lang w:eastAsia="zh-CN"/>
          <w14:ligatures w14:val="none"/>
        </w:rPr>
      </w:pPr>
      <w:r w:rsidRPr="00BB51A9">
        <w:rPr>
          <w:rFonts w:ascii="Times New Roman" w:eastAsia="DengXian" w:hAnsi="Times New Roman" w:cs="Arial"/>
          <w:b/>
          <w:bCs/>
          <w:color w:val="2B2B2E"/>
          <w:kern w:val="0"/>
          <w:sz w:val="24"/>
          <w:shd w:val="clear" w:color="auto" w:fill="FFFFFF"/>
          <w:lang w:eastAsia="zh-CN"/>
          <w14:ligatures w14:val="none"/>
        </w:rPr>
        <w:t>Section S3</w:t>
      </w:r>
      <w:r w:rsidRPr="00BB51A9">
        <w:rPr>
          <w:rFonts w:ascii="Times New Roman" w:eastAsia="DengXian" w:hAnsi="Times New Roman" w:cs="Arial"/>
          <w:color w:val="2B2B2E"/>
          <w:kern w:val="0"/>
          <w:sz w:val="24"/>
          <w:shd w:val="clear" w:color="auto" w:fill="FFFFFF"/>
          <w:lang w:eastAsia="zh-CN"/>
          <w14:ligatures w14:val="none"/>
        </w:rPr>
        <w:t>: Simulation</w:t>
      </w:r>
    </w:p>
    <w:p w14:paraId="11425F75" w14:textId="77777777" w:rsidR="00BB51A9" w:rsidRPr="00BB51A9" w:rsidRDefault="00BB51A9" w:rsidP="00BB51A9">
      <w:pPr>
        <w:jc w:val="both"/>
        <w:rPr>
          <w:rFonts w:ascii="Times New Roman" w:eastAsia="DengXian" w:hAnsi="Times New Roman" w:cs="Arial"/>
          <w:color w:val="2B2B2E"/>
          <w:kern w:val="0"/>
          <w:sz w:val="24"/>
          <w:shd w:val="clear" w:color="auto" w:fill="FFFFFF"/>
          <w:vertAlign w:val="superscript"/>
          <w:lang w:eastAsia="zh-CN"/>
          <w14:ligatures w14:val="none"/>
        </w:rPr>
      </w:pPr>
      <w:r w:rsidRPr="00BB51A9">
        <w:rPr>
          <w:rFonts w:ascii="Times New Roman" w:eastAsia="DengXian" w:hAnsi="Times New Roman" w:cs="Arial"/>
          <w:color w:val="2B2B2E"/>
          <w:kern w:val="0"/>
          <w:sz w:val="24"/>
          <w:shd w:val="clear" w:color="auto" w:fill="FFFFFF"/>
          <w:lang w:eastAsia="zh-CN"/>
          <w14:ligatures w14:val="none"/>
        </w:rPr>
        <w:t xml:space="preserve">The finite-difference time-domain (FDTD) calculations were performed with the </w:t>
      </w:r>
      <w:proofErr w:type="spellStart"/>
      <w:r w:rsidRPr="00BB51A9">
        <w:rPr>
          <w:rFonts w:ascii="Times New Roman" w:eastAsia="DengXian" w:hAnsi="Times New Roman" w:cs="Arial"/>
          <w:i/>
          <w:iCs/>
          <w:color w:val="2B2B2E"/>
          <w:kern w:val="0"/>
          <w:sz w:val="24"/>
          <w:shd w:val="clear" w:color="auto" w:fill="FFFFFF"/>
          <w:lang w:eastAsia="zh-CN"/>
          <w14:ligatures w14:val="none"/>
        </w:rPr>
        <w:t>Lumerical</w:t>
      </w:r>
      <w:proofErr w:type="spellEnd"/>
      <w:r w:rsidRPr="00BB51A9">
        <w:rPr>
          <w:rFonts w:ascii="Times New Roman" w:eastAsia="DengXian" w:hAnsi="Times New Roman" w:cs="Arial"/>
          <w:i/>
          <w:iCs/>
          <w:color w:val="2B2B2E"/>
          <w:kern w:val="0"/>
          <w:sz w:val="24"/>
          <w:shd w:val="clear" w:color="auto" w:fill="FFFFFF"/>
          <w:lang w:eastAsia="zh-CN"/>
          <w14:ligatures w14:val="none"/>
        </w:rPr>
        <w:t xml:space="preserve"> </w:t>
      </w:r>
      <w:r w:rsidRPr="00BB51A9">
        <w:rPr>
          <w:rFonts w:ascii="Times New Roman" w:eastAsia="DengXian" w:hAnsi="Times New Roman" w:cs="Arial"/>
          <w:color w:val="2B2B2E"/>
          <w:kern w:val="0"/>
          <w:sz w:val="24"/>
          <w:shd w:val="clear" w:color="auto" w:fill="FFFFFF"/>
          <w:lang w:eastAsia="zh-CN"/>
          <w14:ligatures w14:val="none"/>
        </w:rPr>
        <w:t>software package and use a simulation region of 80a in length, 16a in width, and 5a in height (where a is the lattice constant of the crystal), with a mesh size of 20 grids per lattice constant. Eight Perfectly Matched Layers (PML) are introduced at the boundary of the simulation region, with an extended thickness of 42 layers applied to the interface perpendicular to the waveguide to eliminate back-reflection and potential divergence issues.</w:t>
      </w:r>
    </w:p>
    <w:p w14:paraId="3A54D2E9" w14:textId="77777777" w:rsidR="00BB51A9" w:rsidRPr="00BB51A9" w:rsidRDefault="00BB51A9" w:rsidP="00BB51A9">
      <w:pPr>
        <w:jc w:val="both"/>
        <w:rPr>
          <w:rFonts w:ascii="Times New Roman" w:eastAsia="DengXian" w:hAnsi="Times New Roman" w:cs="Arial"/>
          <w:color w:val="2B2B2E"/>
          <w:kern w:val="0"/>
          <w:sz w:val="24"/>
          <w:shd w:val="clear" w:color="auto" w:fill="FFFFFF"/>
          <w:lang w:eastAsia="zh-CN"/>
          <w14:ligatures w14:val="none"/>
        </w:rPr>
      </w:pPr>
      <w:r w:rsidRPr="00BB51A9">
        <w:rPr>
          <w:rFonts w:ascii="Times New Roman" w:eastAsia="DengXian" w:hAnsi="Times New Roman" w:cs="Arial"/>
          <w:color w:val="2B2B2E"/>
          <w:kern w:val="0"/>
          <w:sz w:val="24"/>
          <w:shd w:val="clear" w:color="auto" w:fill="FFFFFF"/>
          <w:lang w:eastAsia="zh-CN"/>
          <w14:ligatures w14:val="none"/>
        </w:rPr>
        <w:t>The simulation is conducted on a GaAs/</w:t>
      </w:r>
      <w:proofErr w:type="spellStart"/>
      <w:r w:rsidRPr="00BB51A9">
        <w:rPr>
          <w:rFonts w:ascii="Times New Roman" w:eastAsia="DengXian" w:hAnsi="Times New Roman" w:cs="Arial"/>
          <w:color w:val="2B2B2E"/>
          <w:kern w:val="0"/>
          <w:sz w:val="24"/>
          <w:shd w:val="clear" w:color="auto" w:fill="FFFFFF"/>
          <w:lang w:eastAsia="zh-CN"/>
          <w14:ligatures w14:val="none"/>
        </w:rPr>
        <w:t>AlGaAs</w:t>
      </w:r>
      <w:proofErr w:type="spellEnd"/>
      <w:r w:rsidRPr="00BB51A9">
        <w:rPr>
          <w:rFonts w:ascii="Times New Roman" w:eastAsia="DengXian" w:hAnsi="Times New Roman" w:cs="Arial"/>
          <w:color w:val="2B2B2E"/>
          <w:kern w:val="0"/>
          <w:sz w:val="24"/>
          <w:shd w:val="clear" w:color="auto" w:fill="FFFFFF"/>
          <w:lang w:eastAsia="zh-CN"/>
          <w14:ligatures w14:val="none"/>
        </w:rPr>
        <w:t xml:space="preserve"> dielectric slab with etched nanoholes patterned as a hexagonal lattice. The following parameters are used in the simulation: refractive index n=3.406 (ϵ</w:t>
      </w:r>
      <w:r w:rsidRPr="00BB51A9">
        <w:rPr>
          <w:rFonts w:ascii="Times New Roman" w:eastAsia="DengXian" w:hAnsi="Times New Roman" w:cs="Arial"/>
          <w:color w:val="2B2B2E"/>
          <w:kern w:val="0"/>
          <w:sz w:val="24"/>
          <w:shd w:val="clear" w:color="auto" w:fill="FFFFFF"/>
          <w:vertAlign w:val="subscript"/>
          <w:lang w:eastAsia="zh-CN"/>
          <w14:ligatures w14:val="none"/>
        </w:rPr>
        <w:t>r</w:t>
      </w:r>
      <w:r w:rsidRPr="00BB51A9">
        <w:rPr>
          <w:rFonts w:ascii="Times New Roman" w:eastAsia="DengXian" w:hAnsi="Times New Roman" w:cs="Arial"/>
          <w:color w:val="2B2B2E"/>
          <w:kern w:val="0"/>
          <w:sz w:val="24"/>
          <w:shd w:val="clear" w:color="auto" w:fill="FFFFFF"/>
          <w:lang w:eastAsia="zh-CN"/>
          <w14:ligatures w14:val="none"/>
        </w:rPr>
        <w:t xml:space="preserve">=11.6), hole radius of the bulk crystal r=0.3a, slab thickness t=0.7a, and lattice constant a=258nm. The radii and positions of the eight innermost nanoholes (perpendicular to the waveguide) are modified for improved slow-light performance based on ref. </w:t>
      </w:r>
      <w:r w:rsidRPr="00BB51A9">
        <w:rPr>
          <w:rFonts w:ascii="Times New Roman" w:eastAsia="DengXian" w:hAnsi="Times New Roman" w:cs="Arial"/>
          <w:color w:val="2B2B2E"/>
          <w:kern w:val="0"/>
          <w:sz w:val="24"/>
          <w:shd w:val="clear" w:color="auto" w:fill="FFFFFF"/>
          <w:lang w:eastAsia="zh-CN"/>
          <w14:ligatures w14:val="none"/>
        </w:rPr>
        <w:fldChar w:fldCharType="begin"/>
      </w:r>
      <w:r w:rsidRPr="00BB51A9">
        <w:rPr>
          <w:rFonts w:ascii="Times New Roman" w:eastAsia="DengXian" w:hAnsi="Times New Roman" w:cs="Arial"/>
          <w:color w:val="2B2B2E"/>
          <w:kern w:val="0"/>
          <w:sz w:val="24"/>
          <w:shd w:val="clear" w:color="auto" w:fill="FFFFFF"/>
          <w:lang w:eastAsia="zh-CN"/>
          <w14:ligatures w14:val="none"/>
        </w:rPr>
        <w:instrText xml:space="preserve"> ADDIN EN.CITE &lt;EndNote&gt;&lt;Cite&gt;&lt;Author&gt;Siampour&lt;/Author&gt;&lt;Year&gt;2023&lt;/Year&gt;&lt;RecNum&gt;527&lt;/RecNum&gt;&lt;DisplayText&gt;&lt;style face="superscript"&gt;21&lt;/style&gt;&lt;/DisplayText&gt;&lt;record&gt;&lt;rec-number&gt;527&lt;/rec-number&gt;&lt;foreign-keys&gt;&lt;key app="EN" db-id="ed5pe90ssax5rce52zs55290vt0asdttwxtw" timestamp="1706633420"&gt;527&lt;/key&gt;&lt;/foreign-keys&gt;&lt;ref-type name="Journal Article"&gt;17&lt;/ref-type&gt;&lt;contributors&gt;&lt;authors&gt;&lt;author&gt;Siampour, Hamidreza&lt;/author&gt;&lt;author&gt;O’Rourke, Christopher&lt;/author&gt;&lt;author&gt;Brash, Alistair J.&lt;/author&gt;&lt;author&gt;Makhonin, Maxim N.&lt;/author&gt;&lt;author&gt;Dost, René&lt;/author&gt;&lt;author&gt;Hallett, Dominic J.&lt;/author&gt;&lt;author&gt;Clarke, Edmund&lt;/author&gt;&lt;author&gt;Patil, Pallavi K.&lt;/author&gt;&lt;author&gt;Skolnick, Maurice S.&lt;/author&gt;&lt;author&gt;Fox, A. Mark&lt;/author&gt;&lt;/authors&gt;&lt;/contributors&gt;&lt;titles&gt;&lt;title&gt;Observation of large spontaneous emission rate enhancement of quantum dots in a broken-symmetry slow-light waveguide&lt;/title&gt;&lt;secondary-title&gt;npj Quantum Information&lt;/secondary-title&gt;&lt;/titles&gt;&lt;periodical&gt;&lt;full-title&gt;npj Quantum Information&lt;/full-title&gt;&lt;/periodical&gt;&lt;pages&gt;15&lt;/pages&gt;&lt;volume&gt;9&lt;/volume&gt;&lt;number&gt;1&lt;/number&gt;&lt;dates&gt;&lt;year&gt;2023&lt;/year&gt;&lt;pub-dates&gt;&lt;date&gt;2023/02/22&lt;/date&gt;&lt;/pub-dates&gt;&lt;/dates&gt;&lt;isbn&gt;2056-6387&lt;/isbn&gt;&lt;urls&gt;&lt;related-urls&gt;&lt;url&gt;https://doi.org/10.1038/s41534-023-00686-9&lt;/url&gt;&lt;/related-urls&gt;&lt;/urls&gt;&lt;electronic-resource-num&gt;10.1038/s41534-023-00686-9&lt;/electronic-resource-num&gt;&lt;/record&gt;&lt;/Cite&gt;&lt;/EndNote&gt;</w:instrText>
      </w:r>
      <w:r w:rsidRPr="00BB51A9">
        <w:rPr>
          <w:rFonts w:ascii="Times New Roman" w:eastAsia="DengXian" w:hAnsi="Times New Roman" w:cs="Arial"/>
          <w:color w:val="2B2B2E"/>
          <w:kern w:val="0"/>
          <w:sz w:val="24"/>
          <w:shd w:val="clear" w:color="auto" w:fill="FFFFFF"/>
          <w:lang w:eastAsia="zh-CN"/>
          <w14:ligatures w14:val="none"/>
        </w:rPr>
        <w:fldChar w:fldCharType="separate"/>
      </w:r>
      <w:r w:rsidRPr="00BB51A9">
        <w:rPr>
          <w:rFonts w:ascii="Times New Roman" w:eastAsia="DengXian" w:hAnsi="Times New Roman" w:cs="Arial"/>
          <w:noProof/>
          <w:color w:val="2B2B2E"/>
          <w:kern w:val="0"/>
          <w:sz w:val="24"/>
          <w:shd w:val="clear" w:color="auto" w:fill="FFFFFF"/>
          <w:lang w:eastAsia="zh-CN"/>
          <w14:ligatures w14:val="none"/>
        </w:rPr>
        <w:t>21</w:t>
      </w:r>
      <w:r w:rsidRPr="00BB51A9">
        <w:rPr>
          <w:rFonts w:ascii="Times New Roman" w:eastAsia="DengXian" w:hAnsi="Times New Roman" w:cs="Arial"/>
          <w:color w:val="2B2B2E"/>
          <w:kern w:val="0"/>
          <w:sz w:val="24"/>
          <w:shd w:val="clear" w:color="auto" w:fill="FFFFFF"/>
          <w:lang w:eastAsia="zh-CN"/>
          <w14:ligatures w14:val="none"/>
        </w:rPr>
        <w:fldChar w:fldCharType="end"/>
      </w:r>
      <w:r w:rsidRPr="00BB51A9">
        <w:rPr>
          <w:rFonts w:ascii="Times New Roman" w:eastAsia="DengXian" w:hAnsi="Times New Roman" w:cs="Arial"/>
          <w:color w:val="2B2B2E"/>
          <w:kern w:val="0"/>
          <w:sz w:val="24"/>
          <w:shd w:val="clear" w:color="auto" w:fill="FFFFFF"/>
          <w:lang w:eastAsia="zh-CN"/>
          <w14:ligatures w14:val="none"/>
        </w:rPr>
        <w:t xml:space="preserve"> in the manuscript.</w:t>
      </w:r>
    </w:p>
    <w:p w14:paraId="632C1274" w14:textId="77777777" w:rsidR="00BB51A9" w:rsidRPr="00BB51A9" w:rsidRDefault="00BB51A9" w:rsidP="00BB51A9">
      <w:pPr>
        <w:jc w:val="both"/>
        <w:rPr>
          <w:rFonts w:ascii="Times New Roman" w:eastAsia="DengXian" w:hAnsi="Times New Roman" w:cs="Arial"/>
          <w:color w:val="2B2B2E"/>
          <w:kern w:val="0"/>
          <w:sz w:val="24"/>
          <w:shd w:val="clear" w:color="auto" w:fill="FFFFFF"/>
          <w:lang w:eastAsia="zh-CN"/>
          <w14:ligatures w14:val="none"/>
        </w:rPr>
      </w:pPr>
      <w:r w:rsidRPr="00BB51A9">
        <w:rPr>
          <w:rFonts w:ascii="Times New Roman" w:eastAsia="DengXian" w:hAnsi="Times New Roman" w:cs="Arial"/>
          <w:color w:val="2B2B2E"/>
          <w:kern w:val="0"/>
          <w:sz w:val="24"/>
          <w:shd w:val="clear" w:color="auto" w:fill="FFFFFF"/>
          <w:lang w:eastAsia="zh-CN"/>
          <w14:ligatures w14:val="none"/>
        </w:rPr>
        <w:t>Two linear and orthogonal electric point-dipole sources with a π/2 phase difference are introduced to simulate a circular dipole transition in Faraday geometry, around which a transmission box with a side length of 400 nm is placed. The simulation is set to run over a period of 4000 fs but can be terminated early if the total energy of the electromagnetic field drops below the shut-off threshold (i.e., 10</w:t>
      </w:r>
      <w:r w:rsidRPr="00BB51A9">
        <w:rPr>
          <w:rFonts w:ascii="Times New Roman" w:eastAsia="DengXian" w:hAnsi="Times New Roman" w:cs="Arial"/>
          <w:color w:val="2B2B2E"/>
          <w:kern w:val="0"/>
          <w:sz w:val="24"/>
          <w:shd w:val="clear" w:color="auto" w:fill="FFFFFF"/>
          <w:vertAlign w:val="superscript"/>
          <w:lang w:eastAsia="zh-CN"/>
          <w14:ligatures w14:val="none"/>
        </w:rPr>
        <w:t>−5</w:t>
      </w:r>
      <w:r w:rsidRPr="00BB51A9">
        <w:rPr>
          <w:rFonts w:ascii="Times New Roman" w:eastAsia="DengXian" w:hAnsi="Times New Roman" w:cs="Arial"/>
          <w:color w:val="2B2B2E"/>
          <w:kern w:val="0"/>
          <w:sz w:val="24"/>
          <w:shd w:val="clear" w:color="auto" w:fill="FFFFFF"/>
          <w:lang w:eastAsia="zh-CN"/>
          <w14:ligatures w14:val="none"/>
        </w:rPr>
        <w:t>).</w:t>
      </w:r>
    </w:p>
    <w:p w14:paraId="2CCCD5DE" w14:textId="77777777" w:rsidR="00BB51A9" w:rsidRPr="00BB51A9" w:rsidRDefault="00BB51A9" w:rsidP="00BB51A9">
      <w:pPr>
        <w:jc w:val="both"/>
        <w:rPr>
          <w:rFonts w:ascii="Times New Roman" w:eastAsia="DengXian" w:hAnsi="Times New Roman" w:cs="Arial"/>
          <w:color w:val="2B2B2E"/>
          <w:kern w:val="0"/>
          <w:sz w:val="24"/>
          <w:shd w:val="clear" w:color="auto" w:fill="FFFFFF"/>
          <w:lang w:eastAsia="zh-CN"/>
          <w14:ligatures w14:val="none"/>
        </w:rPr>
      </w:pPr>
      <w:r w:rsidRPr="00BB51A9">
        <w:rPr>
          <w:rFonts w:ascii="Times New Roman" w:eastAsia="DengXian" w:hAnsi="Times New Roman" w:cs="Arial"/>
          <w:color w:val="2B2B2E"/>
          <w:kern w:val="0"/>
          <w:sz w:val="24"/>
          <w:shd w:val="clear" w:color="auto" w:fill="FFFFFF"/>
          <w:lang w:eastAsia="zh-CN"/>
          <w14:ligatures w14:val="none"/>
        </w:rPr>
        <w:t xml:space="preserve">The band structure and the mode profile of the glide-plane photonic crystal slab waveguide is calculated using 3D guided-mode expansion method (GME) implemented by </w:t>
      </w:r>
      <w:r w:rsidRPr="00BB51A9">
        <w:rPr>
          <w:rFonts w:ascii="Times New Roman" w:eastAsia="DengXian" w:hAnsi="Times New Roman" w:cs="Arial"/>
          <w:i/>
          <w:iCs/>
          <w:color w:val="2B2B2E"/>
          <w:kern w:val="0"/>
          <w:sz w:val="24"/>
          <w:shd w:val="clear" w:color="auto" w:fill="FFFFFF"/>
          <w:lang w:eastAsia="zh-CN"/>
          <w14:ligatures w14:val="none"/>
        </w:rPr>
        <w:t>Legume</w:t>
      </w:r>
      <w:r w:rsidRPr="00BB51A9">
        <w:rPr>
          <w:rFonts w:ascii="Times New Roman" w:eastAsia="DengXian" w:hAnsi="Times New Roman" w:cs="Arial"/>
          <w:color w:val="2B2B2E"/>
          <w:kern w:val="0"/>
          <w:sz w:val="24"/>
          <w:shd w:val="clear" w:color="auto" w:fill="FFFFFF"/>
          <w:lang w:eastAsia="zh-CN"/>
          <w14:ligatures w14:val="none"/>
        </w:rPr>
        <w:t xml:space="preserve">. There, the eigenmodes of the photonic structures are decomposed and expanded into a basis where the corresponding eigenmode problem is easy to solve (i.e. a homogeneous dielectric slab). Unless otherwise specified, a value of </w:t>
      </w:r>
      <w:proofErr w:type="spellStart"/>
      <w:r w:rsidRPr="00BB51A9">
        <w:rPr>
          <w:rFonts w:ascii="Times New Roman" w:eastAsia="DengXian" w:hAnsi="Times New Roman" w:cs="Arial"/>
          <w:color w:val="2B2B2E"/>
          <w:kern w:val="0"/>
          <w:sz w:val="24"/>
          <w:shd w:val="clear" w:color="auto" w:fill="FFFFFF"/>
          <w:lang w:eastAsia="zh-CN"/>
          <w14:ligatures w14:val="none"/>
        </w:rPr>
        <w:t>g</w:t>
      </w:r>
      <w:r w:rsidRPr="00BB51A9">
        <w:rPr>
          <w:rFonts w:ascii="Times New Roman" w:eastAsia="DengXian" w:hAnsi="Times New Roman" w:cs="Arial"/>
          <w:color w:val="2B2B2E"/>
          <w:kern w:val="0"/>
          <w:sz w:val="24"/>
          <w:shd w:val="clear" w:color="auto" w:fill="FFFFFF"/>
          <w:vertAlign w:val="subscript"/>
          <w:lang w:eastAsia="zh-CN"/>
          <w14:ligatures w14:val="none"/>
        </w:rPr>
        <w:t>max</w:t>
      </w:r>
      <w:proofErr w:type="spellEnd"/>
      <w:r w:rsidRPr="00BB51A9">
        <w:rPr>
          <w:rFonts w:ascii="Times New Roman" w:eastAsia="DengXian" w:hAnsi="Times New Roman" w:cs="Arial"/>
          <w:color w:val="2B2B2E"/>
          <w:kern w:val="0"/>
          <w:sz w:val="24"/>
          <w:shd w:val="clear" w:color="auto" w:fill="FFFFFF"/>
          <w:lang w:eastAsia="zh-CN"/>
          <w14:ligatures w14:val="none"/>
        </w:rPr>
        <w:t xml:space="preserve">=4 is used throughout the numerical calculation to improve precision. Here, </w:t>
      </w:r>
      <w:proofErr w:type="spellStart"/>
      <w:r w:rsidRPr="00BB51A9">
        <w:rPr>
          <w:rFonts w:ascii="Times New Roman" w:eastAsia="DengXian" w:hAnsi="Times New Roman" w:cs="Arial"/>
          <w:color w:val="2B2B2E"/>
          <w:kern w:val="0"/>
          <w:sz w:val="24"/>
          <w:shd w:val="clear" w:color="auto" w:fill="FFFFFF"/>
          <w:lang w:eastAsia="zh-CN"/>
          <w14:ligatures w14:val="none"/>
        </w:rPr>
        <w:t>g</w:t>
      </w:r>
      <w:r w:rsidRPr="00BB51A9">
        <w:rPr>
          <w:rFonts w:ascii="Times New Roman" w:eastAsia="DengXian" w:hAnsi="Times New Roman" w:cs="Arial"/>
          <w:color w:val="2B2B2E"/>
          <w:kern w:val="0"/>
          <w:sz w:val="24"/>
          <w:shd w:val="clear" w:color="auto" w:fill="FFFFFF"/>
          <w:vertAlign w:val="subscript"/>
          <w:lang w:eastAsia="zh-CN"/>
          <w14:ligatures w14:val="none"/>
        </w:rPr>
        <w:t>max</w:t>
      </w:r>
      <w:proofErr w:type="spellEnd"/>
      <w:r w:rsidRPr="00BB51A9">
        <w:rPr>
          <w:rFonts w:ascii="Times New Roman" w:eastAsia="DengXian" w:hAnsi="Times New Roman" w:cs="Arial"/>
          <w:color w:val="2B2B2E"/>
          <w:kern w:val="0"/>
          <w:sz w:val="24"/>
          <w:shd w:val="clear" w:color="auto" w:fill="FFFFFF"/>
          <w:lang w:eastAsia="zh-CN"/>
          <w14:ligatures w14:val="none"/>
        </w:rPr>
        <w:t xml:space="preserve">​ represents the truncation level of reciprocal lattice vectors used in the simulations. Guided modes are expanded on an infinite set of basis vectors in the reciprocal lattice, where truncation is applied to balance simulation time with accuracy. The simulation region is comprised of one single period of the glide-plane waveguide, that is, a rectangle with 16a in height (perpendicular to the waveguide) and a in width (parallel to the waveguide). Periodic boundary conditions are applied to interfaces perpendicular to the GaAs membrane. </w:t>
      </w:r>
    </w:p>
    <w:p w14:paraId="49356470" w14:textId="77777777" w:rsidR="00BB51A9" w:rsidRPr="00BB51A9" w:rsidRDefault="00BB51A9" w:rsidP="00BB51A9">
      <w:pPr>
        <w:jc w:val="both"/>
        <w:rPr>
          <w:rFonts w:ascii="Times New Roman" w:eastAsia="DengXian" w:hAnsi="Times New Roman" w:cs="Arial"/>
          <w:color w:val="2B2B2E"/>
          <w:kern w:val="0"/>
          <w:sz w:val="24"/>
          <w:shd w:val="clear" w:color="auto" w:fill="FFFFFF"/>
          <w:lang w:eastAsia="zh-CN"/>
          <w14:ligatures w14:val="none"/>
        </w:rPr>
      </w:pPr>
      <w:r w:rsidRPr="00BB51A9">
        <w:rPr>
          <w:rFonts w:ascii="Times New Roman" w:eastAsia="DengXian" w:hAnsi="Times New Roman" w:cs="Arial"/>
          <w:b/>
          <w:bCs/>
          <w:color w:val="2B2B2E"/>
          <w:kern w:val="0"/>
          <w:sz w:val="24"/>
          <w:shd w:val="clear" w:color="auto" w:fill="FFFFFF"/>
          <w:lang w:eastAsia="zh-CN"/>
          <w14:ligatures w14:val="none"/>
        </w:rPr>
        <w:lastRenderedPageBreak/>
        <w:t>Section S4</w:t>
      </w:r>
      <w:r w:rsidRPr="00BB51A9">
        <w:rPr>
          <w:rFonts w:ascii="Times New Roman" w:eastAsia="DengXian" w:hAnsi="Times New Roman" w:cs="Arial"/>
          <w:color w:val="2B2B2E"/>
          <w:kern w:val="0"/>
          <w:sz w:val="24"/>
          <w:shd w:val="clear" w:color="auto" w:fill="FFFFFF"/>
          <w:lang w:eastAsia="zh-CN"/>
          <w14:ligatures w14:val="none"/>
        </w:rPr>
        <w:t>: Experimental determination of the slow-light region</w:t>
      </w:r>
    </w:p>
    <w:p w14:paraId="205AFEC5" w14:textId="77777777" w:rsidR="00BB51A9" w:rsidRPr="00BB51A9" w:rsidRDefault="00BB51A9" w:rsidP="00BB51A9">
      <w:pPr>
        <w:jc w:val="both"/>
        <w:rPr>
          <w:rFonts w:ascii="Times New Roman" w:eastAsia="DengXian" w:hAnsi="Times New Roman" w:cs="Arial"/>
          <w:color w:val="2B2B2E"/>
          <w:kern w:val="0"/>
          <w:sz w:val="24"/>
          <w:shd w:val="clear" w:color="auto" w:fill="FFFFFF"/>
          <w:lang w:eastAsia="zh-CN"/>
          <w14:ligatures w14:val="none"/>
        </w:rPr>
      </w:pPr>
      <w:r w:rsidRPr="00BB51A9">
        <w:rPr>
          <w:rFonts w:ascii="Times New Roman" w:eastAsia="DengXian" w:hAnsi="Times New Roman" w:cs="Arial"/>
          <w:color w:val="2B2B2E"/>
          <w:kern w:val="0"/>
          <w:sz w:val="24"/>
          <w:shd w:val="clear" w:color="auto" w:fill="FFFFFF"/>
          <w:lang w:eastAsia="zh-CN"/>
          <w14:ligatures w14:val="none"/>
        </w:rPr>
        <w:t xml:space="preserve">The device’s slow-light region was found by comparing the PL transmission spectrum with band structure simulations, as detailed in ref. </w:t>
      </w:r>
      <w:r w:rsidRPr="00BB51A9">
        <w:rPr>
          <w:rFonts w:ascii="Times New Roman" w:eastAsia="DengXian" w:hAnsi="Times New Roman" w:cs="Arial"/>
          <w:color w:val="2B2B2E"/>
          <w:kern w:val="0"/>
          <w:sz w:val="24"/>
          <w:shd w:val="clear" w:color="auto" w:fill="FFFFFF"/>
          <w:lang w:eastAsia="zh-CN"/>
          <w14:ligatures w14:val="none"/>
        </w:rPr>
        <w:fldChar w:fldCharType="begin"/>
      </w:r>
      <w:r w:rsidRPr="00BB51A9">
        <w:rPr>
          <w:rFonts w:ascii="Times New Roman" w:eastAsia="DengXian" w:hAnsi="Times New Roman" w:cs="Arial"/>
          <w:color w:val="2B2B2E"/>
          <w:kern w:val="0"/>
          <w:sz w:val="24"/>
          <w:shd w:val="clear" w:color="auto" w:fill="FFFFFF"/>
          <w:lang w:eastAsia="zh-CN"/>
          <w14:ligatures w14:val="none"/>
        </w:rPr>
        <w:instrText xml:space="preserve"> ADDIN EN.CITE &lt;EndNote&gt;&lt;Cite&gt;&lt;Author&gt;Siampour&lt;/Author&gt;&lt;Year&gt;2023&lt;/Year&gt;&lt;RecNum&gt;527&lt;/RecNum&gt;&lt;DisplayText&gt;&lt;style face="superscript"&gt;21&lt;/style&gt;&lt;/DisplayText&gt;&lt;record&gt;&lt;rec-number&gt;527&lt;/rec-number&gt;&lt;foreign-keys&gt;&lt;key app="EN" db-id="ed5pe90ssax5rce52zs55290vt0asdttwxtw" timestamp="1706633420"&gt;527&lt;/key&gt;&lt;/foreign-keys&gt;&lt;ref-type name="Journal Article"&gt;17&lt;/ref-type&gt;&lt;contributors&gt;&lt;authors&gt;&lt;author&gt;Siampour, Hamidreza&lt;/author&gt;&lt;author&gt;O’Rourke, Christopher&lt;/author&gt;&lt;author&gt;Brash, Alistair J.&lt;/author&gt;&lt;author&gt;Makhonin, Maxim N.&lt;/author&gt;&lt;author&gt;Dost, René&lt;/author&gt;&lt;author&gt;Hallett, Dominic J.&lt;/author&gt;&lt;author&gt;Clarke, Edmund&lt;/author&gt;&lt;author&gt;Patil, Pallavi K.&lt;/author&gt;&lt;author&gt;Skolnick, Maurice S.&lt;/author&gt;&lt;author&gt;Fox, A. Mark&lt;/author&gt;&lt;/authors&gt;&lt;/contributors&gt;&lt;titles&gt;&lt;title&gt;Observation of large spontaneous emission rate enhancement of quantum dots in a broken-symmetry slow-light waveguide&lt;/title&gt;&lt;secondary-title&gt;npj Quantum Information&lt;/secondary-title&gt;&lt;/titles&gt;&lt;periodical&gt;&lt;full-title&gt;npj Quantum Information&lt;/full-title&gt;&lt;/periodical&gt;&lt;pages&gt;15&lt;/pages&gt;&lt;volume&gt;9&lt;/volume&gt;&lt;number&gt;1&lt;/number&gt;&lt;dates&gt;&lt;year&gt;2023&lt;/year&gt;&lt;pub-dates&gt;&lt;date&gt;2023/02/22&lt;/date&gt;&lt;/pub-dates&gt;&lt;/dates&gt;&lt;isbn&gt;2056-6387&lt;/isbn&gt;&lt;urls&gt;&lt;related-urls&gt;&lt;url&gt;https://doi.org/10.1038/s41534-023-00686-9&lt;/url&gt;&lt;/related-urls&gt;&lt;/urls&gt;&lt;electronic-resource-num&gt;10.1038/s41534-023-00686-9&lt;/electronic-resource-num&gt;&lt;/record&gt;&lt;/Cite&gt;&lt;/EndNote&gt;</w:instrText>
      </w:r>
      <w:r w:rsidRPr="00BB51A9">
        <w:rPr>
          <w:rFonts w:ascii="Times New Roman" w:eastAsia="DengXian" w:hAnsi="Times New Roman" w:cs="Arial"/>
          <w:color w:val="2B2B2E"/>
          <w:kern w:val="0"/>
          <w:sz w:val="24"/>
          <w:shd w:val="clear" w:color="auto" w:fill="FFFFFF"/>
          <w:lang w:eastAsia="zh-CN"/>
          <w14:ligatures w14:val="none"/>
        </w:rPr>
        <w:fldChar w:fldCharType="separate"/>
      </w:r>
      <w:r w:rsidRPr="00BB51A9">
        <w:rPr>
          <w:rFonts w:ascii="Times New Roman" w:eastAsia="DengXian" w:hAnsi="Times New Roman" w:cs="Arial"/>
          <w:noProof/>
          <w:color w:val="2B2B2E"/>
          <w:kern w:val="0"/>
          <w:sz w:val="24"/>
          <w:shd w:val="clear" w:color="auto" w:fill="FFFFFF"/>
          <w:lang w:eastAsia="zh-CN"/>
          <w14:ligatures w14:val="none"/>
        </w:rPr>
        <w:t>21</w:t>
      </w:r>
      <w:r w:rsidRPr="00BB51A9">
        <w:rPr>
          <w:rFonts w:ascii="Times New Roman" w:eastAsia="DengXian" w:hAnsi="Times New Roman" w:cs="Arial"/>
          <w:color w:val="2B2B2E"/>
          <w:kern w:val="0"/>
          <w:sz w:val="24"/>
          <w:shd w:val="clear" w:color="auto" w:fill="FFFFFF"/>
          <w:lang w:eastAsia="zh-CN"/>
          <w14:ligatures w14:val="none"/>
        </w:rPr>
        <w:fldChar w:fldCharType="end"/>
      </w:r>
      <w:r w:rsidRPr="00BB51A9">
        <w:rPr>
          <w:rFonts w:ascii="Times New Roman" w:eastAsia="DengXian" w:hAnsi="Times New Roman" w:cs="Arial"/>
          <w:color w:val="2B2B2E"/>
          <w:kern w:val="0"/>
          <w:sz w:val="24"/>
          <w:shd w:val="clear" w:color="auto" w:fill="FFFFFF"/>
          <w:lang w:eastAsia="zh-CN"/>
          <w14:ligatures w14:val="none"/>
        </w:rPr>
        <w:t xml:space="preserve">. The PL transmission spectrum was recorded by exciting one end of the waveguide through the </w:t>
      </w:r>
      <w:proofErr w:type="spellStart"/>
      <w:r w:rsidRPr="00BB51A9">
        <w:rPr>
          <w:rFonts w:ascii="Times New Roman" w:eastAsia="DengXian" w:hAnsi="Times New Roman" w:cs="Arial"/>
          <w:color w:val="2B2B2E"/>
          <w:kern w:val="0"/>
          <w:sz w:val="24"/>
          <w:shd w:val="clear" w:color="auto" w:fill="FFFFFF"/>
          <w:lang w:eastAsia="zh-CN"/>
          <w14:ligatures w14:val="none"/>
        </w:rPr>
        <w:t>outcoupler</w:t>
      </w:r>
      <w:proofErr w:type="spellEnd"/>
      <w:r w:rsidRPr="00BB51A9">
        <w:rPr>
          <w:rFonts w:ascii="Times New Roman" w:eastAsia="DengXian" w:hAnsi="Times New Roman" w:cs="Arial"/>
          <w:color w:val="2B2B2E"/>
          <w:kern w:val="0"/>
          <w:sz w:val="24"/>
          <w:shd w:val="clear" w:color="auto" w:fill="FFFFFF"/>
          <w:lang w:eastAsia="zh-CN"/>
          <w14:ligatures w14:val="none"/>
        </w:rPr>
        <w:t xml:space="preserve"> with an 808 nm laser.  The laser excites the QD ensemble and wetting layer around the </w:t>
      </w:r>
      <w:proofErr w:type="spellStart"/>
      <w:r w:rsidRPr="00BB51A9">
        <w:rPr>
          <w:rFonts w:ascii="Times New Roman" w:eastAsia="DengXian" w:hAnsi="Times New Roman" w:cs="Arial"/>
          <w:color w:val="2B2B2E"/>
          <w:kern w:val="0"/>
          <w:sz w:val="24"/>
          <w:shd w:val="clear" w:color="auto" w:fill="FFFFFF"/>
          <w:lang w:eastAsia="zh-CN"/>
          <w14:ligatures w14:val="none"/>
        </w:rPr>
        <w:t>outcoupler</w:t>
      </w:r>
      <w:proofErr w:type="spellEnd"/>
      <w:r w:rsidRPr="00BB51A9">
        <w:rPr>
          <w:rFonts w:ascii="Times New Roman" w:eastAsia="DengXian" w:hAnsi="Times New Roman" w:cs="Arial"/>
          <w:color w:val="2B2B2E"/>
          <w:kern w:val="0"/>
          <w:sz w:val="24"/>
          <w:shd w:val="clear" w:color="auto" w:fill="FFFFFF"/>
          <w:lang w:eastAsia="zh-CN"/>
          <w14:ligatures w14:val="none"/>
        </w:rPr>
        <w:t xml:space="preserve">, and the PL serves as an internal light source. Subsequently, photons that propagate through the waveguide were collected from the </w:t>
      </w:r>
      <w:proofErr w:type="spellStart"/>
      <w:r w:rsidRPr="00BB51A9">
        <w:rPr>
          <w:rFonts w:ascii="Times New Roman" w:eastAsia="DengXian" w:hAnsi="Times New Roman" w:cs="Arial"/>
          <w:color w:val="2B2B2E"/>
          <w:kern w:val="0"/>
          <w:sz w:val="24"/>
          <w:shd w:val="clear" w:color="auto" w:fill="FFFFFF"/>
          <w:lang w:eastAsia="zh-CN"/>
          <w14:ligatures w14:val="none"/>
        </w:rPr>
        <w:t>outcoupler</w:t>
      </w:r>
      <w:proofErr w:type="spellEnd"/>
      <w:r w:rsidRPr="00BB51A9">
        <w:rPr>
          <w:rFonts w:ascii="Times New Roman" w:eastAsia="DengXian" w:hAnsi="Times New Roman" w:cs="Arial"/>
          <w:color w:val="2B2B2E"/>
          <w:kern w:val="0"/>
          <w:sz w:val="24"/>
          <w:shd w:val="clear" w:color="auto" w:fill="FFFFFF"/>
          <w:lang w:eastAsia="zh-CN"/>
          <w14:ligatures w14:val="none"/>
        </w:rPr>
        <w:t xml:space="preserve"> at the opposite end. The resulting spectrum (Figure S4a) exhibited a distinct long-wavelength cut-off, dictated by the glide-plane adaptor band gap rather than the glide-plane waveguide, which lacks a cut-off due to the absence of a band gap.</w:t>
      </w:r>
    </w:p>
    <w:p w14:paraId="5DEC9C7D" w14:textId="77777777" w:rsidR="00BB51A9" w:rsidRPr="00BB51A9" w:rsidRDefault="00BB51A9" w:rsidP="00BB51A9">
      <w:pPr>
        <w:jc w:val="both"/>
        <w:rPr>
          <w:rFonts w:ascii="Times New Roman" w:eastAsia="DengXian" w:hAnsi="Times New Roman" w:cs="Arial"/>
          <w:color w:val="2B2B2E"/>
          <w:kern w:val="0"/>
          <w:sz w:val="24"/>
          <w:shd w:val="clear" w:color="auto" w:fill="FFFFFF"/>
          <w:lang w:eastAsia="zh-CN"/>
          <w14:ligatures w14:val="none"/>
        </w:rPr>
      </w:pPr>
      <w:r w:rsidRPr="00BB51A9">
        <w:rPr>
          <w:rFonts w:ascii="Times New Roman" w:eastAsia="DengXian" w:hAnsi="Times New Roman" w:cs="Arial"/>
          <w:color w:val="2B2B2E"/>
          <w:kern w:val="0"/>
          <w:sz w:val="24"/>
          <w:shd w:val="clear" w:color="auto" w:fill="FFFFFF"/>
          <w:lang w:eastAsia="zh-CN"/>
          <w14:ligatures w14:val="none"/>
        </w:rPr>
        <w:t xml:space="preserve">By simulating the band structure of the glide-plane adaptor and aligning it with the observed cut-off, we determined the parameters for the glide-plane waveguide and its slow-light band edge. For example, the slow-light edge for device 1, where QD1 is embedded, was deduced from PL spectrum at approximately 910 nm, consistent with the corresponding transmission spectra (Figure S4). Further details, including specific design parameters, scaling factors, and methodologies, are provided in ref. </w:t>
      </w:r>
      <w:r w:rsidRPr="00BB51A9">
        <w:rPr>
          <w:rFonts w:ascii="Times New Roman" w:eastAsia="DengXian" w:hAnsi="Times New Roman" w:cs="Arial"/>
          <w:color w:val="2B2B2E"/>
          <w:kern w:val="0"/>
          <w:sz w:val="24"/>
          <w:shd w:val="clear" w:color="auto" w:fill="FFFFFF"/>
          <w:lang w:eastAsia="zh-CN"/>
          <w14:ligatures w14:val="none"/>
        </w:rPr>
        <w:fldChar w:fldCharType="begin"/>
      </w:r>
      <w:r w:rsidRPr="00BB51A9">
        <w:rPr>
          <w:rFonts w:ascii="Times New Roman" w:eastAsia="DengXian" w:hAnsi="Times New Roman" w:cs="Arial"/>
          <w:color w:val="2B2B2E"/>
          <w:kern w:val="0"/>
          <w:sz w:val="24"/>
          <w:shd w:val="clear" w:color="auto" w:fill="FFFFFF"/>
          <w:lang w:eastAsia="zh-CN"/>
          <w14:ligatures w14:val="none"/>
        </w:rPr>
        <w:instrText xml:space="preserve"> ADDIN EN.CITE &lt;EndNote&gt;&lt;Cite&gt;&lt;Author&gt;Siampour&lt;/Author&gt;&lt;Year&gt;2023&lt;/Year&gt;&lt;RecNum&gt;527&lt;/RecNum&gt;&lt;DisplayText&gt;&lt;style face="superscript"&gt;21&lt;/style&gt;&lt;/DisplayText&gt;&lt;record&gt;&lt;rec-number&gt;527&lt;/rec-number&gt;&lt;foreign-keys&gt;&lt;key app="EN" db-id="ed5pe90ssax5rce52zs55290vt0asdttwxtw" timestamp="1706633420"&gt;527&lt;/key&gt;&lt;/foreign-keys&gt;&lt;ref-type name="Journal Article"&gt;17&lt;/ref-type&gt;&lt;contributors&gt;&lt;authors&gt;&lt;author&gt;Siampour, Hamidreza&lt;/author&gt;&lt;author&gt;O’Rourke, Christopher&lt;/author&gt;&lt;author&gt;Brash, Alistair J.&lt;/author&gt;&lt;author&gt;Makhonin, Maxim N.&lt;/author&gt;&lt;author&gt;Dost, René&lt;/author&gt;&lt;author&gt;Hallett, Dominic J.&lt;/author&gt;&lt;author&gt;Clarke, Edmund&lt;/author&gt;&lt;author&gt;Patil, Pallavi K.&lt;/author&gt;&lt;author&gt;Skolnick, Maurice S.&lt;/author&gt;&lt;author&gt;Fox, A. Mark&lt;/author&gt;&lt;/authors&gt;&lt;/contributors&gt;&lt;titles&gt;&lt;title&gt;Observation of large spontaneous emission rate enhancement of quantum dots in a broken-symmetry slow-light waveguide&lt;/title&gt;&lt;secondary-title&gt;npj Quantum Information&lt;/secondary-title&gt;&lt;/titles&gt;&lt;periodical&gt;&lt;full-title&gt;npj Quantum Information&lt;/full-title&gt;&lt;/periodical&gt;&lt;pages&gt;15&lt;/pages&gt;&lt;volume&gt;9&lt;/volume&gt;&lt;number&gt;1&lt;/number&gt;&lt;dates&gt;&lt;year&gt;2023&lt;/year&gt;&lt;pub-dates&gt;&lt;date&gt;2023/02/22&lt;/date&gt;&lt;/pub-dates&gt;&lt;/dates&gt;&lt;isbn&gt;2056-6387&lt;/isbn&gt;&lt;urls&gt;&lt;related-urls&gt;&lt;url&gt;https://doi.org/10.1038/s41534-023-00686-9&lt;/url&gt;&lt;/related-urls&gt;&lt;/urls&gt;&lt;electronic-resource-num&gt;10.1038/s41534-023-00686-9&lt;/electronic-resource-num&gt;&lt;/record&gt;&lt;/Cite&gt;&lt;/EndNote&gt;</w:instrText>
      </w:r>
      <w:r w:rsidRPr="00BB51A9">
        <w:rPr>
          <w:rFonts w:ascii="Times New Roman" w:eastAsia="DengXian" w:hAnsi="Times New Roman" w:cs="Arial"/>
          <w:color w:val="2B2B2E"/>
          <w:kern w:val="0"/>
          <w:sz w:val="24"/>
          <w:shd w:val="clear" w:color="auto" w:fill="FFFFFF"/>
          <w:lang w:eastAsia="zh-CN"/>
          <w14:ligatures w14:val="none"/>
        </w:rPr>
        <w:fldChar w:fldCharType="separate"/>
      </w:r>
      <w:r w:rsidRPr="00BB51A9">
        <w:rPr>
          <w:rFonts w:ascii="Times New Roman" w:eastAsia="DengXian" w:hAnsi="Times New Roman" w:cs="Arial"/>
          <w:noProof/>
          <w:color w:val="2B2B2E"/>
          <w:kern w:val="0"/>
          <w:sz w:val="24"/>
          <w:shd w:val="clear" w:color="auto" w:fill="FFFFFF"/>
          <w:lang w:eastAsia="zh-CN"/>
          <w14:ligatures w14:val="none"/>
        </w:rPr>
        <w:t>21</w:t>
      </w:r>
      <w:r w:rsidRPr="00BB51A9">
        <w:rPr>
          <w:rFonts w:ascii="Times New Roman" w:eastAsia="DengXian" w:hAnsi="Times New Roman" w:cs="Arial"/>
          <w:color w:val="2B2B2E"/>
          <w:kern w:val="0"/>
          <w:sz w:val="24"/>
          <w:shd w:val="clear" w:color="auto" w:fill="FFFFFF"/>
          <w:lang w:eastAsia="zh-CN"/>
          <w14:ligatures w14:val="none"/>
        </w:rPr>
        <w:fldChar w:fldCharType="end"/>
      </w:r>
      <w:r w:rsidRPr="00BB51A9">
        <w:rPr>
          <w:rFonts w:ascii="Times New Roman" w:eastAsia="DengXian" w:hAnsi="Times New Roman" w:cs="Arial"/>
          <w:color w:val="2B2B2E"/>
          <w:kern w:val="0"/>
          <w:sz w:val="24"/>
          <w:shd w:val="clear" w:color="auto" w:fill="FFFFFF"/>
          <w:lang w:eastAsia="zh-CN"/>
          <w14:ligatures w14:val="none"/>
        </w:rPr>
        <w:t>.</w:t>
      </w:r>
    </w:p>
    <w:p w14:paraId="593C47D7" w14:textId="77777777" w:rsidR="00BB51A9" w:rsidRPr="00BB51A9" w:rsidRDefault="00BB51A9" w:rsidP="00BB51A9">
      <w:pPr>
        <w:jc w:val="center"/>
        <w:rPr>
          <w:rFonts w:ascii="Times New Roman" w:eastAsia="DengXian" w:hAnsi="Times New Roman" w:cs="Arial"/>
          <w:noProof/>
          <w:color w:val="2B2B2E"/>
          <w:kern w:val="0"/>
          <w:sz w:val="24"/>
          <w:shd w:val="clear" w:color="auto" w:fill="FFFFFF"/>
          <w:lang w:eastAsia="zh-CN"/>
          <w14:ligatures w14:val="none"/>
        </w:rPr>
      </w:pPr>
      <w:r w:rsidRPr="00BB51A9">
        <w:rPr>
          <w:rFonts w:ascii="Times New Roman" w:eastAsia="DengXian" w:hAnsi="Times New Roman" w:cs="Arial"/>
          <w:noProof/>
          <w:color w:val="2B2B2E"/>
          <w:kern w:val="0"/>
          <w:sz w:val="24"/>
          <w:shd w:val="clear" w:color="auto" w:fill="FFFFFF"/>
          <w:lang w:eastAsia="zh-CN"/>
          <w14:ligatures w14:val="none"/>
        </w:rPr>
        <w:drawing>
          <wp:inline distT="0" distB="0" distL="0" distR="0" wp14:anchorId="7B930EC9" wp14:editId="53AB3AEA">
            <wp:extent cx="5187950" cy="2286000"/>
            <wp:effectExtent l="0" t="0" r="0" b="0"/>
            <wp:docPr id="994132449" name="Picture 1"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32449" name="Picture 1" descr="A diagram of a graph&#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7950" cy="2286000"/>
                    </a:xfrm>
                    <a:prstGeom prst="rect">
                      <a:avLst/>
                    </a:prstGeom>
                    <a:noFill/>
                    <a:ln>
                      <a:noFill/>
                    </a:ln>
                  </pic:spPr>
                </pic:pic>
              </a:graphicData>
            </a:graphic>
          </wp:inline>
        </w:drawing>
      </w:r>
    </w:p>
    <w:p w14:paraId="789CFA8A" w14:textId="77777777" w:rsidR="00BB51A9" w:rsidRPr="00BB51A9" w:rsidRDefault="00BB51A9" w:rsidP="00BB51A9">
      <w:pPr>
        <w:jc w:val="both"/>
        <w:rPr>
          <w:rFonts w:ascii="Times New Roman" w:eastAsia="DengXian" w:hAnsi="Times New Roman" w:cs="Arial"/>
          <w:noProof/>
          <w:color w:val="2B2B2E"/>
          <w:kern w:val="0"/>
          <w:sz w:val="24"/>
          <w:shd w:val="clear" w:color="auto" w:fill="FFFFFF"/>
          <w:lang w:eastAsia="zh-CN"/>
          <w14:ligatures w14:val="none"/>
        </w:rPr>
      </w:pPr>
      <w:r w:rsidRPr="00BB51A9">
        <w:rPr>
          <w:rFonts w:ascii="Times New Roman" w:eastAsia="DengXian" w:hAnsi="Times New Roman" w:cs="Arial"/>
          <w:b/>
          <w:bCs/>
          <w:color w:val="2B2B2E"/>
          <w:kern w:val="0"/>
          <w:sz w:val="20"/>
          <w:szCs w:val="18"/>
          <w:shd w:val="clear" w:color="auto" w:fill="FFFFFF"/>
          <w:lang w:eastAsia="zh-CN"/>
          <w14:ligatures w14:val="none"/>
        </w:rPr>
        <w:t>Figure S4</w:t>
      </w:r>
      <w:r w:rsidRPr="00BB51A9">
        <w:rPr>
          <w:rFonts w:ascii="Times New Roman" w:eastAsia="DengXian" w:hAnsi="Times New Roman" w:cs="Arial"/>
          <w:color w:val="2B2B2E"/>
          <w:kern w:val="0"/>
          <w:sz w:val="20"/>
          <w:szCs w:val="18"/>
          <w:shd w:val="clear" w:color="auto" w:fill="FFFFFF"/>
          <w:lang w:eastAsia="zh-CN"/>
          <w14:ligatures w14:val="none"/>
        </w:rPr>
        <w:t>:</w:t>
      </w:r>
      <w:r w:rsidRPr="00BB51A9">
        <w:rPr>
          <w:rFonts w:ascii="Times New Roman" w:eastAsia="DengXian" w:hAnsi="Times New Roman" w:cs="Arial"/>
          <w:b/>
          <w:bCs/>
          <w:color w:val="2B2B2E"/>
          <w:kern w:val="0"/>
          <w:sz w:val="20"/>
          <w:szCs w:val="18"/>
          <w:shd w:val="clear" w:color="auto" w:fill="FFFFFF"/>
          <w:lang w:eastAsia="zh-CN"/>
          <w14:ligatures w14:val="none"/>
        </w:rPr>
        <w:t xml:space="preserve"> </w:t>
      </w:r>
      <w:r w:rsidRPr="00BB51A9">
        <w:rPr>
          <w:rFonts w:ascii="Times New Roman" w:eastAsia="DengXian" w:hAnsi="Times New Roman" w:cs="Arial"/>
          <w:color w:val="2B2B2E"/>
          <w:kern w:val="0"/>
          <w:sz w:val="20"/>
          <w:szCs w:val="18"/>
          <w:shd w:val="clear" w:color="auto" w:fill="FFFFFF"/>
          <w:lang w:eastAsia="zh-CN"/>
          <w14:ligatures w14:val="none"/>
        </w:rPr>
        <w:t>(a) High-power PL transmission spectrum recorded from Device 1. (b) Simulated band structure for the glide-plane waveguide (top) and the glide-plane adaptor (bottom). The lattice constant for the glide-plane slow-light section is a=258 nm, with an extended lattice constant of a′=1.07a for the glide-plane adaptor.</w:t>
      </w:r>
    </w:p>
    <w:p w14:paraId="26A2BD18" w14:textId="77777777" w:rsidR="00BB51A9" w:rsidRDefault="00BB51A9"/>
    <w:sectPr w:rsidR="00BB51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AB8C" w14:textId="77777777" w:rsidR="006E3FF0" w:rsidRDefault="006E3FF0" w:rsidP="00B83746">
      <w:pPr>
        <w:spacing w:after="0" w:line="240" w:lineRule="auto"/>
      </w:pPr>
      <w:r>
        <w:separator/>
      </w:r>
    </w:p>
  </w:endnote>
  <w:endnote w:type="continuationSeparator" w:id="0">
    <w:p w14:paraId="55A8BF0B" w14:textId="77777777" w:rsidR="006E3FF0" w:rsidRDefault="006E3FF0" w:rsidP="00B8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CD26" w14:textId="77777777" w:rsidR="006E3FF0" w:rsidRDefault="006E3FF0" w:rsidP="00B83746">
      <w:pPr>
        <w:spacing w:after="0" w:line="240" w:lineRule="auto"/>
      </w:pPr>
      <w:r>
        <w:separator/>
      </w:r>
    </w:p>
  </w:footnote>
  <w:footnote w:type="continuationSeparator" w:id="0">
    <w:p w14:paraId="766873A8" w14:textId="77777777" w:rsidR="006E3FF0" w:rsidRDefault="006E3FF0" w:rsidP="00B83746">
      <w:pPr>
        <w:spacing w:after="0" w:line="240" w:lineRule="auto"/>
      </w:pPr>
      <w:r>
        <w:continuationSeparator/>
      </w:r>
    </w:p>
  </w:footnote>
  <w:footnote w:id="1">
    <w:p w14:paraId="242D8009" w14:textId="77777777" w:rsidR="00B83746" w:rsidRPr="00BD57DC" w:rsidRDefault="00B83746" w:rsidP="00B83746">
      <w:pPr>
        <w:pStyle w:val="FootnoteText"/>
      </w:pPr>
      <w:r w:rsidRPr="00944E6C">
        <w:rPr>
          <w:vertAlign w:val="superscript"/>
        </w:rPr>
        <w:t>†</w:t>
      </w:r>
      <w:r>
        <w:t xml:space="preserve"> </w:t>
      </w:r>
      <w:r>
        <w:rPr>
          <w:sz w:val="21"/>
          <w:szCs w:val="21"/>
        </w:rPr>
        <w:t>S.G. and X.C. contributed equally to this work.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46"/>
    <w:rsid w:val="000253F6"/>
    <w:rsid w:val="000F7652"/>
    <w:rsid w:val="00341896"/>
    <w:rsid w:val="003C3096"/>
    <w:rsid w:val="006E3FF0"/>
    <w:rsid w:val="00983D66"/>
    <w:rsid w:val="00B83746"/>
    <w:rsid w:val="00BB51A9"/>
    <w:rsid w:val="00C62F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250B"/>
  <w15:chartTrackingRefBased/>
  <w15:docId w15:val="{088DB1F0-A72D-4D54-AF61-B22C4215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746"/>
    <w:rPr>
      <w:rFonts w:eastAsiaTheme="majorEastAsia" w:cstheme="majorBidi"/>
      <w:color w:val="272727" w:themeColor="text1" w:themeTint="D8"/>
    </w:rPr>
  </w:style>
  <w:style w:type="paragraph" w:styleId="Title">
    <w:name w:val="Title"/>
    <w:basedOn w:val="Normal"/>
    <w:next w:val="Normal"/>
    <w:link w:val="TitleChar"/>
    <w:uiPriority w:val="10"/>
    <w:qFormat/>
    <w:rsid w:val="00B83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746"/>
    <w:pPr>
      <w:spacing w:before="160"/>
      <w:jc w:val="center"/>
    </w:pPr>
    <w:rPr>
      <w:i/>
      <w:iCs/>
      <w:color w:val="404040" w:themeColor="text1" w:themeTint="BF"/>
    </w:rPr>
  </w:style>
  <w:style w:type="character" w:customStyle="1" w:styleId="QuoteChar">
    <w:name w:val="Quote Char"/>
    <w:basedOn w:val="DefaultParagraphFont"/>
    <w:link w:val="Quote"/>
    <w:uiPriority w:val="29"/>
    <w:rsid w:val="00B83746"/>
    <w:rPr>
      <w:i/>
      <w:iCs/>
      <w:color w:val="404040" w:themeColor="text1" w:themeTint="BF"/>
    </w:rPr>
  </w:style>
  <w:style w:type="paragraph" w:styleId="ListParagraph">
    <w:name w:val="List Paragraph"/>
    <w:basedOn w:val="Normal"/>
    <w:uiPriority w:val="34"/>
    <w:qFormat/>
    <w:rsid w:val="00B83746"/>
    <w:pPr>
      <w:ind w:left="720"/>
      <w:contextualSpacing/>
    </w:pPr>
  </w:style>
  <w:style w:type="character" w:styleId="IntenseEmphasis">
    <w:name w:val="Intense Emphasis"/>
    <w:basedOn w:val="DefaultParagraphFont"/>
    <w:uiPriority w:val="21"/>
    <w:qFormat/>
    <w:rsid w:val="00B83746"/>
    <w:rPr>
      <w:i/>
      <w:iCs/>
      <w:color w:val="0F4761" w:themeColor="accent1" w:themeShade="BF"/>
    </w:rPr>
  </w:style>
  <w:style w:type="paragraph" w:styleId="IntenseQuote">
    <w:name w:val="Intense Quote"/>
    <w:basedOn w:val="Normal"/>
    <w:next w:val="Normal"/>
    <w:link w:val="IntenseQuoteChar"/>
    <w:uiPriority w:val="30"/>
    <w:qFormat/>
    <w:rsid w:val="00B83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746"/>
    <w:rPr>
      <w:i/>
      <w:iCs/>
      <w:color w:val="0F4761" w:themeColor="accent1" w:themeShade="BF"/>
    </w:rPr>
  </w:style>
  <w:style w:type="character" w:styleId="IntenseReference">
    <w:name w:val="Intense Reference"/>
    <w:basedOn w:val="DefaultParagraphFont"/>
    <w:uiPriority w:val="32"/>
    <w:qFormat/>
    <w:rsid w:val="00B83746"/>
    <w:rPr>
      <w:b/>
      <w:bCs/>
      <w:smallCaps/>
      <w:color w:val="0F4761" w:themeColor="accent1" w:themeShade="BF"/>
      <w:spacing w:val="5"/>
    </w:rPr>
  </w:style>
  <w:style w:type="paragraph" w:styleId="FootnoteText">
    <w:name w:val="footnote text"/>
    <w:basedOn w:val="Normal"/>
    <w:link w:val="FootnoteTextChar"/>
    <w:uiPriority w:val="99"/>
    <w:semiHidden/>
    <w:unhideWhenUsed/>
    <w:rsid w:val="00B83746"/>
    <w:pPr>
      <w:spacing w:after="0" w:line="240" w:lineRule="auto"/>
    </w:pPr>
    <w:rPr>
      <w:rFonts w:ascii="Times New Roman" w:eastAsia="DengXian" w:hAnsi="Times New Roman"/>
      <w:kern w:val="0"/>
      <w:sz w:val="20"/>
      <w:szCs w:val="20"/>
      <w:lang w:eastAsia="zh-CN"/>
    </w:rPr>
  </w:style>
  <w:style w:type="character" w:customStyle="1" w:styleId="FootnoteTextChar">
    <w:name w:val="Footnote Text Char"/>
    <w:basedOn w:val="DefaultParagraphFont"/>
    <w:link w:val="FootnoteText"/>
    <w:uiPriority w:val="99"/>
    <w:semiHidden/>
    <w:rsid w:val="00B83746"/>
    <w:rPr>
      <w:rFonts w:ascii="Times New Roman" w:eastAsia="DengXian" w:hAnsi="Times New Roman"/>
      <w:kern w:val="0"/>
      <w:sz w:val="20"/>
      <w:szCs w:val="20"/>
      <w:lang w:eastAsia="zh-CN"/>
    </w:rPr>
  </w:style>
  <w:style w:type="table" w:customStyle="1" w:styleId="TableGrid1">
    <w:name w:val="Table Grid1"/>
    <w:basedOn w:val="TableNormal"/>
    <w:next w:val="TableGrid"/>
    <w:uiPriority w:val="39"/>
    <w:rsid w:val="00BB51A9"/>
    <w:pPr>
      <w:spacing w:after="0" w:line="240" w:lineRule="auto"/>
    </w:pPr>
    <w:rPr>
      <w:rFonts w:eastAsia="DengXian"/>
      <w:kern w:val="0"/>
      <w:lang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BB51A9"/>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5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rk.fox@sheffield.ac.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siampour@qub.ac.uk" TargetMode="External"/><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1976</Words>
  <Characters>11266</Characters>
  <Application>Microsoft Office Word</Application>
  <DocSecurity>0</DocSecurity>
  <Lines>93</Lines>
  <Paragraphs>26</Paragraphs>
  <ScaleCrop>false</ScaleCrop>
  <Company>Queens University Belfast</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Hamidreza Siampour Ashkavandi</dc:creator>
  <cp:keywords/>
  <dc:description/>
  <cp:lastModifiedBy>Hamidreza Siampour Ashkavandi</cp:lastModifiedBy>
  <cp:revision>3</cp:revision>
  <dcterms:created xsi:type="dcterms:W3CDTF">2025-01-31T19:47:00Z</dcterms:created>
  <dcterms:modified xsi:type="dcterms:W3CDTF">2025-01-31T19:51:00Z</dcterms:modified>
</cp:coreProperties>
</file>