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0C331" w14:textId="160A1A92" w:rsidR="00B9403F" w:rsidRPr="00B9403F" w:rsidRDefault="00B9403F" w:rsidP="00B9403F">
      <w:pPr>
        <w:pStyle w:val="Heading1"/>
        <w:ind w:firstLine="0"/>
      </w:pPr>
      <w:bookmarkStart w:id="0" w:name="_Toc101371351"/>
      <w:r>
        <w:t>Additional File 3</w:t>
      </w:r>
      <w:r w:rsidRPr="00B9403F">
        <w:t xml:space="preserve">: </w:t>
      </w:r>
      <w:bookmarkEnd w:id="0"/>
      <w:r>
        <w:t>Deductive coding framework 2 (knowledge mobilisation)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9"/>
        <w:gridCol w:w="4629"/>
        <w:gridCol w:w="4629"/>
      </w:tblGrid>
      <w:tr w:rsidR="00B9403F" w:rsidRPr="00B9403F" w14:paraId="5609E1C1" w14:textId="77777777" w:rsidTr="00FC518E">
        <w:tc>
          <w:tcPr>
            <w:tcW w:w="4629" w:type="dxa"/>
            <w:shd w:val="clear" w:color="auto" w:fill="E7E6E6" w:themeFill="background2"/>
            <w:vAlign w:val="bottom"/>
          </w:tcPr>
          <w:p w14:paraId="4C5CCE7F" w14:textId="77777777" w:rsidR="00B9403F" w:rsidRPr="00B9403F" w:rsidRDefault="00B9403F" w:rsidP="00FC518E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  <w:bCs/>
              </w:rPr>
            </w:pPr>
            <w:r w:rsidRPr="00B9403F">
              <w:rPr>
                <w:rFonts w:asciiTheme="minorHAnsi" w:hAnsiTheme="minorHAnsi" w:cstheme="minorHAnsi"/>
                <w:b/>
                <w:bCs/>
              </w:rPr>
              <w:t>1. Mobilising knowledge codes</w:t>
            </w:r>
          </w:p>
        </w:tc>
        <w:tc>
          <w:tcPr>
            <w:tcW w:w="4629" w:type="dxa"/>
            <w:shd w:val="clear" w:color="auto" w:fill="E7E6E6" w:themeFill="background2"/>
            <w:vAlign w:val="bottom"/>
          </w:tcPr>
          <w:p w14:paraId="1F6AB19D" w14:textId="77777777" w:rsidR="00B9403F" w:rsidRPr="00B9403F" w:rsidRDefault="00B9403F" w:rsidP="00FC518E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  <w:bCs/>
              </w:rPr>
            </w:pPr>
            <w:r w:rsidRPr="00B9403F">
              <w:rPr>
                <w:rFonts w:asciiTheme="minorHAnsi" w:hAnsiTheme="minorHAnsi" w:cstheme="minorHAnsi"/>
                <w:b/>
                <w:bCs/>
              </w:rPr>
              <w:t>Definition/description</w:t>
            </w:r>
          </w:p>
        </w:tc>
        <w:tc>
          <w:tcPr>
            <w:tcW w:w="4629" w:type="dxa"/>
            <w:shd w:val="clear" w:color="auto" w:fill="E7E6E6" w:themeFill="background2"/>
            <w:vAlign w:val="bottom"/>
          </w:tcPr>
          <w:p w14:paraId="5B2C857D" w14:textId="77777777" w:rsidR="00B9403F" w:rsidRPr="00B9403F" w:rsidRDefault="00B9403F" w:rsidP="00FC518E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  <w:bCs/>
              </w:rPr>
            </w:pPr>
            <w:r w:rsidRPr="00B9403F">
              <w:rPr>
                <w:rFonts w:asciiTheme="minorHAnsi" w:hAnsiTheme="minorHAnsi" w:cstheme="minorHAnsi"/>
                <w:b/>
                <w:bCs/>
              </w:rPr>
              <w:t>Example</w:t>
            </w:r>
          </w:p>
        </w:tc>
      </w:tr>
      <w:tr w:rsidR="00B9403F" w:rsidRPr="00B9403F" w14:paraId="345A8ECF" w14:textId="77777777" w:rsidTr="00FC518E">
        <w:tc>
          <w:tcPr>
            <w:tcW w:w="4629" w:type="dxa"/>
          </w:tcPr>
          <w:p w14:paraId="54267EAE" w14:textId="77777777" w:rsidR="00B9403F" w:rsidRPr="00B9403F" w:rsidRDefault="00B9403F" w:rsidP="00FC518E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  <w:bCs/>
              </w:rPr>
            </w:pPr>
            <w:r w:rsidRPr="00B9403F">
              <w:rPr>
                <w:rFonts w:asciiTheme="minorHAnsi" w:hAnsiTheme="minorHAnsi" w:cstheme="minorHAnsi"/>
                <w:b/>
                <w:bCs/>
              </w:rPr>
              <w:t>A.</w:t>
            </w:r>
            <w:r w:rsidRPr="00B9403F">
              <w:rPr>
                <w:rFonts w:asciiTheme="minorHAnsi" w:hAnsiTheme="minorHAnsi" w:cstheme="minorHAnsi"/>
              </w:rPr>
              <w:t xml:space="preserve"> How is knowledge mobilised</w:t>
            </w:r>
          </w:p>
        </w:tc>
        <w:tc>
          <w:tcPr>
            <w:tcW w:w="4629" w:type="dxa"/>
          </w:tcPr>
          <w:p w14:paraId="63D6C3AF" w14:textId="77777777" w:rsidR="00B9403F" w:rsidRPr="00B9403F" w:rsidRDefault="00B9403F" w:rsidP="00FC518E">
            <w:pPr>
              <w:spacing w:line="240" w:lineRule="auto"/>
              <w:ind w:firstLine="0"/>
              <w:rPr>
                <w:rFonts w:asciiTheme="minorHAnsi" w:hAnsiTheme="minorHAnsi" w:cstheme="minorHAnsi"/>
              </w:rPr>
            </w:pPr>
            <w:r w:rsidRPr="00B9403F">
              <w:rPr>
                <w:rFonts w:asciiTheme="minorHAnsi" w:hAnsiTheme="minorHAnsi" w:cstheme="minorHAnsi"/>
                <w:b/>
                <w:bCs/>
              </w:rPr>
              <w:t>A1</w:t>
            </w:r>
            <w:r w:rsidRPr="00B9403F">
              <w:rPr>
                <w:rFonts w:asciiTheme="minorHAnsi" w:hAnsiTheme="minorHAnsi" w:cstheme="minorHAnsi"/>
              </w:rPr>
              <w:t xml:space="preserve"> The processes and mechanisms that underpin the mobilisation of complexity-related knowledge in physical activity policy settings</w:t>
            </w:r>
          </w:p>
        </w:tc>
        <w:tc>
          <w:tcPr>
            <w:tcW w:w="4629" w:type="dxa"/>
          </w:tcPr>
          <w:p w14:paraId="411DEEAF" w14:textId="77777777" w:rsidR="00B9403F" w:rsidRPr="00B9403F" w:rsidRDefault="00B9403F" w:rsidP="00FC518E">
            <w:pPr>
              <w:spacing w:line="240" w:lineRule="auto"/>
              <w:ind w:firstLine="0"/>
              <w:rPr>
                <w:rFonts w:asciiTheme="minorHAnsi" w:hAnsiTheme="minorHAnsi" w:cstheme="minorHAnsi"/>
              </w:rPr>
            </w:pPr>
            <w:r w:rsidRPr="00B9403F">
              <w:rPr>
                <w:rFonts w:asciiTheme="minorHAnsi" w:hAnsiTheme="minorHAnsi" w:cstheme="minorHAnsi"/>
                <w:b/>
                <w:bCs/>
              </w:rPr>
              <w:t>A1</w:t>
            </w:r>
            <w:r w:rsidRPr="00B9403F">
              <w:rPr>
                <w:rFonts w:asciiTheme="minorHAnsi" w:hAnsiTheme="minorHAnsi" w:cstheme="minorHAnsi"/>
              </w:rPr>
              <w:t xml:space="preserve"> Systems mapping workshops</w:t>
            </w:r>
          </w:p>
        </w:tc>
      </w:tr>
      <w:tr w:rsidR="00B9403F" w:rsidRPr="00B9403F" w14:paraId="7B04B6CD" w14:textId="77777777" w:rsidTr="00FC518E">
        <w:tc>
          <w:tcPr>
            <w:tcW w:w="4629" w:type="dxa"/>
          </w:tcPr>
          <w:p w14:paraId="11256FDF" w14:textId="77777777" w:rsidR="00B9403F" w:rsidRPr="00B9403F" w:rsidRDefault="00B9403F" w:rsidP="00FC518E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  <w:bCs/>
              </w:rPr>
            </w:pPr>
            <w:r w:rsidRPr="00B9403F">
              <w:rPr>
                <w:rFonts w:asciiTheme="minorHAnsi" w:hAnsiTheme="minorHAnsi" w:cstheme="minorHAnsi"/>
                <w:b/>
                <w:bCs/>
              </w:rPr>
              <w:t>B.</w:t>
            </w:r>
            <w:r w:rsidRPr="00B9403F">
              <w:rPr>
                <w:rFonts w:asciiTheme="minorHAnsi" w:hAnsiTheme="minorHAnsi" w:cstheme="minorHAnsi"/>
              </w:rPr>
              <w:t xml:space="preserve"> Who mobilises the knowledge</w:t>
            </w:r>
          </w:p>
        </w:tc>
        <w:tc>
          <w:tcPr>
            <w:tcW w:w="4629" w:type="dxa"/>
          </w:tcPr>
          <w:p w14:paraId="64417B3A" w14:textId="77777777" w:rsidR="00B9403F" w:rsidRPr="00B9403F" w:rsidRDefault="00B9403F" w:rsidP="00FC518E">
            <w:pPr>
              <w:spacing w:line="240" w:lineRule="auto"/>
              <w:ind w:firstLine="0"/>
              <w:rPr>
                <w:rFonts w:asciiTheme="minorHAnsi" w:hAnsiTheme="minorHAnsi" w:cstheme="minorHAnsi"/>
              </w:rPr>
            </w:pPr>
            <w:r w:rsidRPr="00B9403F">
              <w:rPr>
                <w:rFonts w:asciiTheme="minorHAnsi" w:hAnsiTheme="minorHAnsi" w:cstheme="minorHAnsi"/>
                <w:b/>
                <w:bCs/>
              </w:rPr>
              <w:t>B1</w:t>
            </w:r>
            <w:r w:rsidRPr="00B9403F">
              <w:rPr>
                <w:rFonts w:asciiTheme="minorHAnsi" w:hAnsiTheme="minorHAnsi" w:cstheme="minorHAnsi"/>
              </w:rPr>
              <w:t xml:space="preserve"> Agents who have, or ought to have, the capacity, power and will to mobilise knowledge of complex systems in physical activity policy settings</w:t>
            </w:r>
          </w:p>
        </w:tc>
        <w:tc>
          <w:tcPr>
            <w:tcW w:w="4629" w:type="dxa"/>
          </w:tcPr>
          <w:p w14:paraId="3F214945" w14:textId="77777777" w:rsidR="00B9403F" w:rsidRPr="00B9403F" w:rsidRDefault="00B9403F" w:rsidP="00FC518E">
            <w:pPr>
              <w:spacing w:line="240" w:lineRule="auto"/>
              <w:ind w:firstLine="0"/>
              <w:rPr>
                <w:rFonts w:asciiTheme="minorHAnsi" w:hAnsiTheme="minorHAnsi" w:cstheme="minorHAnsi"/>
              </w:rPr>
            </w:pPr>
            <w:r w:rsidRPr="00B9403F">
              <w:rPr>
                <w:rFonts w:asciiTheme="minorHAnsi" w:hAnsiTheme="minorHAnsi" w:cstheme="minorHAnsi"/>
                <w:b/>
                <w:bCs/>
              </w:rPr>
              <w:t>B1</w:t>
            </w:r>
            <w:r w:rsidRPr="00B9403F">
              <w:rPr>
                <w:rFonts w:asciiTheme="minorHAnsi" w:hAnsiTheme="minorHAnsi" w:cstheme="minorHAnsi"/>
              </w:rPr>
              <w:t xml:space="preserve"> Policy entrepreneurs</w:t>
            </w:r>
          </w:p>
        </w:tc>
      </w:tr>
      <w:tr w:rsidR="00B9403F" w:rsidRPr="00B9403F" w14:paraId="1176F530" w14:textId="77777777" w:rsidTr="00FC518E">
        <w:tc>
          <w:tcPr>
            <w:tcW w:w="4629" w:type="dxa"/>
          </w:tcPr>
          <w:p w14:paraId="7EE5D566" w14:textId="77777777" w:rsidR="00B9403F" w:rsidRPr="00B9403F" w:rsidRDefault="00B9403F" w:rsidP="00FC518E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  <w:bCs/>
              </w:rPr>
            </w:pPr>
            <w:r w:rsidRPr="00B9403F">
              <w:rPr>
                <w:rFonts w:asciiTheme="minorHAnsi" w:hAnsiTheme="minorHAnsi" w:cstheme="minorHAnsi"/>
                <w:b/>
                <w:bCs/>
              </w:rPr>
              <w:t>C.</w:t>
            </w:r>
            <w:r w:rsidRPr="00B9403F">
              <w:rPr>
                <w:rFonts w:asciiTheme="minorHAnsi" w:hAnsiTheme="minorHAnsi" w:cstheme="minorHAnsi"/>
              </w:rPr>
              <w:t xml:space="preserve"> Circumstances in which knowledge may be mobilised</w:t>
            </w:r>
          </w:p>
        </w:tc>
        <w:tc>
          <w:tcPr>
            <w:tcW w:w="4629" w:type="dxa"/>
          </w:tcPr>
          <w:p w14:paraId="52389EDE" w14:textId="77777777" w:rsidR="00B9403F" w:rsidRPr="00B9403F" w:rsidRDefault="00B9403F" w:rsidP="00FC518E">
            <w:pPr>
              <w:spacing w:line="240" w:lineRule="auto"/>
              <w:ind w:firstLine="0"/>
              <w:rPr>
                <w:rFonts w:asciiTheme="minorHAnsi" w:hAnsiTheme="minorHAnsi" w:cstheme="minorHAnsi"/>
              </w:rPr>
            </w:pPr>
            <w:r w:rsidRPr="00B9403F">
              <w:rPr>
                <w:rFonts w:asciiTheme="minorHAnsi" w:hAnsiTheme="minorHAnsi" w:cstheme="minorHAnsi"/>
                <w:b/>
                <w:bCs/>
              </w:rPr>
              <w:t>C1</w:t>
            </w:r>
            <w:r w:rsidRPr="00B9403F">
              <w:rPr>
                <w:rFonts w:asciiTheme="minorHAnsi" w:hAnsiTheme="minorHAnsi" w:cstheme="minorHAnsi"/>
              </w:rPr>
              <w:t xml:space="preserve"> Times and occurrences whereby knowledge of complex systems may be mobilised to good effect</w:t>
            </w:r>
          </w:p>
        </w:tc>
        <w:tc>
          <w:tcPr>
            <w:tcW w:w="4629" w:type="dxa"/>
          </w:tcPr>
          <w:p w14:paraId="61338B61" w14:textId="77777777" w:rsidR="00B9403F" w:rsidRPr="00B9403F" w:rsidRDefault="00B9403F" w:rsidP="00FC518E">
            <w:pPr>
              <w:spacing w:line="240" w:lineRule="auto"/>
              <w:ind w:firstLine="0"/>
              <w:rPr>
                <w:rFonts w:asciiTheme="minorHAnsi" w:hAnsiTheme="minorHAnsi" w:cstheme="minorHAnsi"/>
              </w:rPr>
            </w:pPr>
            <w:r w:rsidRPr="00B9403F">
              <w:rPr>
                <w:rFonts w:asciiTheme="minorHAnsi" w:hAnsiTheme="minorHAnsi" w:cstheme="minorHAnsi"/>
                <w:b/>
                <w:bCs/>
              </w:rPr>
              <w:t>C1</w:t>
            </w:r>
            <w:r w:rsidRPr="00B9403F">
              <w:rPr>
                <w:rFonts w:asciiTheme="minorHAnsi" w:hAnsiTheme="minorHAnsi" w:cstheme="minorHAnsi"/>
              </w:rPr>
              <w:t xml:space="preserve"> Developing people’s skills in influencing policy</w:t>
            </w:r>
          </w:p>
        </w:tc>
      </w:tr>
      <w:tr w:rsidR="00B9403F" w:rsidRPr="00B9403F" w14:paraId="7E0F741E" w14:textId="77777777" w:rsidTr="00FC518E">
        <w:tc>
          <w:tcPr>
            <w:tcW w:w="4629" w:type="dxa"/>
          </w:tcPr>
          <w:p w14:paraId="1BA8E9F6" w14:textId="77777777" w:rsidR="00B9403F" w:rsidRPr="00B9403F" w:rsidRDefault="00B9403F" w:rsidP="00FC518E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  <w:bCs/>
              </w:rPr>
            </w:pPr>
            <w:r w:rsidRPr="00B9403F">
              <w:rPr>
                <w:rFonts w:asciiTheme="minorHAnsi" w:hAnsiTheme="minorHAnsi" w:cstheme="minorHAnsi"/>
                <w:b/>
                <w:bCs/>
              </w:rPr>
              <w:t>D.</w:t>
            </w:r>
            <w:r w:rsidRPr="00B9403F">
              <w:rPr>
                <w:rFonts w:asciiTheme="minorHAnsi" w:hAnsiTheme="minorHAnsi" w:cstheme="minorHAnsi"/>
              </w:rPr>
              <w:t xml:space="preserve"> Circumstances in which knowledge of complexity and systems may not be useful</w:t>
            </w:r>
          </w:p>
        </w:tc>
        <w:tc>
          <w:tcPr>
            <w:tcW w:w="4629" w:type="dxa"/>
          </w:tcPr>
          <w:p w14:paraId="3A244CB2" w14:textId="77777777" w:rsidR="00B9403F" w:rsidRPr="00B9403F" w:rsidRDefault="00B9403F" w:rsidP="00FC518E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  <w:bCs/>
              </w:rPr>
            </w:pPr>
            <w:r w:rsidRPr="00B9403F">
              <w:rPr>
                <w:rFonts w:asciiTheme="minorHAnsi" w:hAnsiTheme="minorHAnsi" w:cstheme="minorHAnsi"/>
                <w:b/>
                <w:bCs/>
              </w:rPr>
              <w:t>D1</w:t>
            </w:r>
            <w:r w:rsidRPr="00B9403F">
              <w:rPr>
                <w:rFonts w:asciiTheme="minorHAnsi" w:hAnsiTheme="minorHAnsi" w:cstheme="minorHAnsi"/>
              </w:rPr>
              <w:t xml:space="preserve"> Times and occurrences whereby knowledge of complex systems may be mobilised to no effect, or bad effect</w:t>
            </w:r>
          </w:p>
        </w:tc>
        <w:tc>
          <w:tcPr>
            <w:tcW w:w="4629" w:type="dxa"/>
          </w:tcPr>
          <w:p w14:paraId="1D9F29B3" w14:textId="77777777" w:rsidR="00B9403F" w:rsidRPr="00B9403F" w:rsidRDefault="00B9403F" w:rsidP="00FC518E">
            <w:pPr>
              <w:spacing w:line="240" w:lineRule="auto"/>
              <w:ind w:firstLine="0"/>
              <w:rPr>
                <w:rFonts w:asciiTheme="minorHAnsi" w:hAnsiTheme="minorHAnsi" w:cstheme="minorHAnsi"/>
              </w:rPr>
            </w:pPr>
            <w:r w:rsidRPr="00B9403F">
              <w:rPr>
                <w:rFonts w:asciiTheme="minorHAnsi" w:hAnsiTheme="minorHAnsi" w:cstheme="minorHAnsi"/>
                <w:b/>
                <w:bCs/>
              </w:rPr>
              <w:t>D1</w:t>
            </w:r>
            <w:r w:rsidRPr="00B9403F">
              <w:rPr>
                <w:rFonts w:asciiTheme="minorHAnsi" w:hAnsiTheme="minorHAnsi" w:cstheme="minorHAnsi"/>
              </w:rPr>
              <w:t xml:space="preserve"> Educating policy-makers directly</w:t>
            </w:r>
          </w:p>
        </w:tc>
      </w:tr>
    </w:tbl>
    <w:p w14:paraId="7E0C1E8C" w14:textId="77777777" w:rsidR="00142DBC" w:rsidRDefault="00142DBC"/>
    <w:sectPr w:rsidR="00142DBC" w:rsidSect="00B9403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03F"/>
    <w:rsid w:val="00142DBC"/>
    <w:rsid w:val="005E7E21"/>
    <w:rsid w:val="00B9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6A7E7"/>
  <w15:chartTrackingRefBased/>
  <w15:docId w15:val="{BAB98C4E-57B9-4A0C-ABF7-37FA5237F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03F"/>
    <w:pPr>
      <w:spacing w:after="0" w:line="480" w:lineRule="auto"/>
      <w:ind w:firstLine="720"/>
    </w:pPr>
    <w:rPr>
      <w:rFonts w:asciiTheme="majorBidi" w:eastAsiaTheme="minorEastAsia" w:hAnsiTheme="majorBidi"/>
      <w:kern w:val="0"/>
      <w:sz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40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403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403F"/>
    <w:pPr>
      <w:keepNext/>
      <w:keepLines/>
      <w:spacing w:before="240" w:after="240" w:line="240" w:lineRule="auto"/>
      <w:ind w:firstLine="0"/>
      <w:outlineLvl w:val="2"/>
    </w:pPr>
    <w:rPr>
      <w:rFonts w:eastAsiaTheme="majorEastAsia" w:cstheme="majorBidi"/>
      <w:color w:val="1F3763" w:themeColor="accent1" w:themeShade="7F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9403F"/>
    <w:rPr>
      <w:rFonts w:asciiTheme="majorBidi" w:eastAsiaTheme="majorEastAsia" w:hAnsiTheme="majorBidi" w:cstheme="majorBidi"/>
      <w:color w:val="1F3763" w:themeColor="accent1" w:themeShade="7F"/>
      <w:kern w:val="0"/>
      <w:sz w:val="28"/>
      <w:szCs w:val="24"/>
      <w:lang w:eastAsia="zh-CN"/>
      <w14:ligatures w14:val="none"/>
    </w:rPr>
  </w:style>
  <w:style w:type="table" w:styleId="TableGrid">
    <w:name w:val="Table Grid"/>
    <w:basedOn w:val="TableNormal"/>
    <w:uiPriority w:val="39"/>
    <w:rsid w:val="00B9403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B9403F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zh-C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B9403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Rigby</dc:creator>
  <cp:keywords/>
  <dc:description/>
  <cp:lastModifiedBy>Benjamin Rigby</cp:lastModifiedBy>
  <cp:revision>1</cp:revision>
  <dcterms:created xsi:type="dcterms:W3CDTF">2024-08-02T11:09:00Z</dcterms:created>
  <dcterms:modified xsi:type="dcterms:W3CDTF">2024-08-02T11:11:00Z</dcterms:modified>
</cp:coreProperties>
</file>