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1DF68" w14:textId="01855415" w:rsidR="00CC731C" w:rsidRDefault="00CC731C" w:rsidP="0030522A">
      <w:pPr>
        <w:spacing w:line="360" w:lineRule="auto"/>
        <w:jc w:val="both"/>
        <w:rPr>
          <w:rFonts w:ascii="Times New Roman" w:eastAsia="Times New Roman" w:hAnsi="Times New Roman"/>
          <w:b/>
          <w:color w:val="0070C0"/>
          <w:sz w:val="24"/>
        </w:rPr>
      </w:pPr>
      <w:r w:rsidRPr="0030522A">
        <w:rPr>
          <w:rFonts w:ascii="Times New Roman" w:eastAsia="Times New Roman" w:hAnsi="Times New Roman"/>
          <w:b/>
          <w:color w:val="0070C0"/>
          <w:sz w:val="24"/>
        </w:rPr>
        <w:t xml:space="preserve">Supplementary </w:t>
      </w:r>
      <w:r w:rsidR="0030522A" w:rsidRPr="0030522A">
        <w:rPr>
          <w:rFonts w:ascii="Times New Roman" w:eastAsia="Times New Roman" w:hAnsi="Times New Roman"/>
          <w:b/>
          <w:color w:val="0070C0"/>
          <w:sz w:val="24"/>
        </w:rPr>
        <w:t>File</w:t>
      </w:r>
      <w:r w:rsidR="0030522A">
        <w:rPr>
          <w:rFonts w:ascii="Times New Roman" w:eastAsia="Times New Roman" w:hAnsi="Times New Roman"/>
          <w:b/>
          <w:color w:val="0070C0"/>
          <w:sz w:val="24"/>
        </w:rPr>
        <w:t>:</w:t>
      </w:r>
    </w:p>
    <w:p w14:paraId="675AD76E" w14:textId="15A86725" w:rsidR="009D340C" w:rsidRPr="009D340C" w:rsidRDefault="009D340C" w:rsidP="0030522A">
      <w:pPr>
        <w:spacing w:line="360" w:lineRule="auto"/>
        <w:jc w:val="both"/>
        <w:rPr>
          <w:rFonts w:ascii="Times New Roman" w:eastAsia="Times New Roman" w:hAnsi="Times New Roman"/>
          <w:bCs/>
          <w:i/>
          <w:iCs/>
          <w:sz w:val="24"/>
        </w:rPr>
      </w:pPr>
      <w:r w:rsidRPr="009D340C">
        <w:rPr>
          <w:rFonts w:ascii="Times New Roman" w:eastAsia="Times New Roman" w:hAnsi="Times New Roman"/>
          <w:bCs/>
          <w:i/>
          <w:iCs/>
          <w:sz w:val="24"/>
        </w:rPr>
        <w:t xml:space="preserve">Detailed descriptions of all biochemical estimation procedures, including the source and preparation of chemical reagents and standard curve protocols for chlorophyll, carotenoids, protein, flavonoids, phenolics, and antioxidant activity, are provided in </w:t>
      </w:r>
      <w:r>
        <w:rPr>
          <w:rFonts w:ascii="Times New Roman" w:eastAsia="Times New Roman" w:hAnsi="Times New Roman"/>
          <w:bCs/>
          <w:i/>
          <w:iCs/>
          <w:sz w:val="24"/>
        </w:rPr>
        <w:t>this</w:t>
      </w:r>
      <w:r w:rsidRPr="009D340C">
        <w:rPr>
          <w:rFonts w:ascii="Times New Roman" w:eastAsia="Times New Roman" w:hAnsi="Times New Roman"/>
          <w:bCs/>
          <w:i/>
          <w:iCs/>
          <w:sz w:val="24"/>
        </w:rPr>
        <w:t xml:space="preserve"> file.</w:t>
      </w:r>
    </w:p>
    <w:p w14:paraId="690E1B81" w14:textId="63A56AEC" w:rsidR="00D751AF" w:rsidRPr="00A94977" w:rsidRDefault="00D751AF" w:rsidP="00A94977">
      <w:pPr>
        <w:pStyle w:val="Heading6"/>
        <w:numPr>
          <w:ilvl w:val="0"/>
          <w:numId w:val="5"/>
        </w:numPr>
        <w:spacing w:before="120" w:after="120" w:line="360" w:lineRule="auto"/>
        <w:rPr>
          <w:rFonts w:ascii="Times New Roman" w:hAnsi="Times New Roman" w:cs="Times New Roman"/>
          <w:b/>
          <w:bCs/>
          <w:i w:val="0"/>
          <w:iCs w:val="0"/>
          <w:color w:val="auto"/>
          <w:sz w:val="24"/>
          <w:szCs w:val="24"/>
        </w:rPr>
      </w:pPr>
      <w:r w:rsidRPr="00A94977">
        <w:rPr>
          <w:rFonts w:ascii="Times New Roman" w:hAnsi="Times New Roman" w:cs="Times New Roman"/>
          <w:b/>
          <w:bCs/>
          <w:i w:val="0"/>
          <w:iCs w:val="0"/>
          <w:color w:val="auto"/>
          <w:sz w:val="24"/>
          <w:szCs w:val="24"/>
        </w:rPr>
        <w:t>Estimation of chlorophyll and carotenoids content</w:t>
      </w:r>
    </w:p>
    <w:p w14:paraId="5D420DA9" w14:textId="77777777" w:rsidR="00D751AF" w:rsidRPr="007D14DF" w:rsidRDefault="00D751AF" w:rsidP="00D751AF">
      <w:pPr>
        <w:pStyle w:val="BodyText"/>
        <w:spacing w:before="120" w:after="120" w:line="360" w:lineRule="auto"/>
        <w:ind w:firstLine="720"/>
        <w:jc w:val="both"/>
        <w:rPr>
          <w:bCs/>
          <w:sz w:val="24"/>
          <w:szCs w:val="24"/>
        </w:rPr>
      </w:pPr>
      <w:r w:rsidRPr="007D14DF">
        <w:rPr>
          <w:sz w:val="24"/>
          <w:szCs w:val="24"/>
        </w:rPr>
        <w:t xml:space="preserve">Chlorophyll and carotenoid content were estimated by the method of </w:t>
      </w:r>
      <w:r w:rsidRPr="007D14DF">
        <w:rPr>
          <w:bCs/>
          <w:sz w:val="24"/>
          <w:szCs w:val="24"/>
        </w:rPr>
        <w:t xml:space="preserve">Hiscox and Israel Stam (1979). </w:t>
      </w:r>
    </w:p>
    <w:p w14:paraId="4A12F884" w14:textId="77777777" w:rsidR="00D751AF" w:rsidRPr="007D14DF" w:rsidRDefault="00D751AF" w:rsidP="00D751AF">
      <w:pPr>
        <w:pStyle w:val="Heading6"/>
        <w:spacing w:before="120" w:after="120" w:line="360" w:lineRule="auto"/>
        <w:ind w:right="5145"/>
        <w:rPr>
          <w:rFonts w:ascii="Times New Roman" w:hAnsi="Times New Roman" w:cs="Times New Roman"/>
          <w:b/>
          <w:bCs/>
          <w:color w:val="auto"/>
          <w:sz w:val="24"/>
          <w:szCs w:val="24"/>
        </w:rPr>
      </w:pPr>
      <w:r w:rsidRPr="007D14DF">
        <w:rPr>
          <w:rFonts w:ascii="Times New Roman" w:hAnsi="Times New Roman" w:cs="Times New Roman"/>
          <w:b/>
          <w:bCs/>
          <w:color w:val="auto"/>
          <w:sz w:val="24"/>
          <w:szCs w:val="24"/>
        </w:rPr>
        <w:t>Reagent</w:t>
      </w:r>
    </w:p>
    <w:p w14:paraId="54D4BDEA" w14:textId="2B667BBB" w:rsidR="00D751AF" w:rsidRPr="007D14DF" w:rsidRDefault="00D751AF" w:rsidP="00D751AF">
      <w:pPr>
        <w:spacing w:before="120" w:after="120" w:line="360" w:lineRule="auto"/>
        <w:rPr>
          <w:rFonts w:ascii="Times New Roman" w:hAnsi="Times New Roman" w:cs="Times New Roman"/>
          <w:b/>
          <w:sz w:val="24"/>
          <w:szCs w:val="24"/>
        </w:rPr>
      </w:pPr>
      <w:r w:rsidRPr="007D14DF">
        <w:rPr>
          <w:rFonts w:ascii="Times New Roman" w:hAnsi="Times New Roman" w:cs="Times New Roman"/>
          <w:b/>
          <w:sz w:val="24"/>
          <w:szCs w:val="24"/>
        </w:rPr>
        <w:t>Dimethyl sulfoxide (DMSO)</w:t>
      </w:r>
    </w:p>
    <w:p w14:paraId="00868B4F" w14:textId="77777777" w:rsidR="00D751AF" w:rsidRPr="00326DF5" w:rsidRDefault="00D751AF" w:rsidP="00D751AF">
      <w:pPr>
        <w:pStyle w:val="BodyText"/>
        <w:spacing w:before="120" w:after="120" w:line="360" w:lineRule="auto"/>
        <w:ind w:firstLine="720"/>
        <w:jc w:val="both"/>
        <w:rPr>
          <w:spacing w:val="-4"/>
          <w:sz w:val="24"/>
          <w:szCs w:val="24"/>
        </w:rPr>
      </w:pPr>
      <w:r w:rsidRPr="00326DF5">
        <w:rPr>
          <w:spacing w:val="-4"/>
          <w:sz w:val="24"/>
          <w:szCs w:val="24"/>
        </w:rPr>
        <w:t>To estimate chlorophyll and carotenoid content 50 mg of fresh young and mature leaf tissues were taken in test tubes and 10 ml of dimethyl sulfoxide (DMSO) was added. These test tubes were incubated at 65</w:t>
      </w:r>
      <w:r w:rsidRPr="00326DF5">
        <w:rPr>
          <w:spacing w:val="-4"/>
          <w:sz w:val="24"/>
          <w:szCs w:val="24"/>
          <w:vertAlign w:val="superscript"/>
        </w:rPr>
        <w:t>o</w:t>
      </w:r>
      <w:r w:rsidRPr="00326DF5">
        <w:rPr>
          <w:spacing w:val="-4"/>
          <w:sz w:val="24"/>
          <w:szCs w:val="24"/>
        </w:rPr>
        <w:t xml:space="preserve">C for three hours in hot air oven. After, three hours of incubation absorbance of DMSO containing chlorophyll and carotenoid content was observed at 480 nm, 649.1 nm and 665.1 nm by using a multiple wavelength of spectrophotometer. Pure DMSO was used as blank. The chlorophyll a, chlorophyll b, and carotenoid were calculated using the formula given by Wellburn, 1994.     </w:t>
      </w:r>
    </w:p>
    <w:p w14:paraId="449B0C3F" w14:textId="77777777" w:rsidR="00D751AF" w:rsidRPr="007D14DF" w:rsidRDefault="00D751AF" w:rsidP="00D751AF">
      <w:pPr>
        <w:pStyle w:val="BodyText"/>
        <w:spacing w:before="120" w:after="120" w:line="360" w:lineRule="auto"/>
        <w:ind w:left="720" w:right="215"/>
        <w:rPr>
          <w:bCs/>
          <w:iCs/>
          <w:sz w:val="24"/>
          <w:szCs w:val="24"/>
        </w:rPr>
      </w:pPr>
      <m:oMathPara>
        <m:oMathParaPr>
          <m:jc m:val="left"/>
        </m:oMathParaPr>
        <m:oMath>
          <m:r>
            <m:rPr>
              <m:sty m:val="p"/>
            </m:rPr>
            <w:rPr>
              <w:rFonts w:ascii="Cambria Math" w:hAnsi="Cambria Math"/>
              <w:sz w:val="24"/>
              <w:szCs w:val="24"/>
            </w:rPr>
            <m:t xml:space="preserve">Chl. a (mg </m:t>
          </m:r>
          <m:sSup>
            <m:sSupPr>
              <m:ctrlPr>
                <w:rPr>
                  <w:rFonts w:ascii="Cambria Math" w:eastAsiaTheme="minorHAnsi" w:hAnsi="Cambria Math"/>
                  <w:bCs/>
                  <w:sz w:val="24"/>
                  <w:szCs w:val="24"/>
                </w:rPr>
              </m:ctrlPr>
            </m:sSupPr>
            <m:e>
              <m:r>
                <m:rPr>
                  <m:sty m:val="p"/>
                </m:rPr>
                <w:rPr>
                  <w:rFonts w:ascii="Cambria Math" w:hAnsi="Cambria Math"/>
                  <w:sz w:val="24"/>
                  <w:szCs w:val="24"/>
                </w:rPr>
                <m:t>g</m:t>
              </m:r>
            </m:e>
            <m:sup>
              <m:r>
                <m:rPr>
                  <m:sty m:val="p"/>
                </m:rPr>
                <w:rPr>
                  <w:rFonts w:ascii="Cambria Math" w:hAnsi="Cambria Math"/>
                  <w:sz w:val="24"/>
                  <w:szCs w:val="24"/>
                </w:rPr>
                <m:t>-1</m:t>
              </m:r>
            </m:sup>
          </m:sSup>
          <m:r>
            <m:rPr>
              <m:sty m:val="p"/>
            </m:rPr>
            <w:rPr>
              <w:rFonts w:ascii="Cambria Math" w:hAnsi="Cambria Math"/>
              <w:sz w:val="24"/>
              <w:szCs w:val="24"/>
            </w:rPr>
            <m:t xml:space="preserve"> fresh wt.)=</m:t>
          </m:r>
          <m:f>
            <m:fPr>
              <m:ctrlPr>
                <w:rPr>
                  <w:rFonts w:ascii="Cambria Math" w:hAnsi="Cambria Math"/>
                  <w:bCs/>
                  <w:iCs/>
                  <w:sz w:val="24"/>
                  <w:szCs w:val="24"/>
                </w:rPr>
              </m:ctrlPr>
            </m:fPr>
            <m:num>
              <m:d>
                <m:dPr>
                  <m:ctrlPr>
                    <w:rPr>
                      <w:rFonts w:ascii="Cambria Math" w:hAnsi="Cambria Math"/>
                      <w:bCs/>
                      <w:iCs/>
                      <w:sz w:val="24"/>
                      <w:szCs w:val="24"/>
                    </w:rPr>
                  </m:ctrlPr>
                </m:dPr>
                <m:e>
                  <m:r>
                    <m:rPr>
                      <m:sty m:val="p"/>
                    </m:rPr>
                    <w:rPr>
                      <w:rFonts w:ascii="Cambria Math" w:hAnsi="Cambria Math"/>
                      <w:sz w:val="24"/>
                      <w:szCs w:val="24"/>
                    </w:rPr>
                    <m:t>12.47 ×A665.1-3.62 ×A649.1</m:t>
                  </m:r>
                </m:e>
              </m:d>
              <m:r>
                <m:rPr>
                  <m:sty m:val="p"/>
                </m:rPr>
                <w:rPr>
                  <w:rFonts w:ascii="Cambria Math" w:hAnsi="Cambria Math"/>
                  <w:sz w:val="24"/>
                  <w:szCs w:val="24"/>
                </w:rPr>
                <m:t>V</m:t>
              </m:r>
            </m:num>
            <m:den>
              <m:r>
                <m:rPr>
                  <m:sty m:val="p"/>
                </m:rPr>
                <w:rPr>
                  <w:rFonts w:ascii="Cambria Math" w:hAnsi="Cambria Math"/>
                  <w:sz w:val="24"/>
                  <w:szCs w:val="24"/>
                </w:rPr>
                <m:t>1000×wt.</m:t>
              </m:r>
            </m:den>
          </m:f>
        </m:oMath>
      </m:oMathPara>
    </w:p>
    <w:p w14:paraId="0B31AFB9" w14:textId="77777777" w:rsidR="00D751AF" w:rsidRPr="007D14DF" w:rsidRDefault="00D751AF" w:rsidP="00D751AF">
      <w:pPr>
        <w:pStyle w:val="BodyText"/>
        <w:spacing w:before="120" w:after="120" w:line="360" w:lineRule="auto"/>
        <w:ind w:left="720" w:right="215"/>
        <w:rPr>
          <w:bCs/>
          <w:iCs/>
          <w:sz w:val="24"/>
          <w:szCs w:val="24"/>
        </w:rPr>
      </w:pPr>
      <m:oMathPara>
        <m:oMathParaPr>
          <m:jc m:val="left"/>
        </m:oMathParaPr>
        <m:oMath>
          <m:r>
            <m:rPr>
              <m:sty m:val="p"/>
            </m:rPr>
            <w:rPr>
              <w:rFonts w:ascii="Cambria Math" w:hAnsi="Cambria Math"/>
              <w:sz w:val="24"/>
              <w:szCs w:val="24"/>
            </w:rPr>
            <m:t xml:space="preserve">Chl. b (mg </m:t>
          </m:r>
          <m:sSup>
            <m:sSupPr>
              <m:ctrlPr>
                <w:rPr>
                  <w:rFonts w:ascii="Cambria Math" w:eastAsiaTheme="minorHAnsi" w:hAnsi="Cambria Math"/>
                  <w:bCs/>
                  <w:sz w:val="24"/>
                  <w:szCs w:val="24"/>
                </w:rPr>
              </m:ctrlPr>
            </m:sSupPr>
            <m:e>
              <m:r>
                <m:rPr>
                  <m:sty m:val="p"/>
                </m:rPr>
                <w:rPr>
                  <w:rFonts w:ascii="Cambria Math" w:hAnsi="Cambria Math"/>
                  <w:sz w:val="24"/>
                  <w:szCs w:val="24"/>
                </w:rPr>
                <m:t>g</m:t>
              </m:r>
            </m:e>
            <m:sup>
              <m:r>
                <m:rPr>
                  <m:sty m:val="p"/>
                </m:rPr>
                <w:rPr>
                  <w:rFonts w:ascii="Cambria Math" w:hAnsi="Cambria Math"/>
                  <w:sz w:val="24"/>
                  <w:szCs w:val="24"/>
                </w:rPr>
                <m:t>-1</m:t>
              </m:r>
            </m:sup>
          </m:sSup>
          <m:r>
            <m:rPr>
              <m:sty m:val="p"/>
            </m:rPr>
            <w:rPr>
              <w:rFonts w:ascii="Cambria Math" w:hAnsi="Cambria Math"/>
              <w:sz w:val="24"/>
              <w:szCs w:val="24"/>
            </w:rPr>
            <m:t xml:space="preserve"> fresh wt.)=</m:t>
          </m:r>
          <m:f>
            <m:fPr>
              <m:ctrlPr>
                <w:rPr>
                  <w:rFonts w:ascii="Cambria Math" w:hAnsi="Cambria Math"/>
                  <w:bCs/>
                  <w:iCs/>
                  <w:sz w:val="24"/>
                  <w:szCs w:val="24"/>
                </w:rPr>
              </m:ctrlPr>
            </m:fPr>
            <m:num>
              <m:d>
                <m:dPr>
                  <m:ctrlPr>
                    <w:rPr>
                      <w:rFonts w:ascii="Cambria Math" w:hAnsi="Cambria Math"/>
                      <w:bCs/>
                      <w:iCs/>
                      <w:sz w:val="24"/>
                      <w:szCs w:val="24"/>
                    </w:rPr>
                  </m:ctrlPr>
                </m:dPr>
                <m:e>
                  <m:r>
                    <m:rPr>
                      <m:sty m:val="p"/>
                    </m:rPr>
                    <w:rPr>
                      <w:rFonts w:ascii="Cambria Math" w:hAnsi="Cambria Math"/>
                      <w:sz w:val="24"/>
                      <w:szCs w:val="24"/>
                    </w:rPr>
                    <m:t>25.06 ×A649.1-6.5×A665.1</m:t>
                  </m:r>
                </m:e>
              </m:d>
              <m:r>
                <m:rPr>
                  <m:sty m:val="p"/>
                </m:rPr>
                <w:rPr>
                  <w:rFonts w:ascii="Cambria Math" w:hAnsi="Cambria Math"/>
                  <w:sz w:val="24"/>
                  <w:szCs w:val="24"/>
                </w:rPr>
                <m:t>V</m:t>
              </m:r>
            </m:num>
            <m:den>
              <m:r>
                <m:rPr>
                  <m:sty m:val="p"/>
                </m:rPr>
                <w:rPr>
                  <w:rFonts w:ascii="Cambria Math" w:hAnsi="Cambria Math"/>
                  <w:sz w:val="24"/>
                  <w:szCs w:val="24"/>
                </w:rPr>
                <m:t>1000×wt.</m:t>
              </m:r>
            </m:den>
          </m:f>
        </m:oMath>
      </m:oMathPara>
    </w:p>
    <w:p w14:paraId="0C2EFB31" w14:textId="77777777" w:rsidR="00D751AF" w:rsidRPr="007D14DF" w:rsidRDefault="00D751AF" w:rsidP="00D751AF">
      <w:pPr>
        <w:pStyle w:val="BodyText"/>
        <w:spacing w:before="120" w:after="120" w:line="360" w:lineRule="auto"/>
        <w:ind w:left="720" w:right="215"/>
        <w:rPr>
          <w:bCs/>
          <w:iCs/>
          <w:sz w:val="24"/>
          <w:szCs w:val="24"/>
        </w:rPr>
      </w:pPr>
      <m:oMathPara>
        <m:oMathParaPr>
          <m:jc m:val="left"/>
        </m:oMathParaPr>
        <m:oMath>
          <m:r>
            <m:rPr>
              <m:sty m:val="p"/>
            </m:rPr>
            <w:rPr>
              <w:rFonts w:ascii="Cambria Math" w:hAnsi="Cambria Math"/>
              <w:sz w:val="24"/>
              <w:szCs w:val="24"/>
            </w:rPr>
            <m:t xml:space="preserve">Total Chl.  </m:t>
          </m:r>
          <m:d>
            <m:dPr>
              <m:ctrlPr>
                <w:rPr>
                  <w:rFonts w:ascii="Cambria Math" w:hAnsi="Cambria Math"/>
                  <w:bCs/>
                  <w:iCs/>
                  <w:sz w:val="24"/>
                  <w:szCs w:val="24"/>
                </w:rPr>
              </m:ctrlPr>
            </m:dPr>
            <m:e>
              <m:r>
                <m:rPr>
                  <m:sty m:val="p"/>
                </m:rPr>
                <w:rPr>
                  <w:rFonts w:ascii="Cambria Math" w:hAnsi="Cambria Math"/>
                  <w:sz w:val="24"/>
                  <w:szCs w:val="24"/>
                </w:rPr>
                <m:t xml:space="preserve">mg </m:t>
              </m:r>
              <m:sSup>
                <m:sSupPr>
                  <m:ctrlPr>
                    <w:rPr>
                      <w:rFonts w:ascii="Cambria Math" w:eastAsiaTheme="minorHAnsi" w:hAnsi="Cambria Math"/>
                      <w:bCs/>
                      <w:sz w:val="24"/>
                      <w:szCs w:val="24"/>
                    </w:rPr>
                  </m:ctrlPr>
                </m:sSupPr>
                <m:e>
                  <m:r>
                    <m:rPr>
                      <m:sty m:val="p"/>
                    </m:rPr>
                    <w:rPr>
                      <w:rFonts w:ascii="Cambria Math" w:hAnsi="Cambria Math"/>
                      <w:sz w:val="24"/>
                      <w:szCs w:val="24"/>
                    </w:rPr>
                    <m:t>g</m:t>
                  </m:r>
                </m:e>
                <m:sup>
                  <m:r>
                    <m:rPr>
                      <m:sty m:val="p"/>
                    </m:rPr>
                    <w:rPr>
                      <w:rFonts w:ascii="Cambria Math" w:hAnsi="Cambria Math"/>
                      <w:sz w:val="24"/>
                      <w:szCs w:val="24"/>
                    </w:rPr>
                    <m:t>-1</m:t>
                  </m:r>
                </m:sup>
              </m:sSup>
              <m:r>
                <m:rPr>
                  <m:sty m:val="p"/>
                </m:rPr>
                <w:rPr>
                  <w:rFonts w:ascii="Cambria Math" w:hAnsi="Cambria Math"/>
                  <w:sz w:val="24"/>
                  <w:szCs w:val="24"/>
                </w:rPr>
                <m:t xml:space="preserve"> fresh wt.</m:t>
              </m:r>
            </m:e>
          </m:d>
          <m:r>
            <m:rPr>
              <m:sty m:val="p"/>
            </m:rPr>
            <w:rPr>
              <w:rFonts w:ascii="Cambria Math" w:hAnsi="Cambria Math"/>
              <w:sz w:val="24"/>
              <w:szCs w:val="24"/>
            </w:rPr>
            <m:t xml:space="preserve">=Chl. a </m:t>
          </m:r>
          <m:d>
            <m:dPr>
              <m:ctrlPr>
                <w:rPr>
                  <w:rFonts w:ascii="Cambria Math" w:hAnsi="Cambria Math"/>
                  <w:bCs/>
                  <w:iCs/>
                  <w:sz w:val="24"/>
                  <w:szCs w:val="24"/>
                </w:rPr>
              </m:ctrlPr>
            </m:dPr>
            <m:e>
              <m:r>
                <m:rPr>
                  <m:sty m:val="p"/>
                </m:rPr>
                <w:rPr>
                  <w:rFonts w:ascii="Cambria Math" w:hAnsi="Cambria Math"/>
                  <w:sz w:val="24"/>
                  <w:szCs w:val="24"/>
                </w:rPr>
                <m:t>mg g fresh wt.</m:t>
              </m:r>
            </m:e>
          </m:d>
          <m:r>
            <w:rPr>
              <w:rFonts w:ascii="Cambria Math" w:hAnsi="Cambria Math"/>
              <w:sz w:val="24"/>
              <w:szCs w:val="24"/>
            </w:rPr>
            <m:t xml:space="preserve">+ </m:t>
          </m:r>
          <m:r>
            <m:rPr>
              <m:sty m:val="p"/>
            </m:rPr>
            <w:rPr>
              <w:rFonts w:ascii="Cambria Math" w:hAnsi="Cambria Math"/>
              <w:sz w:val="24"/>
              <w:szCs w:val="24"/>
            </w:rPr>
            <m:t xml:space="preserve">Chl. b </m:t>
          </m:r>
          <m:d>
            <m:dPr>
              <m:ctrlPr>
                <w:rPr>
                  <w:rFonts w:ascii="Cambria Math" w:hAnsi="Cambria Math"/>
                  <w:bCs/>
                  <w:iCs/>
                  <w:sz w:val="24"/>
                  <w:szCs w:val="24"/>
                </w:rPr>
              </m:ctrlPr>
            </m:dPr>
            <m:e>
              <m:r>
                <m:rPr>
                  <m:sty m:val="p"/>
                </m:rPr>
                <w:rPr>
                  <w:rFonts w:ascii="Cambria Math" w:hAnsi="Cambria Math"/>
                  <w:sz w:val="24"/>
                  <w:szCs w:val="24"/>
                </w:rPr>
                <m:t>mg g fresh wt.</m:t>
              </m:r>
            </m:e>
          </m:d>
        </m:oMath>
      </m:oMathPara>
    </w:p>
    <w:p w14:paraId="01673602" w14:textId="77777777" w:rsidR="00D751AF" w:rsidRPr="007D14DF" w:rsidRDefault="00D751AF" w:rsidP="00D751AF">
      <w:pPr>
        <w:pStyle w:val="BodyText"/>
        <w:spacing w:before="120" w:after="120" w:line="360" w:lineRule="auto"/>
        <w:ind w:left="720" w:right="-7"/>
        <w:rPr>
          <w:bCs/>
          <w:iCs/>
          <w:sz w:val="24"/>
          <w:szCs w:val="24"/>
        </w:rPr>
      </w:pPr>
      <m:oMathPara>
        <m:oMathParaPr>
          <m:jc m:val="left"/>
        </m:oMathParaPr>
        <m:oMath>
          <m:r>
            <m:rPr>
              <m:sty m:val="p"/>
            </m:rPr>
            <w:rPr>
              <w:rFonts w:ascii="Cambria Math" w:hAnsi="Cambria Math"/>
              <w:sz w:val="24"/>
              <w:szCs w:val="24"/>
            </w:rPr>
            <m:t xml:space="preserve">Carotenoid x+c </m:t>
          </m:r>
          <m:d>
            <m:dPr>
              <m:ctrlPr>
                <w:rPr>
                  <w:rFonts w:ascii="Cambria Math" w:hAnsi="Cambria Math"/>
                  <w:bCs/>
                  <w:iCs/>
                  <w:sz w:val="24"/>
                  <w:szCs w:val="24"/>
                </w:rPr>
              </m:ctrlPr>
            </m:dPr>
            <m:e>
              <m:r>
                <m:rPr>
                  <m:sty m:val="p"/>
                </m:rPr>
                <w:rPr>
                  <w:rFonts w:ascii="Cambria Math" w:hAnsi="Cambria Math"/>
                  <w:sz w:val="24"/>
                  <w:szCs w:val="24"/>
                </w:rPr>
                <m:t xml:space="preserve">mg </m:t>
              </m:r>
              <m:sSup>
                <m:sSupPr>
                  <m:ctrlPr>
                    <w:rPr>
                      <w:rFonts w:ascii="Cambria Math" w:eastAsiaTheme="minorHAnsi" w:hAnsi="Cambria Math"/>
                      <w:bCs/>
                      <w:sz w:val="24"/>
                      <w:szCs w:val="24"/>
                    </w:rPr>
                  </m:ctrlPr>
                </m:sSupPr>
                <m:e>
                  <m:r>
                    <m:rPr>
                      <m:sty m:val="p"/>
                    </m:rPr>
                    <w:rPr>
                      <w:rFonts w:ascii="Cambria Math" w:hAnsi="Cambria Math"/>
                      <w:sz w:val="24"/>
                      <w:szCs w:val="24"/>
                    </w:rPr>
                    <m:t>g</m:t>
                  </m:r>
                </m:e>
                <m:sup>
                  <m:r>
                    <m:rPr>
                      <m:sty m:val="p"/>
                    </m:rPr>
                    <w:rPr>
                      <w:rFonts w:ascii="Cambria Math" w:hAnsi="Cambria Math"/>
                      <w:sz w:val="24"/>
                      <w:szCs w:val="24"/>
                    </w:rPr>
                    <m:t>-1</m:t>
                  </m:r>
                </m:sup>
              </m:sSup>
              <m:r>
                <m:rPr>
                  <m:sty m:val="p"/>
                </m:rPr>
                <w:rPr>
                  <w:rFonts w:ascii="Cambria Math" w:hAnsi="Cambria Math"/>
                  <w:sz w:val="24"/>
                  <w:szCs w:val="24"/>
                </w:rPr>
                <m:t xml:space="preserve"> fresh wt.</m:t>
              </m:r>
            </m:e>
          </m:d>
          <m:r>
            <m:rPr>
              <m:sty m:val="p"/>
            </m:rPr>
            <w:rPr>
              <w:rFonts w:ascii="Cambria Math" w:hAnsi="Cambria Math"/>
              <w:sz w:val="24"/>
              <w:szCs w:val="24"/>
            </w:rPr>
            <m:t xml:space="preserve"> =</m:t>
          </m:r>
          <m:f>
            <m:fPr>
              <m:ctrlPr>
                <w:rPr>
                  <w:rFonts w:ascii="Cambria Math" w:hAnsi="Cambria Math"/>
                  <w:bCs/>
                  <w:iCs/>
                  <w:sz w:val="24"/>
                  <w:szCs w:val="24"/>
                </w:rPr>
              </m:ctrlPr>
            </m:fPr>
            <m:num>
              <m:d>
                <m:dPr>
                  <m:ctrlPr>
                    <w:rPr>
                      <w:rFonts w:ascii="Cambria Math" w:hAnsi="Cambria Math"/>
                      <w:bCs/>
                      <w:iCs/>
                      <w:sz w:val="24"/>
                      <w:szCs w:val="24"/>
                    </w:rPr>
                  </m:ctrlPr>
                </m:dPr>
                <m:e>
                  <m:r>
                    <m:rPr>
                      <m:sty m:val="p"/>
                    </m:rPr>
                    <w:rPr>
                      <w:rFonts w:ascii="Cambria Math" w:hAnsi="Cambria Math"/>
                      <w:sz w:val="24"/>
                      <w:szCs w:val="24"/>
                    </w:rPr>
                    <m:t>1000 ×A480-1.29 Chl. a-53.78×Chl. b</m:t>
                  </m:r>
                </m:e>
              </m:d>
              <m:r>
                <m:rPr>
                  <m:sty m:val="p"/>
                </m:rPr>
                <w:rPr>
                  <w:rFonts w:ascii="Cambria Math" w:hAnsi="Cambria Math"/>
                  <w:sz w:val="24"/>
                  <w:szCs w:val="24"/>
                </w:rPr>
                <m:t>/200 ×V</m:t>
              </m:r>
            </m:num>
            <m:den>
              <m:r>
                <m:rPr>
                  <m:sty m:val="p"/>
                </m:rPr>
                <w:rPr>
                  <w:rFonts w:ascii="Cambria Math" w:hAnsi="Cambria Math"/>
                  <w:sz w:val="24"/>
                  <w:szCs w:val="24"/>
                </w:rPr>
                <m:t>1000×wt.</m:t>
              </m:r>
            </m:den>
          </m:f>
        </m:oMath>
      </m:oMathPara>
    </w:p>
    <w:p w14:paraId="6F8FAED5" w14:textId="77777777" w:rsidR="00D751AF" w:rsidRPr="007D14DF" w:rsidRDefault="00D751AF" w:rsidP="00D751AF">
      <w:pPr>
        <w:pStyle w:val="BodyText"/>
        <w:spacing w:before="120" w:after="120" w:line="360" w:lineRule="auto"/>
        <w:rPr>
          <w:bCs/>
          <w:iCs/>
          <w:sz w:val="24"/>
          <w:szCs w:val="24"/>
        </w:rPr>
      </w:pPr>
      <w:r w:rsidRPr="007D14DF">
        <w:rPr>
          <w:bCs/>
          <w:iCs/>
          <w:sz w:val="24"/>
          <w:szCs w:val="24"/>
        </w:rPr>
        <w:t>Where,</w:t>
      </w:r>
    </w:p>
    <w:p w14:paraId="763325DA" w14:textId="77777777" w:rsidR="00D751AF" w:rsidRPr="007D14DF" w:rsidRDefault="00D751AF" w:rsidP="00D751AF">
      <w:pPr>
        <w:pStyle w:val="BodyText"/>
        <w:spacing w:before="120" w:after="120" w:line="360" w:lineRule="auto"/>
        <w:ind w:left="720"/>
        <w:rPr>
          <w:sz w:val="24"/>
          <w:szCs w:val="24"/>
        </w:rPr>
      </w:pPr>
      <w:r w:rsidRPr="007D14DF">
        <w:rPr>
          <w:sz w:val="24"/>
          <w:szCs w:val="24"/>
        </w:rPr>
        <w:t>wt.= weight of sample taken in grams</w:t>
      </w:r>
    </w:p>
    <w:p w14:paraId="234006F8" w14:textId="77777777" w:rsidR="00D751AF" w:rsidRPr="007D14DF" w:rsidRDefault="00D751AF" w:rsidP="00D751AF">
      <w:pPr>
        <w:pStyle w:val="BodyText"/>
        <w:spacing w:before="120" w:after="120" w:line="360" w:lineRule="auto"/>
        <w:ind w:left="720"/>
        <w:rPr>
          <w:sz w:val="24"/>
          <w:szCs w:val="24"/>
        </w:rPr>
      </w:pPr>
      <w:r w:rsidRPr="007D14DF">
        <w:rPr>
          <w:sz w:val="24"/>
          <w:szCs w:val="24"/>
        </w:rPr>
        <w:t>V= volume of DMSO used in ml</w:t>
      </w:r>
    </w:p>
    <w:p w14:paraId="6A582BC9" w14:textId="77777777" w:rsidR="00D751AF" w:rsidRPr="007D14DF" w:rsidRDefault="00D751AF" w:rsidP="00D751AF">
      <w:pPr>
        <w:pStyle w:val="BodyText"/>
        <w:spacing w:before="120" w:after="120" w:line="360" w:lineRule="auto"/>
        <w:ind w:left="720"/>
        <w:rPr>
          <w:sz w:val="24"/>
          <w:szCs w:val="24"/>
        </w:rPr>
      </w:pPr>
      <w:r w:rsidRPr="007D14DF">
        <w:rPr>
          <w:sz w:val="24"/>
          <w:szCs w:val="24"/>
        </w:rPr>
        <w:t>A480 = Absorbance at 480 nm</w:t>
      </w:r>
    </w:p>
    <w:p w14:paraId="5394BA1A" w14:textId="77777777" w:rsidR="00D751AF" w:rsidRPr="007D14DF" w:rsidRDefault="00D751AF" w:rsidP="00D751AF">
      <w:pPr>
        <w:pStyle w:val="BodyText"/>
        <w:spacing w:before="120" w:after="120" w:line="360" w:lineRule="auto"/>
        <w:ind w:left="720"/>
        <w:rPr>
          <w:sz w:val="24"/>
          <w:szCs w:val="24"/>
        </w:rPr>
      </w:pPr>
      <w:r w:rsidRPr="007D14DF">
        <w:rPr>
          <w:sz w:val="24"/>
          <w:szCs w:val="24"/>
        </w:rPr>
        <w:lastRenderedPageBreak/>
        <w:t>A 649.1 = Absorbance at 649.1 nm</w:t>
      </w:r>
    </w:p>
    <w:p w14:paraId="0BB4497F" w14:textId="77777777" w:rsidR="00D751AF" w:rsidRPr="007D14DF" w:rsidRDefault="00D751AF" w:rsidP="00D751AF">
      <w:pPr>
        <w:pStyle w:val="BodyText"/>
        <w:spacing w:before="120" w:after="120" w:line="360" w:lineRule="auto"/>
        <w:ind w:left="720"/>
        <w:rPr>
          <w:sz w:val="24"/>
          <w:szCs w:val="24"/>
        </w:rPr>
      </w:pPr>
      <w:r w:rsidRPr="007D14DF">
        <w:rPr>
          <w:sz w:val="24"/>
          <w:szCs w:val="24"/>
        </w:rPr>
        <w:t>A665.1 = Absorbance at 665.1 nm</w:t>
      </w:r>
    </w:p>
    <w:p w14:paraId="7E164B6D" w14:textId="77777777" w:rsidR="00D97AE1" w:rsidRDefault="00D97AE1" w:rsidP="00D751AF">
      <w:pPr>
        <w:spacing w:before="120" w:after="120" w:line="360" w:lineRule="auto"/>
        <w:jc w:val="both"/>
        <w:rPr>
          <w:rFonts w:ascii="Times New Roman" w:hAnsi="Times New Roman" w:cs="Times New Roman"/>
          <w:b/>
          <w:bCs/>
          <w:sz w:val="24"/>
          <w:szCs w:val="24"/>
        </w:rPr>
      </w:pPr>
    </w:p>
    <w:p w14:paraId="1E743CA5" w14:textId="1AA211A8" w:rsidR="00D751AF" w:rsidRPr="00A94977" w:rsidRDefault="00D751AF" w:rsidP="00A94977">
      <w:pPr>
        <w:pStyle w:val="ListParagraph"/>
        <w:numPr>
          <w:ilvl w:val="0"/>
          <w:numId w:val="5"/>
        </w:numPr>
        <w:spacing w:before="120" w:after="120" w:line="360" w:lineRule="auto"/>
        <w:jc w:val="both"/>
        <w:rPr>
          <w:rFonts w:ascii="Times New Roman" w:hAnsi="Times New Roman" w:cs="Times New Roman"/>
          <w:b/>
          <w:bCs/>
          <w:sz w:val="24"/>
          <w:szCs w:val="24"/>
        </w:rPr>
      </w:pPr>
      <w:r w:rsidRPr="00A94977">
        <w:rPr>
          <w:rFonts w:ascii="Times New Roman" w:hAnsi="Times New Roman" w:cs="Times New Roman"/>
          <w:b/>
          <w:bCs/>
          <w:sz w:val="24"/>
          <w:szCs w:val="24"/>
        </w:rPr>
        <w:t>Determination of Protein Content</w:t>
      </w:r>
    </w:p>
    <w:p w14:paraId="6C473F8F" w14:textId="77777777" w:rsidR="00D751AF" w:rsidRPr="007D14DF" w:rsidRDefault="00D751AF" w:rsidP="00D751AF">
      <w:pPr>
        <w:spacing w:before="120" w:after="120" w:line="360" w:lineRule="auto"/>
        <w:ind w:firstLine="720"/>
        <w:jc w:val="both"/>
        <w:rPr>
          <w:rFonts w:ascii="Times New Roman" w:hAnsi="Times New Roman" w:cs="Times New Roman"/>
          <w:sz w:val="24"/>
          <w:szCs w:val="24"/>
        </w:rPr>
      </w:pPr>
      <w:r w:rsidRPr="007D14DF">
        <w:rPr>
          <w:rFonts w:ascii="Times New Roman" w:hAnsi="Times New Roman" w:cs="Times New Roman"/>
          <w:sz w:val="24"/>
          <w:szCs w:val="24"/>
        </w:rPr>
        <w:t>Protein in leaf of cucumber is determined by method given by Bradford, 1976 with slight modifications.</w:t>
      </w:r>
    </w:p>
    <w:p w14:paraId="045E44F1" w14:textId="77777777" w:rsidR="00D751AF" w:rsidRPr="007D14DF" w:rsidRDefault="00D751AF" w:rsidP="00D751AF">
      <w:pPr>
        <w:spacing w:before="120" w:after="120" w:line="360" w:lineRule="auto"/>
        <w:jc w:val="both"/>
        <w:rPr>
          <w:rFonts w:ascii="Times New Roman" w:hAnsi="Times New Roman" w:cs="Times New Roman"/>
          <w:b/>
          <w:sz w:val="24"/>
          <w:szCs w:val="24"/>
        </w:rPr>
      </w:pPr>
      <w:r w:rsidRPr="007D14DF">
        <w:rPr>
          <w:rFonts w:ascii="Times New Roman" w:hAnsi="Times New Roman" w:cs="Times New Roman"/>
          <w:b/>
          <w:sz w:val="24"/>
          <w:szCs w:val="24"/>
        </w:rPr>
        <w:t xml:space="preserve">Material and Reagents </w:t>
      </w:r>
    </w:p>
    <w:p w14:paraId="2F878BEC" w14:textId="77777777" w:rsidR="00D751AF" w:rsidRPr="007D14DF" w:rsidRDefault="00D751AF" w:rsidP="00D751AF">
      <w:pPr>
        <w:pStyle w:val="ListParagraph"/>
        <w:numPr>
          <w:ilvl w:val="0"/>
          <w:numId w:val="3"/>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b/>
          <w:sz w:val="24"/>
          <w:szCs w:val="24"/>
        </w:rPr>
        <w:t xml:space="preserve">Bradford reagent: </w:t>
      </w:r>
      <w:r w:rsidRPr="007D14DF">
        <w:rPr>
          <w:rFonts w:ascii="Times New Roman" w:hAnsi="Times New Roman" w:cs="Times New Roman"/>
          <w:sz w:val="24"/>
          <w:szCs w:val="24"/>
        </w:rPr>
        <w:t>Dissolve 100 mg of Coomassie Brilliant Blue G 250 in 50 ml of ethanol, add 100 ml of 85% phosphoric acid and make the volume to 1 L with water.</w:t>
      </w:r>
    </w:p>
    <w:p w14:paraId="7E0FA350" w14:textId="77777777" w:rsidR="00D751AF" w:rsidRPr="007D14DF" w:rsidRDefault="00D751AF" w:rsidP="00D751AF">
      <w:pPr>
        <w:pStyle w:val="ListParagraph"/>
        <w:numPr>
          <w:ilvl w:val="0"/>
          <w:numId w:val="3"/>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b/>
          <w:sz w:val="24"/>
          <w:szCs w:val="24"/>
        </w:rPr>
        <w:t>M Phosphate buffer (pH 7.5)</w:t>
      </w:r>
    </w:p>
    <w:p w14:paraId="38F93850" w14:textId="77777777" w:rsidR="00D751AF" w:rsidRPr="007D14DF" w:rsidRDefault="00D751AF" w:rsidP="00D751AF">
      <w:pPr>
        <w:pStyle w:val="ListParagraph"/>
        <w:numPr>
          <w:ilvl w:val="0"/>
          <w:numId w:val="3"/>
        </w:numPr>
        <w:spacing w:before="120" w:after="120" w:line="360" w:lineRule="auto"/>
        <w:contextualSpacing w:val="0"/>
        <w:jc w:val="both"/>
        <w:rPr>
          <w:rFonts w:ascii="Times New Roman" w:hAnsi="Times New Roman" w:cs="Times New Roman"/>
          <w:b/>
          <w:sz w:val="24"/>
          <w:szCs w:val="24"/>
        </w:rPr>
      </w:pPr>
      <w:r w:rsidRPr="007D14DF">
        <w:rPr>
          <w:rFonts w:ascii="Times New Roman" w:hAnsi="Times New Roman" w:cs="Times New Roman"/>
          <w:b/>
          <w:sz w:val="24"/>
          <w:szCs w:val="24"/>
        </w:rPr>
        <w:t xml:space="preserve">Standard Protein solution: </w:t>
      </w:r>
      <w:r w:rsidRPr="007D14DF">
        <w:rPr>
          <w:rFonts w:ascii="Times New Roman" w:hAnsi="Times New Roman" w:cs="Times New Roman"/>
          <w:sz w:val="24"/>
          <w:szCs w:val="24"/>
        </w:rPr>
        <w:t xml:space="preserve">Dissolve 5 mg of </w:t>
      </w:r>
      <w:bookmarkStart w:id="0" w:name="_Hlk113208135"/>
      <w:r w:rsidRPr="007D14DF">
        <w:rPr>
          <w:rFonts w:ascii="Times New Roman" w:hAnsi="Times New Roman" w:cs="Times New Roman"/>
          <w:sz w:val="24"/>
          <w:szCs w:val="24"/>
        </w:rPr>
        <w:t xml:space="preserve">bovine serum albumin </w:t>
      </w:r>
      <w:bookmarkEnd w:id="0"/>
      <w:r w:rsidRPr="007D14DF">
        <w:rPr>
          <w:rFonts w:ascii="Times New Roman" w:hAnsi="Times New Roman" w:cs="Times New Roman"/>
          <w:sz w:val="24"/>
          <w:szCs w:val="24"/>
        </w:rPr>
        <w:t>in 50 ml of 0.1 M phosphate buffer. This solution contains 100 µg protein/ml.</w:t>
      </w:r>
    </w:p>
    <w:p w14:paraId="4BF21F77" w14:textId="77777777" w:rsidR="00D751AF" w:rsidRPr="007D14DF" w:rsidRDefault="00D751AF" w:rsidP="00D751AF">
      <w:pPr>
        <w:spacing w:before="120" w:after="120" w:line="360" w:lineRule="auto"/>
        <w:jc w:val="both"/>
        <w:rPr>
          <w:rFonts w:ascii="Times New Roman" w:hAnsi="Times New Roman" w:cs="Times New Roman"/>
          <w:b/>
          <w:sz w:val="24"/>
          <w:szCs w:val="24"/>
        </w:rPr>
      </w:pPr>
      <w:r w:rsidRPr="007D14DF">
        <w:rPr>
          <w:rFonts w:ascii="Times New Roman" w:hAnsi="Times New Roman" w:cs="Times New Roman"/>
          <w:b/>
          <w:sz w:val="24"/>
          <w:szCs w:val="24"/>
        </w:rPr>
        <w:t>Procedure</w:t>
      </w:r>
    </w:p>
    <w:p w14:paraId="22AE003C"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Take 0.1 ml of sample solution and make the volume to 1 ml with 0.1 M phosphate buffer (pH 7.5)</w:t>
      </w:r>
    </w:p>
    <w:p w14:paraId="084BB5C6"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Pipette appropriate aliquots of bovine serum albumin solution. Make the volume to 1 ml with 0.1 M phosphate buffer in all tubes.</w:t>
      </w:r>
    </w:p>
    <w:p w14:paraId="5B891457"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Add 5 ml of Bradford reagent to all the tubes and mix thoroughly.</w:t>
      </w:r>
    </w:p>
    <w:p w14:paraId="34DE3C47"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Record the absorbance at 595 mm Against the reagent blank.</w:t>
      </w:r>
    </w:p>
    <w:p w14:paraId="4CBB2E22"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 xml:space="preserve">Plot a standard curve of </w:t>
      </w:r>
      <w:r w:rsidRPr="007D14DF">
        <w:rPr>
          <w:rFonts w:ascii="Times New Roman" w:hAnsi="Times New Roman" w:cs="Times New Roman"/>
          <w:iCs/>
          <w:sz w:val="24"/>
          <w:szCs w:val="24"/>
        </w:rPr>
        <w:t>A</w:t>
      </w:r>
      <w:r w:rsidRPr="007D14DF">
        <w:rPr>
          <w:rFonts w:ascii="Times New Roman" w:hAnsi="Times New Roman" w:cs="Times New Roman"/>
          <w:iCs/>
          <w:sz w:val="24"/>
          <w:szCs w:val="24"/>
          <w:vertAlign w:val="subscript"/>
        </w:rPr>
        <w:t>595</w:t>
      </w:r>
      <w:r w:rsidRPr="007D14DF">
        <w:rPr>
          <w:rFonts w:ascii="Times New Roman" w:hAnsi="Times New Roman" w:cs="Times New Roman"/>
          <w:i/>
          <w:sz w:val="24"/>
          <w:szCs w:val="24"/>
        </w:rPr>
        <w:t xml:space="preserve"> vs </w:t>
      </w:r>
      <w:r w:rsidRPr="007D14DF">
        <w:rPr>
          <w:rFonts w:ascii="Times New Roman" w:hAnsi="Times New Roman" w:cs="Times New Roman"/>
          <w:iCs/>
          <w:sz w:val="24"/>
          <w:szCs w:val="24"/>
        </w:rPr>
        <w:t>µg</w:t>
      </w:r>
      <w:r w:rsidRPr="007D14DF">
        <w:rPr>
          <w:rFonts w:ascii="Times New Roman" w:hAnsi="Times New Roman" w:cs="Times New Roman"/>
          <w:sz w:val="24"/>
          <w:szCs w:val="24"/>
        </w:rPr>
        <w:t xml:space="preserve"> of protein in the standard.</w:t>
      </w:r>
    </w:p>
    <w:p w14:paraId="43E5ACFC" w14:textId="12A7B941" w:rsidR="00D751AF" w:rsidRPr="00BD3620" w:rsidRDefault="00D751AF" w:rsidP="00D751AF">
      <w:pPr>
        <w:pStyle w:val="ListParagraph"/>
        <w:numPr>
          <w:ilvl w:val="0"/>
          <w:numId w:val="4"/>
        </w:numPr>
        <w:spacing w:before="120" w:after="120" w:line="360" w:lineRule="auto"/>
        <w:contextualSpacing w:val="0"/>
        <w:jc w:val="both"/>
        <w:rPr>
          <w:rFonts w:ascii="Times New Roman" w:hAnsi="Times New Roman" w:cs="Times New Roman"/>
          <w:bCs/>
          <w:sz w:val="24"/>
          <w:szCs w:val="24"/>
        </w:rPr>
      </w:pPr>
      <w:r w:rsidRPr="007D14DF">
        <w:rPr>
          <w:rFonts w:ascii="Times New Roman" w:hAnsi="Times New Roman" w:cs="Times New Roman"/>
          <w:sz w:val="24"/>
          <w:szCs w:val="24"/>
        </w:rPr>
        <w:t>Determine the protein content in the sample extract from standard curve</w:t>
      </w:r>
      <w:r w:rsidR="00BD3620">
        <w:rPr>
          <w:rFonts w:ascii="Times New Roman" w:eastAsia="Times New Roman" w:hAnsi="Times New Roman" w:cs="Times New Roman"/>
          <w:b/>
          <w:sz w:val="24"/>
          <w:szCs w:val="24"/>
        </w:rPr>
        <w:t>.</w:t>
      </w:r>
    </w:p>
    <w:p w14:paraId="2265EEB6" w14:textId="77777777" w:rsidR="00BD3620" w:rsidRPr="00BD3620" w:rsidRDefault="00BD3620" w:rsidP="00BD3620">
      <w:pPr>
        <w:spacing w:line="480" w:lineRule="auto"/>
        <w:ind w:left="360"/>
        <w:jc w:val="center"/>
        <w:rPr>
          <w:rFonts w:ascii="Times New Roman" w:hAnsi="Times New Roman" w:cs="Times New Roman"/>
          <w:b/>
          <w:bCs/>
          <w:sz w:val="24"/>
          <w:szCs w:val="24"/>
        </w:rPr>
      </w:pPr>
      <w:r>
        <w:rPr>
          <w:noProof/>
          <w:lang w:val="en-US" w:eastAsia="en-US"/>
        </w:rPr>
        <w:lastRenderedPageBreak/>
        <w:drawing>
          <wp:inline distT="0" distB="0" distL="0" distR="0" wp14:anchorId="3D1AA35B" wp14:editId="41F9B000">
            <wp:extent cx="4114800" cy="2377440"/>
            <wp:effectExtent l="0" t="0" r="19050" b="22860"/>
            <wp:docPr id="1" name="Chart 1">
              <a:extLst xmlns:a="http://schemas.openxmlformats.org/drawingml/2006/main">
                <a:ext uri="{FF2B5EF4-FFF2-40B4-BE49-F238E27FC236}">
                  <a16:creationId xmlns:a16="http://schemas.microsoft.com/office/drawing/2014/main" id="{F134B706-7BEC-4749-9951-195EAE061D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B83748A" w14:textId="1EFDD3E6" w:rsidR="00BD3620" w:rsidRPr="00BD3620" w:rsidRDefault="0056106F" w:rsidP="00BD3620">
      <w:pPr>
        <w:spacing w:line="360" w:lineRule="auto"/>
        <w:ind w:left="360"/>
        <w:jc w:val="center"/>
        <w:rPr>
          <w:rFonts w:ascii="Times New Roman" w:hAnsi="Times New Roman" w:cs="Times New Roman"/>
          <w:b/>
          <w:bCs/>
          <w:color w:val="000000" w:themeColor="text1"/>
          <w:sz w:val="24"/>
          <w:szCs w:val="24"/>
        </w:rPr>
      </w:pPr>
      <w:r>
        <w:rPr>
          <w:rFonts w:ascii="Times New Roman" w:eastAsia="Times New Roman" w:hAnsi="Times New Roman"/>
          <w:b/>
          <w:sz w:val="24"/>
        </w:rPr>
        <w:t>Figure S1</w:t>
      </w:r>
      <w:r w:rsidR="00BD3620" w:rsidRPr="00BD3620">
        <w:rPr>
          <w:rFonts w:ascii="Times New Roman" w:eastAsia="Times New Roman" w:hAnsi="Times New Roman"/>
          <w:b/>
          <w:sz w:val="24"/>
        </w:rPr>
        <w:t xml:space="preserve">. Standard curve of </w:t>
      </w:r>
      <w:r w:rsidR="00BD3620" w:rsidRPr="00BD3620">
        <w:rPr>
          <w:rFonts w:ascii="Times New Roman" w:hAnsi="Times New Roman" w:cs="Times New Roman"/>
          <w:b/>
          <w:bCs/>
          <w:color w:val="000000" w:themeColor="text1"/>
          <w:sz w:val="24"/>
          <w:szCs w:val="24"/>
        </w:rPr>
        <w:t>bovine serum albumin</w:t>
      </w:r>
    </w:p>
    <w:p w14:paraId="4A0E51D3" w14:textId="77777777" w:rsidR="00BD3620" w:rsidRPr="007D14DF" w:rsidRDefault="00BD3620" w:rsidP="00BD3620">
      <w:pPr>
        <w:pStyle w:val="ListParagraph"/>
        <w:spacing w:before="120" w:after="120" w:line="360" w:lineRule="auto"/>
        <w:contextualSpacing w:val="0"/>
        <w:jc w:val="both"/>
        <w:rPr>
          <w:rFonts w:ascii="Times New Roman" w:hAnsi="Times New Roman" w:cs="Times New Roman"/>
          <w:bCs/>
          <w:sz w:val="24"/>
          <w:szCs w:val="24"/>
        </w:rPr>
      </w:pPr>
    </w:p>
    <w:p w14:paraId="5D2A2932" w14:textId="77777777" w:rsidR="00D751AF" w:rsidRPr="007D14DF" w:rsidRDefault="00D751AF" w:rsidP="00D751AF">
      <w:pPr>
        <w:pStyle w:val="ListParagraph"/>
        <w:numPr>
          <w:ilvl w:val="0"/>
          <w:numId w:val="4"/>
        </w:numPr>
        <w:spacing w:before="120" w:after="120" w:line="360"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Calculate the amount of protein per ml of the sample preparation.</w:t>
      </w:r>
    </w:p>
    <w:p w14:paraId="357B415A" w14:textId="4423C105" w:rsidR="00D751AF" w:rsidRPr="007D14DF" w:rsidRDefault="00D751AF" w:rsidP="00A94977">
      <w:pPr>
        <w:pStyle w:val="ListParagraph"/>
        <w:numPr>
          <w:ilvl w:val="0"/>
          <w:numId w:val="5"/>
        </w:numPr>
        <w:spacing w:before="120" w:after="120" w:line="360" w:lineRule="auto"/>
        <w:contextualSpacing w:val="0"/>
        <w:jc w:val="both"/>
        <w:rPr>
          <w:rFonts w:ascii="Times New Roman" w:hAnsi="Times New Roman" w:cs="Times New Roman"/>
          <w:b/>
          <w:bCs/>
          <w:sz w:val="24"/>
          <w:szCs w:val="24"/>
        </w:rPr>
      </w:pPr>
      <w:r w:rsidRPr="007D14DF">
        <w:rPr>
          <w:rFonts w:ascii="Times New Roman" w:hAnsi="Times New Roman" w:cs="Times New Roman"/>
          <w:b/>
          <w:bCs/>
          <w:sz w:val="24"/>
          <w:szCs w:val="24"/>
        </w:rPr>
        <w:t>Determination of total flavonoid content (TFC)</w:t>
      </w:r>
    </w:p>
    <w:p w14:paraId="5486D989" w14:textId="77777777" w:rsidR="00D751AF" w:rsidRPr="007D14DF" w:rsidRDefault="00D751AF" w:rsidP="00D751AF">
      <w:pPr>
        <w:pStyle w:val="BodyText"/>
        <w:spacing w:before="120" w:after="120" w:line="360" w:lineRule="auto"/>
        <w:jc w:val="both"/>
        <w:rPr>
          <w:i/>
          <w:sz w:val="24"/>
          <w:szCs w:val="24"/>
        </w:rPr>
      </w:pPr>
      <w:r w:rsidRPr="007D14DF">
        <w:rPr>
          <w:sz w:val="24"/>
          <w:szCs w:val="24"/>
        </w:rPr>
        <w:tab/>
        <w:t xml:space="preserve">Total flavonoid content in plant tissues was determined by the method used by Crozier </w:t>
      </w:r>
      <w:r w:rsidRPr="007D14DF">
        <w:rPr>
          <w:i/>
          <w:iCs/>
          <w:sz w:val="24"/>
          <w:szCs w:val="24"/>
        </w:rPr>
        <w:t>et al.</w:t>
      </w:r>
      <w:r w:rsidRPr="007D14DF">
        <w:rPr>
          <w:i/>
          <w:sz w:val="24"/>
          <w:szCs w:val="24"/>
        </w:rPr>
        <w:t xml:space="preserve">, </w:t>
      </w:r>
      <w:r w:rsidRPr="007D14DF">
        <w:rPr>
          <w:sz w:val="24"/>
          <w:szCs w:val="24"/>
        </w:rPr>
        <w:t>1997 with some modifications.</w:t>
      </w:r>
    </w:p>
    <w:p w14:paraId="54542D51" w14:textId="77777777" w:rsidR="00D751AF" w:rsidRPr="00326DF5" w:rsidRDefault="00D751AF" w:rsidP="00D751AF">
      <w:pPr>
        <w:spacing w:before="120" w:after="120" w:line="360" w:lineRule="auto"/>
        <w:jc w:val="both"/>
        <w:rPr>
          <w:rFonts w:ascii="Times New Roman" w:hAnsi="Times New Roman" w:cs="Times New Roman"/>
          <w:b/>
          <w:bCs/>
          <w:sz w:val="24"/>
          <w:szCs w:val="24"/>
        </w:rPr>
      </w:pPr>
      <w:r w:rsidRPr="00326DF5">
        <w:rPr>
          <w:rFonts w:ascii="Times New Roman" w:hAnsi="Times New Roman" w:cs="Times New Roman"/>
          <w:b/>
          <w:bCs/>
          <w:sz w:val="24"/>
          <w:szCs w:val="24"/>
        </w:rPr>
        <w:t>Reagents</w:t>
      </w:r>
    </w:p>
    <w:p w14:paraId="3C5B6061" w14:textId="77777777" w:rsidR="00D751AF" w:rsidRPr="007D14DF" w:rsidRDefault="00D751AF" w:rsidP="00D751AF">
      <w:pPr>
        <w:pStyle w:val="ListParagraph"/>
        <w:numPr>
          <w:ilvl w:val="0"/>
          <w:numId w:val="1"/>
        </w:numPr>
        <w:spacing w:before="120" w:after="120" w:line="360" w:lineRule="auto"/>
        <w:ind w:left="1080"/>
        <w:contextualSpacing w:val="0"/>
        <w:jc w:val="both"/>
        <w:rPr>
          <w:rFonts w:ascii="Times New Roman" w:hAnsi="Times New Roman" w:cs="Times New Roman"/>
          <w:sz w:val="24"/>
          <w:szCs w:val="24"/>
        </w:rPr>
      </w:pPr>
      <w:r w:rsidRPr="007D14DF">
        <w:rPr>
          <w:rFonts w:ascii="Times New Roman" w:hAnsi="Times New Roman" w:cs="Times New Roman"/>
          <w:sz w:val="24"/>
          <w:szCs w:val="24"/>
        </w:rPr>
        <w:t>80 % ethanol: 80 ml ethanol was taken and volume was made up to 100 ml with distilled water.</w:t>
      </w:r>
    </w:p>
    <w:p w14:paraId="188D4EEB" w14:textId="77777777" w:rsidR="00D751AF" w:rsidRPr="007D14DF" w:rsidRDefault="00D751AF" w:rsidP="00D751AF">
      <w:pPr>
        <w:pStyle w:val="ListParagraph"/>
        <w:numPr>
          <w:ilvl w:val="0"/>
          <w:numId w:val="1"/>
        </w:numPr>
        <w:spacing w:before="120" w:after="120" w:line="360" w:lineRule="auto"/>
        <w:ind w:left="1080"/>
        <w:contextualSpacing w:val="0"/>
        <w:jc w:val="both"/>
        <w:rPr>
          <w:rFonts w:ascii="Times New Roman" w:hAnsi="Times New Roman" w:cs="Times New Roman"/>
          <w:sz w:val="24"/>
          <w:szCs w:val="24"/>
        </w:rPr>
      </w:pPr>
      <w:r w:rsidRPr="007D14DF">
        <w:rPr>
          <w:rFonts w:ascii="Times New Roman" w:hAnsi="Times New Roman" w:cs="Times New Roman"/>
          <w:sz w:val="24"/>
          <w:szCs w:val="24"/>
        </w:rPr>
        <w:t>2 % Aluminium chloride (AlCl</w:t>
      </w:r>
      <w:r w:rsidRPr="007D14DF">
        <w:rPr>
          <w:rFonts w:ascii="Times New Roman" w:hAnsi="Times New Roman" w:cs="Times New Roman"/>
          <w:sz w:val="24"/>
          <w:szCs w:val="24"/>
          <w:vertAlign w:val="subscript"/>
        </w:rPr>
        <w:t>3</w:t>
      </w:r>
      <w:r w:rsidRPr="007D14DF">
        <w:rPr>
          <w:rFonts w:ascii="Times New Roman" w:hAnsi="Times New Roman" w:cs="Times New Roman"/>
          <w:sz w:val="24"/>
          <w:szCs w:val="24"/>
        </w:rPr>
        <w:t>): 2 g AlCl</w:t>
      </w:r>
      <w:r w:rsidRPr="007D14DF">
        <w:rPr>
          <w:rFonts w:ascii="Times New Roman" w:hAnsi="Times New Roman" w:cs="Times New Roman"/>
          <w:sz w:val="24"/>
          <w:szCs w:val="24"/>
          <w:vertAlign w:val="subscript"/>
        </w:rPr>
        <w:t>3</w:t>
      </w:r>
      <w:r w:rsidRPr="007D14DF">
        <w:rPr>
          <w:rFonts w:ascii="Times New Roman" w:hAnsi="Times New Roman" w:cs="Times New Roman"/>
          <w:sz w:val="24"/>
          <w:szCs w:val="24"/>
        </w:rPr>
        <w:t>was dissolved in 80 % ethanol and volume was made up to 100 ml with same.</w:t>
      </w:r>
    </w:p>
    <w:p w14:paraId="00195382" w14:textId="77777777" w:rsidR="00D751AF" w:rsidRPr="007D14DF" w:rsidRDefault="00D751AF" w:rsidP="00D751AF">
      <w:pPr>
        <w:pStyle w:val="ListParagraph"/>
        <w:numPr>
          <w:ilvl w:val="0"/>
          <w:numId w:val="1"/>
        </w:numPr>
        <w:spacing w:before="120" w:after="120" w:line="360" w:lineRule="auto"/>
        <w:ind w:left="1080"/>
        <w:contextualSpacing w:val="0"/>
        <w:jc w:val="both"/>
        <w:rPr>
          <w:rFonts w:ascii="Times New Roman" w:hAnsi="Times New Roman" w:cs="Times New Roman"/>
          <w:sz w:val="24"/>
          <w:szCs w:val="24"/>
        </w:rPr>
      </w:pPr>
      <w:r w:rsidRPr="007D14DF">
        <w:rPr>
          <w:rFonts w:ascii="Times New Roman" w:hAnsi="Times New Roman" w:cs="Times New Roman"/>
          <w:sz w:val="24"/>
          <w:szCs w:val="24"/>
        </w:rPr>
        <w:t>Quercetin stock solution: 10 mg quercetin was dissolved in 80 % ethanol and volume was made up to 100 ml with 80 % ethanol.</w:t>
      </w:r>
    </w:p>
    <w:p w14:paraId="66A5564D" w14:textId="77777777" w:rsidR="00D751AF" w:rsidRPr="007D14DF" w:rsidRDefault="00D751AF" w:rsidP="00D751AF">
      <w:pPr>
        <w:spacing w:before="120" w:after="120" w:line="360" w:lineRule="auto"/>
        <w:jc w:val="both"/>
        <w:rPr>
          <w:rFonts w:ascii="Times New Roman" w:hAnsi="Times New Roman" w:cs="Times New Roman"/>
          <w:b/>
          <w:bCs/>
          <w:sz w:val="24"/>
          <w:szCs w:val="24"/>
        </w:rPr>
      </w:pPr>
      <w:bookmarkStart w:id="1" w:name="_Hlk113208260"/>
      <w:r w:rsidRPr="007D14DF">
        <w:rPr>
          <w:rFonts w:ascii="Times New Roman" w:hAnsi="Times New Roman" w:cs="Times New Roman"/>
          <w:b/>
          <w:bCs/>
          <w:sz w:val="24"/>
          <w:szCs w:val="24"/>
        </w:rPr>
        <w:t xml:space="preserve">Quercetin </w:t>
      </w:r>
      <w:bookmarkEnd w:id="1"/>
      <w:r w:rsidRPr="007D14DF">
        <w:rPr>
          <w:rFonts w:ascii="Times New Roman" w:hAnsi="Times New Roman" w:cs="Times New Roman"/>
          <w:b/>
          <w:bCs/>
          <w:sz w:val="24"/>
          <w:szCs w:val="24"/>
        </w:rPr>
        <w:t>standard curve</w:t>
      </w:r>
    </w:p>
    <w:p w14:paraId="6FECAB07" w14:textId="3F26498D" w:rsidR="00D751AF" w:rsidRDefault="00D751AF" w:rsidP="00D751AF">
      <w:pPr>
        <w:pStyle w:val="BodyText"/>
        <w:spacing w:before="120" w:after="120" w:line="360" w:lineRule="auto"/>
        <w:ind w:right="212" w:firstLine="720"/>
        <w:jc w:val="both"/>
        <w:rPr>
          <w:bCs/>
          <w:sz w:val="24"/>
          <w:szCs w:val="24"/>
        </w:rPr>
      </w:pPr>
      <w:r w:rsidRPr="007D14DF">
        <w:rPr>
          <w:sz w:val="24"/>
          <w:szCs w:val="24"/>
        </w:rPr>
        <w:t>Quercetin working solution was prepared by diluting the quercetin standard stock solution to different concentrations (0, 20,40,60,80 and 100 µl) and the final volume made up to 3 ml by adding 1.5 ml of 2% AlCl</w:t>
      </w:r>
      <w:r w:rsidRPr="007D14DF">
        <w:rPr>
          <w:sz w:val="24"/>
          <w:szCs w:val="24"/>
          <w:vertAlign w:val="subscript"/>
        </w:rPr>
        <w:t>3</w:t>
      </w:r>
      <w:r w:rsidRPr="007D14DF">
        <w:rPr>
          <w:sz w:val="24"/>
          <w:szCs w:val="24"/>
        </w:rPr>
        <w:t xml:space="preserve"> ethanol solution. The mixture was incubated for one hour at room temperature till yellow colour appears. Blank was prepared by adding 1.5 ml water and 1.5 ml 2% AlCl</w:t>
      </w:r>
      <w:r w:rsidRPr="007D14DF">
        <w:rPr>
          <w:sz w:val="24"/>
          <w:szCs w:val="24"/>
          <w:vertAlign w:val="subscript"/>
        </w:rPr>
        <w:t>3</w:t>
      </w:r>
      <w:r w:rsidRPr="007D14DF">
        <w:rPr>
          <w:sz w:val="24"/>
          <w:szCs w:val="24"/>
        </w:rPr>
        <w:t>.The absorbance was measured at 420 nm</w:t>
      </w:r>
      <w:r w:rsidRPr="007D14DF">
        <w:rPr>
          <w:bCs/>
          <w:sz w:val="24"/>
          <w:szCs w:val="24"/>
        </w:rPr>
        <w:t>.</w:t>
      </w:r>
    </w:p>
    <w:p w14:paraId="616A559D" w14:textId="77777777" w:rsidR="00D751AF" w:rsidRDefault="00D751AF" w:rsidP="00D751AF">
      <w:pPr>
        <w:spacing w:line="480" w:lineRule="auto"/>
        <w:jc w:val="center"/>
        <w:rPr>
          <w:rFonts w:ascii="Times New Roman" w:hAnsi="Times New Roman" w:cs="Times New Roman"/>
          <w:b/>
          <w:bCs/>
          <w:sz w:val="24"/>
          <w:szCs w:val="24"/>
        </w:rPr>
      </w:pPr>
      <w:r>
        <w:rPr>
          <w:noProof/>
          <w:lang w:val="en-US" w:eastAsia="en-US"/>
        </w:rPr>
        <w:lastRenderedPageBreak/>
        <w:drawing>
          <wp:inline distT="0" distB="0" distL="0" distR="0" wp14:anchorId="478C6CE8" wp14:editId="713ADD90">
            <wp:extent cx="4114800" cy="2377440"/>
            <wp:effectExtent l="0" t="0" r="19050" b="22860"/>
            <wp:docPr id="2" name="Chart 2">
              <a:extLst xmlns:a="http://schemas.openxmlformats.org/drawingml/2006/main">
                <a:ext uri="{FF2B5EF4-FFF2-40B4-BE49-F238E27FC236}">
                  <a16:creationId xmlns:a16="http://schemas.microsoft.com/office/drawing/2014/main" id="{EB7AA695-60D4-41E6-A4F8-E64FF9023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634CF7" w14:textId="2A5554DA" w:rsidR="00D751AF" w:rsidRDefault="00681A86" w:rsidP="00D751AF">
      <w:pPr>
        <w:spacing w:line="480" w:lineRule="auto"/>
        <w:jc w:val="center"/>
        <w:rPr>
          <w:rFonts w:ascii="Times New Roman" w:hAnsi="Times New Roman" w:cs="Times New Roman"/>
          <w:b/>
          <w:bCs/>
          <w:sz w:val="24"/>
          <w:szCs w:val="24"/>
        </w:rPr>
      </w:pPr>
      <w:r>
        <w:rPr>
          <w:rFonts w:ascii="Times New Roman" w:eastAsia="Times New Roman" w:hAnsi="Times New Roman"/>
          <w:b/>
          <w:sz w:val="24"/>
        </w:rPr>
        <w:t>Figure S</w:t>
      </w:r>
      <w:r>
        <w:rPr>
          <w:rFonts w:ascii="Times New Roman" w:eastAsia="Times New Roman" w:hAnsi="Times New Roman"/>
          <w:b/>
          <w:sz w:val="24"/>
        </w:rPr>
        <w:t>2</w:t>
      </w:r>
      <w:r w:rsidR="00D751AF">
        <w:rPr>
          <w:rFonts w:ascii="Times New Roman" w:eastAsia="Times New Roman" w:hAnsi="Times New Roman"/>
          <w:b/>
          <w:sz w:val="24"/>
        </w:rPr>
        <w:t xml:space="preserve">. Standard curve of </w:t>
      </w:r>
      <w:r w:rsidR="00D751AF" w:rsidRPr="00BC3A81">
        <w:rPr>
          <w:rFonts w:ascii="Times New Roman" w:hAnsi="Times New Roman" w:cs="Times New Roman"/>
          <w:b/>
          <w:bCs/>
          <w:sz w:val="24"/>
          <w:szCs w:val="24"/>
        </w:rPr>
        <w:t>Quercetin</w:t>
      </w:r>
    </w:p>
    <w:p w14:paraId="656A17F6" w14:textId="77777777" w:rsidR="00D751AF" w:rsidRPr="007D14DF" w:rsidRDefault="00D751AF" w:rsidP="00D751AF">
      <w:pPr>
        <w:pStyle w:val="ListParagraph"/>
        <w:spacing w:before="120" w:after="120" w:line="360" w:lineRule="auto"/>
        <w:ind w:left="0"/>
        <w:contextualSpacing w:val="0"/>
        <w:jc w:val="both"/>
        <w:rPr>
          <w:rFonts w:ascii="Times New Roman" w:hAnsi="Times New Roman" w:cs="Times New Roman"/>
          <w:b/>
          <w:bCs/>
          <w:sz w:val="24"/>
          <w:szCs w:val="24"/>
        </w:rPr>
      </w:pPr>
      <w:r w:rsidRPr="007D14DF">
        <w:rPr>
          <w:rFonts w:ascii="Times New Roman" w:hAnsi="Times New Roman" w:cs="Times New Roman"/>
          <w:b/>
          <w:bCs/>
          <w:sz w:val="24"/>
          <w:szCs w:val="24"/>
        </w:rPr>
        <w:t>Procedure</w:t>
      </w:r>
    </w:p>
    <w:p w14:paraId="32263247" w14:textId="77777777" w:rsidR="00D751AF" w:rsidRPr="007D14DF" w:rsidRDefault="00D751AF" w:rsidP="00D751AF">
      <w:pPr>
        <w:pStyle w:val="BodyText"/>
        <w:spacing w:before="120" w:after="120" w:line="360" w:lineRule="auto"/>
        <w:ind w:right="212" w:firstLine="720"/>
        <w:jc w:val="both"/>
        <w:rPr>
          <w:sz w:val="24"/>
          <w:szCs w:val="24"/>
        </w:rPr>
      </w:pPr>
      <w:r w:rsidRPr="007D14DF">
        <w:rPr>
          <w:sz w:val="24"/>
          <w:szCs w:val="24"/>
        </w:rPr>
        <w:t>Fresh young and mature leaf tissues (500 mg) of bottle gourd were crushed in 2 ml of 80 % ethanol with the help of mortar and pestle. The homogenate was centrifuged at 10,000 rpm at 4</w:t>
      </w:r>
      <w:r w:rsidRPr="007D14DF">
        <w:rPr>
          <w:sz w:val="24"/>
          <w:szCs w:val="24"/>
          <w:vertAlign w:val="superscript"/>
        </w:rPr>
        <w:t>o</w:t>
      </w:r>
      <w:r w:rsidRPr="007D14DF">
        <w:rPr>
          <w:sz w:val="24"/>
          <w:szCs w:val="24"/>
        </w:rPr>
        <w:t>C for twenty minutes and supernatant was filtered with the help of Whatman filter paper No. forty- two and collected in culture tubes. The collected supernatants were dried through evaporation in a water bath at 68°C. The dry residue was dissolved in 2 ml of distilled water. 1 ml of supernatant was taken in test tubes and same procedure was followed as for quercetin standard curve preparation. Total flavonoid content was calculated as quercetin equivalent (mg g</w:t>
      </w:r>
      <w:r w:rsidRPr="007D14DF">
        <w:rPr>
          <w:sz w:val="24"/>
          <w:szCs w:val="24"/>
          <w:vertAlign w:val="superscript"/>
        </w:rPr>
        <w:t>-1</w:t>
      </w:r>
      <w:r w:rsidRPr="007D14DF">
        <w:rPr>
          <w:sz w:val="24"/>
          <w:szCs w:val="24"/>
        </w:rPr>
        <w:t>) using the equation obtained from the curve Y = 0.255x, R</w:t>
      </w:r>
      <w:r w:rsidRPr="007D14DF">
        <w:rPr>
          <w:sz w:val="24"/>
          <w:szCs w:val="24"/>
          <w:vertAlign w:val="superscript"/>
        </w:rPr>
        <w:t>2</w:t>
      </w:r>
      <w:r w:rsidRPr="007D14DF">
        <w:rPr>
          <w:sz w:val="24"/>
          <w:szCs w:val="24"/>
        </w:rPr>
        <w:t xml:space="preserve"> = 0.9812, where x is the absorbance and Y is the quercetin equivalent.</w:t>
      </w:r>
    </w:p>
    <w:p w14:paraId="7E639592" w14:textId="0FD597E0" w:rsidR="00D751AF" w:rsidRPr="00C6089C" w:rsidRDefault="00D751AF" w:rsidP="00D27301">
      <w:pPr>
        <w:pStyle w:val="ListParagraph"/>
        <w:numPr>
          <w:ilvl w:val="0"/>
          <w:numId w:val="1"/>
        </w:numPr>
        <w:spacing w:before="120" w:after="120" w:line="360" w:lineRule="auto"/>
        <w:ind w:left="284"/>
        <w:jc w:val="both"/>
        <w:rPr>
          <w:rFonts w:ascii="Times New Roman" w:hAnsi="Times New Roman" w:cs="Times New Roman"/>
          <w:sz w:val="24"/>
          <w:szCs w:val="24"/>
        </w:rPr>
      </w:pPr>
      <w:r w:rsidRPr="00C6089C">
        <w:rPr>
          <w:rFonts w:ascii="Times New Roman" w:hAnsi="Times New Roman" w:cs="Times New Roman"/>
          <w:b/>
          <w:bCs/>
          <w:sz w:val="24"/>
          <w:szCs w:val="24"/>
        </w:rPr>
        <w:t>Determination of total phenolics content (TPC)</w:t>
      </w:r>
    </w:p>
    <w:p w14:paraId="4D6E02B1" w14:textId="77777777" w:rsidR="00D751AF" w:rsidRPr="00326DF5" w:rsidRDefault="00D751AF" w:rsidP="00D751AF">
      <w:pPr>
        <w:pStyle w:val="ListParagraph"/>
        <w:spacing w:before="120" w:after="120" w:line="360" w:lineRule="auto"/>
        <w:ind w:left="0"/>
        <w:contextualSpacing w:val="0"/>
        <w:jc w:val="both"/>
        <w:rPr>
          <w:rFonts w:ascii="Times New Roman" w:hAnsi="Times New Roman" w:cs="Times New Roman"/>
          <w:spacing w:val="-2"/>
          <w:sz w:val="24"/>
          <w:szCs w:val="24"/>
        </w:rPr>
      </w:pPr>
      <w:r w:rsidRPr="00326DF5">
        <w:rPr>
          <w:rFonts w:ascii="Times New Roman" w:hAnsi="Times New Roman" w:cs="Times New Roman"/>
          <w:b/>
          <w:bCs/>
          <w:spacing w:val="-2"/>
          <w:sz w:val="24"/>
          <w:szCs w:val="24"/>
        </w:rPr>
        <w:tab/>
      </w:r>
      <w:r w:rsidRPr="00326DF5">
        <w:rPr>
          <w:rFonts w:ascii="Times New Roman" w:hAnsi="Times New Roman" w:cs="Times New Roman"/>
          <w:spacing w:val="-2"/>
          <w:sz w:val="24"/>
          <w:szCs w:val="24"/>
        </w:rPr>
        <w:t>Total phenols are secondary metabolites that play an important role in plant defence to oxidative stress. Total phenolics content was determined in the plant tissues following the method given by Kaur and Kapoor (2002) with some modification.</w:t>
      </w:r>
    </w:p>
    <w:p w14:paraId="0E3E01EC" w14:textId="77777777" w:rsidR="00D751AF" w:rsidRPr="007D14DF" w:rsidRDefault="00D751AF" w:rsidP="00D751AF">
      <w:pPr>
        <w:pStyle w:val="ListParagraph"/>
        <w:spacing w:before="120" w:after="120" w:line="372" w:lineRule="auto"/>
        <w:ind w:left="0"/>
        <w:contextualSpacing w:val="0"/>
        <w:jc w:val="both"/>
        <w:rPr>
          <w:rFonts w:ascii="Times New Roman" w:hAnsi="Times New Roman" w:cs="Times New Roman"/>
          <w:b/>
          <w:bCs/>
          <w:sz w:val="24"/>
          <w:szCs w:val="24"/>
        </w:rPr>
      </w:pPr>
      <w:r w:rsidRPr="007D14DF">
        <w:rPr>
          <w:rFonts w:ascii="Times New Roman" w:hAnsi="Times New Roman" w:cs="Times New Roman"/>
          <w:b/>
          <w:bCs/>
          <w:sz w:val="24"/>
          <w:szCs w:val="24"/>
        </w:rPr>
        <w:t>Reagents</w:t>
      </w:r>
    </w:p>
    <w:p w14:paraId="7BDC71BA" w14:textId="77777777" w:rsidR="00D751AF" w:rsidRDefault="00D751AF" w:rsidP="00D751AF">
      <w:pPr>
        <w:pStyle w:val="ListParagraph"/>
        <w:numPr>
          <w:ilvl w:val="0"/>
          <w:numId w:val="2"/>
        </w:numPr>
        <w:spacing w:before="120" w:after="120" w:line="372" w:lineRule="auto"/>
        <w:contextualSpacing w:val="0"/>
        <w:jc w:val="both"/>
        <w:rPr>
          <w:rFonts w:ascii="Times New Roman" w:hAnsi="Times New Roman" w:cs="Times New Roman"/>
          <w:sz w:val="24"/>
          <w:szCs w:val="24"/>
        </w:rPr>
      </w:pPr>
      <w:r w:rsidRPr="007D14DF">
        <w:rPr>
          <w:rFonts w:ascii="Times New Roman" w:hAnsi="Times New Roman" w:cs="Times New Roman"/>
          <w:sz w:val="24"/>
          <w:szCs w:val="24"/>
        </w:rPr>
        <w:t>80 % Ethanol: 80 ml ethanol was taken and volume was made up to 100 ml with distilled water.</w:t>
      </w:r>
    </w:p>
    <w:p w14:paraId="5303F936" w14:textId="77777777" w:rsidR="00D751AF" w:rsidRDefault="00D751AF" w:rsidP="00D751AF">
      <w:pPr>
        <w:pStyle w:val="ListParagraph"/>
        <w:numPr>
          <w:ilvl w:val="0"/>
          <w:numId w:val="2"/>
        </w:numPr>
        <w:spacing w:before="120" w:after="120" w:line="372" w:lineRule="auto"/>
        <w:contextualSpacing w:val="0"/>
        <w:jc w:val="both"/>
        <w:rPr>
          <w:rFonts w:ascii="Times New Roman" w:hAnsi="Times New Roman" w:cs="Times New Roman"/>
          <w:sz w:val="24"/>
          <w:szCs w:val="24"/>
        </w:rPr>
      </w:pPr>
      <w:r w:rsidRPr="00326DF5">
        <w:rPr>
          <w:rFonts w:ascii="Times New Roman" w:hAnsi="Times New Roman" w:cs="Times New Roman"/>
          <w:sz w:val="24"/>
          <w:szCs w:val="24"/>
        </w:rPr>
        <w:t>20 % Sodium carbonate (Na</w:t>
      </w:r>
      <w:r w:rsidRPr="00326DF5">
        <w:rPr>
          <w:rFonts w:ascii="Times New Roman" w:hAnsi="Times New Roman" w:cs="Times New Roman"/>
          <w:sz w:val="24"/>
          <w:szCs w:val="24"/>
          <w:vertAlign w:val="subscript"/>
        </w:rPr>
        <w:t>2</w:t>
      </w:r>
      <w:r w:rsidRPr="00326DF5">
        <w:rPr>
          <w:rFonts w:ascii="Times New Roman" w:hAnsi="Times New Roman" w:cs="Times New Roman"/>
          <w:sz w:val="24"/>
          <w:szCs w:val="24"/>
        </w:rPr>
        <w:t>CO</w:t>
      </w:r>
      <w:r w:rsidRPr="00326DF5">
        <w:rPr>
          <w:rFonts w:ascii="Times New Roman" w:hAnsi="Times New Roman" w:cs="Times New Roman"/>
          <w:sz w:val="24"/>
          <w:szCs w:val="24"/>
          <w:vertAlign w:val="subscript"/>
        </w:rPr>
        <w:t>3</w:t>
      </w:r>
      <w:r w:rsidRPr="00326DF5">
        <w:rPr>
          <w:rFonts w:ascii="Times New Roman" w:hAnsi="Times New Roman" w:cs="Times New Roman"/>
          <w:sz w:val="24"/>
          <w:szCs w:val="24"/>
        </w:rPr>
        <w:t>): 20 g of Na</w:t>
      </w:r>
      <w:r w:rsidRPr="00326DF5">
        <w:rPr>
          <w:rFonts w:ascii="Times New Roman" w:hAnsi="Times New Roman" w:cs="Times New Roman"/>
          <w:sz w:val="24"/>
          <w:szCs w:val="24"/>
          <w:vertAlign w:val="subscript"/>
        </w:rPr>
        <w:t>2</w:t>
      </w:r>
      <w:r w:rsidRPr="00326DF5">
        <w:rPr>
          <w:rFonts w:ascii="Times New Roman" w:hAnsi="Times New Roman" w:cs="Times New Roman"/>
          <w:sz w:val="24"/>
          <w:szCs w:val="24"/>
        </w:rPr>
        <w:t>CO</w:t>
      </w:r>
      <w:r w:rsidRPr="00326DF5">
        <w:rPr>
          <w:rFonts w:ascii="Times New Roman" w:hAnsi="Times New Roman" w:cs="Times New Roman"/>
          <w:sz w:val="24"/>
          <w:szCs w:val="24"/>
          <w:vertAlign w:val="subscript"/>
        </w:rPr>
        <w:t>3</w:t>
      </w:r>
      <w:r w:rsidRPr="00326DF5">
        <w:rPr>
          <w:rFonts w:ascii="Times New Roman" w:hAnsi="Times New Roman" w:cs="Times New Roman"/>
          <w:sz w:val="24"/>
          <w:szCs w:val="24"/>
        </w:rPr>
        <w:t xml:space="preserve"> was dissolved in distilled water and volume was made up to 100 ml. </w:t>
      </w:r>
    </w:p>
    <w:p w14:paraId="5A7C6435" w14:textId="77777777" w:rsidR="00D751AF" w:rsidRPr="00326DF5" w:rsidRDefault="00D751AF" w:rsidP="00D751AF">
      <w:pPr>
        <w:pStyle w:val="ListParagraph"/>
        <w:numPr>
          <w:ilvl w:val="0"/>
          <w:numId w:val="2"/>
        </w:numPr>
        <w:spacing w:before="120" w:after="120" w:line="372" w:lineRule="auto"/>
        <w:contextualSpacing w:val="0"/>
        <w:jc w:val="both"/>
        <w:rPr>
          <w:rFonts w:ascii="Times New Roman" w:hAnsi="Times New Roman" w:cs="Times New Roman"/>
          <w:sz w:val="24"/>
          <w:szCs w:val="24"/>
        </w:rPr>
      </w:pPr>
      <w:r w:rsidRPr="00326DF5">
        <w:rPr>
          <w:rFonts w:ascii="Times New Roman" w:hAnsi="Times New Roman" w:cs="Times New Roman"/>
          <w:sz w:val="24"/>
          <w:szCs w:val="24"/>
        </w:rPr>
        <w:lastRenderedPageBreak/>
        <w:t>Folin-Ciocalteau (FC) reagent (0.5ml)</w:t>
      </w:r>
    </w:p>
    <w:p w14:paraId="711D2C0E" w14:textId="77777777" w:rsidR="00D751AF" w:rsidRPr="00326DF5" w:rsidRDefault="00D751AF" w:rsidP="00D751AF">
      <w:pPr>
        <w:spacing w:before="120" w:after="120" w:line="372" w:lineRule="auto"/>
        <w:jc w:val="both"/>
        <w:rPr>
          <w:rFonts w:ascii="Times New Roman" w:hAnsi="Times New Roman" w:cs="Times New Roman"/>
          <w:sz w:val="24"/>
          <w:szCs w:val="24"/>
        </w:rPr>
      </w:pPr>
      <w:r w:rsidRPr="00326DF5">
        <w:rPr>
          <w:rFonts w:ascii="Times New Roman" w:hAnsi="Times New Roman" w:cs="Times New Roman"/>
          <w:b/>
          <w:sz w:val="24"/>
          <w:szCs w:val="24"/>
        </w:rPr>
        <w:t>Catechol stock solution (1000 ppm):</w:t>
      </w:r>
      <w:r w:rsidRPr="00326DF5">
        <w:rPr>
          <w:rFonts w:ascii="Times New Roman" w:hAnsi="Times New Roman" w:cs="Times New Roman"/>
          <w:sz w:val="24"/>
          <w:szCs w:val="24"/>
        </w:rPr>
        <w:t xml:space="preserve">10 mg catechol was dissolved in 10 ml distilled water. </w:t>
      </w:r>
    </w:p>
    <w:p w14:paraId="072FF705" w14:textId="620EA0E3" w:rsidR="00D751AF" w:rsidRDefault="00D751AF" w:rsidP="00D751AF">
      <w:pPr>
        <w:spacing w:before="120" w:after="120" w:line="372" w:lineRule="auto"/>
        <w:jc w:val="both"/>
        <w:rPr>
          <w:rFonts w:ascii="Times New Roman" w:hAnsi="Times New Roman" w:cs="Times New Roman"/>
          <w:sz w:val="24"/>
          <w:szCs w:val="24"/>
        </w:rPr>
      </w:pPr>
      <w:bookmarkStart w:id="2" w:name="_Hlk113208395"/>
      <w:r w:rsidRPr="00326DF5">
        <w:rPr>
          <w:rFonts w:ascii="Times New Roman" w:hAnsi="Times New Roman" w:cs="Times New Roman"/>
          <w:b/>
          <w:sz w:val="24"/>
          <w:szCs w:val="24"/>
        </w:rPr>
        <w:t xml:space="preserve">Catechol </w:t>
      </w:r>
      <w:bookmarkEnd w:id="2"/>
      <w:r w:rsidRPr="00326DF5">
        <w:rPr>
          <w:rFonts w:ascii="Times New Roman" w:hAnsi="Times New Roman" w:cs="Times New Roman"/>
          <w:b/>
          <w:sz w:val="24"/>
          <w:szCs w:val="24"/>
        </w:rPr>
        <w:t>Standard curve:</w:t>
      </w:r>
      <w:r w:rsidRPr="00326DF5">
        <w:rPr>
          <w:rFonts w:ascii="Times New Roman" w:hAnsi="Times New Roman" w:cs="Times New Roman"/>
          <w:sz w:val="24"/>
          <w:szCs w:val="24"/>
        </w:rPr>
        <w:t xml:space="preserve"> The standard curve was prepared by taking 0, 5, 10, 20, 30, 40, 50, 60,70,80, 90, 100 µl catechol from stock solution and final volume made up to 3 ml by adding double-distilled water.  Then freshly prepared 0.5 ml Folin – Ciocalteau reagent was added, to it and the solution was incubated for 5 minutes at room temperature.  After 5 min, 2 ml of twenty per cent sodium carbonate solution was mixed thoroughly and placed in warm water bath (58</w:t>
      </w:r>
      <w:r w:rsidRPr="00326DF5">
        <w:rPr>
          <w:rFonts w:ascii="Times New Roman" w:hAnsi="Times New Roman" w:cs="Times New Roman"/>
          <w:sz w:val="24"/>
          <w:szCs w:val="24"/>
          <w:vertAlign w:val="superscript"/>
        </w:rPr>
        <w:t>o</w:t>
      </w:r>
      <w:r w:rsidRPr="00326DF5">
        <w:rPr>
          <w:rFonts w:ascii="Times New Roman" w:hAnsi="Times New Roman" w:cs="Times New Roman"/>
          <w:sz w:val="24"/>
          <w:szCs w:val="24"/>
        </w:rPr>
        <w:t>C) for one to two minutes. It was then cooled to room temperature and absorbance was recorded with the help of spectrophotometer at 750 nm using Folin-Ciocalteau reagent as blank. The values expressed as mg g</w:t>
      </w:r>
      <w:r w:rsidRPr="00326DF5">
        <w:rPr>
          <w:rFonts w:ascii="Times New Roman" w:hAnsi="Times New Roman" w:cs="Times New Roman"/>
          <w:sz w:val="24"/>
          <w:szCs w:val="24"/>
          <w:vertAlign w:val="superscript"/>
        </w:rPr>
        <w:t>-1</w:t>
      </w:r>
      <w:r w:rsidRPr="00326DF5">
        <w:rPr>
          <w:rFonts w:ascii="Times New Roman" w:hAnsi="Times New Roman" w:cs="Times New Roman"/>
          <w:sz w:val="24"/>
          <w:szCs w:val="24"/>
        </w:rPr>
        <w:t xml:space="preserve"> fresh wt. The standard curve was prepared and used for total phenolic content estimation.</w:t>
      </w:r>
    </w:p>
    <w:p w14:paraId="17E560FB" w14:textId="77777777" w:rsidR="00F9181B" w:rsidRPr="00EF3E65" w:rsidRDefault="00F9181B" w:rsidP="00F9181B">
      <w:pPr>
        <w:spacing w:line="360" w:lineRule="auto"/>
        <w:jc w:val="center"/>
        <w:rPr>
          <w:rFonts w:ascii="Times New Roman" w:hAnsi="Times New Roman" w:cs="Times New Roman"/>
          <w:b/>
          <w:bCs/>
          <w:sz w:val="24"/>
          <w:szCs w:val="24"/>
        </w:rPr>
      </w:pPr>
      <w:r>
        <w:rPr>
          <w:noProof/>
          <w:lang w:val="en-US" w:eastAsia="en-US"/>
        </w:rPr>
        <w:drawing>
          <wp:inline distT="0" distB="0" distL="0" distR="0" wp14:anchorId="2E262200" wp14:editId="07F32981">
            <wp:extent cx="4114800" cy="2377440"/>
            <wp:effectExtent l="0" t="0" r="19050" b="22860"/>
            <wp:docPr id="3" name="Chart 3">
              <a:extLst xmlns:a="http://schemas.openxmlformats.org/drawingml/2006/main">
                <a:ext uri="{FF2B5EF4-FFF2-40B4-BE49-F238E27FC236}">
                  <a16:creationId xmlns:a16="http://schemas.microsoft.com/office/drawing/2014/main" id="{0E12732E-D08E-476B-A0CC-3AD9BD58AA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C6292A" w14:textId="6BF17A71" w:rsidR="00F9181B" w:rsidRDefault="009D2E8C" w:rsidP="00F9181B">
      <w:pPr>
        <w:spacing w:line="360" w:lineRule="auto"/>
        <w:jc w:val="center"/>
        <w:rPr>
          <w:rFonts w:ascii="Times New Roman" w:hAnsi="Times New Roman" w:cs="Times New Roman"/>
          <w:b/>
          <w:bCs/>
          <w:sz w:val="24"/>
          <w:szCs w:val="24"/>
        </w:rPr>
      </w:pPr>
      <w:r>
        <w:rPr>
          <w:rFonts w:ascii="Times New Roman" w:eastAsia="Times New Roman" w:hAnsi="Times New Roman"/>
          <w:b/>
          <w:sz w:val="24"/>
        </w:rPr>
        <w:t>Figure S</w:t>
      </w:r>
      <w:r>
        <w:rPr>
          <w:rFonts w:ascii="Times New Roman" w:eastAsia="Times New Roman" w:hAnsi="Times New Roman"/>
          <w:b/>
          <w:sz w:val="24"/>
        </w:rPr>
        <w:t>3</w:t>
      </w:r>
      <w:r w:rsidR="00F9181B">
        <w:rPr>
          <w:rFonts w:ascii="Times New Roman" w:eastAsia="Times New Roman" w:hAnsi="Times New Roman"/>
          <w:b/>
          <w:sz w:val="24"/>
        </w:rPr>
        <w:t xml:space="preserve">. Standard curve of </w:t>
      </w:r>
      <w:r w:rsidR="00F9181B" w:rsidRPr="00BC3A81">
        <w:rPr>
          <w:rFonts w:ascii="Times New Roman" w:hAnsi="Times New Roman" w:cs="Times New Roman"/>
          <w:b/>
          <w:w w:val="105"/>
          <w:sz w:val="24"/>
          <w:szCs w:val="24"/>
        </w:rPr>
        <w:t>Catechol</w:t>
      </w:r>
    </w:p>
    <w:p w14:paraId="56243DE0" w14:textId="77777777" w:rsidR="00D751AF" w:rsidRPr="007D14DF" w:rsidRDefault="00D751AF" w:rsidP="00D751AF">
      <w:pPr>
        <w:pStyle w:val="ListParagraph"/>
        <w:spacing w:before="120" w:after="120" w:line="372" w:lineRule="auto"/>
        <w:ind w:left="0"/>
        <w:contextualSpacing w:val="0"/>
        <w:jc w:val="both"/>
        <w:rPr>
          <w:rFonts w:ascii="Times New Roman" w:hAnsi="Times New Roman" w:cs="Times New Roman"/>
          <w:b/>
          <w:bCs/>
          <w:sz w:val="24"/>
          <w:szCs w:val="24"/>
        </w:rPr>
      </w:pPr>
      <w:r w:rsidRPr="007D14DF">
        <w:rPr>
          <w:rFonts w:ascii="Times New Roman" w:hAnsi="Times New Roman" w:cs="Times New Roman"/>
          <w:b/>
          <w:bCs/>
          <w:sz w:val="24"/>
          <w:szCs w:val="24"/>
        </w:rPr>
        <w:t>Procedure</w:t>
      </w:r>
    </w:p>
    <w:p w14:paraId="4766AA05" w14:textId="77777777" w:rsidR="00D751AF" w:rsidRPr="007D14DF" w:rsidRDefault="00D751AF" w:rsidP="00D751AF">
      <w:pPr>
        <w:pStyle w:val="BodyText"/>
        <w:spacing w:before="120" w:after="120" w:line="372" w:lineRule="auto"/>
        <w:ind w:firstLine="636"/>
        <w:jc w:val="both"/>
        <w:rPr>
          <w:sz w:val="24"/>
          <w:szCs w:val="24"/>
        </w:rPr>
      </w:pPr>
      <w:r w:rsidRPr="007D14DF">
        <w:rPr>
          <w:sz w:val="24"/>
          <w:szCs w:val="24"/>
        </w:rPr>
        <w:t>Fresh young and mature leaf tissues (500 mg) of bottle gourd were crushed in 2 ml of 80 % ethanol with mortar and pestle and then it centrifuged at 10,000 rpm at 4</w:t>
      </w:r>
      <w:r w:rsidRPr="007D14DF">
        <w:rPr>
          <w:sz w:val="24"/>
          <w:szCs w:val="24"/>
          <w:vertAlign w:val="superscript"/>
        </w:rPr>
        <w:t>o</w:t>
      </w:r>
      <w:r w:rsidRPr="007D14DF">
        <w:rPr>
          <w:sz w:val="24"/>
          <w:szCs w:val="24"/>
        </w:rPr>
        <w:t xml:space="preserve">C for twenty minutes. The supernatant was filtered with the help of Whatman and collected in culture tubes. The collected supernatants were dried by evaporation in a water bath at 68°C. The residue was dissolved in 2 ml of distilled water. Then 1 ml of supernatant was taken and same procedure was followed as for standard curve preparation. The total phenolic content was calculated in the test sample by using a </w:t>
      </w:r>
      <w:r w:rsidRPr="007D14DF">
        <w:rPr>
          <w:sz w:val="24"/>
          <w:szCs w:val="24"/>
        </w:rPr>
        <w:lastRenderedPageBreak/>
        <w:t>standard curve and was calculated using the following formula:</w:t>
      </w:r>
    </w:p>
    <w:p w14:paraId="48954E05" w14:textId="77777777" w:rsidR="00D751AF" w:rsidRPr="00326DF5" w:rsidRDefault="00D751AF" w:rsidP="00D751AF">
      <w:pPr>
        <w:pStyle w:val="BodyText"/>
        <w:spacing w:before="120" w:after="120" w:line="372" w:lineRule="auto"/>
        <w:ind w:left="720" w:right="214"/>
        <w:jc w:val="both"/>
        <w:rPr>
          <w:iCs/>
          <w:sz w:val="24"/>
          <w:szCs w:val="24"/>
        </w:rPr>
      </w:pPr>
      <m:oMathPara>
        <m:oMathParaPr>
          <m:jc m:val="left"/>
        </m:oMathParaPr>
        <m:oMath>
          <m:r>
            <m:rPr>
              <m:sty m:val="p"/>
            </m:rPr>
            <w:rPr>
              <w:rFonts w:ascii="Cambria Math" w:hAnsi="Cambria Math"/>
              <w:sz w:val="24"/>
              <w:szCs w:val="24"/>
            </w:rPr>
            <m:t>TCP=</m:t>
          </m:r>
          <m:f>
            <m:fPr>
              <m:ctrlPr>
                <w:rPr>
                  <w:rFonts w:ascii="Cambria Math" w:hAnsi="Cambria Math"/>
                  <w:iCs/>
                  <w:sz w:val="24"/>
                  <w:szCs w:val="24"/>
                </w:rPr>
              </m:ctrlPr>
            </m:fPr>
            <m:num>
              <m:r>
                <m:rPr>
                  <m:sty m:val="p"/>
                </m:rPr>
                <w:rPr>
                  <w:rFonts w:ascii="Cambria Math" w:hAnsi="Cambria Math"/>
                  <w:sz w:val="24"/>
                  <w:szCs w:val="24"/>
                </w:rPr>
                <m:t>C×V</m:t>
              </m:r>
            </m:num>
            <m:den>
              <m:r>
                <m:rPr>
                  <m:sty m:val="p"/>
                </m:rPr>
                <w:rPr>
                  <w:rFonts w:ascii="Cambria Math" w:hAnsi="Cambria Math"/>
                  <w:sz w:val="24"/>
                  <w:szCs w:val="24"/>
                </w:rPr>
                <m:t>W</m:t>
              </m:r>
            </m:den>
          </m:f>
        </m:oMath>
      </m:oMathPara>
    </w:p>
    <w:p w14:paraId="22DEE53E" w14:textId="77777777" w:rsidR="00D751AF" w:rsidRPr="007D14DF" w:rsidRDefault="00D751AF" w:rsidP="00D751AF">
      <w:pPr>
        <w:pStyle w:val="BodyText"/>
        <w:spacing w:before="120" w:after="120" w:line="360" w:lineRule="auto"/>
        <w:ind w:left="193"/>
        <w:jc w:val="both"/>
        <w:rPr>
          <w:sz w:val="24"/>
          <w:szCs w:val="24"/>
        </w:rPr>
      </w:pPr>
      <w:r w:rsidRPr="007D14DF">
        <w:rPr>
          <w:sz w:val="24"/>
          <w:szCs w:val="24"/>
        </w:rPr>
        <w:t xml:space="preserve">Where, </w:t>
      </w:r>
    </w:p>
    <w:p w14:paraId="5C0D43AE" w14:textId="77777777" w:rsidR="00D751AF" w:rsidRPr="007D14DF" w:rsidRDefault="00D751AF" w:rsidP="00D751AF">
      <w:pPr>
        <w:pStyle w:val="BodyText"/>
        <w:spacing w:before="120" w:after="120" w:line="360" w:lineRule="auto"/>
        <w:ind w:left="804"/>
        <w:jc w:val="both"/>
        <w:rPr>
          <w:sz w:val="24"/>
          <w:szCs w:val="24"/>
          <w:vertAlign w:val="superscript"/>
        </w:rPr>
      </w:pPr>
      <w:r w:rsidRPr="007D14DF">
        <w:rPr>
          <w:sz w:val="24"/>
          <w:szCs w:val="24"/>
        </w:rPr>
        <w:t>C = Concentration of catechol in mg ml</w:t>
      </w:r>
      <w:r w:rsidRPr="007D14DF">
        <w:rPr>
          <w:sz w:val="24"/>
          <w:szCs w:val="24"/>
          <w:vertAlign w:val="superscript"/>
        </w:rPr>
        <w:t>-1</w:t>
      </w:r>
    </w:p>
    <w:p w14:paraId="03EA40FB" w14:textId="77777777" w:rsidR="00D751AF" w:rsidRPr="007D14DF" w:rsidRDefault="00D751AF" w:rsidP="00D751AF">
      <w:pPr>
        <w:widowControl w:val="0"/>
        <w:autoSpaceDE w:val="0"/>
        <w:autoSpaceDN w:val="0"/>
        <w:spacing w:before="120" w:after="120" w:line="360" w:lineRule="auto"/>
        <w:ind w:left="804"/>
        <w:rPr>
          <w:rFonts w:ascii="Times New Roman" w:hAnsi="Times New Roman" w:cs="Times New Roman"/>
          <w:sz w:val="24"/>
          <w:szCs w:val="24"/>
        </w:rPr>
      </w:pPr>
      <w:r w:rsidRPr="007D14DF">
        <w:rPr>
          <w:rFonts w:ascii="Times New Roman" w:hAnsi="Times New Roman" w:cs="Times New Roman"/>
          <w:sz w:val="24"/>
          <w:szCs w:val="24"/>
        </w:rPr>
        <w:t>V = Volume of plant extract in ml</w:t>
      </w:r>
    </w:p>
    <w:p w14:paraId="4CCB9DB2" w14:textId="77777777" w:rsidR="00D751AF" w:rsidRPr="007D14DF" w:rsidRDefault="00D751AF" w:rsidP="00D751AF">
      <w:pPr>
        <w:pStyle w:val="BodyText"/>
        <w:spacing w:before="120" w:after="120" w:line="360" w:lineRule="auto"/>
        <w:ind w:left="804"/>
        <w:rPr>
          <w:sz w:val="24"/>
          <w:szCs w:val="24"/>
        </w:rPr>
      </w:pPr>
      <w:r w:rsidRPr="007D14DF">
        <w:rPr>
          <w:sz w:val="24"/>
          <w:szCs w:val="24"/>
        </w:rPr>
        <w:t>W = Weight of the plant material in g</w:t>
      </w:r>
    </w:p>
    <w:p w14:paraId="3A6D9E90" w14:textId="44CE2D9A" w:rsidR="00D751AF" w:rsidRPr="00C6089C" w:rsidRDefault="00D751AF" w:rsidP="00D27301">
      <w:pPr>
        <w:pStyle w:val="ListParagraph"/>
        <w:numPr>
          <w:ilvl w:val="0"/>
          <w:numId w:val="1"/>
        </w:numPr>
        <w:spacing w:before="120" w:after="120" w:line="360" w:lineRule="auto"/>
        <w:ind w:left="284"/>
        <w:rPr>
          <w:rFonts w:ascii="Times New Roman" w:hAnsi="Times New Roman" w:cs="Times New Roman"/>
          <w:sz w:val="24"/>
          <w:szCs w:val="24"/>
        </w:rPr>
      </w:pPr>
      <w:r w:rsidRPr="00C6089C">
        <w:rPr>
          <w:rFonts w:ascii="Times New Roman" w:hAnsi="Times New Roman" w:cs="Times New Roman"/>
          <w:b/>
          <w:bCs/>
          <w:sz w:val="24"/>
          <w:szCs w:val="24"/>
        </w:rPr>
        <w:t>Total antioxidant:</w:t>
      </w:r>
    </w:p>
    <w:p w14:paraId="1A68DF8B" w14:textId="77777777" w:rsidR="00D751AF" w:rsidRPr="007D14DF" w:rsidRDefault="00D751AF" w:rsidP="00D751AF">
      <w:pPr>
        <w:autoSpaceDE w:val="0"/>
        <w:autoSpaceDN w:val="0"/>
        <w:adjustRightInd w:val="0"/>
        <w:spacing w:before="120" w:after="120" w:line="360" w:lineRule="auto"/>
        <w:ind w:firstLine="720"/>
        <w:jc w:val="both"/>
        <w:rPr>
          <w:rFonts w:ascii="Times New Roman" w:hAnsi="Times New Roman" w:cs="Times New Roman"/>
          <w:sz w:val="24"/>
          <w:szCs w:val="24"/>
          <w:lang w:bidi="hi-IN"/>
        </w:rPr>
      </w:pPr>
      <w:r w:rsidRPr="007D14DF">
        <w:rPr>
          <w:rFonts w:ascii="Times New Roman" w:hAnsi="Times New Roman" w:cs="Times New Roman"/>
          <w:sz w:val="24"/>
          <w:szCs w:val="24"/>
          <w:lang w:bidi="hi-IN"/>
        </w:rPr>
        <w:t xml:space="preserve">The DPPH radical scavenging activity of </w:t>
      </w:r>
      <w:r w:rsidRPr="007D14DF">
        <w:rPr>
          <w:rFonts w:ascii="Times New Roman" w:hAnsi="Times New Roman" w:cs="Times New Roman"/>
          <w:sz w:val="24"/>
          <w:szCs w:val="24"/>
        </w:rPr>
        <w:t xml:space="preserve">young and mature leaf </w:t>
      </w:r>
      <w:r w:rsidRPr="007D14DF">
        <w:rPr>
          <w:rFonts w:ascii="Times New Roman" w:hAnsi="Times New Roman" w:cs="Times New Roman"/>
          <w:sz w:val="24"/>
          <w:szCs w:val="24"/>
          <w:lang w:bidi="hi-IN"/>
        </w:rPr>
        <w:t>was evaluated by the method of Blois (1958) with some modification. Fresh pulp tissue (3.0 g) from each treatment was mixed with 30 mL ethanol (SD Fine Chemicals Ltd., India) for forty-five minutes and then centrifuged at 4°C in a refrigerated centrifuge (Remi, India) at 18000g for twenty minutes. The supernatant (0.1 ml) was mixed with 2.9 mL of 0.1mM DPPH that was dissolved in methanol. The reaction mixture was incubated for thirty minutes at 25°C in the dark. The control was containing all reagents without the sample and was used as the blank. The absorbance at 517 nm was measured by using a spectrophotometer (Shimadzu UV-VIS, 04834, India).  The DPPH radical scavenging activity (%) of the sample was calculated as the following formula:</w:t>
      </w:r>
    </w:p>
    <w:p w14:paraId="44549A2F" w14:textId="77777777" w:rsidR="00D751AF" w:rsidRPr="00326DF5" w:rsidRDefault="00D751AF" w:rsidP="00D751AF">
      <w:pPr>
        <w:autoSpaceDE w:val="0"/>
        <w:autoSpaceDN w:val="0"/>
        <w:adjustRightInd w:val="0"/>
        <w:spacing w:before="120" w:after="120" w:line="360" w:lineRule="auto"/>
        <w:ind w:left="720" w:firstLine="720"/>
        <w:jc w:val="both"/>
        <w:rPr>
          <w:rFonts w:ascii="Times New Roman" w:hAnsi="Times New Roman" w:cs="Times New Roman"/>
          <w:sz w:val="24"/>
          <w:szCs w:val="24"/>
          <w:lang w:bidi="hi-IN"/>
        </w:rPr>
      </w:pPr>
      <m:oMathPara>
        <m:oMathParaPr>
          <m:jc m:val="left"/>
        </m:oMathParaPr>
        <m:oMath>
          <m:r>
            <m:rPr>
              <m:sty m:val="p"/>
            </m:rPr>
            <w:rPr>
              <w:rFonts w:ascii="Cambria Math" w:hAnsi="Cambria Math" w:cs="Times New Roman"/>
              <w:sz w:val="24"/>
              <w:szCs w:val="24"/>
              <w:lang w:bidi="hi-IN"/>
            </w:rPr>
            <m:t xml:space="preserve">DPPH radical scavenging activity </m:t>
          </m:r>
          <m:d>
            <m:dPr>
              <m:ctrlPr>
                <w:rPr>
                  <w:rFonts w:ascii="Cambria Math" w:hAnsi="Cambria Math" w:cs="Times New Roman"/>
                  <w:sz w:val="24"/>
                  <w:szCs w:val="24"/>
                  <w:lang w:bidi="hi-IN"/>
                </w:rPr>
              </m:ctrlPr>
            </m:dPr>
            <m:e>
              <m:r>
                <m:rPr>
                  <m:sty m:val="p"/>
                </m:rPr>
                <w:rPr>
                  <w:rFonts w:ascii="Cambria Math" w:hAnsi="Cambria Math" w:cs="Times New Roman"/>
                  <w:sz w:val="24"/>
                  <w:szCs w:val="24"/>
                  <w:lang w:bidi="hi-IN"/>
                </w:rPr>
                <m:t>%</m:t>
              </m:r>
            </m:e>
          </m:d>
          <m:r>
            <m:rPr>
              <m:sty m:val="p"/>
            </m:rPr>
            <w:rPr>
              <w:rFonts w:ascii="Cambria Math" w:hAnsi="Cambria Math" w:cs="Times New Roman"/>
              <w:sz w:val="24"/>
              <w:szCs w:val="24"/>
              <w:lang w:bidi="hi-IN"/>
            </w:rPr>
            <m:t>=</m:t>
          </m:r>
          <m:f>
            <m:fPr>
              <m:ctrlPr>
                <w:rPr>
                  <w:rFonts w:ascii="Cambria Math" w:hAnsi="Cambria Math" w:cs="Times New Roman"/>
                  <w:sz w:val="24"/>
                  <w:szCs w:val="24"/>
                  <w:lang w:bidi="hi-IN"/>
                </w:rPr>
              </m:ctrlPr>
            </m:fPr>
            <m:num>
              <m:sSub>
                <m:sSubPr>
                  <m:ctrlPr>
                    <w:rPr>
                      <w:rFonts w:ascii="Cambria Math" w:hAnsi="Cambria Math" w:cs="Times New Roman"/>
                      <w:sz w:val="24"/>
                      <w:szCs w:val="24"/>
                      <w:lang w:bidi="hi-IN"/>
                    </w:rPr>
                  </m:ctrlPr>
                </m:sSubPr>
                <m:e>
                  <m:r>
                    <m:rPr>
                      <m:sty m:val="p"/>
                    </m:rPr>
                    <w:rPr>
                      <w:rFonts w:ascii="Cambria Math" w:hAnsi="Cambria Math" w:cs="Times New Roman"/>
                      <w:sz w:val="24"/>
                      <w:szCs w:val="24"/>
                      <w:lang w:bidi="hi-IN"/>
                    </w:rPr>
                    <m:t>A</m:t>
                  </m:r>
                </m:e>
                <m:sub>
                  <m:r>
                    <m:rPr>
                      <m:sty m:val="p"/>
                    </m:rPr>
                    <w:rPr>
                      <w:rFonts w:ascii="Cambria Math" w:hAnsi="Cambria Math" w:cs="Times New Roman"/>
                      <w:sz w:val="24"/>
                      <w:szCs w:val="24"/>
                      <w:lang w:bidi="hi-IN"/>
                    </w:rPr>
                    <m:t>C</m:t>
                  </m:r>
                </m:sub>
              </m:sSub>
              <m:r>
                <m:rPr>
                  <m:sty m:val="p"/>
                </m:rPr>
                <w:rPr>
                  <w:rFonts w:ascii="Cambria Math" w:hAnsi="Cambria Math" w:cs="Times New Roman"/>
                  <w:sz w:val="24"/>
                  <w:szCs w:val="24"/>
                  <w:lang w:bidi="hi-IN"/>
                </w:rPr>
                <m:t>-</m:t>
              </m:r>
              <m:sSub>
                <m:sSubPr>
                  <m:ctrlPr>
                    <w:rPr>
                      <w:rFonts w:ascii="Cambria Math" w:hAnsi="Cambria Math" w:cs="Times New Roman"/>
                      <w:sz w:val="24"/>
                      <w:szCs w:val="24"/>
                      <w:lang w:bidi="hi-IN"/>
                    </w:rPr>
                  </m:ctrlPr>
                </m:sSubPr>
                <m:e>
                  <m:r>
                    <m:rPr>
                      <m:sty m:val="p"/>
                    </m:rPr>
                    <w:rPr>
                      <w:rFonts w:ascii="Cambria Math" w:hAnsi="Cambria Math" w:cs="Times New Roman"/>
                      <w:sz w:val="24"/>
                      <w:szCs w:val="24"/>
                      <w:lang w:bidi="hi-IN"/>
                    </w:rPr>
                    <m:t>A</m:t>
                  </m:r>
                </m:e>
                <m:sub>
                  <m:r>
                    <m:rPr>
                      <m:sty m:val="p"/>
                    </m:rPr>
                    <w:rPr>
                      <w:rFonts w:ascii="Cambria Math" w:hAnsi="Cambria Math" w:cs="Times New Roman"/>
                      <w:sz w:val="24"/>
                      <w:szCs w:val="24"/>
                      <w:lang w:bidi="hi-IN"/>
                    </w:rPr>
                    <m:t>S</m:t>
                  </m:r>
                </m:sub>
              </m:sSub>
            </m:num>
            <m:den>
              <m:sSub>
                <m:sSubPr>
                  <m:ctrlPr>
                    <w:rPr>
                      <w:rFonts w:ascii="Cambria Math" w:hAnsi="Cambria Math" w:cs="Times New Roman"/>
                      <w:sz w:val="24"/>
                      <w:szCs w:val="24"/>
                      <w:lang w:bidi="hi-IN"/>
                    </w:rPr>
                  </m:ctrlPr>
                </m:sSubPr>
                <m:e>
                  <m:r>
                    <m:rPr>
                      <m:sty m:val="p"/>
                    </m:rPr>
                    <w:rPr>
                      <w:rFonts w:ascii="Cambria Math" w:hAnsi="Cambria Math" w:cs="Times New Roman"/>
                      <w:sz w:val="24"/>
                      <w:szCs w:val="24"/>
                      <w:lang w:bidi="hi-IN"/>
                    </w:rPr>
                    <m:t>A</m:t>
                  </m:r>
                </m:e>
                <m:sub>
                  <m:r>
                    <m:rPr>
                      <m:sty m:val="p"/>
                    </m:rPr>
                    <w:rPr>
                      <w:rFonts w:ascii="Cambria Math" w:hAnsi="Cambria Math" w:cs="Times New Roman"/>
                      <w:sz w:val="24"/>
                      <w:szCs w:val="24"/>
                      <w:lang w:bidi="hi-IN"/>
                    </w:rPr>
                    <m:t>C</m:t>
                  </m:r>
                </m:sub>
              </m:sSub>
            </m:den>
          </m:f>
          <m:r>
            <m:rPr>
              <m:sty m:val="p"/>
            </m:rPr>
            <w:rPr>
              <w:rFonts w:ascii="Cambria Math" w:hAnsi="Cambria Math" w:cs="Times New Roman"/>
              <w:sz w:val="24"/>
              <w:szCs w:val="24"/>
              <w:lang w:bidi="hi-IN"/>
            </w:rPr>
            <m:t>×100</m:t>
          </m:r>
        </m:oMath>
      </m:oMathPara>
    </w:p>
    <w:p w14:paraId="7CABC9DF" w14:textId="77777777" w:rsidR="00D751AF" w:rsidRPr="007D14DF" w:rsidRDefault="00D751AF" w:rsidP="00D751AF">
      <w:pPr>
        <w:autoSpaceDE w:val="0"/>
        <w:autoSpaceDN w:val="0"/>
        <w:adjustRightInd w:val="0"/>
        <w:spacing w:before="120" w:after="120" w:line="360" w:lineRule="auto"/>
        <w:jc w:val="both"/>
        <w:rPr>
          <w:rFonts w:ascii="Times New Roman" w:hAnsi="Times New Roman" w:cs="Times New Roman"/>
          <w:sz w:val="24"/>
          <w:szCs w:val="24"/>
          <w:lang w:bidi="hi-IN"/>
        </w:rPr>
      </w:pPr>
      <w:r w:rsidRPr="007D14DF">
        <w:rPr>
          <w:rFonts w:ascii="Times New Roman" w:hAnsi="Times New Roman" w:cs="Times New Roman"/>
          <w:sz w:val="24"/>
          <w:szCs w:val="24"/>
          <w:lang w:bidi="hi-IN"/>
        </w:rPr>
        <w:t>Where,</w:t>
      </w:r>
    </w:p>
    <w:p w14:paraId="656C772E" w14:textId="77777777" w:rsidR="00D751AF" w:rsidRDefault="00D751AF" w:rsidP="00D751AF">
      <w:pPr>
        <w:autoSpaceDE w:val="0"/>
        <w:autoSpaceDN w:val="0"/>
        <w:adjustRightInd w:val="0"/>
        <w:spacing w:before="120" w:after="120" w:line="360" w:lineRule="auto"/>
        <w:ind w:firstLine="851"/>
        <w:jc w:val="both"/>
        <w:rPr>
          <w:rFonts w:ascii="Times New Roman" w:hAnsi="Times New Roman" w:cs="Times New Roman"/>
          <w:sz w:val="24"/>
          <w:szCs w:val="24"/>
          <w:lang w:bidi="hi-IN"/>
        </w:rPr>
      </w:pPr>
      <w:r w:rsidRPr="007D14DF">
        <w:rPr>
          <w:rFonts w:ascii="Times New Roman" w:hAnsi="Times New Roman" w:cs="Times New Roman"/>
          <w:sz w:val="24"/>
          <w:szCs w:val="24"/>
          <w:lang w:bidi="hi-IN"/>
        </w:rPr>
        <w:t>A</w:t>
      </w:r>
      <w:r w:rsidRPr="007D14DF">
        <w:rPr>
          <w:rFonts w:ascii="Times New Roman" w:hAnsi="Times New Roman" w:cs="Times New Roman"/>
          <w:sz w:val="24"/>
          <w:szCs w:val="24"/>
          <w:vertAlign w:val="subscript"/>
          <w:lang w:bidi="hi-IN"/>
        </w:rPr>
        <w:t>C</w:t>
      </w:r>
      <w:r w:rsidRPr="007D14DF">
        <w:rPr>
          <w:rFonts w:ascii="Times New Roman" w:hAnsi="Times New Roman" w:cs="Times New Roman"/>
          <w:sz w:val="24"/>
          <w:szCs w:val="24"/>
          <w:lang w:bidi="hi-IN"/>
        </w:rPr>
        <w:t xml:space="preserve"> = Absorbance of control</w:t>
      </w:r>
      <w:r w:rsidRPr="007D14DF">
        <w:rPr>
          <w:rFonts w:ascii="Times New Roman" w:hAnsi="Times New Roman" w:cs="Times New Roman"/>
          <w:sz w:val="24"/>
          <w:szCs w:val="24"/>
          <w:lang w:bidi="hi-IN"/>
        </w:rPr>
        <w:tab/>
      </w:r>
      <w:r w:rsidRPr="007D14DF">
        <w:rPr>
          <w:rFonts w:ascii="Times New Roman" w:hAnsi="Times New Roman" w:cs="Times New Roman"/>
          <w:sz w:val="24"/>
          <w:szCs w:val="24"/>
          <w:lang w:bidi="hi-IN"/>
        </w:rPr>
        <w:tab/>
      </w:r>
      <w:r w:rsidRPr="007D14DF">
        <w:rPr>
          <w:rFonts w:ascii="Times New Roman" w:hAnsi="Times New Roman" w:cs="Times New Roman"/>
          <w:sz w:val="24"/>
          <w:szCs w:val="24"/>
          <w:lang w:bidi="hi-IN"/>
        </w:rPr>
        <w:tab/>
      </w:r>
    </w:p>
    <w:p w14:paraId="0D2513A1" w14:textId="77777777" w:rsidR="00D751AF" w:rsidRPr="007D14DF" w:rsidRDefault="00D751AF" w:rsidP="00D751AF">
      <w:pPr>
        <w:autoSpaceDE w:val="0"/>
        <w:autoSpaceDN w:val="0"/>
        <w:adjustRightInd w:val="0"/>
        <w:spacing w:before="120" w:after="120" w:line="360" w:lineRule="auto"/>
        <w:ind w:firstLine="851"/>
        <w:jc w:val="both"/>
        <w:rPr>
          <w:rFonts w:ascii="Times New Roman" w:hAnsi="Times New Roman" w:cs="Times New Roman"/>
          <w:sz w:val="24"/>
          <w:szCs w:val="24"/>
          <w:lang w:bidi="hi-IN"/>
        </w:rPr>
      </w:pPr>
      <w:r w:rsidRPr="007D14DF">
        <w:rPr>
          <w:rFonts w:ascii="Times New Roman" w:hAnsi="Times New Roman" w:cs="Times New Roman"/>
          <w:sz w:val="24"/>
          <w:szCs w:val="24"/>
          <w:lang w:bidi="hi-IN"/>
        </w:rPr>
        <w:t>A</w:t>
      </w:r>
      <w:r w:rsidRPr="007D14DF">
        <w:rPr>
          <w:rFonts w:ascii="Times New Roman" w:hAnsi="Times New Roman" w:cs="Times New Roman"/>
          <w:sz w:val="24"/>
          <w:szCs w:val="24"/>
          <w:vertAlign w:val="subscript"/>
          <w:lang w:bidi="hi-IN"/>
        </w:rPr>
        <w:t xml:space="preserve">S </w:t>
      </w:r>
      <w:r w:rsidRPr="007D14DF">
        <w:rPr>
          <w:rFonts w:ascii="Times New Roman" w:hAnsi="Times New Roman" w:cs="Times New Roman"/>
          <w:sz w:val="24"/>
          <w:szCs w:val="24"/>
          <w:lang w:bidi="hi-IN"/>
        </w:rPr>
        <w:t>= Absorbance of sample</w:t>
      </w:r>
    </w:p>
    <w:p w14:paraId="4C0EA649" w14:textId="77777777" w:rsidR="00D751AF" w:rsidRDefault="00D751AF" w:rsidP="0030522A">
      <w:pPr>
        <w:spacing w:line="360" w:lineRule="auto"/>
        <w:jc w:val="both"/>
        <w:rPr>
          <w:rFonts w:ascii="Times New Roman" w:eastAsia="Times New Roman" w:hAnsi="Times New Roman"/>
          <w:b/>
          <w:color w:val="0070C0"/>
          <w:sz w:val="24"/>
        </w:rPr>
      </w:pPr>
    </w:p>
    <w:p w14:paraId="1479E07B" w14:textId="77777777" w:rsidR="0030522A" w:rsidRPr="0030522A" w:rsidRDefault="0030522A" w:rsidP="0030522A">
      <w:pPr>
        <w:spacing w:line="360" w:lineRule="auto"/>
        <w:jc w:val="both"/>
        <w:rPr>
          <w:rFonts w:ascii="Times New Roman" w:eastAsia="Times New Roman" w:hAnsi="Times New Roman"/>
          <w:b/>
          <w:color w:val="0070C0"/>
          <w:sz w:val="24"/>
        </w:rPr>
      </w:pPr>
    </w:p>
    <w:p w14:paraId="24FE82BF" w14:textId="77777777" w:rsidR="00A331B5" w:rsidRDefault="00A331B5" w:rsidP="006C3CFC">
      <w:pPr>
        <w:spacing w:line="480" w:lineRule="auto"/>
        <w:jc w:val="center"/>
        <w:rPr>
          <w:rFonts w:ascii="Times New Roman" w:hAnsi="Times New Roman" w:cs="Times New Roman"/>
          <w:b/>
          <w:bCs/>
          <w:sz w:val="24"/>
          <w:szCs w:val="24"/>
        </w:rPr>
      </w:pPr>
    </w:p>
    <w:p w14:paraId="766EE31B" w14:textId="77777777" w:rsidR="00A331B5" w:rsidRDefault="00A331B5" w:rsidP="006C3CFC">
      <w:pPr>
        <w:spacing w:line="480" w:lineRule="auto"/>
        <w:jc w:val="center"/>
        <w:rPr>
          <w:rFonts w:ascii="Times New Roman" w:hAnsi="Times New Roman" w:cs="Times New Roman"/>
          <w:b/>
          <w:bCs/>
          <w:sz w:val="24"/>
          <w:szCs w:val="24"/>
        </w:rPr>
      </w:pPr>
    </w:p>
    <w:p w14:paraId="7E19BCCD" w14:textId="77777777" w:rsidR="009E68E3" w:rsidRDefault="009E68E3"/>
    <w:sectPr w:rsidR="009E68E3" w:rsidSect="006C3CFC">
      <w:footerReference w:type="even" r:id="rId10"/>
      <w:pgSz w:w="11906" w:h="16838" w:code="9"/>
      <w:pgMar w:top="1440" w:right="1440" w:bottom="1440" w:left="2160" w:header="1296" w:footer="1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FDBAD" w14:textId="77777777" w:rsidR="000C061E" w:rsidRDefault="000C061E" w:rsidP="00D41CDA">
      <w:r>
        <w:separator/>
      </w:r>
    </w:p>
  </w:endnote>
  <w:endnote w:type="continuationSeparator" w:id="0">
    <w:p w14:paraId="5E8950A1" w14:textId="77777777" w:rsidR="000C061E" w:rsidRDefault="000C061E" w:rsidP="00D41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askerville BE Regular">
    <w:altName w:val="Baskerville Old Face"/>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1CAB9" w14:textId="77777777" w:rsidR="00423E3A" w:rsidRPr="00233B0D" w:rsidRDefault="00000000" w:rsidP="00233B0D">
    <w:pPr>
      <w:pStyle w:val="Footer"/>
      <w:pBdr>
        <w:top w:val="single" w:sz="4" w:space="1" w:color="auto"/>
      </w:pBdr>
      <w:rPr>
        <w:sz w:val="28"/>
      </w:rPr>
    </w:pPr>
    <w:r>
      <w:rPr>
        <w:rFonts w:ascii="Baskerville BE Regular" w:hAnsi="Baskerville BE Regular"/>
        <w:i/>
      </w:rPr>
      <w:t xml:space="preserve">Appendices </w:t>
    </w:r>
    <w:r w:rsidRPr="006E0377">
      <w:rPr>
        <w:rFonts w:ascii="Baskerville BE Regular"/>
        <w:i/>
      </w:rPr>
      <w:t>…………</w:t>
    </w:r>
    <w:r w:rsidRPr="006E0377">
      <w:rPr>
        <w:rFonts w:ascii="Baskerville BE Regular" w:hAnsi="Baskerville BE Regular"/>
        <w:i/>
      </w:rPr>
      <w:t>.</w:t>
    </w:r>
    <w:r w:rsidRPr="00980793">
      <w:rPr>
        <w:sz w:val="28"/>
        <w:szCs w:val="28"/>
      </w:rPr>
      <w:sym w:font="Wingdings 2" w:char="F022"/>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92E6" w14:textId="77777777" w:rsidR="000C061E" w:rsidRDefault="000C061E" w:rsidP="00D41CDA">
      <w:r>
        <w:separator/>
      </w:r>
    </w:p>
  </w:footnote>
  <w:footnote w:type="continuationSeparator" w:id="0">
    <w:p w14:paraId="43FF26B6" w14:textId="77777777" w:rsidR="000C061E" w:rsidRDefault="000C061E" w:rsidP="00D41C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C5745"/>
    <w:multiLevelType w:val="hybridMultilevel"/>
    <w:tmpl w:val="01348FE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262F1ACB"/>
    <w:multiLevelType w:val="multilevel"/>
    <w:tmpl w:val="0B9807DA"/>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 w15:restartNumberingAfterBreak="0">
    <w:nsid w:val="40F12B67"/>
    <w:multiLevelType w:val="multilevel"/>
    <w:tmpl w:val="9B582EDC"/>
    <w:lvl w:ilvl="0">
      <w:start w:val="1"/>
      <w:numFmt w:val="decimal"/>
      <w:lvlText w:val="%1."/>
      <w:lvlJc w:val="left"/>
      <w:pPr>
        <w:ind w:left="720" w:hanging="360"/>
      </w:pPr>
      <w:rPr>
        <w:rFonts w:hint="default"/>
        <w:b/>
        <w:bCs/>
      </w:rPr>
    </w:lvl>
    <w:lvl w:ilvl="1">
      <w:start w:val="6"/>
      <w:numFmt w:val="decimal"/>
      <w:isLgl/>
      <w:lvlText w:val="%1.%2"/>
      <w:lvlJc w:val="left"/>
      <w:pPr>
        <w:ind w:left="840" w:hanging="480"/>
      </w:pPr>
      <w:rPr>
        <w:rFonts w:hint="default"/>
        <w:b/>
        <w:color w:val="auto"/>
      </w:rPr>
    </w:lvl>
    <w:lvl w:ilvl="2">
      <w:start w:val="5"/>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4DF32CC6"/>
    <w:multiLevelType w:val="hybridMultilevel"/>
    <w:tmpl w:val="83DE4F8A"/>
    <w:lvl w:ilvl="0" w:tplc="B8788D82">
      <w:start w:val="1"/>
      <w:numFmt w:val="lowerLetter"/>
      <w:lvlText w:val="%1."/>
      <w:lvlJc w:val="left"/>
      <w:pPr>
        <w:ind w:left="720" w:hanging="360"/>
      </w:pPr>
      <w:rPr>
        <w:rFonts w:hint="default"/>
        <w:b/>
        <w:bC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582149"/>
    <w:multiLevelType w:val="multilevel"/>
    <w:tmpl w:val="12F6CC88"/>
    <w:lvl w:ilvl="0">
      <w:start w:val="1"/>
      <w:numFmt w:val="decimal"/>
      <w:lvlText w:val="%1."/>
      <w:lvlJc w:val="left"/>
      <w:pPr>
        <w:ind w:left="720" w:hanging="360"/>
      </w:pPr>
      <w:rPr>
        <w:rFonts w:hint="default"/>
        <w:b/>
        <w:bCs/>
      </w:rPr>
    </w:lvl>
    <w:lvl w:ilvl="1">
      <w:start w:val="1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3619639">
    <w:abstractNumId w:val="2"/>
  </w:num>
  <w:num w:numId="2" w16cid:durableId="628901739">
    <w:abstractNumId w:val="4"/>
  </w:num>
  <w:num w:numId="3" w16cid:durableId="1401707366">
    <w:abstractNumId w:val="3"/>
  </w:num>
  <w:num w:numId="4" w16cid:durableId="2071995395">
    <w:abstractNumId w:val="1"/>
  </w:num>
  <w:num w:numId="5" w16cid:durableId="847525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E3"/>
    <w:rsid w:val="000C061E"/>
    <w:rsid w:val="0030522A"/>
    <w:rsid w:val="00423E3A"/>
    <w:rsid w:val="0056106F"/>
    <w:rsid w:val="00681A86"/>
    <w:rsid w:val="006C3CFC"/>
    <w:rsid w:val="009D2E8C"/>
    <w:rsid w:val="009D340C"/>
    <w:rsid w:val="009E68E3"/>
    <w:rsid w:val="00A331B5"/>
    <w:rsid w:val="00A94977"/>
    <w:rsid w:val="00B77B7A"/>
    <w:rsid w:val="00BD3620"/>
    <w:rsid w:val="00C6089C"/>
    <w:rsid w:val="00CC731C"/>
    <w:rsid w:val="00D27301"/>
    <w:rsid w:val="00D41CDA"/>
    <w:rsid w:val="00D751AF"/>
    <w:rsid w:val="00D97AE1"/>
    <w:rsid w:val="00E868FB"/>
    <w:rsid w:val="00F3759C"/>
    <w:rsid w:val="00F918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8D56D"/>
  <w15:chartTrackingRefBased/>
  <w15:docId w15:val="{50C0841E-CD00-4AA5-BD9D-16DE2827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CFC"/>
    <w:pPr>
      <w:spacing w:after="0" w:line="240" w:lineRule="auto"/>
    </w:pPr>
    <w:rPr>
      <w:rFonts w:ascii="Calibri" w:eastAsia="Calibri" w:hAnsi="Calibri" w:cs="Arial"/>
      <w:kern w:val="0"/>
      <w:sz w:val="20"/>
      <w:szCs w:val="20"/>
      <w:lang w:eastAsia="en-IN"/>
      <w14:ligatures w14:val="none"/>
    </w:rPr>
  </w:style>
  <w:style w:type="paragraph" w:styleId="Heading1">
    <w:name w:val="heading 1"/>
    <w:basedOn w:val="Normal"/>
    <w:next w:val="Normal"/>
    <w:link w:val="Heading1Char"/>
    <w:uiPriority w:val="9"/>
    <w:qFormat/>
    <w:rsid w:val="009E6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8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8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8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E68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8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8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8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8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8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8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8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8E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E68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8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8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8E3"/>
    <w:rPr>
      <w:rFonts w:eastAsiaTheme="majorEastAsia" w:cstheme="majorBidi"/>
      <w:color w:val="272727" w:themeColor="text1" w:themeTint="D8"/>
    </w:rPr>
  </w:style>
  <w:style w:type="paragraph" w:styleId="Title">
    <w:name w:val="Title"/>
    <w:basedOn w:val="Normal"/>
    <w:next w:val="Normal"/>
    <w:link w:val="TitleChar"/>
    <w:uiPriority w:val="10"/>
    <w:qFormat/>
    <w:rsid w:val="009E68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8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8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8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8E3"/>
    <w:pPr>
      <w:spacing w:before="160"/>
      <w:jc w:val="center"/>
    </w:pPr>
    <w:rPr>
      <w:i/>
      <w:iCs/>
      <w:color w:val="404040" w:themeColor="text1" w:themeTint="BF"/>
    </w:rPr>
  </w:style>
  <w:style w:type="character" w:customStyle="1" w:styleId="QuoteChar">
    <w:name w:val="Quote Char"/>
    <w:basedOn w:val="DefaultParagraphFont"/>
    <w:link w:val="Quote"/>
    <w:uiPriority w:val="29"/>
    <w:rsid w:val="009E68E3"/>
    <w:rPr>
      <w:i/>
      <w:iCs/>
      <w:color w:val="404040" w:themeColor="text1" w:themeTint="BF"/>
    </w:rPr>
  </w:style>
  <w:style w:type="paragraph" w:styleId="ListParagraph">
    <w:name w:val="List Paragraph"/>
    <w:basedOn w:val="Normal"/>
    <w:uiPriority w:val="1"/>
    <w:qFormat/>
    <w:rsid w:val="009E68E3"/>
    <w:pPr>
      <w:ind w:left="720"/>
      <w:contextualSpacing/>
    </w:pPr>
  </w:style>
  <w:style w:type="character" w:styleId="IntenseEmphasis">
    <w:name w:val="Intense Emphasis"/>
    <w:basedOn w:val="DefaultParagraphFont"/>
    <w:uiPriority w:val="21"/>
    <w:qFormat/>
    <w:rsid w:val="009E68E3"/>
    <w:rPr>
      <w:i/>
      <w:iCs/>
      <w:color w:val="0F4761" w:themeColor="accent1" w:themeShade="BF"/>
    </w:rPr>
  </w:style>
  <w:style w:type="paragraph" w:styleId="IntenseQuote">
    <w:name w:val="Intense Quote"/>
    <w:basedOn w:val="Normal"/>
    <w:next w:val="Normal"/>
    <w:link w:val="IntenseQuoteChar"/>
    <w:uiPriority w:val="30"/>
    <w:qFormat/>
    <w:rsid w:val="009E6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8E3"/>
    <w:rPr>
      <w:i/>
      <w:iCs/>
      <w:color w:val="0F4761" w:themeColor="accent1" w:themeShade="BF"/>
    </w:rPr>
  </w:style>
  <w:style w:type="character" w:styleId="IntenseReference">
    <w:name w:val="Intense Reference"/>
    <w:basedOn w:val="DefaultParagraphFont"/>
    <w:uiPriority w:val="32"/>
    <w:qFormat/>
    <w:rsid w:val="009E68E3"/>
    <w:rPr>
      <w:b/>
      <w:bCs/>
      <w:smallCaps/>
      <w:color w:val="0F4761" w:themeColor="accent1" w:themeShade="BF"/>
      <w:spacing w:val="5"/>
    </w:rPr>
  </w:style>
  <w:style w:type="paragraph" w:styleId="Footer">
    <w:name w:val="footer"/>
    <w:basedOn w:val="Normal"/>
    <w:link w:val="FooterChar"/>
    <w:uiPriority w:val="99"/>
    <w:unhideWhenUsed/>
    <w:rsid w:val="006C3CFC"/>
    <w:pPr>
      <w:tabs>
        <w:tab w:val="center" w:pos="4680"/>
        <w:tab w:val="right" w:pos="9360"/>
      </w:tabs>
    </w:pPr>
  </w:style>
  <w:style w:type="character" w:customStyle="1" w:styleId="FooterChar">
    <w:name w:val="Footer Char"/>
    <w:basedOn w:val="DefaultParagraphFont"/>
    <w:link w:val="Footer"/>
    <w:uiPriority w:val="99"/>
    <w:rsid w:val="006C3CFC"/>
    <w:rPr>
      <w:rFonts w:ascii="Calibri" w:eastAsia="Calibri" w:hAnsi="Calibri" w:cs="Arial"/>
      <w:kern w:val="0"/>
      <w:sz w:val="20"/>
      <w:szCs w:val="20"/>
      <w:lang w:eastAsia="en-IN"/>
      <w14:ligatures w14:val="none"/>
    </w:rPr>
  </w:style>
  <w:style w:type="paragraph" w:styleId="Header">
    <w:name w:val="header"/>
    <w:basedOn w:val="Normal"/>
    <w:link w:val="HeaderChar"/>
    <w:uiPriority w:val="99"/>
    <w:unhideWhenUsed/>
    <w:rsid w:val="00D41CDA"/>
    <w:pPr>
      <w:tabs>
        <w:tab w:val="center" w:pos="4513"/>
        <w:tab w:val="right" w:pos="9026"/>
      </w:tabs>
    </w:pPr>
  </w:style>
  <w:style w:type="character" w:customStyle="1" w:styleId="HeaderChar">
    <w:name w:val="Header Char"/>
    <w:basedOn w:val="DefaultParagraphFont"/>
    <w:link w:val="Header"/>
    <w:uiPriority w:val="99"/>
    <w:rsid w:val="00D41CDA"/>
    <w:rPr>
      <w:rFonts w:ascii="Calibri" w:eastAsia="Calibri" w:hAnsi="Calibri" w:cs="Arial"/>
      <w:kern w:val="0"/>
      <w:sz w:val="20"/>
      <w:szCs w:val="20"/>
      <w:lang w:eastAsia="en-IN"/>
      <w14:ligatures w14:val="none"/>
    </w:rPr>
  </w:style>
  <w:style w:type="paragraph" w:styleId="BodyText">
    <w:name w:val="Body Text"/>
    <w:basedOn w:val="Normal"/>
    <w:link w:val="BodyTextChar"/>
    <w:uiPriority w:val="1"/>
    <w:qFormat/>
    <w:rsid w:val="00D751AF"/>
    <w:pPr>
      <w:widowControl w:val="0"/>
      <w:autoSpaceDE w:val="0"/>
      <w:autoSpaceDN w:val="0"/>
    </w:pPr>
    <w:rPr>
      <w:rFonts w:ascii="Times New Roman" w:eastAsia="Times New Roman" w:hAnsi="Times New Roman" w:cs="Times New Roman"/>
      <w:sz w:val="28"/>
      <w:szCs w:val="28"/>
      <w:lang w:val="en-US" w:eastAsia="en-US"/>
    </w:rPr>
  </w:style>
  <w:style w:type="character" w:customStyle="1" w:styleId="BodyTextChar">
    <w:name w:val="Body Text Char"/>
    <w:basedOn w:val="DefaultParagraphFont"/>
    <w:link w:val="BodyText"/>
    <w:uiPriority w:val="1"/>
    <w:rsid w:val="00D751AF"/>
    <w:rPr>
      <w:rFonts w:ascii="Times New Roman" w:eastAsia="Times New Roman" w:hAnsi="Times New Roman"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F:\Bottle%20gourd%20ph.d.%20thesis%20crop\RAJU%20PHD%20Thesis%20chapter%202022\Final%20tables%20thesis\surendra%20edit%20insect%20phd%20trail%20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Bottle%20gourd%20ph.d.%20thesis%20crop\RAJU%20PHD%20Thesis%20chapter%202022\Final%20tables%20thesis\surendra%20edit%20insect%20phd%20trail%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39569924422869"/>
          <c:y val="0.13819789939192925"/>
          <c:w val="0.75606869515625807"/>
          <c:h val="0.62790683502870603"/>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[1]Protein!$AJ$11:$AJ$16</c:f>
              <c:numCache>
                <c:formatCode>General</c:formatCode>
                <c:ptCount val="6"/>
                <c:pt idx="0">
                  <c:v>0</c:v>
                </c:pt>
                <c:pt idx="1">
                  <c:v>20</c:v>
                </c:pt>
                <c:pt idx="2">
                  <c:v>40</c:v>
                </c:pt>
                <c:pt idx="3">
                  <c:v>60</c:v>
                </c:pt>
                <c:pt idx="4">
                  <c:v>80</c:v>
                </c:pt>
                <c:pt idx="5">
                  <c:v>100</c:v>
                </c:pt>
              </c:numCache>
            </c:numRef>
          </c:xVal>
          <c:yVal>
            <c:numRef>
              <c:f>[1]Protein!$AK$11:$AK$16</c:f>
              <c:numCache>
                <c:formatCode>General</c:formatCode>
                <c:ptCount val="6"/>
              </c:numCache>
            </c:numRef>
          </c:yVal>
          <c:smooth val="0"/>
          <c:extLst>
            <c:ext xmlns:c16="http://schemas.microsoft.com/office/drawing/2014/chart" uri="{C3380CC4-5D6E-409C-BE32-E72D297353CC}">
              <c16:uniqueId val="{00000000-550B-4100-BDB0-61B73C4BD343}"/>
            </c:ext>
          </c:extLst>
        </c:ser>
        <c:ser>
          <c:idx val="1"/>
          <c:order val="1"/>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intercept val="0"/>
            <c:dispRSqr val="1"/>
            <c:dispEq val="1"/>
            <c:trendlineLbl>
              <c:layout>
                <c:manualLayout>
                  <c:x val="0.14366229221347332"/>
                  <c:y val="-0.23335702828813065"/>
                </c:manualLayout>
              </c:layout>
              <c:numFmt formatCode="General" sourceLinked="0"/>
              <c:spPr>
                <a:noFill/>
                <a:ln>
                  <a:noFill/>
                </a:ln>
                <a:effectLst/>
              </c:spPr>
              <c:txPr>
                <a:bodyPr rot="0" vert="horz"/>
                <a:lstStyle/>
                <a:p>
                  <a:pPr>
                    <a:defRPr/>
                  </a:pPr>
                  <a:endParaRPr lang="en-US"/>
                </a:p>
              </c:txPr>
            </c:trendlineLbl>
          </c:trendline>
          <c:xVal>
            <c:numRef>
              <c:f>[1]Protein!$AJ$11:$AJ$16</c:f>
              <c:numCache>
                <c:formatCode>General</c:formatCode>
                <c:ptCount val="6"/>
                <c:pt idx="0">
                  <c:v>0</c:v>
                </c:pt>
                <c:pt idx="1">
                  <c:v>20</c:v>
                </c:pt>
                <c:pt idx="2">
                  <c:v>40</c:v>
                </c:pt>
                <c:pt idx="3">
                  <c:v>60</c:v>
                </c:pt>
                <c:pt idx="4">
                  <c:v>80</c:v>
                </c:pt>
                <c:pt idx="5">
                  <c:v>100</c:v>
                </c:pt>
              </c:numCache>
            </c:numRef>
          </c:xVal>
          <c:yVal>
            <c:numRef>
              <c:f>[1]Protein!$AL$11:$AL$16</c:f>
              <c:numCache>
                <c:formatCode>General</c:formatCode>
                <c:ptCount val="6"/>
                <c:pt idx="0">
                  <c:v>0</c:v>
                </c:pt>
                <c:pt idx="1">
                  <c:v>1.7000000000000001E-2</c:v>
                </c:pt>
                <c:pt idx="2">
                  <c:v>3.5000000000000003E-2</c:v>
                </c:pt>
                <c:pt idx="3">
                  <c:v>4.9000000000000002E-2</c:v>
                </c:pt>
                <c:pt idx="4">
                  <c:v>6.0999999999999999E-2</c:v>
                </c:pt>
                <c:pt idx="5">
                  <c:v>8.1000000000000003E-2</c:v>
                </c:pt>
              </c:numCache>
            </c:numRef>
          </c:yVal>
          <c:smooth val="0"/>
          <c:extLst>
            <c:ext xmlns:c16="http://schemas.microsoft.com/office/drawing/2014/chart" uri="{C3380CC4-5D6E-409C-BE32-E72D297353CC}">
              <c16:uniqueId val="{00000002-550B-4100-BDB0-61B73C4BD343}"/>
            </c:ext>
          </c:extLst>
        </c:ser>
        <c:dLbls>
          <c:showLegendKey val="0"/>
          <c:showVal val="0"/>
          <c:showCatName val="0"/>
          <c:showSerName val="0"/>
          <c:showPercent val="0"/>
          <c:showBubbleSize val="0"/>
        </c:dLbls>
        <c:axId val="216568960"/>
        <c:axId val="216570880"/>
      </c:scatterChart>
      <c:valAx>
        <c:axId val="2165689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Concentration bovine serum albumin (µg ml-1)</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16570880"/>
        <c:crosses val="autoZero"/>
        <c:crossBetween val="midCat"/>
      </c:valAx>
      <c:valAx>
        <c:axId val="216570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Absorbance at 595 nm</a:t>
                </a:r>
              </a:p>
            </c:rich>
          </c:tx>
          <c:layout>
            <c:manualLayout>
              <c:xMode val="edge"/>
              <c:yMode val="edge"/>
              <c:x val="1.8259281801582473E-2"/>
              <c:y val="0.1529252251428770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165689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85019320501605"/>
          <c:y val="0.16338136351463844"/>
          <c:w val="0.76517411235053956"/>
          <c:h val="0.64631532184234941"/>
        </c:manualLayout>
      </c:layout>
      <c:scatterChart>
        <c:scatterStyle val="lineMarker"/>
        <c:varyColors val="0"/>
        <c:ser>
          <c:idx val="0"/>
          <c:order val="0"/>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intercept val="0"/>
            <c:dispRSqr val="1"/>
            <c:dispEq val="1"/>
            <c:trendlineLbl>
              <c:layout>
                <c:manualLayout>
                  <c:x val="2.7898323203978153E-2"/>
                  <c:y val="-0.15103983767181217"/>
                </c:manualLayout>
              </c:layout>
              <c:numFmt formatCode="General" sourceLinked="0"/>
              <c:spPr>
                <a:noFill/>
                <a:ln>
                  <a:noFill/>
                </a:ln>
                <a:effectLst/>
              </c:spPr>
              <c:txPr>
                <a:bodyPr rot="0" vert="horz"/>
                <a:lstStyle/>
                <a:p>
                  <a:pPr>
                    <a:defRPr/>
                  </a:pPr>
                  <a:endParaRPr lang="en-US"/>
                </a:p>
              </c:txPr>
            </c:trendlineLbl>
          </c:trendline>
          <c:xVal>
            <c:numRef>
              <c:f>'[1]Flavonoids leaf'!$AJ$9:$AJ$14</c:f>
              <c:numCache>
                <c:formatCode>General</c:formatCode>
                <c:ptCount val="6"/>
                <c:pt idx="0">
                  <c:v>0</c:v>
                </c:pt>
                <c:pt idx="1">
                  <c:v>20</c:v>
                </c:pt>
                <c:pt idx="2">
                  <c:v>40</c:v>
                </c:pt>
                <c:pt idx="3">
                  <c:v>60</c:v>
                </c:pt>
                <c:pt idx="4">
                  <c:v>80</c:v>
                </c:pt>
                <c:pt idx="5">
                  <c:v>100</c:v>
                </c:pt>
              </c:numCache>
            </c:numRef>
          </c:xVal>
          <c:yVal>
            <c:numRef>
              <c:f>'[1]Flavonoids leaf'!$AM$9:$AM$14</c:f>
              <c:numCache>
                <c:formatCode>General</c:formatCode>
                <c:ptCount val="6"/>
                <c:pt idx="0">
                  <c:v>0</c:v>
                </c:pt>
                <c:pt idx="1">
                  <c:v>1.9E-2</c:v>
                </c:pt>
                <c:pt idx="2">
                  <c:v>5.0999999999999997E-2</c:v>
                </c:pt>
                <c:pt idx="3">
                  <c:v>8.4000000000000005E-2</c:v>
                </c:pt>
                <c:pt idx="4">
                  <c:v>0.115</c:v>
                </c:pt>
                <c:pt idx="5">
                  <c:v>0.14399999999999999</c:v>
                </c:pt>
              </c:numCache>
            </c:numRef>
          </c:yVal>
          <c:smooth val="0"/>
          <c:extLst>
            <c:ext xmlns:c16="http://schemas.microsoft.com/office/drawing/2014/chart" uri="{C3380CC4-5D6E-409C-BE32-E72D297353CC}">
              <c16:uniqueId val="{00000001-C378-4907-AA74-7EEAADE1A396}"/>
            </c:ext>
          </c:extLst>
        </c:ser>
        <c:dLbls>
          <c:showLegendKey val="0"/>
          <c:showVal val="0"/>
          <c:showCatName val="0"/>
          <c:showSerName val="0"/>
          <c:showPercent val="0"/>
          <c:showBubbleSize val="0"/>
        </c:dLbls>
        <c:axId val="221111424"/>
        <c:axId val="221113344"/>
      </c:scatterChart>
      <c:valAx>
        <c:axId val="2211114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Concentration quercetin (µg ml-1)</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21113344"/>
        <c:crosses val="autoZero"/>
        <c:crossBetween val="midCat"/>
      </c:valAx>
      <c:valAx>
        <c:axId val="221113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Absorbance at 420 nm</a:t>
                </a:r>
              </a:p>
            </c:rich>
          </c:tx>
          <c:layout>
            <c:manualLayout>
              <c:xMode val="edge"/>
              <c:yMode val="edge"/>
              <c:x val="2.3148148148148147E-2"/>
              <c:y val="0.2281195747321184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2111142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40089100102685"/>
          <c:y val="0.14855162168853678"/>
          <c:w val="0.77880968117440152"/>
          <c:h val="0.64193288663873693"/>
        </c:manualLayout>
      </c:layout>
      <c:scatterChart>
        <c:scatterStyle val="lineMarker"/>
        <c:varyColors val="0"/>
        <c:ser>
          <c:idx val="0"/>
          <c:order val="0"/>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intercept val="0"/>
            <c:dispRSqr val="1"/>
            <c:dispEq val="1"/>
            <c:trendlineLbl>
              <c:layout>
                <c:manualLayout>
                  <c:x val="1.9208880139982502E-2"/>
                  <c:y val="-0.15782407407407406"/>
                </c:manualLayout>
              </c:layout>
              <c:numFmt formatCode="General" sourceLinked="0"/>
              <c:spPr>
                <a:noFill/>
                <a:ln>
                  <a:noFill/>
                </a:ln>
                <a:effectLst/>
              </c:spPr>
              <c:txPr>
                <a:bodyPr rot="0" vert="horz"/>
                <a:lstStyle/>
                <a:p>
                  <a:pPr>
                    <a:defRPr/>
                  </a:pPr>
                  <a:endParaRPr lang="en-US"/>
                </a:p>
              </c:txPr>
            </c:trendlineLbl>
          </c:trendline>
          <c:xVal>
            <c:numRef>
              <c:f>'[1]Phenol leaf'!$AI$9:$AI$19</c:f>
              <c:numCache>
                <c:formatCode>General</c:formatCode>
                <c:ptCount val="11"/>
                <c:pt idx="0">
                  <c:v>0</c:v>
                </c:pt>
                <c:pt idx="1">
                  <c:v>30</c:v>
                </c:pt>
                <c:pt idx="2">
                  <c:v>60</c:v>
                </c:pt>
                <c:pt idx="3">
                  <c:v>90</c:v>
                </c:pt>
                <c:pt idx="4">
                  <c:v>120</c:v>
                </c:pt>
                <c:pt idx="5">
                  <c:v>150</c:v>
                </c:pt>
                <c:pt idx="6">
                  <c:v>180</c:v>
                </c:pt>
                <c:pt idx="7">
                  <c:v>210</c:v>
                </c:pt>
                <c:pt idx="8">
                  <c:v>240</c:v>
                </c:pt>
                <c:pt idx="9">
                  <c:v>270</c:v>
                </c:pt>
                <c:pt idx="10">
                  <c:v>300</c:v>
                </c:pt>
              </c:numCache>
            </c:numRef>
          </c:xVal>
          <c:yVal>
            <c:numRef>
              <c:f>'[1]Phenol leaf'!$AJ$9:$AJ$19</c:f>
              <c:numCache>
                <c:formatCode>General</c:formatCode>
                <c:ptCount val="11"/>
                <c:pt idx="0">
                  <c:v>0</c:v>
                </c:pt>
                <c:pt idx="1">
                  <c:v>4.1000000000000002E-2</c:v>
                </c:pt>
                <c:pt idx="2">
                  <c:v>9.1999999999999998E-2</c:v>
                </c:pt>
                <c:pt idx="3">
                  <c:v>0.13500000000000001</c:v>
                </c:pt>
                <c:pt idx="4">
                  <c:v>0.16700000000000001</c:v>
                </c:pt>
                <c:pt idx="5">
                  <c:v>0.218</c:v>
                </c:pt>
                <c:pt idx="6">
                  <c:v>0.26100000000000001</c:v>
                </c:pt>
                <c:pt idx="7">
                  <c:v>0.29799999999999999</c:v>
                </c:pt>
                <c:pt idx="8">
                  <c:v>0.32600000000000001</c:v>
                </c:pt>
                <c:pt idx="9">
                  <c:v>0.35699999999999998</c:v>
                </c:pt>
                <c:pt idx="10">
                  <c:v>0.38700000000000001</c:v>
                </c:pt>
              </c:numCache>
            </c:numRef>
          </c:yVal>
          <c:smooth val="0"/>
          <c:extLst>
            <c:ext xmlns:c16="http://schemas.microsoft.com/office/drawing/2014/chart" uri="{C3380CC4-5D6E-409C-BE32-E72D297353CC}">
              <c16:uniqueId val="{00000001-5AB6-4A81-98C0-BB6C24E3FBD0}"/>
            </c:ext>
          </c:extLst>
        </c:ser>
        <c:dLbls>
          <c:showLegendKey val="0"/>
          <c:showVal val="0"/>
          <c:showCatName val="0"/>
          <c:showSerName val="0"/>
          <c:showPercent val="0"/>
          <c:showBubbleSize val="0"/>
        </c:dLbls>
        <c:axId val="230252928"/>
        <c:axId val="230254848"/>
      </c:scatterChart>
      <c:valAx>
        <c:axId val="23025292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IN"/>
                  <a:t>Concentration catechol (µg ml-1)</a:t>
                </a:r>
              </a:p>
            </c:rich>
          </c:tx>
          <c:layout>
            <c:manualLayout>
              <c:xMode val="edge"/>
              <c:yMode val="edge"/>
              <c:x val="0.34279823720844071"/>
              <c:y val="0.8984897251794998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30254848"/>
        <c:crosses val="autoZero"/>
        <c:crossBetween val="midCat"/>
      </c:valAx>
      <c:valAx>
        <c:axId val="23025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IN"/>
                  <a:t>Absorbance at 750 nm</a:t>
                </a:r>
              </a:p>
            </c:rich>
          </c:tx>
          <c:layout>
            <c:manualLayout>
              <c:xMode val="edge"/>
              <c:yMode val="edge"/>
              <c:x val="2.3235550392099912E-2"/>
              <c:y val="0.2462942998676291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23025292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0.01334</cdr:x>
      <cdr:y>0.22842</cdr:y>
    </cdr:from>
    <cdr:to>
      <cdr:x>0.02429</cdr:x>
      <cdr:y>0.47761</cdr:y>
    </cdr:to>
    <cdr:sp macro="" textlink="">
      <cdr:nvSpPr>
        <cdr:cNvPr id="2" name="Text Box 1"/>
        <cdr:cNvSpPr txBox="1"/>
      </cdr:nvSpPr>
      <cdr:spPr>
        <a:xfrm xmlns:a="http://schemas.openxmlformats.org/drawingml/2006/main">
          <a:off x="55659" y="524786"/>
          <a:ext cx="45719" cy="57249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N"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1137</Words>
  <Characters>6481</Characters>
  <Application>Microsoft Office Word</Application>
  <DocSecurity>0</DocSecurity>
  <Lines>54</Lines>
  <Paragraphs>15</Paragraphs>
  <ScaleCrop>false</ScaleCrop>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Rajendra Bhatt 52497</dc:creator>
  <cp:keywords/>
  <dc:description/>
  <cp:lastModifiedBy>Mr. Rajendra Bhatt 52497</cp:lastModifiedBy>
  <cp:revision>20</cp:revision>
  <dcterms:created xsi:type="dcterms:W3CDTF">2025-04-06T17:24:00Z</dcterms:created>
  <dcterms:modified xsi:type="dcterms:W3CDTF">2025-04-20T06:09:00Z</dcterms:modified>
</cp:coreProperties>
</file>