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E5BEB" w14:textId="77777777" w:rsidR="0008129E" w:rsidRDefault="0008129E" w:rsidP="0008129E">
      <w:pPr>
        <w:spacing w:line="480" w:lineRule="auto"/>
        <w:rPr>
          <w:rFonts w:eastAsia="Trebuchet MS" w:cs="Trebuchet MS"/>
          <w:b/>
          <w:bCs/>
          <w:sz w:val="22"/>
        </w:rPr>
      </w:pPr>
      <w:r w:rsidRPr="5A608EA9">
        <w:rPr>
          <w:rFonts w:eastAsia="Trebuchet MS" w:cs="Trebuchet MS"/>
          <w:b/>
          <w:bCs/>
          <w:sz w:val="22"/>
        </w:rPr>
        <w:t>Supplementary:</w:t>
      </w:r>
    </w:p>
    <w:p w14:paraId="2C09230F" w14:textId="77777777" w:rsidR="0008129E" w:rsidRDefault="0008129E" w:rsidP="0008129E">
      <w:pPr>
        <w:spacing w:line="480" w:lineRule="auto"/>
        <w:rPr>
          <w:rFonts w:eastAsia="Trebuchet MS" w:cs="Trebuchet MS"/>
          <w:sz w:val="22"/>
        </w:rPr>
      </w:pPr>
      <w:r w:rsidRPr="3F263660">
        <w:rPr>
          <w:rFonts w:eastAsia="Trebuchet MS" w:cs="Trebuchet MS"/>
          <w:sz w:val="22"/>
        </w:rPr>
        <w:t>Supplementary Figure 1: D</w:t>
      </w:r>
      <w:r w:rsidRPr="3F263660">
        <w:rPr>
          <w:rFonts w:eastAsia="Trebuchet MS" w:cs="Trebuchet MS"/>
          <w:color w:val="000000" w:themeColor="text1"/>
          <w:sz w:val="22"/>
        </w:rPr>
        <w:t>ata cleansing process of records of the pharmaceutical form intramammaries reported by veterinarians.</w:t>
      </w:r>
    </w:p>
    <w:p w14:paraId="7592C45F"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t>Supplementary Figure 1.xlsx</w:t>
      </w:r>
    </w:p>
    <w:p w14:paraId="1A846D1F" w14:textId="77777777" w:rsidR="0008129E" w:rsidRDefault="0008129E" w:rsidP="0008129E">
      <w:pPr>
        <w:spacing w:line="480" w:lineRule="auto"/>
        <w:rPr>
          <w:rFonts w:eastAsia="Trebuchet MS" w:cs="Trebuchet MS"/>
          <w:sz w:val="18"/>
          <w:szCs w:val="18"/>
        </w:rPr>
      </w:pPr>
      <w:r w:rsidRPr="3F263660">
        <w:rPr>
          <w:rFonts w:eastAsia="Trebuchet MS" w:cs="Trebuchet MS"/>
          <w:color w:val="000000" w:themeColor="text1"/>
          <w:sz w:val="18"/>
          <w:szCs w:val="18"/>
          <w:lang w:val="en-GB"/>
        </w:rPr>
        <w:t>The data is split in two depending on whether the product contained only one active substance. Thereafter the data cleansing depends on the combination of unit for reported use and unit for pack size. At the end, the data cleansing methods are presented in a hierarchy. For each method the outcomes are presented; change of unit for reported use, change of data cleansing method or exclusion of data. The following abbrev</w:t>
      </w:r>
      <w:r w:rsidRPr="3F263660">
        <w:rPr>
          <w:rFonts w:eastAsia="Trebuchet MS" w:cs="Trebuchet MS"/>
          <w:color w:val="0078D4"/>
          <w:sz w:val="18"/>
          <w:szCs w:val="18"/>
          <w:u w:val="single"/>
          <w:lang w:val="en-GB"/>
        </w:rPr>
        <w:t>i</w:t>
      </w:r>
      <w:r w:rsidRPr="3F263660">
        <w:rPr>
          <w:rFonts w:eastAsia="Trebuchet MS" w:cs="Trebuchet MS"/>
          <w:color w:val="000000" w:themeColor="text1"/>
          <w:sz w:val="18"/>
          <w:szCs w:val="18"/>
          <w:lang w:val="en-GB"/>
        </w:rPr>
        <w:t>ations are used in this figure: APL: Number of applicators dosed per animal. QT: Quantity of medicinal product reported dosed per animal. ST: Amount of active substance (in mg) per injection. cut-off: Set maximum amount of product presentation that is believed to be correct.</w:t>
      </w:r>
    </w:p>
    <w:p w14:paraId="655AF46F" w14:textId="77777777" w:rsidR="0008129E" w:rsidRDefault="0008129E" w:rsidP="0008129E">
      <w:pPr>
        <w:spacing w:line="480" w:lineRule="auto"/>
        <w:rPr>
          <w:rFonts w:eastAsia="Trebuchet MS" w:cs="Trebuchet MS"/>
          <w:color w:val="000000" w:themeColor="text1"/>
          <w:sz w:val="22"/>
          <w:lang w:val="en-GB"/>
        </w:rPr>
      </w:pPr>
    </w:p>
    <w:p w14:paraId="6D602CAC" w14:textId="77777777" w:rsidR="0008129E" w:rsidRDefault="0008129E" w:rsidP="0008129E">
      <w:pPr>
        <w:spacing w:line="480" w:lineRule="auto"/>
        <w:rPr>
          <w:rFonts w:eastAsia="Trebuchet MS" w:cs="Trebuchet MS"/>
          <w:sz w:val="22"/>
        </w:rPr>
      </w:pPr>
      <w:r w:rsidRPr="3F263660">
        <w:rPr>
          <w:rFonts w:eastAsia="Trebuchet MS" w:cs="Trebuchet MS"/>
          <w:color w:val="000000" w:themeColor="text1"/>
          <w:sz w:val="22"/>
        </w:rPr>
        <w:t>Supplementary Table 1: All variable names in VetReg as provided by the Norwegian Food Safety Authority.</w:t>
      </w:r>
    </w:p>
    <w:p w14:paraId="1D9EC756"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t>Supplementary Table 1.xlsx</w:t>
      </w:r>
    </w:p>
    <w:p w14:paraId="6F51E3AA" w14:textId="77777777" w:rsidR="0008129E" w:rsidRDefault="0008129E" w:rsidP="0008129E">
      <w:pPr>
        <w:spacing w:line="480" w:lineRule="auto"/>
        <w:rPr>
          <w:rFonts w:eastAsia="Trebuchet MS" w:cs="Trebuchet MS"/>
          <w:sz w:val="22"/>
        </w:rPr>
      </w:pPr>
      <w:r w:rsidRPr="37DF8671">
        <w:rPr>
          <w:rFonts w:eastAsia="Trebuchet MS" w:cs="Trebuchet MS"/>
          <w:color w:val="000000" w:themeColor="text1"/>
          <w:sz w:val="18"/>
          <w:szCs w:val="18"/>
        </w:rPr>
        <w:t>The table includes the name of the variables in English, an explanation of each variable and a list of what each variable was used for in this study.</w:t>
      </w:r>
      <w:r w:rsidRPr="37DF8671">
        <w:rPr>
          <w:rFonts w:eastAsia="Trebuchet MS" w:cs="Trebuchet MS"/>
          <w:color w:val="000000" w:themeColor="text1"/>
          <w:sz w:val="22"/>
        </w:rPr>
        <w:t xml:space="preserve"> </w:t>
      </w:r>
      <w:r w:rsidRPr="37DF8671">
        <w:rPr>
          <w:rFonts w:eastAsia="Trebuchet MS" w:cs="Trebuchet MS"/>
          <w:sz w:val="22"/>
        </w:rPr>
        <w:t xml:space="preserve"> </w:t>
      </w:r>
    </w:p>
    <w:p w14:paraId="3397DE27" w14:textId="77777777" w:rsidR="0008129E" w:rsidRDefault="0008129E" w:rsidP="0008129E">
      <w:pPr>
        <w:spacing w:line="480" w:lineRule="auto"/>
        <w:rPr>
          <w:rFonts w:eastAsia="Trebuchet MS" w:cs="Trebuchet MS"/>
          <w:sz w:val="22"/>
        </w:rPr>
      </w:pPr>
    </w:p>
    <w:p w14:paraId="64325F7F" w14:textId="77777777" w:rsidR="0008129E" w:rsidRDefault="0008129E" w:rsidP="0008129E">
      <w:pPr>
        <w:spacing w:line="480" w:lineRule="auto"/>
        <w:rPr>
          <w:rFonts w:eastAsia="Trebuchet MS" w:cs="Trebuchet MS"/>
          <w:sz w:val="22"/>
        </w:rPr>
      </w:pPr>
      <w:r w:rsidRPr="3F263660">
        <w:rPr>
          <w:rFonts w:eastAsia="Trebuchet MS" w:cs="Trebuchet MS"/>
          <w:sz w:val="22"/>
        </w:rPr>
        <w:t>Supplementary Table 2: S</w:t>
      </w:r>
      <w:r w:rsidRPr="3F263660">
        <w:rPr>
          <w:rFonts w:eastAsia="Trebuchet MS" w:cs="Trebuchet MS"/>
          <w:color w:val="000000" w:themeColor="text1"/>
          <w:sz w:val="22"/>
        </w:rPr>
        <w:t>pecies or categories of species for which antibiotic use data is to be reported to EU in each step, as described in the delegating regulation (EU 2021/578).</w:t>
      </w:r>
    </w:p>
    <w:p w14:paraId="7B868976"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t>Supplementary Table 2.xlsx</w:t>
      </w:r>
    </w:p>
    <w:p w14:paraId="73547D82" w14:textId="77777777" w:rsidR="0008129E" w:rsidRDefault="0008129E" w:rsidP="0008129E">
      <w:pPr>
        <w:spacing w:line="480" w:lineRule="auto"/>
        <w:rPr>
          <w:rFonts w:eastAsia="Trebuchet MS" w:cs="Trebuchet MS"/>
          <w:color w:val="000000" w:themeColor="text1"/>
          <w:sz w:val="22"/>
        </w:rPr>
      </w:pPr>
    </w:p>
    <w:p w14:paraId="0B5FD7FF" w14:textId="77777777" w:rsidR="0008129E" w:rsidRDefault="0008129E" w:rsidP="0008129E">
      <w:pPr>
        <w:spacing w:line="480" w:lineRule="auto"/>
        <w:rPr>
          <w:rFonts w:eastAsia="Trebuchet MS" w:cs="Trebuchet MS"/>
          <w:sz w:val="22"/>
        </w:rPr>
      </w:pPr>
      <w:r w:rsidRPr="3F263660">
        <w:rPr>
          <w:rFonts w:eastAsia="Trebuchet MS" w:cs="Trebuchet MS"/>
          <w:sz w:val="22"/>
        </w:rPr>
        <w:t>Supplementary Table 3: D</w:t>
      </w:r>
      <w:r w:rsidRPr="3F263660">
        <w:rPr>
          <w:rFonts w:eastAsia="Trebuchet MS" w:cs="Trebuchet MS"/>
          <w:color w:val="000000" w:themeColor="text1"/>
          <w:sz w:val="22"/>
        </w:rPr>
        <w:t>ifferent entries of the variable “animal category” in VetReg.</w:t>
      </w:r>
    </w:p>
    <w:p w14:paraId="76EDF72C" w14:textId="77777777" w:rsidR="0008129E" w:rsidRDefault="0008129E" w:rsidP="0008129E">
      <w:pPr>
        <w:spacing w:line="480" w:lineRule="auto"/>
        <w:rPr>
          <w:rFonts w:eastAsia="Trebuchet MS" w:cs="Trebuchet MS"/>
          <w:sz w:val="22"/>
        </w:rPr>
      </w:pPr>
      <w:r w:rsidRPr="3F263660">
        <w:rPr>
          <w:rFonts w:eastAsia="Trebuchet MS" w:cs="Trebuchet MS"/>
          <w:sz w:val="22"/>
        </w:rPr>
        <w:t>Supplementary Table 3.xlsx</w:t>
      </w:r>
    </w:p>
    <w:p w14:paraId="22305344" w14:textId="77777777" w:rsidR="0008129E" w:rsidRDefault="0008129E" w:rsidP="0008129E">
      <w:pPr>
        <w:spacing w:line="480" w:lineRule="auto"/>
        <w:rPr>
          <w:rFonts w:eastAsia="Trebuchet MS" w:cs="Trebuchet MS"/>
          <w:sz w:val="18"/>
          <w:szCs w:val="18"/>
        </w:rPr>
      </w:pPr>
      <w:r w:rsidRPr="37DF8671">
        <w:rPr>
          <w:rFonts w:eastAsia="Trebuchet MS" w:cs="Trebuchet MS"/>
          <w:color w:val="000000" w:themeColor="text1"/>
          <w:sz w:val="18"/>
          <w:szCs w:val="18"/>
        </w:rPr>
        <w:lastRenderedPageBreak/>
        <w:t>The table also shows their corresponding English terms, whether or not they were relevant for the reporting of 2023-data to EU and if they were included in the dataset for completeness evaluation.</w:t>
      </w:r>
    </w:p>
    <w:p w14:paraId="32F709FB" w14:textId="77777777" w:rsidR="0008129E" w:rsidRDefault="0008129E" w:rsidP="0008129E">
      <w:pPr>
        <w:spacing w:line="480" w:lineRule="auto"/>
        <w:rPr>
          <w:rFonts w:eastAsia="Trebuchet MS" w:cs="Trebuchet MS"/>
          <w:color w:val="000000" w:themeColor="text1"/>
          <w:sz w:val="22"/>
        </w:rPr>
      </w:pPr>
    </w:p>
    <w:p w14:paraId="4A46B774"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t>Supplementary Table 4: Calculation rules for pharmaceutical form: intramammary</w:t>
      </w:r>
    </w:p>
    <w:p w14:paraId="15F8ABBE"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t>Supplementary Table 4.xlsx</w:t>
      </w:r>
    </w:p>
    <w:p w14:paraId="7FE16040" w14:textId="77777777" w:rsidR="0008129E" w:rsidRDefault="0008129E" w:rsidP="0008129E">
      <w:pPr>
        <w:spacing w:line="480" w:lineRule="auto"/>
        <w:rPr>
          <w:rFonts w:eastAsia="Trebuchet MS" w:cs="Trebuchet MS"/>
          <w:sz w:val="18"/>
          <w:szCs w:val="18"/>
        </w:rPr>
      </w:pPr>
      <w:r w:rsidRPr="37DF8671">
        <w:rPr>
          <w:rFonts w:eastAsia="Trebuchet MS" w:cs="Trebuchet MS"/>
          <w:color w:val="000000" w:themeColor="text1"/>
          <w:sz w:val="18"/>
          <w:szCs w:val="18"/>
        </w:rPr>
        <w:t>The table shows calculation of the reported use per record into number of applicators per animal, number of packages and amount of active substance(s) in kg for pharmaceutical form Intramammary. The calculation rules depend on the combination of reporting unit used by the veterinarians and unit for package. The Norwegian terms “spr” and “sprøyte” are used for “applicators” in VetReg.</w:t>
      </w:r>
    </w:p>
    <w:p w14:paraId="04367B5A" w14:textId="77777777" w:rsidR="0008129E" w:rsidRDefault="0008129E" w:rsidP="0008129E">
      <w:pPr>
        <w:spacing w:line="480" w:lineRule="auto"/>
        <w:rPr>
          <w:rFonts w:eastAsia="Trebuchet MS" w:cs="Trebuchet MS"/>
          <w:color w:val="000000" w:themeColor="text1"/>
          <w:sz w:val="22"/>
        </w:rPr>
      </w:pPr>
    </w:p>
    <w:p w14:paraId="3926E82A" w14:textId="77777777" w:rsidR="0008129E" w:rsidRDefault="0008129E" w:rsidP="0008129E">
      <w:pPr>
        <w:spacing w:line="480" w:lineRule="auto"/>
        <w:rPr>
          <w:rFonts w:eastAsia="Trebuchet MS" w:cs="Trebuchet MS"/>
          <w:sz w:val="22"/>
        </w:rPr>
      </w:pPr>
      <w:r w:rsidRPr="3F263660">
        <w:rPr>
          <w:rFonts w:eastAsia="Trebuchet MS" w:cs="Trebuchet MS"/>
          <w:color w:val="000000" w:themeColor="text1"/>
          <w:sz w:val="22"/>
        </w:rPr>
        <w:t>Supplementary Table 5: Amount of product in one applicator and the corresponding cut-off for each Nordic article number for intramammaries.</w:t>
      </w:r>
    </w:p>
    <w:p w14:paraId="24A55D24"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t>Supplementary Table 5.xlsx</w:t>
      </w:r>
    </w:p>
    <w:p w14:paraId="76F2E54C" w14:textId="77777777" w:rsidR="0008129E" w:rsidRDefault="0008129E" w:rsidP="0008129E">
      <w:pPr>
        <w:spacing w:line="480" w:lineRule="auto"/>
        <w:rPr>
          <w:rFonts w:eastAsia="Trebuchet MS" w:cs="Trebuchet MS"/>
          <w:sz w:val="18"/>
          <w:szCs w:val="18"/>
        </w:rPr>
      </w:pPr>
      <w:r w:rsidRPr="37DF8671">
        <w:rPr>
          <w:rFonts w:eastAsia="Trebuchet MS" w:cs="Trebuchet MS"/>
          <w:color w:val="000000" w:themeColor="text1"/>
          <w:sz w:val="18"/>
          <w:szCs w:val="18"/>
        </w:rPr>
        <w:t>This table is for all intramammaries reported used in VetReg in 2023. Cut-offs, in maximum number of applicators used for one cow for what is assumed to be correctly reported use, are also given per Nordic article number in the table.</w:t>
      </w:r>
    </w:p>
    <w:p w14:paraId="5F538FCA" w14:textId="77777777" w:rsidR="0008129E" w:rsidRDefault="0008129E" w:rsidP="0008129E">
      <w:pPr>
        <w:spacing w:line="480" w:lineRule="auto"/>
        <w:rPr>
          <w:rFonts w:eastAsia="Trebuchet MS" w:cs="Trebuchet MS"/>
          <w:color w:val="000000" w:themeColor="text1"/>
          <w:sz w:val="22"/>
        </w:rPr>
      </w:pPr>
    </w:p>
    <w:p w14:paraId="23C029E7"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t>Supplementary Table 6A: Calculation rules for all other pharmaceutical forms except intramammaries.</w:t>
      </w:r>
    </w:p>
    <w:p w14:paraId="1E143D84"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t>Supplementary Table 6A.xlsx</w:t>
      </w:r>
    </w:p>
    <w:p w14:paraId="0988A615" w14:textId="77777777" w:rsidR="0008129E" w:rsidRDefault="0008129E" w:rsidP="0008129E">
      <w:pPr>
        <w:spacing w:line="480" w:lineRule="auto"/>
        <w:rPr>
          <w:rFonts w:eastAsia="Trebuchet MS" w:cs="Trebuchet MS"/>
          <w:color w:val="000000" w:themeColor="text1"/>
          <w:sz w:val="18"/>
          <w:szCs w:val="18"/>
        </w:rPr>
      </w:pPr>
      <w:r w:rsidRPr="281E36E1">
        <w:rPr>
          <w:rFonts w:eastAsia="Trebuchet MS" w:cs="Trebuchet MS"/>
          <w:color w:val="000000" w:themeColor="text1"/>
          <w:sz w:val="18"/>
          <w:szCs w:val="18"/>
        </w:rPr>
        <w:t xml:space="preserve">This table shows for records of use of pharmaceutical forms other than intramammaries, rules on how the reported use is calculated per record into number of packages and amount of active substance(s) in kg. The calculation rules are, if relevant, split in two depending on whether the strength is given per milligram or per gram. The cases in which each rule is applied are given in Supplementary table 6B.  </w:t>
      </w:r>
    </w:p>
    <w:p w14:paraId="5A581EC9" w14:textId="77777777" w:rsidR="0008129E" w:rsidRDefault="0008129E" w:rsidP="0008129E">
      <w:pPr>
        <w:spacing w:line="480" w:lineRule="auto"/>
        <w:rPr>
          <w:rFonts w:eastAsia="Trebuchet MS" w:cs="Trebuchet MS"/>
          <w:color w:val="000000" w:themeColor="text1"/>
          <w:sz w:val="22"/>
        </w:rPr>
      </w:pPr>
    </w:p>
    <w:p w14:paraId="01A1F6D7" w14:textId="77777777" w:rsidR="0008129E" w:rsidRDefault="0008129E" w:rsidP="0008129E">
      <w:pPr>
        <w:spacing w:line="480" w:lineRule="auto"/>
        <w:rPr>
          <w:rFonts w:eastAsia="Trebuchet MS" w:cs="Trebuchet MS"/>
          <w:sz w:val="22"/>
        </w:rPr>
      </w:pPr>
      <w:r w:rsidRPr="3F263660">
        <w:rPr>
          <w:rFonts w:eastAsia="Trebuchet MS" w:cs="Trebuchet MS"/>
          <w:color w:val="000000" w:themeColor="text1"/>
          <w:sz w:val="22"/>
        </w:rPr>
        <w:lastRenderedPageBreak/>
        <w:t>Supplementary Table 6B: Calculation rules for calculating number of packages and amount of active substances in kg.</w:t>
      </w:r>
    </w:p>
    <w:p w14:paraId="3D874636"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t>Supplementary Table 6B.xlsx</w:t>
      </w:r>
    </w:p>
    <w:p w14:paraId="099D50A0"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18"/>
          <w:szCs w:val="18"/>
        </w:rPr>
        <w:t xml:space="preserve">The table shows calculation rules applied when calculating number of packages and amount of active substances in kg for each combination of pharmaceutical form, reporting unit used by veterinarians, unit for the package size and unit for the strength denominator for the active substance. The calculation rules are presented in Supplementary table 6A. </w:t>
      </w:r>
      <w:r w:rsidRPr="3F263660">
        <w:rPr>
          <w:rFonts w:eastAsia="Trebuchet MS" w:cs="Trebuchet MS"/>
          <w:color w:val="000000" w:themeColor="text1"/>
          <w:sz w:val="22"/>
        </w:rPr>
        <w:t xml:space="preserve"> </w:t>
      </w:r>
    </w:p>
    <w:p w14:paraId="732AC23E" w14:textId="77777777" w:rsidR="0008129E" w:rsidRDefault="0008129E" w:rsidP="0008129E">
      <w:pPr>
        <w:spacing w:line="480" w:lineRule="auto"/>
        <w:rPr>
          <w:rFonts w:eastAsia="Trebuchet MS" w:cs="Trebuchet MS"/>
          <w:color w:val="000000" w:themeColor="text1"/>
          <w:sz w:val="22"/>
        </w:rPr>
      </w:pPr>
    </w:p>
    <w:p w14:paraId="4A6AC699"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t xml:space="preserve">Supplementary Table 7: Conversion factors used to convert the strength given per derivative into strength per active substance. </w:t>
      </w:r>
    </w:p>
    <w:p w14:paraId="7D51C201"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t>Supplementary Table 7.xlsx</w:t>
      </w:r>
    </w:p>
    <w:p w14:paraId="448CAC2E" w14:textId="77777777" w:rsidR="0008129E" w:rsidRDefault="0008129E" w:rsidP="0008129E">
      <w:pPr>
        <w:spacing w:line="480" w:lineRule="auto"/>
        <w:rPr>
          <w:rFonts w:eastAsia="Trebuchet MS" w:cs="Trebuchet MS"/>
          <w:color w:val="000000" w:themeColor="text1"/>
          <w:sz w:val="18"/>
          <w:szCs w:val="18"/>
        </w:rPr>
      </w:pPr>
      <w:r w:rsidRPr="37DF8671">
        <w:rPr>
          <w:rFonts w:eastAsia="Trebuchet MS" w:cs="Trebuchet MS"/>
          <w:color w:val="000000" w:themeColor="text1"/>
          <w:sz w:val="18"/>
          <w:szCs w:val="18"/>
        </w:rPr>
        <w:t>This table includes all the conversion factors used to convert the strength given per derivative into strength per active substance as per the European Medicines Agency’s Antimicrobial Sales and Use (ASU) technical implementation protocol per 29 January 2024, Annex 3. This figure includes the Norwegian names for the derivatives and the active drug molecules, as given in VetReg.</w:t>
      </w:r>
    </w:p>
    <w:p w14:paraId="63B63873" w14:textId="77777777" w:rsidR="0008129E" w:rsidRDefault="0008129E" w:rsidP="0008129E">
      <w:pPr>
        <w:spacing w:line="480" w:lineRule="auto"/>
        <w:rPr>
          <w:rFonts w:eastAsia="Trebuchet MS" w:cs="Trebuchet MS"/>
          <w:color w:val="000000" w:themeColor="text1"/>
          <w:sz w:val="22"/>
        </w:rPr>
      </w:pPr>
    </w:p>
    <w:p w14:paraId="60A08884" w14:textId="77777777" w:rsidR="0008129E" w:rsidRDefault="0008129E" w:rsidP="0008129E">
      <w:pPr>
        <w:spacing w:line="480" w:lineRule="auto"/>
        <w:rPr>
          <w:rFonts w:eastAsia="Trebuchet MS" w:cs="Trebuchet MS"/>
          <w:sz w:val="22"/>
        </w:rPr>
      </w:pPr>
      <w:r w:rsidRPr="3F263660">
        <w:rPr>
          <w:rFonts w:eastAsia="Trebuchet MS" w:cs="Trebuchet MS"/>
          <w:color w:val="000000" w:themeColor="text1"/>
          <w:sz w:val="22"/>
        </w:rPr>
        <w:t>Supplementary Table 8: Cut-offs in “ml” for pigs, cattle, sheep and goats, for pharmaceutical form: Injections</w:t>
      </w:r>
    </w:p>
    <w:p w14:paraId="09A209A5"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t>Supplementary Table 8.xlsx</w:t>
      </w:r>
    </w:p>
    <w:p w14:paraId="2858C2AE" w14:textId="77777777" w:rsidR="0008129E" w:rsidRDefault="0008129E" w:rsidP="0008129E">
      <w:pPr>
        <w:spacing w:line="480" w:lineRule="auto"/>
        <w:rPr>
          <w:rFonts w:eastAsia="Trebuchet MS" w:cs="Trebuchet MS"/>
          <w:color w:val="000000" w:themeColor="text1"/>
          <w:sz w:val="18"/>
          <w:szCs w:val="18"/>
        </w:rPr>
      </w:pPr>
      <w:r w:rsidRPr="3F263660">
        <w:rPr>
          <w:rFonts w:eastAsia="Trebuchet MS" w:cs="Trebuchet MS"/>
          <w:color w:val="000000" w:themeColor="text1"/>
          <w:sz w:val="18"/>
          <w:szCs w:val="18"/>
        </w:rPr>
        <w:t xml:space="preserve">The table is for all injection VMP within the scope of this study reported used in VetReg in 2023. Cut-offs in maximum milliliter of VMP used for one animal of the specie cattle, pigs, sheep or goats, assumed to be correctly reported use. The table provides the Nordic article number, the name of the VMP, the species and the cut-off in milliliter. </w:t>
      </w:r>
    </w:p>
    <w:p w14:paraId="7031487A" w14:textId="77777777" w:rsidR="0008129E" w:rsidRDefault="0008129E" w:rsidP="0008129E">
      <w:pPr>
        <w:spacing w:line="480" w:lineRule="auto"/>
        <w:rPr>
          <w:rFonts w:eastAsia="Trebuchet MS" w:cs="Trebuchet MS"/>
          <w:color w:val="000000" w:themeColor="text1"/>
          <w:sz w:val="22"/>
        </w:rPr>
      </w:pPr>
    </w:p>
    <w:p w14:paraId="2DB66429" w14:textId="77777777" w:rsidR="0008129E" w:rsidRDefault="0008129E" w:rsidP="0008129E">
      <w:pPr>
        <w:spacing w:line="480" w:lineRule="auto"/>
        <w:rPr>
          <w:rFonts w:eastAsia="Trebuchet MS" w:cs="Trebuchet MS"/>
          <w:sz w:val="22"/>
        </w:rPr>
      </w:pPr>
      <w:r w:rsidRPr="3F263660">
        <w:rPr>
          <w:rFonts w:eastAsia="Trebuchet MS" w:cs="Trebuchet MS"/>
          <w:color w:val="000000" w:themeColor="text1"/>
          <w:sz w:val="22"/>
        </w:rPr>
        <w:t>Supplementary Table 9: Completeness evaluation as percent reported use compared to sales per product presentation.</w:t>
      </w:r>
    </w:p>
    <w:p w14:paraId="492D4BD7"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lastRenderedPageBreak/>
        <w:t>Supplementary Table 9.xlsx</w:t>
      </w:r>
    </w:p>
    <w:p w14:paraId="69C353DD" w14:textId="77777777" w:rsidR="0008129E" w:rsidRDefault="0008129E" w:rsidP="0008129E">
      <w:pPr>
        <w:spacing w:line="480" w:lineRule="auto"/>
        <w:rPr>
          <w:rFonts w:eastAsia="Trebuchet MS" w:cs="Trebuchet MS"/>
          <w:color w:val="000000" w:themeColor="text1"/>
          <w:sz w:val="18"/>
          <w:szCs w:val="18"/>
        </w:rPr>
      </w:pPr>
      <w:r w:rsidRPr="3F263660">
        <w:rPr>
          <w:rFonts w:eastAsia="Trebuchet MS" w:cs="Trebuchet MS"/>
          <w:color w:val="000000" w:themeColor="text1"/>
          <w:sz w:val="18"/>
          <w:szCs w:val="18"/>
        </w:rPr>
        <w:t>The completeness applies for data to be reported to EU (use reported by veterinarians and pharmacies dispensing of prescriptions to animal owners of products used for cattle, pigs. chicken and turkeys).</w:t>
      </w:r>
    </w:p>
    <w:p w14:paraId="0575408C" w14:textId="77777777" w:rsidR="0008129E" w:rsidRDefault="0008129E" w:rsidP="0008129E">
      <w:pPr>
        <w:spacing w:line="480" w:lineRule="auto"/>
        <w:rPr>
          <w:rFonts w:eastAsia="Trebuchet MS" w:cs="Trebuchet MS"/>
          <w:sz w:val="22"/>
        </w:rPr>
      </w:pPr>
      <w:r w:rsidRPr="3F263660">
        <w:rPr>
          <w:rFonts w:eastAsia="Trebuchet MS" w:cs="Trebuchet MS"/>
          <w:color w:val="000000" w:themeColor="text1"/>
          <w:sz w:val="22"/>
        </w:rPr>
        <w:t>Supplementary Table 10: C</w:t>
      </w:r>
      <w:r w:rsidRPr="3F263660">
        <w:rPr>
          <w:rFonts w:eastAsia="Trebuchet MS" w:cs="Trebuchet MS"/>
          <w:color w:val="000000" w:themeColor="text1"/>
          <w:sz w:val="22"/>
          <w:lang w:val="en-GB"/>
        </w:rPr>
        <w:t>ompleteness evaluation as percent reported use compared to sales per product presentation for records reported by pharmacies</w:t>
      </w:r>
    </w:p>
    <w:p w14:paraId="7E39E69D" w14:textId="77777777" w:rsidR="0008129E" w:rsidRDefault="0008129E" w:rsidP="0008129E">
      <w:pPr>
        <w:spacing w:line="480" w:lineRule="auto"/>
        <w:rPr>
          <w:rFonts w:eastAsia="Trebuchet MS" w:cs="Trebuchet MS"/>
          <w:color w:val="000000" w:themeColor="text1"/>
          <w:sz w:val="22"/>
        </w:rPr>
      </w:pPr>
      <w:r w:rsidRPr="3F263660">
        <w:rPr>
          <w:rFonts w:eastAsia="Trebuchet MS" w:cs="Trebuchet MS"/>
          <w:color w:val="000000" w:themeColor="text1"/>
          <w:sz w:val="22"/>
        </w:rPr>
        <w:t>Supplementary Table 10.xlsx</w:t>
      </w:r>
    </w:p>
    <w:p w14:paraId="0E51183D" w14:textId="77777777" w:rsidR="0008129E" w:rsidRPr="00317E81" w:rsidRDefault="0008129E" w:rsidP="0008129E">
      <w:pPr>
        <w:spacing w:line="480" w:lineRule="auto"/>
        <w:rPr>
          <w:rFonts w:eastAsia="Trebuchet MS" w:cs="Trebuchet MS"/>
          <w:sz w:val="18"/>
          <w:szCs w:val="18"/>
          <w:lang w:val="en-GB"/>
        </w:rPr>
      </w:pPr>
      <w:r w:rsidRPr="3F263660">
        <w:rPr>
          <w:rFonts w:eastAsia="Trebuchet MS" w:cs="Trebuchet MS"/>
          <w:color w:val="000000" w:themeColor="text1"/>
          <w:sz w:val="18"/>
          <w:szCs w:val="18"/>
          <w:lang w:val="en-GB"/>
        </w:rPr>
        <w:t>The completeness applies for records reported by pharmacies (pharmacies dispensing of prescriptions to animal owners or directly to veterinarians for the use in their practice) of products relevant to report the use to EU (products used for cattle, pigs. chicken and turkeys).</w:t>
      </w:r>
    </w:p>
    <w:p w14:paraId="73BC0301" w14:textId="77777777" w:rsidR="008C374B" w:rsidRDefault="008C374B"/>
    <w:sectPr w:rsidR="008C374B" w:rsidSect="0008129E">
      <w:headerReference w:type="default" r:id="rId4"/>
      <w:footerReference w:type="default" r:id="rId5"/>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E60EE7" w14:paraId="3814C426" w14:textId="77777777" w:rsidTr="5A608EA9">
      <w:trPr>
        <w:trHeight w:val="300"/>
      </w:trPr>
      <w:tc>
        <w:tcPr>
          <w:tcW w:w="3020" w:type="dxa"/>
        </w:tcPr>
        <w:p w14:paraId="252F6370" w14:textId="77777777" w:rsidR="00000000" w:rsidRDefault="00000000" w:rsidP="5A608EA9">
          <w:pPr>
            <w:pStyle w:val="Header"/>
            <w:ind w:left="-115"/>
          </w:pPr>
        </w:p>
      </w:tc>
      <w:tc>
        <w:tcPr>
          <w:tcW w:w="3020" w:type="dxa"/>
        </w:tcPr>
        <w:p w14:paraId="26067663" w14:textId="77777777" w:rsidR="00000000" w:rsidRDefault="00000000" w:rsidP="5A608EA9">
          <w:pPr>
            <w:pStyle w:val="Header"/>
            <w:jc w:val="center"/>
          </w:pPr>
        </w:p>
      </w:tc>
      <w:tc>
        <w:tcPr>
          <w:tcW w:w="3020" w:type="dxa"/>
        </w:tcPr>
        <w:p w14:paraId="60F87E5E" w14:textId="77777777" w:rsidR="00000000" w:rsidRDefault="00000000" w:rsidP="5A608EA9">
          <w:pPr>
            <w:pStyle w:val="Header"/>
            <w:ind w:right="-115"/>
            <w:jc w:val="right"/>
          </w:pPr>
        </w:p>
      </w:tc>
    </w:tr>
  </w:tbl>
  <w:p w14:paraId="0FB5C425" w14:textId="77777777" w:rsidR="00000000" w:rsidRDefault="00000000" w:rsidP="5A608EA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E60EE7" w14:paraId="7AA02775" w14:textId="77777777" w:rsidTr="5A608EA9">
      <w:trPr>
        <w:trHeight w:val="300"/>
      </w:trPr>
      <w:tc>
        <w:tcPr>
          <w:tcW w:w="3020" w:type="dxa"/>
        </w:tcPr>
        <w:p w14:paraId="581B91BC" w14:textId="77777777" w:rsidR="00000000" w:rsidRDefault="00000000" w:rsidP="5A608EA9">
          <w:pPr>
            <w:pStyle w:val="Header"/>
            <w:ind w:left="-115"/>
          </w:pPr>
        </w:p>
      </w:tc>
      <w:tc>
        <w:tcPr>
          <w:tcW w:w="3020" w:type="dxa"/>
        </w:tcPr>
        <w:p w14:paraId="34B2AE44" w14:textId="77777777" w:rsidR="00000000" w:rsidRDefault="00000000" w:rsidP="5A608EA9">
          <w:pPr>
            <w:pStyle w:val="Header"/>
            <w:jc w:val="center"/>
          </w:pPr>
        </w:p>
      </w:tc>
      <w:tc>
        <w:tcPr>
          <w:tcW w:w="3020" w:type="dxa"/>
        </w:tcPr>
        <w:p w14:paraId="45D43FCB" w14:textId="77777777" w:rsidR="00000000" w:rsidRDefault="00000000" w:rsidP="5A608EA9">
          <w:pPr>
            <w:pStyle w:val="Header"/>
            <w:ind w:right="-115"/>
            <w:jc w:val="right"/>
          </w:pPr>
        </w:p>
      </w:tc>
    </w:tr>
  </w:tbl>
  <w:p w14:paraId="6D16B61A" w14:textId="77777777" w:rsidR="00000000" w:rsidRDefault="00000000" w:rsidP="5A608E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9E"/>
    <w:rsid w:val="0008129E"/>
    <w:rsid w:val="002A5090"/>
    <w:rsid w:val="003F36CB"/>
    <w:rsid w:val="005C6F5D"/>
    <w:rsid w:val="008C374B"/>
    <w:rsid w:val="009043F5"/>
    <w:rsid w:val="00954821"/>
    <w:rsid w:val="00AF416B"/>
    <w:rsid w:val="00E459B1"/>
    <w:rsid w:val="00E910FB"/>
    <w:rsid w:val="00FD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498B9"/>
  <w15:chartTrackingRefBased/>
  <w15:docId w15:val="{63A8BB8A-5A68-4A67-824B-4CC21F44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9E"/>
    <w:rPr>
      <w:rFonts w:ascii="Trebuchet MS" w:hAnsi="Trebuchet MS"/>
      <w:kern w:val="0"/>
      <w:sz w:val="20"/>
      <w14:ligatures w14:val="none"/>
    </w:rPr>
  </w:style>
  <w:style w:type="paragraph" w:styleId="Heading1">
    <w:name w:val="heading 1"/>
    <w:basedOn w:val="Normal"/>
    <w:next w:val="Normal"/>
    <w:link w:val="Heading1Char"/>
    <w:uiPriority w:val="9"/>
    <w:qFormat/>
    <w:rsid w:val="0008129E"/>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8129E"/>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8129E"/>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8129E"/>
    <w:pPr>
      <w:keepNext/>
      <w:keepLines/>
      <w:spacing w:before="80" w:after="40"/>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08129E"/>
    <w:pPr>
      <w:keepNext/>
      <w:keepLines/>
      <w:spacing w:before="80" w:after="40"/>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08129E"/>
    <w:pPr>
      <w:keepNext/>
      <w:keepLines/>
      <w:spacing w:before="40" w:after="0"/>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08129E"/>
    <w:pPr>
      <w:keepNext/>
      <w:keepLines/>
      <w:spacing w:before="40" w:after="0"/>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08129E"/>
    <w:pPr>
      <w:keepNext/>
      <w:keepLines/>
      <w:spacing w:after="0"/>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08129E"/>
    <w:pPr>
      <w:keepNext/>
      <w:keepLines/>
      <w:spacing w:after="0"/>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29E"/>
    <w:rPr>
      <w:rFonts w:eastAsiaTheme="majorEastAsia" w:cstheme="majorBidi"/>
      <w:color w:val="272727" w:themeColor="text1" w:themeTint="D8"/>
    </w:rPr>
  </w:style>
  <w:style w:type="paragraph" w:styleId="Title">
    <w:name w:val="Title"/>
    <w:basedOn w:val="Normal"/>
    <w:next w:val="Normal"/>
    <w:link w:val="TitleChar"/>
    <w:uiPriority w:val="10"/>
    <w:qFormat/>
    <w:rsid w:val="0008129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81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29E"/>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81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129E"/>
    <w:pPr>
      <w:spacing w:before="160"/>
      <w:jc w:val="center"/>
    </w:pPr>
    <w:rPr>
      <w:rFonts w:asciiTheme="minorHAnsi" w:hAnsiTheme="minorHAns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08129E"/>
    <w:rPr>
      <w:i/>
      <w:iCs/>
      <w:color w:val="404040" w:themeColor="text1" w:themeTint="BF"/>
    </w:rPr>
  </w:style>
  <w:style w:type="paragraph" w:styleId="ListParagraph">
    <w:name w:val="List Paragraph"/>
    <w:basedOn w:val="Normal"/>
    <w:uiPriority w:val="34"/>
    <w:qFormat/>
    <w:rsid w:val="0008129E"/>
    <w:pPr>
      <w:ind w:left="720"/>
      <w:contextualSpacing/>
    </w:pPr>
    <w:rPr>
      <w:rFonts w:asciiTheme="minorHAnsi" w:hAnsiTheme="minorHAnsi"/>
      <w:kern w:val="2"/>
      <w:sz w:val="22"/>
      <w14:ligatures w14:val="standardContextual"/>
    </w:rPr>
  </w:style>
  <w:style w:type="character" w:styleId="IntenseEmphasis">
    <w:name w:val="Intense Emphasis"/>
    <w:basedOn w:val="DefaultParagraphFont"/>
    <w:uiPriority w:val="21"/>
    <w:qFormat/>
    <w:rsid w:val="0008129E"/>
    <w:rPr>
      <w:i/>
      <w:iCs/>
      <w:color w:val="0F4761" w:themeColor="accent1" w:themeShade="BF"/>
    </w:rPr>
  </w:style>
  <w:style w:type="paragraph" w:styleId="IntenseQuote">
    <w:name w:val="Intense Quote"/>
    <w:basedOn w:val="Normal"/>
    <w:next w:val="Normal"/>
    <w:link w:val="IntenseQuoteChar"/>
    <w:uiPriority w:val="30"/>
    <w:qFormat/>
    <w:rsid w:val="0008129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08129E"/>
    <w:rPr>
      <w:i/>
      <w:iCs/>
      <w:color w:val="0F4761" w:themeColor="accent1" w:themeShade="BF"/>
    </w:rPr>
  </w:style>
  <w:style w:type="character" w:styleId="IntenseReference">
    <w:name w:val="Intense Reference"/>
    <w:basedOn w:val="DefaultParagraphFont"/>
    <w:uiPriority w:val="32"/>
    <w:qFormat/>
    <w:rsid w:val="0008129E"/>
    <w:rPr>
      <w:b/>
      <w:bCs/>
      <w:smallCaps/>
      <w:color w:val="0F4761" w:themeColor="accent1" w:themeShade="BF"/>
      <w:spacing w:val="5"/>
    </w:rPr>
  </w:style>
  <w:style w:type="paragraph" w:styleId="Header">
    <w:name w:val="header"/>
    <w:basedOn w:val="Normal"/>
    <w:link w:val="HeaderChar"/>
    <w:uiPriority w:val="99"/>
    <w:unhideWhenUsed/>
    <w:rsid w:val="000812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8129E"/>
    <w:rPr>
      <w:rFonts w:ascii="Trebuchet MS" w:hAnsi="Trebuchet MS"/>
      <w:kern w:val="0"/>
      <w:sz w:val="20"/>
      <w14:ligatures w14:val="none"/>
    </w:rPr>
  </w:style>
  <w:style w:type="paragraph" w:styleId="Footer">
    <w:name w:val="footer"/>
    <w:basedOn w:val="Normal"/>
    <w:link w:val="FooterChar"/>
    <w:uiPriority w:val="99"/>
    <w:unhideWhenUsed/>
    <w:rsid w:val="000812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8129E"/>
    <w:rPr>
      <w:rFonts w:ascii="Trebuchet MS" w:hAnsi="Trebuchet MS"/>
      <w:kern w:val="0"/>
      <w:sz w:val="20"/>
      <w14:ligatures w14:val="none"/>
    </w:rPr>
  </w:style>
  <w:style w:type="character" w:styleId="LineNumber">
    <w:name w:val="line number"/>
    <w:basedOn w:val="DefaultParagraphFont"/>
    <w:uiPriority w:val="99"/>
    <w:semiHidden/>
    <w:unhideWhenUsed/>
    <w:rsid w:val="00081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811</Words>
  <Characters>4624</Characters>
  <Application>Microsoft Office Word</Application>
  <DocSecurity>0</DocSecurity>
  <Lines>38</Lines>
  <Paragraphs>10</Paragraphs>
  <ScaleCrop>false</ScaleCrop>
  <Company>Springer Nature</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2025-02-25T06:09:00Z</dcterms:created>
  <dcterms:modified xsi:type="dcterms:W3CDTF">2025-02-25T06:09:00Z</dcterms:modified>
</cp:coreProperties>
</file>