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1B467" w14:textId="260AD597" w:rsidR="002435DC" w:rsidRPr="00A56750" w:rsidRDefault="002435DC" w:rsidP="002435DC">
      <w:pPr>
        <w:spacing w:after="0" w:line="276" w:lineRule="auto"/>
        <w:jc w:val="both"/>
        <w:rPr>
          <w:rFonts w:ascii="Garamond" w:hAnsi="Garamond" w:cs="Times New Roman"/>
          <w:i/>
          <w:sz w:val="24"/>
          <w:szCs w:val="24"/>
        </w:rPr>
      </w:pPr>
      <w:r>
        <w:rPr>
          <w:noProof/>
          <w:lang w:eastAsia="en-IN"/>
        </w:rPr>
        <w:drawing>
          <wp:anchor distT="0" distB="180340" distL="114300" distR="114300" simplePos="0" relativeHeight="251660288" behindDoc="0" locked="0" layoutInCell="1" allowOverlap="1" wp14:anchorId="742A51A2" wp14:editId="07E573A2">
            <wp:simplePos x="0" y="0"/>
            <wp:positionH relativeFrom="margin">
              <wp:posOffset>447675</wp:posOffset>
            </wp:positionH>
            <wp:positionV relativeFrom="paragraph">
              <wp:posOffset>3299460</wp:posOffset>
            </wp:positionV>
            <wp:extent cx="4572000" cy="2932430"/>
            <wp:effectExtent l="0" t="0" r="0" b="1270"/>
            <wp:wrapTopAndBottom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71755" distL="114300" distR="114300" simplePos="0" relativeHeight="251659264" behindDoc="0" locked="0" layoutInCell="1" allowOverlap="1" wp14:anchorId="156495DB" wp14:editId="64A85D18">
            <wp:simplePos x="0" y="0"/>
            <wp:positionH relativeFrom="margin">
              <wp:posOffset>495300</wp:posOffset>
            </wp:positionH>
            <wp:positionV relativeFrom="paragraph">
              <wp:posOffset>0</wp:posOffset>
            </wp:positionV>
            <wp:extent cx="4572000" cy="3027600"/>
            <wp:effectExtent l="0" t="0" r="0" b="1905"/>
            <wp:wrapTopAndBottom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V relativeFrom="margin">
              <wp14:pctHeight>0</wp14:pctHeight>
            </wp14:sizeRelV>
          </wp:anchor>
        </w:drawing>
      </w:r>
    </w:p>
    <w:p w14:paraId="63913AC8" w14:textId="2F8D66F0" w:rsidR="002435DC" w:rsidRPr="007E3298" w:rsidRDefault="002435DC" w:rsidP="002435DC">
      <w:pPr>
        <w:spacing w:after="0" w:line="276" w:lineRule="auto"/>
        <w:jc w:val="both"/>
        <w:rPr>
          <w:rFonts w:ascii="Garamond" w:hAnsi="Garamond" w:cs="Times New Roman"/>
          <w:b/>
          <w:sz w:val="24"/>
          <w:szCs w:val="24"/>
        </w:rPr>
      </w:pPr>
    </w:p>
    <w:p w14:paraId="1048E7E8" w14:textId="1F211F2B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i/>
          <w:sz w:val="24"/>
          <w:szCs w:val="24"/>
        </w:rPr>
      </w:pPr>
      <w:r>
        <w:rPr>
          <w:noProof/>
          <w:lang w:eastAsia="en-IN"/>
        </w:rPr>
        <w:lastRenderedPageBreak/>
        <w:drawing>
          <wp:anchor distT="0" distB="180340" distL="114300" distR="114300" simplePos="0" relativeHeight="251661312" behindDoc="0" locked="0" layoutInCell="1" allowOverlap="1" wp14:anchorId="1DCC6DB4" wp14:editId="2A69AD7E">
            <wp:simplePos x="0" y="0"/>
            <wp:positionH relativeFrom="margin">
              <wp:posOffset>906145</wp:posOffset>
            </wp:positionH>
            <wp:positionV relativeFrom="paragraph">
              <wp:posOffset>2921000</wp:posOffset>
            </wp:positionV>
            <wp:extent cx="4716000" cy="3157200"/>
            <wp:effectExtent l="0" t="0" r="8890" b="5715"/>
            <wp:wrapTopAndBottom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114300" distR="114300" simplePos="0" relativeHeight="251664384" behindDoc="0" locked="0" layoutInCell="1" allowOverlap="1" wp14:anchorId="5E4A9B86" wp14:editId="03F1484D">
            <wp:simplePos x="0" y="0"/>
            <wp:positionH relativeFrom="margin">
              <wp:posOffset>561975</wp:posOffset>
            </wp:positionH>
            <wp:positionV relativeFrom="paragraph">
              <wp:posOffset>0</wp:posOffset>
            </wp:positionV>
            <wp:extent cx="5632450" cy="2743200"/>
            <wp:effectExtent l="0" t="0" r="6350" b="0"/>
            <wp:wrapTopAndBottom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82E111" w14:textId="7EF67EC8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  <w:r w:rsidRPr="00203474">
        <w:rPr>
          <w:rFonts w:ascii="Garamond" w:hAnsi="Garamond" w:cs="Times New Roman"/>
          <w:sz w:val="24"/>
          <w:szCs w:val="24"/>
        </w:rPr>
        <w:t xml:space="preserve"> </w:t>
      </w:r>
    </w:p>
    <w:p w14:paraId="46868F14" w14:textId="14064D73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</w:p>
    <w:p w14:paraId="44D3C33B" w14:textId="485528D4" w:rsidR="002435DC" w:rsidRPr="00203474" w:rsidRDefault="002435DC" w:rsidP="002435DC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</w:p>
    <w:p w14:paraId="3A012916" w14:textId="187E00EB" w:rsidR="002435DC" w:rsidRDefault="002435DC" w:rsidP="002435DC">
      <w:pPr>
        <w:spacing w:after="0" w:line="276" w:lineRule="auto"/>
        <w:jc w:val="center"/>
        <w:rPr>
          <w:rFonts w:ascii="Garamond" w:hAnsi="Garamond" w:cs="Times New Roman"/>
          <w:b/>
          <w:sz w:val="24"/>
          <w:szCs w:val="24"/>
        </w:rPr>
      </w:pPr>
    </w:p>
    <w:p w14:paraId="3159DD22" w14:textId="34F5F317" w:rsidR="002435DC" w:rsidRDefault="002435DC" w:rsidP="002435DC">
      <w:pPr>
        <w:spacing w:after="0" w:line="276" w:lineRule="auto"/>
        <w:ind w:firstLine="720"/>
        <w:jc w:val="both"/>
        <w:rPr>
          <w:rFonts w:ascii="Garamond" w:hAnsi="Garamond" w:cs="Times New Roman"/>
          <w:i/>
          <w:sz w:val="24"/>
          <w:szCs w:val="24"/>
        </w:rPr>
      </w:pPr>
      <w:r>
        <w:rPr>
          <w:noProof/>
          <w:lang w:eastAsia="en-IN"/>
        </w:rPr>
        <w:lastRenderedPageBreak/>
        <w:drawing>
          <wp:anchor distT="0" distB="180340" distL="114300" distR="114300" simplePos="0" relativeHeight="251662336" behindDoc="0" locked="0" layoutInCell="1" allowOverlap="1" wp14:anchorId="02F751DB" wp14:editId="09B812EC">
            <wp:simplePos x="0" y="0"/>
            <wp:positionH relativeFrom="margin">
              <wp:posOffset>1103630</wp:posOffset>
            </wp:positionH>
            <wp:positionV relativeFrom="paragraph">
              <wp:posOffset>154305</wp:posOffset>
            </wp:positionV>
            <wp:extent cx="5624195" cy="2743200"/>
            <wp:effectExtent l="0" t="0" r="14605" b="0"/>
            <wp:wrapTopAndBottom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Garamond" w:hAnsi="Garamond" w:cs="Times New Roman"/>
          <w:b/>
          <w:i/>
          <w:sz w:val="24"/>
          <w:szCs w:val="24"/>
        </w:rPr>
        <w:t xml:space="preserve">  </w:t>
      </w:r>
    </w:p>
    <w:p w14:paraId="0417E53A" w14:textId="0482D602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i/>
        </w:rPr>
      </w:pPr>
      <w:r>
        <w:rPr>
          <w:noProof/>
          <w:lang w:eastAsia="en-IN"/>
        </w:rPr>
        <w:drawing>
          <wp:anchor distT="0" distB="180340" distL="114300" distR="114300" simplePos="0" relativeHeight="251663360" behindDoc="0" locked="0" layoutInCell="1" allowOverlap="1" wp14:anchorId="17370A9A" wp14:editId="2A58C386">
            <wp:simplePos x="0" y="0"/>
            <wp:positionH relativeFrom="margin">
              <wp:align>right</wp:align>
            </wp:positionH>
            <wp:positionV relativeFrom="paragraph">
              <wp:posOffset>35560</wp:posOffset>
            </wp:positionV>
            <wp:extent cx="5727065" cy="2743200"/>
            <wp:effectExtent l="0" t="0" r="6985" b="0"/>
            <wp:wrapTopAndBottom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</wp:anchor>
        </w:drawing>
      </w:r>
      <w:r w:rsidRPr="001749E9">
        <w:rPr>
          <w:rFonts w:ascii="Garamond" w:hAnsi="Garamond" w:cs="Times New Roman"/>
          <w:i/>
        </w:rPr>
        <w:t xml:space="preserve"> </w:t>
      </w:r>
    </w:p>
    <w:p w14:paraId="78B21D2A" w14:textId="4101FE3A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i/>
          <w:sz w:val="24"/>
          <w:szCs w:val="24"/>
        </w:rPr>
      </w:pPr>
    </w:p>
    <w:p w14:paraId="1032A66E" w14:textId="28D5B884" w:rsidR="002435DC" w:rsidRPr="002435DC" w:rsidRDefault="002435DC" w:rsidP="002435DC">
      <w:pPr>
        <w:spacing w:line="276" w:lineRule="auto"/>
        <w:jc w:val="both"/>
        <w:rPr>
          <w:rFonts w:ascii="Garamond" w:hAnsi="Garamond" w:cs="Times New Roman"/>
          <w:sz w:val="24"/>
          <w:szCs w:val="24"/>
        </w:rPr>
      </w:pPr>
      <w:r w:rsidRPr="007F31C8">
        <w:rPr>
          <w:rFonts w:ascii="Garamond" w:hAnsi="Garamond" w:cs="Times New Roman"/>
          <w:sz w:val="24"/>
          <w:szCs w:val="24"/>
        </w:rPr>
        <w:t xml:space="preserve"> </w:t>
      </w:r>
    </w:p>
    <w:p w14:paraId="022785E8" w14:textId="56143E80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</w:p>
    <w:p w14:paraId="010E1C69" w14:textId="5818FF9A" w:rsidR="002435DC" w:rsidRDefault="002435DC" w:rsidP="002435DC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665408" behindDoc="0" locked="0" layoutInCell="1" allowOverlap="1" wp14:anchorId="1936864C" wp14:editId="5BCAD0FF">
            <wp:simplePos x="0" y="0"/>
            <wp:positionH relativeFrom="margin">
              <wp:align>left</wp:align>
            </wp:positionH>
            <wp:positionV relativeFrom="paragraph">
              <wp:posOffset>287009</wp:posOffset>
            </wp:positionV>
            <wp:extent cx="5731510" cy="2883535"/>
            <wp:effectExtent l="0" t="0" r="2540" b="12065"/>
            <wp:wrapTopAndBottom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67C5AE38" w14:textId="628F7FB6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5DC"/>
    <w:rsid w:val="002435DC"/>
    <w:rsid w:val="00331A6B"/>
    <w:rsid w:val="00755780"/>
    <w:rsid w:val="00857596"/>
    <w:rsid w:val="008E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5FB17"/>
  <w15:chartTrackingRefBased/>
  <w15:docId w15:val="{8286340B-9A5A-464B-89EF-35C116D1C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5DC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5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5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5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5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5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5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5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5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5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5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5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5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5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5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5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5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5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5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5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35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5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35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5DC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35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5DC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35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5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5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5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35DC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ckup%2012-09-2022\Amit%20Sir%20JCA%20Databackup\D%20Drive\data0\amitt-Details\Ph.D%20Material\Final%20Proposal%20with%20all%20correction-Important\K%20V%20Ramanathan%20Sir\Bibliometric%20Paper\Data_from_scopu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200" b="1" baseline="0">
                <a:latin typeface="Garamond" panose="02020404030301010803" pitchFamily="18" charset="0"/>
              </a:rPr>
              <a:t>Chart-2 Top 10 Countries Contribution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Country!$G$48:$P$48</c:f>
              <c:strCache>
                <c:ptCount val="10"/>
                <c:pt idx="0">
                  <c:v>India</c:v>
                </c:pt>
                <c:pt idx="1">
                  <c:v>Malaysia</c:v>
                </c:pt>
                <c:pt idx="2">
                  <c:v>Bangladesh</c:v>
                </c:pt>
                <c:pt idx="3">
                  <c:v>United Kingdom</c:v>
                </c:pt>
                <c:pt idx="4">
                  <c:v>Pakistan</c:v>
                </c:pt>
                <c:pt idx="5">
                  <c:v>Spain</c:v>
                </c:pt>
                <c:pt idx="6">
                  <c:v>China</c:v>
                </c:pt>
                <c:pt idx="7">
                  <c:v>Germany</c:v>
                </c:pt>
                <c:pt idx="8">
                  <c:v>Italy</c:v>
                </c:pt>
                <c:pt idx="9">
                  <c:v>United States</c:v>
                </c:pt>
              </c:strCache>
            </c:strRef>
          </c:cat>
          <c:val>
            <c:numRef>
              <c:f>Country!$G$49:$P$49</c:f>
              <c:numCache>
                <c:formatCode>General</c:formatCode>
                <c:ptCount val="10"/>
                <c:pt idx="0">
                  <c:v>34</c:v>
                </c:pt>
                <c:pt idx="1">
                  <c:v>32</c:v>
                </c:pt>
                <c:pt idx="2">
                  <c:v>19</c:v>
                </c:pt>
                <c:pt idx="3">
                  <c:v>19</c:v>
                </c:pt>
                <c:pt idx="4">
                  <c:v>17</c:v>
                </c:pt>
                <c:pt idx="5">
                  <c:v>16</c:v>
                </c:pt>
                <c:pt idx="6">
                  <c:v>13</c:v>
                </c:pt>
                <c:pt idx="7">
                  <c:v>11</c:v>
                </c:pt>
                <c:pt idx="8">
                  <c:v>10</c:v>
                </c:pt>
                <c:pt idx="9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1C-4654-A8D6-703A5DC2200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15"/>
        <c:overlap val="-20"/>
        <c:axId val="-1332812016"/>
        <c:axId val="-1332810384"/>
      </c:barChart>
      <c:catAx>
        <c:axId val="-13328120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Country Wise Publication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2810384"/>
        <c:crosses val="autoZero"/>
        <c:auto val="1"/>
        <c:lblAlgn val="ctr"/>
        <c:lblOffset val="100"/>
        <c:noMultiLvlLbl val="0"/>
      </c:catAx>
      <c:valAx>
        <c:axId val="-1332810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No. of Document Published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Garamond" panose="02020404030301010803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28120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aseline="0">
                <a:latin typeface="Garamond" panose="02020404030301010803" pitchFamily="18" charset="0"/>
              </a:rPr>
              <a:t>Chart-1 </a:t>
            </a:r>
            <a:r>
              <a:rPr lang="en-IN" sz="1200" baseline="0">
                <a:latin typeface="Garamond" panose="02020404030301010803" pitchFamily="18" charset="0"/>
              </a:rPr>
              <a:t>Year Wise Articles Publication</a:t>
            </a:r>
            <a:endParaRPr lang="en-US" sz="1200" baseline="0">
              <a:latin typeface="Garamond" panose="02020404030301010803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Year!$B$45</c:f>
              <c:strCache>
                <c:ptCount val="1"/>
                <c:pt idx="0">
                  <c:v>Articles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Year!$C$44:$M$44</c:f>
              <c:numCache>
                <c:formatCode>General</c:formatCode>
                <c:ptCount val="11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</c:numCache>
            </c:numRef>
          </c:cat>
          <c:val>
            <c:numRef>
              <c:f>Year!$C$45:$M$45</c:f>
              <c:numCache>
                <c:formatCode>General</c:formatCode>
                <c:ptCount val="11"/>
                <c:pt idx="0">
                  <c:v>4</c:v>
                </c:pt>
                <c:pt idx="1">
                  <c:v>9</c:v>
                </c:pt>
                <c:pt idx="2">
                  <c:v>3</c:v>
                </c:pt>
                <c:pt idx="3">
                  <c:v>9</c:v>
                </c:pt>
                <c:pt idx="4">
                  <c:v>9</c:v>
                </c:pt>
                <c:pt idx="5">
                  <c:v>14</c:v>
                </c:pt>
                <c:pt idx="6">
                  <c:v>13</c:v>
                </c:pt>
                <c:pt idx="7">
                  <c:v>29</c:v>
                </c:pt>
                <c:pt idx="8">
                  <c:v>39</c:v>
                </c:pt>
                <c:pt idx="9">
                  <c:v>41</c:v>
                </c:pt>
                <c:pt idx="10">
                  <c:v>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827-49A3-8002-9182FD60150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-1332813104"/>
        <c:axId val="-1332812560"/>
      </c:lineChart>
      <c:catAx>
        <c:axId val="-13328131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Garamond" panose="02020404030301010803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2812560"/>
        <c:crosses val="autoZero"/>
        <c:auto val="1"/>
        <c:lblAlgn val="ctr"/>
        <c:lblOffset val="100"/>
        <c:noMultiLvlLbl val="0"/>
      </c:catAx>
      <c:valAx>
        <c:axId val="-1332812560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Documents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-13328131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200" b="1" i="0" u="none" strike="noStrike" kern="0" cap="none" spc="0" baseline="0">
                <a:effectLst/>
                <a:latin typeface="Garamond" panose="02020404030301010803" pitchFamily="18" charset="0"/>
              </a:rPr>
              <a:t>Chart - 4 Significant Authors and their contribution</a:t>
            </a:r>
            <a:endParaRPr lang="en-IN" sz="1200" b="1" kern="0" cap="none" spc="0" baseline="0">
              <a:latin typeface="Garamond" panose="02020404030301010803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8472557596967043"/>
          <c:y val="0.13475462590506837"/>
          <c:w val="0.77950338025928578"/>
          <c:h val="0.73924655234668479"/>
        </c:manualLayout>
      </c:layout>
      <c:bar3DChart>
        <c:barDir val="bar"/>
        <c:grouping val="clustered"/>
        <c:varyColors val="0"/>
        <c:ser>
          <c:idx val="0"/>
          <c:order val="0"/>
          <c:spPr>
            <a:gradFill flip="none" rotWithShape="1">
              <a:gsLst>
                <a:gs pos="0">
                  <a:schemeClr val="accent1"/>
                </a:gs>
                <a:gs pos="75000">
                  <a:schemeClr val="accent1">
                    <a:lumMod val="60000"/>
                    <a:lumOff val="40000"/>
                  </a:schemeClr>
                </a:gs>
                <a:gs pos="51000">
                  <a:schemeClr val="accent1">
                    <a:alpha val="75000"/>
                  </a:schemeClr>
                </a:gs>
                <a:gs pos="100000">
                  <a:schemeClr val="accent1">
                    <a:lumMod val="20000"/>
                    <a:lumOff val="80000"/>
                    <a:alpha val="15000"/>
                  </a:schemeClr>
                </a:gs>
              </a:gsLst>
              <a:lin ang="10800000" scaled="1"/>
              <a:tileRect/>
            </a:gra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2.6936026936028911E-3"/>
                  <c:y val="5.630969445181657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507-4E00-8BF6-B2342481C750}"/>
                </c:ext>
              </c:extLst>
            </c:dLbl>
            <c:dLbl>
              <c:idx val="1"/>
              <c:layout>
                <c:manualLayout>
                  <c:x val="5.3872053872053875E-3"/>
                  <c:y val="3.61990892904535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507-4E00-8BF6-B2342481C750}"/>
                </c:ext>
              </c:extLst>
            </c:dLbl>
            <c:dLbl>
              <c:idx val="2"/>
              <c:layout>
                <c:manualLayout>
                  <c:x val="0"/>
                  <c:y val="2.413272619363567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507-4E00-8BF6-B2342481C7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Author!$G$40:$G$49</c:f>
              <c:strCache>
                <c:ptCount val="10"/>
                <c:pt idx="0">
                  <c:v>Bukhari, S.A.A.</c:v>
                </c:pt>
                <c:pt idx="1">
                  <c:v>Hashim, F.</c:v>
                </c:pt>
                <c:pt idx="2">
                  <c:v>Amran, A.</c:v>
                </c:pt>
                <c:pt idx="3">
                  <c:v>Bose, S.</c:v>
                </c:pt>
                <c:pt idx="4">
                  <c:v>Forcadell, F.J.</c:v>
                </c:pt>
                <c:pt idx="5">
                  <c:v>Julia, T.</c:v>
                </c:pt>
                <c:pt idx="6">
                  <c:v>Kassim, S.</c:v>
                </c:pt>
                <c:pt idx="7">
                  <c:v>Khan, H.Z.</c:v>
                </c:pt>
                <c:pt idx="8">
                  <c:v>Nisha, N.</c:v>
                </c:pt>
                <c:pt idx="9">
                  <c:v>Úbeda, F.</c:v>
                </c:pt>
              </c:strCache>
            </c:strRef>
          </c:cat>
          <c:val>
            <c:numRef>
              <c:f>Author!$H$40:$H$49</c:f>
              <c:numCache>
                <c:formatCode>General</c:formatCode>
                <c:ptCount val="10"/>
                <c:pt idx="0">
                  <c:v>6</c:v>
                </c:pt>
                <c:pt idx="1">
                  <c:v>6</c:v>
                </c:pt>
                <c:pt idx="2">
                  <c:v>5</c:v>
                </c:pt>
                <c:pt idx="3">
                  <c:v>4</c:v>
                </c:pt>
                <c:pt idx="4">
                  <c:v>4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507-4E00-8BF6-B2342481C75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326"/>
        <c:shape val="box"/>
        <c:axId val="-1332807120"/>
        <c:axId val="-1404489328"/>
        <c:axId val="0"/>
      </c:bar3DChart>
      <c:catAx>
        <c:axId val="-13328071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cap="none" baseline="0">
                    <a:latin typeface="Garamond" panose="02020404030301010803" pitchFamily="18" charset="0"/>
                  </a:rPr>
                  <a:t>Authors</a:t>
                </a:r>
              </a:p>
            </c:rich>
          </c:tx>
          <c:layout>
            <c:manualLayout>
              <c:xMode val="edge"/>
              <c:yMode val="edge"/>
              <c:x val="4.2514170577162697E-2"/>
              <c:y val="0.357368824472162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15000"/>
                <a:lumOff val="85000"/>
              </a:schemeClr>
            </a:solidFill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404489328"/>
        <c:crosses val="autoZero"/>
        <c:auto val="1"/>
        <c:lblAlgn val="ctr"/>
        <c:lblOffset val="100"/>
        <c:noMultiLvlLbl val="0"/>
      </c:catAx>
      <c:valAx>
        <c:axId val="-1404489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cap="none" baseline="0">
                    <a:latin typeface="Garamond" panose="02020404030301010803" pitchFamily="18" charset="0"/>
                  </a:rPr>
                  <a:t>Articles</a:t>
                </a:r>
              </a:p>
            </c:rich>
          </c:tx>
          <c:layout>
            <c:manualLayout>
              <c:xMode val="edge"/>
              <c:yMode val="edge"/>
              <c:x val="0.52392629709165139"/>
              <c:y val="0.9212604759883694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2807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aseline="0">
                <a:latin typeface="Garamond" panose="02020404030301010803" pitchFamily="18" charset="0"/>
              </a:rPr>
              <a:t>Chart-3 </a:t>
            </a:r>
            <a:r>
              <a:rPr lang="en-IN" sz="1200" b="1" i="0" u="none" strike="noStrike" baseline="0">
                <a:effectLst/>
                <a:latin typeface="Garamond" panose="02020404030301010803" pitchFamily="18" charset="0"/>
              </a:rPr>
              <a:t>Prominent Journals and their contribution</a:t>
            </a:r>
            <a:endParaRPr lang="en-US" sz="1200" baseline="0">
              <a:latin typeface="Garamond" panose="02020404030301010803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Source!$G$37</c:f>
              <c:strCache>
                <c:ptCount val="1"/>
                <c:pt idx="0">
                  <c:v>Articles</c:v>
                </c:pt>
              </c:strCache>
            </c:strRef>
          </c:tx>
          <c:dPt>
            <c:idx val="0"/>
            <c:bubble3D val="0"/>
            <c:explosion val="8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643E-4244-9761-8E2A76889C7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643E-4244-9761-8E2A76889C7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43E-4244-9761-8E2A76889C7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43E-4244-9761-8E2A76889C7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643E-4244-9761-8E2A76889C7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Source!$F$38:$F$42</c:f>
              <c:strCache>
                <c:ptCount val="5"/>
                <c:pt idx="0">
                  <c:v>Sustainability Switzerland</c:v>
                </c:pt>
                <c:pt idx="1">
                  <c:v>Environment Development And Sustainability</c:v>
                </c:pt>
                <c:pt idx="2">
                  <c:v>International Journal Of Green Economics</c:v>
                </c:pt>
                <c:pt idx="3">
                  <c:v>Qualitative Research In Financial Markets</c:v>
                </c:pt>
                <c:pt idx="4">
                  <c:v>Business Strategy And The Environment</c:v>
                </c:pt>
              </c:strCache>
            </c:strRef>
          </c:cat>
          <c:val>
            <c:numRef>
              <c:f>Source!$G$38:$G$42</c:f>
              <c:numCache>
                <c:formatCode>General</c:formatCode>
                <c:ptCount val="5"/>
                <c:pt idx="0">
                  <c:v>26</c:v>
                </c:pt>
                <c:pt idx="1">
                  <c:v>8</c:v>
                </c:pt>
                <c:pt idx="2">
                  <c:v>6</c:v>
                </c:pt>
                <c:pt idx="3">
                  <c:v>6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643E-4244-9761-8E2A76889C7E}"/>
            </c:ext>
          </c:extLst>
        </c:ser>
        <c:ser>
          <c:idx val="1"/>
          <c:order val="1"/>
          <c:tx>
            <c:strRef>
              <c:f>Source!$H$37</c:f>
              <c:strCache>
                <c:ptCount val="1"/>
                <c:pt idx="0">
                  <c:v>% of Contribution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C-643E-4244-9761-8E2A76889C7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E-643E-4244-9761-8E2A76889C7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0-643E-4244-9761-8E2A76889C7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2-643E-4244-9761-8E2A76889C7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4-643E-4244-9761-8E2A76889C7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Source!$F$38:$F$42</c:f>
              <c:strCache>
                <c:ptCount val="5"/>
                <c:pt idx="0">
                  <c:v>Sustainability Switzerland</c:v>
                </c:pt>
                <c:pt idx="1">
                  <c:v>Environment Development And Sustainability</c:v>
                </c:pt>
                <c:pt idx="2">
                  <c:v>International Journal Of Green Economics</c:v>
                </c:pt>
                <c:pt idx="3">
                  <c:v>Qualitative Research In Financial Markets</c:v>
                </c:pt>
                <c:pt idx="4">
                  <c:v>Business Strategy And The Environment</c:v>
                </c:pt>
              </c:strCache>
            </c:strRef>
          </c:cat>
          <c:val>
            <c:numRef>
              <c:f>Source!$H$38:$H$42</c:f>
              <c:numCache>
                <c:formatCode>0%</c:formatCode>
                <c:ptCount val="5"/>
                <c:pt idx="0">
                  <c:v>0.51</c:v>
                </c:pt>
                <c:pt idx="1">
                  <c:v>0.15</c:v>
                </c:pt>
                <c:pt idx="2">
                  <c:v>0.12</c:v>
                </c:pt>
                <c:pt idx="3">
                  <c:v>0.12</c:v>
                </c:pt>
                <c:pt idx="4">
                  <c:v>0.1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643E-4244-9761-8E2A76889C7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5632786526684161"/>
          <c:y val="0.25051800816564596"/>
          <c:w val="0.32700546806649167"/>
          <c:h val="0.64236657917760276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200" b="1" i="0" baseline="0">
                <a:effectLst/>
                <a:latin typeface="Garamond" panose="02020404030301010803" pitchFamily="18" charset="0"/>
              </a:rPr>
              <a:t>Chart- 5 Average Citation MTCPA V/s MTCPY</a:t>
            </a:r>
            <a:endParaRPr lang="en-IN" sz="1200" b="1" baseline="0">
              <a:effectLst/>
              <a:latin typeface="Garamond" panose="02020404030301010803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Sheet1!$F$5</c:f>
              <c:strCache>
                <c:ptCount val="1"/>
                <c:pt idx="0">
                  <c:v>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val>
            <c:numRef>
              <c:f>Sheet1!$F$6:$F$16</c:f>
              <c:numCache>
                <c:formatCode>General</c:formatCode>
                <c:ptCount val="11"/>
                <c:pt idx="0">
                  <c:v>4</c:v>
                </c:pt>
                <c:pt idx="1">
                  <c:v>9</c:v>
                </c:pt>
                <c:pt idx="2">
                  <c:v>3</c:v>
                </c:pt>
                <c:pt idx="3">
                  <c:v>9</c:v>
                </c:pt>
                <c:pt idx="4">
                  <c:v>9</c:v>
                </c:pt>
                <c:pt idx="5">
                  <c:v>14</c:v>
                </c:pt>
                <c:pt idx="6">
                  <c:v>13</c:v>
                </c:pt>
                <c:pt idx="7">
                  <c:v>29</c:v>
                </c:pt>
                <c:pt idx="8">
                  <c:v>39</c:v>
                </c:pt>
                <c:pt idx="9">
                  <c:v>41</c:v>
                </c:pt>
                <c:pt idx="10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B9-44A2-9524-5D2B746AEA34}"/>
            </c:ext>
          </c:extLst>
        </c:ser>
        <c:ser>
          <c:idx val="1"/>
          <c:order val="1"/>
          <c:tx>
            <c:strRef>
              <c:f>Sheet1!$G$5</c:f>
              <c:strCache>
                <c:ptCount val="1"/>
                <c:pt idx="0">
                  <c:v>MeanTCperArt*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val>
            <c:numRef>
              <c:f>Sheet1!$G$6:$G$16</c:f>
              <c:numCache>
                <c:formatCode>General</c:formatCode>
                <c:ptCount val="11"/>
                <c:pt idx="0">
                  <c:v>177.3</c:v>
                </c:pt>
                <c:pt idx="1">
                  <c:v>81.099999999999994</c:v>
                </c:pt>
                <c:pt idx="2">
                  <c:v>77.260000000000005</c:v>
                </c:pt>
                <c:pt idx="3">
                  <c:v>69.89</c:v>
                </c:pt>
                <c:pt idx="4">
                  <c:v>56.92</c:v>
                </c:pt>
                <c:pt idx="5">
                  <c:v>131.21</c:v>
                </c:pt>
                <c:pt idx="6">
                  <c:v>69.8</c:v>
                </c:pt>
                <c:pt idx="7">
                  <c:v>142.18</c:v>
                </c:pt>
                <c:pt idx="8">
                  <c:v>91.29</c:v>
                </c:pt>
                <c:pt idx="9">
                  <c:v>20.96</c:v>
                </c:pt>
                <c:pt idx="10">
                  <c:v>12.98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FB9-44A2-9524-5D2B746AEA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404486608"/>
        <c:axId val="-1334429328"/>
      </c:barChart>
      <c:lineChart>
        <c:grouping val="standard"/>
        <c:varyColors val="0"/>
        <c:ser>
          <c:idx val="2"/>
          <c:order val="2"/>
          <c:tx>
            <c:strRef>
              <c:f>Sheet1!$H$5</c:f>
              <c:strCache>
                <c:ptCount val="1"/>
                <c:pt idx="0">
                  <c:v>MeanTCperYear**</c:v>
                </c:pt>
              </c:strCache>
            </c:strRef>
          </c:tx>
          <c:spPr>
            <a:ln w="34925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Sheet1!$H$6:$H$16</c:f>
              <c:numCache>
                <c:formatCode>General</c:formatCode>
                <c:ptCount val="11"/>
                <c:pt idx="0">
                  <c:v>16.11</c:v>
                </c:pt>
                <c:pt idx="1">
                  <c:v>8.11</c:v>
                </c:pt>
                <c:pt idx="2">
                  <c:v>8.58</c:v>
                </c:pt>
                <c:pt idx="3">
                  <c:v>8.73</c:v>
                </c:pt>
                <c:pt idx="4">
                  <c:v>8.1300000000000008</c:v>
                </c:pt>
                <c:pt idx="5">
                  <c:v>21.86</c:v>
                </c:pt>
                <c:pt idx="6">
                  <c:v>13.96</c:v>
                </c:pt>
                <c:pt idx="7">
                  <c:v>35.54</c:v>
                </c:pt>
                <c:pt idx="8">
                  <c:v>30.43</c:v>
                </c:pt>
                <c:pt idx="9">
                  <c:v>10.48</c:v>
                </c:pt>
                <c:pt idx="10">
                  <c:v>12.98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FB9-44A2-9524-5D2B746AEA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34425520"/>
        <c:axId val="-1334427696"/>
      </c:lineChart>
      <c:catAx>
        <c:axId val="-1404486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Citable Years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Garamond" panose="02020404030301010803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4429328"/>
        <c:crosses val="autoZero"/>
        <c:auto val="1"/>
        <c:lblAlgn val="ctr"/>
        <c:lblOffset val="100"/>
        <c:noMultiLvlLbl val="0"/>
      </c:catAx>
      <c:valAx>
        <c:axId val="-1334429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Mean Total Citation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Garamond" panose="02020404030301010803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404486608"/>
        <c:crosses val="autoZero"/>
        <c:crossBetween val="between"/>
      </c:valAx>
      <c:valAx>
        <c:axId val="-133442769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r>
                  <a:rPr lang="en-IN" baseline="0">
                    <a:latin typeface="Garamond" panose="02020404030301010803" pitchFamily="18" charset="0"/>
                  </a:rPr>
                  <a:t>Mean Total CItation Per 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Garamond" panose="02020404030301010803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4425520"/>
        <c:crosses val="max"/>
        <c:crossBetween val="between"/>
      </c:valAx>
      <c:catAx>
        <c:axId val="-1334425520"/>
        <c:scaling>
          <c:orientation val="minMax"/>
        </c:scaling>
        <c:delete val="1"/>
        <c:axPos val="t"/>
        <c:numFmt formatCode="General" sourceLinked="1"/>
        <c:majorTickMark val="none"/>
        <c:minorTickMark val="none"/>
        <c:tickLblPos val="nextTo"/>
        <c:crossAx val="-1334427696"/>
        <c:crosses val="max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Garamond" panose="02020404030301010803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200" b="1" i="0" u="none" strike="noStrike" baseline="0">
                <a:effectLst/>
                <a:latin typeface="Garamond" panose="02020404030301010803" pitchFamily="18" charset="0"/>
              </a:rPr>
              <a:t>Chart- 6 Relevant Affiliations</a:t>
            </a:r>
            <a:endParaRPr lang="en-US" sz="1200" b="1" baseline="0">
              <a:latin typeface="Garamond" panose="02020404030301010803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Affiliation!$I$35</c:f>
              <c:strCache>
                <c:ptCount val="1"/>
                <c:pt idx="0">
                  <c:v>Articles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Affiliation!$H$36:$H$45</c:f>
              <c:strCache>
                <c:ptCount val="10"/>
                <c:pt idx="0">
                  <c:v>Universiti Sains Malaysia</c:v>
                </c:pt>
                <c:pt idx="1">
                  <c:v>Universidad Rey Juan Carlos</c:v>
                </c:pt>
                <c:pt idx="2">
                  <c:v>Graduate School of Business</c:v>
                </c:pt>
                <c:pt idx="3">
                  <c:v>International Islamic University Malaysia</c:v>
                </c:pt>
                <c:pt idx="4">
                  <c:v>Universidad Autónoma de Madrid</c:v>
                </c:pt>
                <c:pt idx="5">
                  <c:v>The University of Newcastle, Australia</c:v>
                </c:pt>
                <c:pt idx="6">
                  <c:v>University of Canberra</c:v>
                </c:pt>
                <c:pt idx="7">
                  <c:v>North South University</c:v>
                </c:pt>
                <c:pt idx="8">
                  <c:v>ESIC Business &amp; Marketing School</c:v>
                </c:pt>
                <c:pt idx="9">
                  <c:v>Newcastle Business School</c:v>
                </c:pt>
              </c:strCache>
            </c:strRef>
          </c:cat>
          <c:val>
            <c:numRef>
              <c:f>Affiliation!$I$36:$I$45</c:f>
              <c:numCache>
                <c:formatCode>General</c:formatCode>
                <c:ptCount val="10"/>
                <c:pt idx="0">
                  <c:v>7</c:v>
                </c:pt>
                <c:pt idx="1">
                  <c:v>6</c:v>
                </c:pt>
                <c:pt idx="2">
                  <c:v>6</c:v>
                </c:pt>
                <c:pt idx="3">
                  <c:v>5</c:v>
                </c:pt>
                <c:pt idx="4">
                  <c:v>5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11-407C-BBFC-5EFBC225614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-1334426608"/>
        <c:axId val="-1334428784"/>
      </c:barChart>
      <c:catAx>
        <c:axId val="-13344266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baseline="0">
                <a:solidFill>
                  <a:schemeClr val="tx1">
                    <a:lumMod val="65000"/>
                    <a:lumOff val="35000"/>
                  </a:schemeClr>
                </a:solidFill>
                <a:latin typeface="Garamond" panose="02020404030301010803" pitchFamily="18" charset="0"/>
                <a:ea typeface="+mn-ea"/>
                <a:cs typeface="+mn-cs"/>
              </a:defRPr>
            </a:pPr>
            <a:endParaRPr lang="en-US"/>
          </a:p>
        </c:txPr>
        <c:crossAx val="-1334428784"/>
        <c:crosses val="autoZero"/>
        <c:auto val="1"/>
        <c:lblAlgn val="ctr"/>
        <c:lblOffset val="100"/>
        <c:noMultiLvlLbl val="0"/>
      </c:catAx>
      <c:valAx>
        <c:axId val="-13344287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3344266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Garamond" panose="02020404030301010803" pitchFamily="18" charset="0"/>
                <a:ea typeface="+mn-ea"/>
                <a:cs typeface="+mn-cs"/>
              </a:defRPr>
            </a:pPr>
            <a:r>
              <a:rPr lang="en-IN" sz="1200" baseline="0">
                <a:latin typeface="Garamond" panose="02020404030301010803" pitchFamily="18" charset="0"/>
              </a:rPr>
              <a:t>Chart - 7 Top 5 Research Domains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Garamond" panose="02020404030301010803" pitchFamily="18" charset="0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57C5-4198-A22A-DC730C858F5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7C5-4198-A22A-DC730C858F5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7C5-4198-A22A-DC730C858F5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7C5-4198-A22A-DC730C858F5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57C5-4198-A22A-DC730C858F52}"/>
              </c:ext>
            </c:extLst>
          </c:dPt>
          <c:dLbls>
            <c:dLbl>
              <c:idx val="0"/>
              <c:layout>
                <c:manualLayout>
                  <c:x val="4.4316419233325945E-3"/>
                  <c:y val="4.4043162299053071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7C5-4198-A22A-DC730C858F52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Garamond" panose="02020404030301010803" pitchFamily="18" charset="0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pattFill prst="pct75">
                    <a:fgClr>
                      <a:schemeClr val="dk1">
                        <a:lumMod val="75000"/>
                        <a:lumOff val="25000"/>
                      </a:schemeClr>
                    </a:fgClr>
                    <a:bgClr>
                      <a:schemeClr val="dk1">
                        <a:lumMod val="65000"/>
                        <a:lumOff val="35000"/>
                      </a:schemeClr>
                    </a:bgClr>
                  </a:pattFill>
                  <a:ln>
                    <a:noFill/>
                  </a:ln>
                </c15:spPr>
              </c:ext>
            </c:extLst>
          </c:dLbls>
          <c:cat>
            <c:strRef>
              <c:f>Subject!$A$9:$A$13</c:f>
              <c:strCache>
                <c:ptCount val="5"/>
                <c:pt idx="0">
                  <c:v>Economics, Econometrics and Finance</c:v>
                </c:pt>
                <c:pt idx="1">
                  <c:v>Business, Management and Accounting</c:v>
                </c:pt>
                <c:pt idx="2">
                  <c:v>Social Sciences</c:v>
                </c:pt>
                <c:pt idx="3">
                  <c:v>Environmental Science</c:v>
                </c:pt>
                <c:pt idx="4">
                  <c:v>Energy</c:v>
                </c:pt>
              </c:strCache>
            </c:strRef>
          </c:cat>
          <c:val>
            <c:numRef>
              <c:f>Subject!$B$9:$B$13</c:f>
              <c:numCache>
                <c:formatCode>General</c:formatCode>
                <c:ptCount val="5"/>
                <c:pt idx="0">
                  <c:v>111</c:v>
                </c:pt>
                <c:pt idx="1">
                  <c:v>102</c:v>
                </c:pt>
                <c:pt idx="2">
                  <c:v>102</c:v>
                </c:pt>
                <c:pt idx="3">
                  <c:v>75</c:v>
                </c:pt>
                <c:pt idx="4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57C5-4198-A22A-DC730C858F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Garamond" panose="02020404030301010803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2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>
      <cs:styleClr val="auto"/>
    </cs:fillRef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17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10800000" scaled="1"/>
        <a:tileRect/>
      </a:gra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10800000" scaled="1"/>
        <a:tileRect/>
      </a:gra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99000">
              <a:schemeClr val="tx1">
                <a:lumMod val="25000"/>
                <a:lumOff val="75000"/>
              </a:schemeClr>
            </a:gs>
            <a:gs pos="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15000"/>
                <a:lumOff val="85000"/>
              </a:schemeClr>
            </a:gs>
            <a:gs pos="0">
              <a:schemeClr val="tx1">
                <a:lumMod val="5000"/>
                <a:lumOff val="9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2025-02-03T06:48:00Z</dcterms:created>
  <dcterms:modified xsi:type="dcterms:W3CDTF">2025-02-03T06:59:00Z</dcterms:modified>
</cp:coreProperties>
</file>