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AD1D8" w14:textId="77777777" w:rsidR="00CF0EB4" w:rsidRPr="004C50BC" w:rsidRDefault="00CF0EB4" w:rsidP="00CF0EB4">
      <w:pPr>
        <w:pStyle w:val="Heading1"/>
        <w:spacing w:before="0" w:afterLines="120" w:after="288" w:line="360" w:lineRule="auto"/>
        <w:jc w:val="both"/>
        <w:rPr>
          <w:rFonts w:ascii="Arial" w:hAnsi="Arial" w:cs="Arial"/>
          <w:b/>
          <w:bCs/>
          <w:color w:val="auto"/>
          <w:sz w:val="22"/>
          <w:szCs w:val="22"/>
        </w:rPr>
      </w:pPr>
      <w:bookmarkStart w:id="0" w:name="_Toc185457694"/>
      <w:bookmarkStart w:id="1" w:name="_Toc185457684"/>
      <w:r w:rsidRPr="004C50BC">
        <w:rPr>
          <w:rFonts w:ascii="Arial" w:hAnsi="Arial" w:cs="Arial"/>
          <w:b/>
          <w:bCs/>
          <w:color w:val="auto"/>
          <w:sz w:val="22"/>
          <w:szCs w:val="22"/>
        </w:rPr>
        <w:t>Supplemental Information</w:t>
      </w:r>
      <w:bookmarkEnd w:id="1"/>
    </w:p>
    <w:p w14:paraId="120144A2" w14:textId="77777777" w:rsidR="00CF0EB4" w:rsidRPr="004C50BC" w:rsidRDefault="00CF0EB4" w:rsidP="00CF0EB4">
      <w:pPr>
        <w:spacing w:afterLines="120" w:after="288" w:line="360" w:lineRule="auto"/>
        <w:jc w:val="both"/>
        <w:rPr>
          <w:rFonts w:ascii="Arial" w:hAnsi="Arial" w:cs="Arial"/>
          <w:sz w:val="22"/>
          <w:szCs w:val="22"/>
        </w:rPr>
      </w:pPr>
      <w:r w:rsidRPr="004C50BC">
        <w:rPr>
          <w:rFonts w:ascii="Arial" w:hAnsi="Arial" w:cs="Arial"/>
          <w:sz w:val="22"/>
          <w:szCs w:val="22"/>
        </w:rPr>
        <w:t>Table S1. Excel file containing additional data too large to fit in a PDF, related to Figure 4</w:t>
      </w:r>
    </w:p>
    <w:p w14:paraId="55B2A363" w14:textId="77777777" w:rsidR="00CF0EB4" w:rsidRPr="004C50BC" w:rsidRDefault="00CF0EB4" w:rsidP="00CF0EB4">
      <w:pPr>
        <w:spacing w:afterLines="120" w:after="288" w:line="360" w:lineRule="auto"/>
        <w:jc w:val="both"/>
        <w:rPr>
          <w:rFonts w:ascii="Arial" w:hAnsi="Arial" w:cs="Arial"/>
          <w:sz w:val="22"/>
          <w:szCs w:val="22"/>
        </w:rPr>
      </w:pPr>
      <w:r w:rsidRPr="004C50BC">
        <w:rPr>
          <w:rFonts w:ascii="Arial" w:hAnsi="Arial" w:cs="Arial"/>
          <w:sz w:val="22"/>
          <w:szCs w:val="22"/>
        </w:rPr>
        <w:t>Table S2. Excel file containing additional data too large to fit in a PDF, related to Figure 4</w:t>
      </w:r>
    </w:p>
    <w:p w14:paraId="4132F112" w14:textId="77777777" w:rsidR="00CF0EB4" w:rsidRPr="004C50BC" w:rsidRDefault="00CF0EB4" w:rsidP="00CF0EB4">
      <w:pPr>
        <w:spacing w:afterLines="120" w:after="288" w:line="360" w:lineRule="auto"/>
        <w:jc w:val="both"/>
        <w:rPr>
          <w:rFonts w:ascii="Arial" w:hAnsi="Arial" w:cs="Arial"/>
          <w:sz w:val="22"/>
          <w:szCs w:val="22"/>
        </w:rPr>
      </w:pPr>
      <w:r w:rsidRPr="004C50BC">
        <w:rPr>
          <w:rFonts w:ascii="Arial" w:hAnsi="Arial" w:cs="Arial"/>
          <w:sz w:val="22"/>
          <w:szCs w:val="22"/>
        </w:rPr>
        <w:t>Table S3. Excel file containing additional data too large to fit in a PDF, related to Figure 4</w:t>
      </w:r>
    </w:p>
    <w:p w14:paraId="5A570CCA" w14:textId="77777777" w:rsidR="00CF0EB4" w:rsidRPr="004C50BC" w:rsidRDefault="00CF0EB4" w:rsidP="00CF0EB4">
      <w:pPr>
        <w:spacing w:afterLines="120" w:after="288" w:line="360" w:lineRule="auto"/>
        <w:jc w:val="both"/>
        <w:rPr>
          <w:rFonts w:ascii="Arial" w:hAnsi="Arial" w:cs="Arial"/>
          <w:sz w:val="22"/>
          <w:szCs w:val="22"/>
        </w:rPr>
      </w:pPr>
      <w:r w:rsidRPr="004C50BC">
        <w:rPr>
          <w:rFonts w:ascii="Arial" w:hAnsi="Arial" w:cs="Arial"/>
          <w:sz w:val="22"/>
          <w:szCs w:val="22"/>
        </w:rPr>
        <w:t>Table S4. Excel file containing additional data too large to fit in a PDF, related to Figure 4</w:t>
      </w:r>
    </w:p>
    <w:p w14:paraId="589285A3" w14:textId="77777777" w:rsidR="00CF0EB4" w:rsidRPr="004C50BC" w:rsidRDefault="00CF0EB4" w:rsidP="00CF0EB4">
      <w:pPr>
        <w:spacing w:afterLines="120" w:after="288" w:line="360" w:lineRule="auto"/>
        <w:jc w:val="both"/>
        <w:rPr>
          <w:rFonts w:ascii="Arial" w:hAnsi="Arial" w:cs="Arial"/>
          <w:sz w:val="22"/>
          <w:szCs w:val="22"/>
        </w:rPr>
      </w:pPr>
      <w:r w:rsidRPr="004C50BC">
        <w:rPr>
          <w:rFonts w:ascii="Arial" w:hAnsi="Arial" w:cs="Arial"/>
          <w:sz w:val="22"/>
          <w:szCs w:val="22"/>
        </w:rPr>
        <w:t>Table S5. Excel file containing additional data too large to fit in a PDF, related to Figure 5</w:t>
      </w:r>
    </w:p>
    <w:p w14:paraId="081D9968" w14:textId="77777777" w:rsidR="00CF0EB4" w:rsidRPr="004C50BC" w:rsidRDefault="00CF0EB4" w:rsidP="00CF0EB4">
      <w:pPr>
        <w:spacing w:afterLines="120" w:after="288" w:line="360" w:lineRule="auto"/>
        <w:jc w:val="both"/>
        <w:rPr>
          <w:rFonts w:ascii="Arial" w:hAnsi="Arial" w:cs="Arial"/>
          <w:sz w:val="22"/>
          <w:szCs w:val="22"/>
        </w:rPr>
      </w:pPr>
      <w:r w:rsidRPr="004C50BC">
        <w:rPr>
          <w:rFonts w:ascii="Arial" w:hAnsi="Arial" w:cs="Arial"/>
          <w:sz w:val="22"/>
          <w:szCs w:val="22"/>
        </w:rPr>
        <w:t>Table S6. Excel file containing additional data too large to fit in a PDF, related to Figure 6</w:t>
      </w:r>
    </w:p>
    <w:p w14:paraId="7292E06D" w14:textId="77777777" w:rsidR="00CF0EB4" w:rsidRPr="004C50BC" w:rsidRDefault="00CF0EB4" w:rsidP="00CF0EB4">
      <w:pPr>
        <w:spacing w:afterLines="120" w:after="288" w:line="360" w:lineRule="auto"/>
        <w:jc w:val="both"/>
        <w:rPr>
          <w:rFonts w:ascii="Arial" w:hAnsi="Arial" w:cs="Arial"/>
          <w:sz w:val="22"/>
          <w:szCs w:val="22"/>
        </w:rPr>
      </w:pPr>
      <w:r w:rsidRPr="004C50BC">
        <w:rPr>
          <w:rFonts w:ascii="Arial" w:hAnsi="Arial" w:cs="Arial"/>
          <w:sz w:val="22"/>
          <w:szCs w:val="22"/>
        </w:rPr>
        <w:t>Table S7. Excel file containing additional data too large to fit in a PDF, related to Figure 6</w:t>
      </w:r>
    </w:p>
    <w:p w14:paraId="7B1540FB" w14:textId="77777777" w:rsidR="00CF0EB4" w:rsidRDefault="00CF0EB4" w:rsidP="00D50DD0">
      <w:pPr>
        <w:pStyle w:val="Heading1"/>
        <w:rPr>
          <w:rFonts w:ascii="Arial" w:hAnsi="Arial" w:cs="Arial"/>
          <w:b/>
          <w:bCs/>
          <w:color w:val="auto"/>
          <w:sz w:val="22"/>
          <w:szCs w:val="22"/>
        </w:rPr>
      </w:pPr>
    </w:p>
    <w:p w14:paraId="57A6F8AB" w14:textId="7E115C77" w:rsidR="00D50DD0" w:rsidRPr="004C50BC" w:rsidRDefault="00D50DD0" w:rsidP="00D50DD0">
      <w:pPr>
        <w:pStyle w:val="Heading1"/>
        <w:rPr>
          <w:rFonts w:ascii="Arial" w:hAnsi="Arial" w:cs="Arial"/>
          <w:b/>
          <w:bCs/>
          <w:color w:val="auto"/>
          <w:sz w:val="22"/>
          <w:szCs w:val="22"/>
        </w:rPr>
      </w:pPr>
      <w:r>
        <w:rPr>
          <w:rFonts w:ascii="Arial" w:hAnsi="Arial" w:cs="Arial"/>
          <w:b/>
          <w:bCs/>
          <w:color w:val="auto"/>
          <w:sz w:val="22"/>
          <w:szCs w:val="22"/>
        </w:rPr>
        <w:t>Extended Data</w:t>
      </w:r>
      <w:r w:rsidRPr="004C50BC">
        <w:rPr>
          <w:rFonts w:ascii="Arial" w:hAnsi="Arial" w:cs="Arial"/>
          <w:b/>
          <w:bCs/>
          <w:color w:val="auto"/>
          <w:sz w:val="22"/>
          <w:szCs w:val="22"/>
        </w:rPr>
        <w:t xml:space="preserve"> Legends</w:t>
      </w:r>
      <w:bookmarkEnd w:id="0"/>
    </w:p>
    <w:p w14:paraId="3B9EAC56" w14:textId="77777777" w:rsidR="00D50DD0" w:rsidRPr="004C50BC" w:rsidRDefault="00D50DD0" w:rsidP="00D50DD0">
      <w:pPr>
        <w:rPr>
          <w:rFonts w:ascii="Arial" w:hAnsi="Arial" w:cs="Arial"/>
          <w:b/>
          <w:bCs/>
          <w:sz w:val="22"/>
          <w:szCs w:val="22"/>
        </w:rPr>
      </w:pPr>
    </w:p>
    <w:p w14:paraId="51462E84" w14:textId="77777777" w:rsidR="00D50DD0" w:rsidRPr="004C50BC" w:rsidRDefault="00D50DD0" w:rsidP="00D50DD0">
      <w:pPr>
        <w:pStyle w:val="Heading2"/>
      </w:pPr>
      <w:bookmarkStart w:id="2" w:name="_Toc185457695"/>
      <w:r>
        <w:rPr>
          <w:rFonts w:ascii="Arial" w:hAnsi="Arial" w:cs="Arial"/>
          <w:b/>
          <w:bCs/>
          <w:color w:val="auto"/>
          <w:sz w:val="22"/>
          <w:szCs w:val="22"/>
        </w:rPr>
        <w:t>Extended Data</w:t>
      </w:r>
      <w:r w:rsidRPr="004C50BC">
        <w:rPr>
          <w:rFonts w:ascii="Arial" w:hAnsi="Arial" w:cs="Arial"/>
          <w:b/>
          <w:bCs/>
          <w:color w:val="auto"/>
          <w:sz w:val="22"/>
          <w:szCs w:val="22"/>
        </w:rPr>
        <w:t xml:space="preserve"> 1. Gating strategy for analyzing hematopoietic lineages, donor chimerism, and mitochondrial transfer in hematopoietic tissues.</w:t>
      </w:r>
      <w:bookmarkEnd w:id="2"/>
      <w:r w:rsidRPr="004C50BC">
        <w:rPr>
          <w:rFonts w:ascii="Arial" w:hAnsi="Arial" w:cs="Arial"/>
          <w:b/>
          <w:bCs/>
          <w:color w:val="auto"/>
          <w:sz w:val="22"/>
          <w:szCs w:val="22"/>
        </w:rPr>
        <w:t xml:space="preserve"> </w:t>
      </w:r>
    </w:p>
    <w:p w14:paraId="0C735E8A" w14:textId="77777777" w:rsidR="00D50DD0" w:rsidRPr="00702086" w:rsidRDefault="00D50DD0" w:rsidP="00D50DD0">
      <w:pPr>
        <w:spacing w:line="360" w:lineRule="auto"/>
        <w:rPr>
          <w:rFonts w:ascii="Arial" w:hAnsi="Arial" w:cs="Arial"/>
          <w:sz w:val="22"/>
          <w:szCs w:val="22"/>
        </w:rPr>
      </w:pPr>
      <w:r w:rsidRPr="00702086">
        <w:rPr>
          <w:rFonts w:ascii="Arial" w:hAnsi="Arial" w:cs="Arial"/>
          <w:sz w:val="22"/>
          <w:szCs w:val="22"/>
        </w:rPr>
        <w:t>A representative gating strategy for analyzing cells isolated from hematopoietic tissues (bone marrow, spleen, and peripheral blood). The representative flow plots depict the gating strategy used to calculate the percentage of marker-positive cells among CD45+ cells, the percentage of donor-derived GFP+ cells post-transplant, and the proportion of mKate2+ cells indicating mitochondrial transfer. We analyzed hematopoietic tissues of YG8-800 FA mice transplanted with total bone marrow from a double-positive GFP/mKate2+ mouse conditioned with Busulfan + PLX3397, with the analysis conducted 5 months after transplantation.</w:t>
      </w:r>
    </w:p>
    <w:p w14:paraId="40FE8CC7" w14:textId="77777777" w:rsidR="00D50DD0" w:rsidRPr="004C50BC" w:rsidRDefault="00D50DD0" w:rsidP="00D50DD0">
      <w:pPr>
        <w:pStyle w:val="Heading2"/>
        <w:rPr>
          <w:rFonts w:ascii="Arial" w:eastAsiaTheme="minorHAnsi" w:hAnsi="Arial" w:cs="Arial"/>
          <w:color w:val="auto"/>
          <w:sz w:val="22"/>
          <w:szCs w:val="22"/>
        </w:rPr>
      </w:pPr>
    </w:p>
    <w:p w14:paraId="006B946D" w14:textId="77777777" w:rsidR="00D50DD0" w:rsidRPr="004C50BC" w:rsidRDefault="00D50DD0" w:rsidP="00D50DD0">
      <w:pPr>
        <w:pStyle w:val="Heading2"/>
      </w:pPr>
      <w:bookmarkStart w:id="3" w:name="_Toc185457696"/>
      <w:bookmarkStart w:id="4" w:name="OLE_LINK3"/>
      <w:r>
        <w:rPr>
          <w:rFonts w:ascii="Arial" w:hAnsi="Arial" w:cs="Arial"/>
          <w:b/>
          <w:bCs/>
          <w:color w:val="auto"/>
          <w:sz w:val="22"/>
          <w:szCs w:val="22"/>
        </w:rPr>
        <w:t>Extended Data</w:t>
      </w:r>
      <w:r w:rsidRPr="004C50BC">
        <w:rPr>
          <w:rFonts w:ascii="Arial" w:hAnsi="Arial" w:cs="Arial"/>
          <w:b/>
          <w:bCs/>
          <w:color w:val="auto"/>
          <w:sz w:val="22"/>
          <w:szCs w:val="22"/>
        </w:rPr>
        <w:t xml:space="preserve"> 2. Gating strategy for analyzing donor chimerism and mitochondrial  transfer in the brain .</w:t>
      </w:r>
      <w:bookmarkEnd w:id="3"/>
      <w:r w:rsidRPr="004C50BC">
        <w:rPr>
          <w:rFonts w:ascii="Arial" w:hAnsi="Arial" w:cs="Arial"/>
          <w:b/>
          <w:bCs/>
          <w:color w:val="auto"/>
          <w:sz w:val="22"/>
          <w:szCs w:val="22"/>
        </w:rPr>
        <w:t xml:space="preserve"> </w:t>
      </w:r>
    </w:p>
    <w:p w14:paraId="3A29BCD1" w14:textId="77777777" w:rsidR="00D50DD0" w:rsidRPr="004C50BC" w:rsidRDefault="00D50DD0" w:rsidP="00D50DD0">
      <w:pPr>
        <w:spacing w:afterLines="120" w:after="288" w:line="360" w:lineRule="auto"/>
        <w:jc w:val="both"/>
        <w:rPr>
          <w:rFonts w:ascii="Arial" w:hAnsi="Arial" w:cs="Arial"/>
          <w:sz w:val="22"/>
          <w:szCs w:val="22"/>
        </w:rPr>
      </w:pPr>
      <w:r w:rsidRPr="004C50BC">
        <w:rPr>
          <w:rFonts w:ascii="Arial" w:hAnsi="Arial" w:cs="Arial"/>
          <w:sz w:val="22"/>
          <w:szCs w:val="22"/>
        </w:rPr>
        <w:t xml:space="preserve">A representative gating strategy for flow cytometric analysis of cells isolated from the brains of YG8-800 FA mice transplanted with bone marrow cells from GFP/mKate2+ double-positive mice. The plots illustrate the gating strategy used to quantify the percentage of transplant-derived GFP+ cells and to observe mitochondrial movement by measuring mKate2. Gating strategies for </w:t>
      </w:r>
      <w:r w:rsidRPr="004C50BC">
        <w:rPr>
          <w:rFonts w:ascii="Arial" w:hAnsi="Arial" w:cs="Arial"/>
          <w:sz w:val="22"/>
          <w:szCs w:val="22"/>
        </w:rPr>
        <w:lastRenderedPageBreak/>
        <w:t>quantifying the major cell types present in the brain—neurons, astrocytes, oligodendrocytes, and microglia—are also included. The analysis was conducted five months after transplantation</w:t>
      </w:r>
      <w:bookmarkEnd w:id="4"/>
      <w:r w:rsidRPr="004C50BC">
        <w:rPr>
          <w:rFonts w:ascii="Arial" w:hAnsi="Arial" w:cs="Arial"/>
          <w:sz w:val="22"/>
          <w:szCs w:val="22"/>
        </w:rPr>
        <w:t>.</w:t>
      </w:r>
    </w:p>
    <w:p w14:paraId="6E3D5FA3" w14:textId="77777777" w:rsidR="00D50DD0" w:rsidRPr="004C50BC" w:rsidRDefault="00D50DD0" w:rsidP="00D50DD0">
      <w:pPr>
        <w:spacing w:afterLines="120" w:after="288" w:line="360" w:lineRule="auto"/>
        <w:jc w:val="both"/>
        <w:rPr>
          <w:rFonts w:ascii="Arial" w:hAnsi="Arial" w:cs="Arial"/>
          <w:sz w:val="22"/>
          <w:szCs w:val="22"/>
        </w:rPr>
      </w:pPr>
    </w:p>
    <w:p w14:paraId="438AE0FB" w14:textId="77777777" w:rsidR="00D50DD0" w:rsidRPr="004C50BC" w:rsidRDefault="00D50DD0" w:rsidP="00D50DD0">
      <w:pPr>
        <w:pStyle w:val="Heading2"/>
        <w:rPr>
          <w:rFonts w:ascii="Arial" w:hAnsi="Arial" w:cs="Arial"/>
          <w:b/>
          <w:bCs/>
          <w:color w:val="auto"/>
          <w:sz w:val="22"/>
          <w:szCs w:val="22"/>
        </w:rPr>
      </w:pPr>
      <w:bookmarkStart w:id="5" w:name="_Toc185457697"/>
      <w:r>
        <w:rPr>
          <w:rFonts w:ascii="Arial" w:hAnsi="Arial" w:cs="Arial"/>
          <w:b/>
          <w:bCs/>
          <w:color w:val="auto"/>
          <w:sz w:val="22"/>
          <w:szCs w:val="22"/>
        </w:rPr>
        <w:t>Extended Data</w:t>
      </w:r>
      <w:r w:rsidRPr="004C50BC">
        <w:rPr>
          <w:rFonts w:ascii="Arial" w:hAnsi="Arial" w:cs="Arial"/>
          <w:b/>
          <w:bCs/>
          <w:color w:val="auto"/>
          <w:sz w:val="22"/>
          <w:szCs w:val="22"/>
        </w:rPr>
        <w:t xml:space="preserve"> 3. UMAP Representations </w:t>
      </w:r>
      <w:r>
        <w:rPr>
          <w:rFonts w:ascii="Arial" w:hAnsi="Arial" w:cs="Arial"/>
          <w:b/>
          <w:bCs/>
          <w:color w:val="auto"/>
          <w:sz w:val="22"/>
          <w:szCs w:val="22"/>
        </w:rPr>
        <w:t>o</w:t>
      </w:r>
      <w:r w:rsidRPr="004C50BC">
        <w:rPr>
          <w:rFonts w:ascii="Arial" w:hAnsi="Arial" w:cs="Arial"/>
          <w:b/>
          <w:bCs/>
          <w:color w:val="auto"/>
          <w:sz w:val="22"/>
          <w:szCs w:val="22"/>
        </w:rPr>
        <w:t>f Representative Marker Gene Expression for the Twelve CNS Cell Types.</w:t>
      </w:r>
      <w:bookmarkEnd w:id="5"/>
      <w:r w:rsidRPr="004C50BC">
        <w:rPr>
          <w:rFonts w:ascii="Arial" w:hAnsi="Arial" w:cs="Arial"/>
          <w:b/>
          <w:bCs/>
          <w:color w:val="auto"/>
          <w:sz w:val="22"/>
          <w:szCs w:val="22"/>
        </w:rPr>
        <w:t xml:space="preserve"> </w:t>
      </w:r>
    </w:p>
    <w:p w14:paraId="41E5E542" w14:textId="77777777" w:rsidR="00D50DD0" w:rsidRPr="004C50BC" w:rsidRDefault="00D50DD0" w:rsidP="00D50DD0">
      <w:pPr>
        <w:spacing w:line="360" w:lineRule="auto"/>
        <w:jc w:val="both"/>
        <w:rPr>
          <w:rFonts w:ascii="Arial" w:hAnsi="Arial" w:cs="Arial"/>
          <w:sz w:val="22"/>
          <w:szCs w:val="22"/>
        </w:rPr>
      </w:pPr>
      <w:r w:rsidRPr="004C50BC">
        <w:rPr>
          <w:rFonts w:ascii="Arial" w:hAnsi="Arial" w:cs="Arial"/>
          <w:sz w:val="22"/>
          <w:szCs w:val="22"/>
        </w:rPr>
        <w:t xml:space="preserve">Astrocytes: </w:t>
      </w:r>
      <w:r w:rsidRPr="004C50BC">
        <w:rPr>
          <w:rFonts w:ascii="Arial" w:hAnsi="Arial" w:cs="Arial"/>
          <w:i/>
          <w:iCs/>
          <w:sz w:val="22"/>
          <w:szCs w:val="22"/>
        </w:rPr>
        <w:t>Slc1a2</w:t>
      </w:r>
      <w:r w:rsidRPr="004C50BC">
        <w:rPr>
          <w:rFonts w:ascii="Arial" w:hAnsi="Arial" w:cs="Arial"/>
          <w:sz w:val="22"/>
          <w:szCs w:val="22"/>
        </w:rPr>
        <w:t xml:space="preserve">, Pericytes: </w:t>
      </w:r>
      <w:r w:rsidRPr="004C50BC">
        <w:rPr>
          <w:rFonts w:ascii="Arial" w:hAnsi="Arial" w:cs="Arial"/>
          <w:i/>
          <w:iCs/>
          <w:sz w:val="22"/>
          <w:szCs w:val="22"/>
        </w:rPr>
        <w:t>Pdgfrb</w:t>
      </w:r>
      <w:r w:rsidRPr="004C50BC">
        <w:rPr>
          <w:rFonts w:ascii="Arial" w:hAnsi="Arial" w:cs="Arial"/>
          <w:sz w:val="22"/>
          <w:szCs w:val="22"/>
        </w:rPr>
        <w:t xml:space="preserve">, ABC: </w:t>
      </w:r>
      <w:r w:rsidRPr="004C50BC">
        <w:rPr>
          <w:rFonts w:ascii="Arial" w:hAnsi="Arial" w:cs="Arial"/>
          <w:i/>
          <w:iCs/>
          <w:sz w:val="22"/>
          <w:szCs w:val="22"/>
        </w:rPr>
        <w:t>Slc4a71</w:t>
      </w:r>
      <w:r w:rsidRPr="004C50BC">
        <w:rPr>
          <w:rFonts w:ascii="Arial" w:hAnsi="Arial" w:cs="Arial"/>
          <w:sz w:val="22"/>
          <w:szCs w:val="22"/>
        </w:rPr>
        <w:t xml:space="preserve">, Oligodendrocytes: </w:t>
      </w:r>
      <w:r w:rsidRPr="004C50BC">
        <w:rPr>
          <w:rFonts w:ascii="Arial" w:hAnsi="Arial" w:cs="Arial"/>
          <w:i/>
          <w:iCs/>
          <w:sz w:val="22"/>
          <w:szCs w:val="22"/>
        </w:rPr>
        <w:t>Mag</w:t>
      </w:r>
      <w:r w:rsidRPr="004C50BC">
        <w:rPr>
          <w:rFonts w:ascii="Arial" w:hAnsi="Arial" w:cs="Arial"/>
          <w:sz w:val="22"/>
          <w:szCs w:val="22"/>
        </w:rPr>
        <w:t xml:space="preserve">, Ependymal Cells: </w:t>
      </w:r>
      <w:r w:rsidRPr="004C50BC">
        <w:rPr>
          <w:rFonts w:ascii="Arial" w:hAnsi="Arial" w:cs="Arial"/>
          <w:i/>
          <w:iCs/>
          <w:sz w:val="22"/>
          <w:szCs w:val="22"/>
        </w:rPr>
        <w:t>Tmem212</w:t>
      </w:r>
      <w:r w:rsidRPr="004C50BC">
        <w:rPr>
          <w:rFonts w:ascii="Arial" w:hAnsi="Arial" w:cs="Arial"/>
          <w:sz w:val="22"/>
          <w:szCs w:val="22"/>
        </w:rPr>
        <w:t xml:space="preserve">, OPC: </w:t>
      </w:r>
      <w:r w:rsidRPr="004C50BC">
        <w:rPr>
          <w:rFonts w:ascii="Arial" w:hAnsi="Arial" w:cs="Arial"/>
          <w:i/>
          <w:iCs/>
          <w:sz w:val="22"/>
          <w:szCs w:val="22"/>
        </w:rPr>
        <w:t>Ccn3</w:t>
      </w:r>
      <w:r w:rsidRPr="004C50BC">
        <w:rPr>
          <w:rFonts w:ascii="Arial" w:hAnsi="Arial" w:cs="Arial"/>
          <w:sz w:val="22"/>
          <w:szCs w:val="22"/>
        </w:rPr>
        <w:t xml:space="preserve">, OEG: </w:t>
      </w:r>
      <w:r w:rsidRPr="004C50BC">
        <w:rPr>
          <w:rFonts w:ascii="Arial" w:hAnsi="Arial" w:cs="Arial"/>
          <w:i/>
          <w:iCs/>
          <w:sz w:val="22"/>
          <w:szCs w:val="22"/>
        </w:rPr>
        <w:t>Npy,</w:t>
      </w:r>
      <w:r w:rsidRPr="004C50BC">
        <w:rPr>
          <w:rFonts w:ascii="Arial" w:hAnsi="Arial" w:cs="Arial"/>
          <w:sz w:val="22"/>
          <w:szCs w:val="22"/>
        </w:rPr>
        <w:t xml:space="preserve"> Macrophages: </w:t>
      </w:r>
      <w:r w:rsidRPr="004C50BC">
        <w:rPr>
          <w:rFonts w:ascii="Arial" w:hAnsi="Arial" w:cs="Arial"/>
          <w:i/>
          <w:iCs/>
          <w:sz w:val="22"/>
          <w:szCs w:val="22"/>
        </w:rPr>
        <w:t>Lyz2</w:t>
      </w:r>
      <w:r w:rsidRPr="004C50BC">
        <w:rPr>
          <w:rFonts w:ascii="Arial" w:hAnsi="Arial" w:cs="Arial"/>
          <w:sz w:val="22"/>
          <w:szCs w:val="22"/>
        </w:rPr>
        <w:t xml:space="preserve">, Neurons: </w:t>
      </w:r>
      <w:r w:rsidRPr="004C50BC">
        <w:rPr>
          <w:rFonts w:ascii="Arial" w:hAnsi="Arial" w:cs="Arial"/>
          <w:i/>
          <w:iCs/>
          <w:sz w:val="22"/>
          <w:szCs w:val="22"/>
        </w:rPr>
        <w:t>Syt1</w:t>
      </w:r>
      <w:r w:rsidRPr="004C50BC">
        <w:rPr>
          <w:rFonts w:ascii="Arial" w:hAnsi="Arial" w:cs="Arial"/>
          <w:sz w:val="22"/>
          <w:szCs w:val="22"/>
        </w:rPr>
        <w:t xml:space="preserve">, Microglia: </w:t>
      </w:r>
      <w:r w:rsidRPr="004C50BC">
        <w:rPr>
          <w:rFonts w:ascii="Arial" w:hAnsi="Arial" w:cs="Arial"/>
          <w:i/>
          <w:iCs/>
          <w:sz w:val="22"/>
          <w:szCs w:val="22"/>
        </w:rPr>
        <w:t>P2ry12</w:t>
      </w:r>
      <w:r w:rsidRPr="004C50BC">
        <w:rPr>
          <w:rFonts w:ascii="Arial" w:hAnsi="Arial" w:cs="Arial"/>
          <w:sz w:val="22"/>
          <w:szCs w:val="22"/>
        </w:rPr>
        <w:t xml:space="preserve">, Endothelial cells: </w:t>
      </w:r>
      <w:r w:rsidRPr="004C50BC">
        <w:rPr>
          <w:rFonts w:ascii="Arial" w:hAnsi="Arial" w:cs="Arial"/>
          <w:i/>
          <w:iCs/>
          <w:sz w:val="22"/>
          <w:szCs w:val="22"/>
        </w:rPr>
        <w:t>Flt1</w:t>
      </w:r>
      <w:r w:rsidRPr="004C50BC">
        <w:rPr>
          <w:rFonts w:ascii="Arial" w:hAnsi="Arial" w:cs="Arial"/>
          <w:sz w:val="22"/>
          <w:szCs w:val="22"/>
        </w:rPr>
        <w:t xml:space="preserve">, CPCs: </w:t>
      </w:r>
      <w:r w:rsidRPr="004C50BC">
        <w:rPr>
          <w:rFonts w:ascii="Arial" w:hAnsi="Arial" w:cs="Arial"/>
          <w:i/>
          <w:iCs/>
          <w:sz w:val="22"/>
          <w:szCs w:val="22"/>
        </w:rPr>
        <w:t>Cox8b</w:t>
      </w:r>
      <w:r w:rsidRPr="004C50BC">
        <w:rPr>
          <w:rFonts w:ascii="Arial" w:hAnsi="Arial" w:cs="Arial"/>
          <w:sz w:val="22"/>
          <w:szCs w:val="22"/>
        </w:rPr>
        <w:t>.</w:t>
      </w:r>
    </w:p>
    <w:p w14:paraId="2B98FA48" w14:textId="77777777" w:rsidR="00D50DD0" w:rsidRPr="004C50BC" w:rsidRDefault="00D50DD0" w:rsidP="00D50DD0">
      <w:pPr>
        <w:spacing w:line="360" w:lineRule="auto"/>
        <w:jc w:val="both"/>
        <w:rPr>
          <w:rFonts w:ascii="Arial" w:hAnsi="Arial" w:cs="Arial"/>
          <w:sz w:val="22"/>
          <w:szCs w:val="22"/>
        </w:rPr>
      </w:pPr>
    </w:p>
    <w:p w14:paraId="26C665D0" w14:textId="77777777" w:rsidR="00D50DD0" w:rsidRPr="004C50BC" w:rsidRDefault="00D50DD0" w:rsidP="00D50DD0">
      <w:pPr>
        <w:pStyle w:val="Heading2"/>
        <w:spacing w:before="0" w:after="0" w:line="360" w:lineRule="auto"/>
        <w:rPr>
          <w:rFonts w:ascii="Arial" w:hAnsi="Arial" w:cs="Arial"/>
          <w:color w:val="auto"/>
          <w:sz w:val="22"/>
          <w:szCs w:val="22"/>
        </w:rPr>
      </w:pPr>
    </w:p>
    <w:p w14:paraId="243CA53F" w14:textId="77777777" w:rsidR="00D50DD0" w:rsidRPr="004C50BC" w:rsidRDefault="00D50DD0" w:rsidP="00D50DD0">
      <w:pPr>
        <w:pStyle w:val="Heading2"/>
        <w:spacing w:before="0" w:after="0" w:line="360" w:lineRule="auto"/>
        <w:rPr>
          <w:rFonts w:ascii="Arial" w:hAnsi="Arial" w:cs="Arial"/>
          <w:b/>
          <w:bCs/>
          <w:color w:val="auto"/>
          <w:sz w:val="22"/>
          <w:szCs w:val="22"/>
        </w:rPr>
      </w:pPr>
      <w:bookmarkStart w:id="6" w:name="_Toc185457698"/>
      <w:r>
        <w:rPr>
          <w:rFonts w:ascii="Arial" w:hAnsi="Arial" w:cs="Arial"/>
          <w:b/>
          <w:bCs/>
          <w:color w:val="auto"/>
          <w:sz w:val="22"/>
          <w:szCs w:val="22"/>
        </w:rPr>
        <w:t>Extended Data</w:t>
      </w:r>
      <w:r w:rsidRPr="004C50BC">
        <w:rPr>
          <w:rFonts w:ascii="Arial" w:hAnsi="Arial" w:cs="Arial"/>
          <w:b/>
          <w:bCs/>
          <w:color w:val="auto"/>
          <w:sz w:val="22"/>
          <w:szCs w:val="22"/>
        </w:rPr>
        <w:t xml:space="preserve"> 4. Heatmap of Gene Expression Across CNS Cell Types Following Mitochondrial Uptake</w:t>
      </w:r>
      <w:bookmarkEnd w:id="6"/>
    </w:p>
    <w:p w14:paraId="459C1CB5" w14:textId="77777777" w:rsidR="00D50DD0" w:rsidRPr="004C50BC" w:rsidRDefault="00D50DD0" w:rsidP="00D50DD0">
      <w:pPr>
        <w:spacing w:line="360" w:lineRule="auto"/>
        <w:jc w:val="both"/>
        <w:rPr>
          <w:rFonts w:ascii="Arial" w:hAnsi="Arial" w:cs="Arial"/>
          <w:sz w:val="22"/>
          <w:szCs w:val="22"/>
        </w:rPr>
      </w:pPr>
      <w:r w:rsidRPr="004C50BC">
        <w:rPr>
          <w:rFonts w:ascii="Arial" w:hAnsi="Arial" w:cs="Arial"/>
          <w:sz w:val="22"/>
          <w:szCs w:val="22"/>
        </w:rPr>
        <w:t>The heatmap shows the expression patterns of selected genes across various CNS cell types after mitochondrial acquisition, including choroid plexus cells, endothelial cells, macrophages, oligodendrocytes, neurons, ependymal cells, and additional glial subtypes. Each row represents a gene, and each column represents a different cell type. The color scale indicates relative expression levels, with yellow indicating high expression, purple indicating low expression, and black representing intermediate expression levels. Distinct clusters of gene expression patterns are observed, highlighting cell type-specific transcriptional responses.</w:t>
      </w:r>
    </w:p>
    <w:p w14:paraId="110615C9" w14:textId="77777777" w:rsidR="00D50DD0" w:rsidRPr="0086598B" w:rsidRDefault="00D50DD0" w:rsidP="00D50DD0">
      <w:pPr>
        <w:pStyle w:val="Heading2"/>
        <w:rPr>
          <w:rFonts w:ascii="Arial" w:hAnsi="Arial" w:cs="Arial"/>
          <w:color w:val="auto"/>
          <w:sz w:val="22"/>
          <w:szCs w:val="22"/>
        </w:rPr>
      </w:pPr>
    </w:p>
    <w:p w14:paraId="317E852E" w14:textId="77777777" w:rsidR="00D50DD0" w:rsidRDefault="00D50DD0" w:rsidP="00D50DD0">
      <w:pPr>
        <w:spacing w:line="360" w:lineRule="auto"/>
        <w:jc w:val="both"/>
        <w:rPr>
          <w:rFonts w:ascii="Arial" w:hAnsi="Arial" w:cs="Arial"/>
          <w:sz w:val="22"/>
          <w:szCs w:val="22"/>
        </w:rPr>
      </w:pPr>
      <w:bookmarkStart w:id="7" w:name="_Toc185457699"/>
      <w:r w:rsidRPr="0086598B">
        <w:rPr>
          <w:rFonts w:ascii="Arial" w:hAnsi="Arial" w:cs="Arial"/>
          <w:b/>
          <w:bCs/>
          <w:sz w:val="22"/>
          <w:szCs w:val="22"/>
        </w:rPr>
        <w:t>Extended Data 5. Analysis of Downregulated Genes and Associated Pathways in mKate2+ Cells Across CNS Cell Types.</w:t>
      </w:r>
      <w:bookmarkEnd w:id="7"/>
    </w:p>
    <w:p w14:paraId="5DC80249" w14:textId="77777777" w:rsidR="00D50DD0" w:rsidRDefault="00D50DD0" w:rsidP="00D50DD0">
      <w:pPr>
        <w:spacing w:line="360" w:lineRule="auto"/>
        <w:jc w:val="both"/>
        <w:rPr>
          <w:rFonts w:ascii="Arial" w:hAnsi="Arial" w:cs="Arial"/>
          <w:sz w:val="22"/>
          <w:szCs w:val="22"/>
        </w:rPr>
      </w:pPr>
      <w:r w:rsidRPr="0086598B">
        <w:rPr>
          <w:rFonts w:ascii="Arial" w:hAnsi="Arial" w:cs="Arial"/>
          <w:b/>
          <w:bCs/>
          <w:sz w:val="22"/>
          <w:szCs w:val="22"/>
        </w:rPr>
        <w:t>(A)</w:t>
      </w:r>
      <w:r w:rsidRPr="0086598B">
        <w:rPr>
          <w:rFonts w:ascii="Arial" w:hAnsi="Arial" w:cs="Arial"/>
          <w:sz w:val="22"/>
          <w:szCs w:val="22"/>
        </w:rPr>
        <w:t xml:space="preserve"> Heatmap showing the expression levels of commonly downregulated genes in various CNS cell types in mKate2+ cells, including endothelial cells (EC), choroid plexus epithelial cells (CPC),  astrocytes (ASC), neurons (NEU), macrophages (MAC), ependymal cells (EPC), microglia (MG), oligodendrocytes (OLG), arachnoid barrier cells (ABC), oligodendrocyte precursor cells (OPC), pericytes (PC), and olfactory ensheathing glia (OEG). The color scale represents relative expression changes, with shades of blue indicating downregulation, red indicating upregulation, and gray representing non-detected data.</w:t>
      </w:r>
    </w:p>
    <w:p w14:paraId="5D0C9CC9" w14:textId="77777777" w:rsidR="00D50DD0" w:rsidRPr="0086598B" w:rsidRDefault="00D50DD0" w:rsidP="00D50DD0">
      <w:pPr>
        <w:spacing w:line="360" w:lineRule="auto"/>
        <w:jc w:val="both"/>
        <w:rPr>
          <w:rFonts w:ascii="Arial" w:hAnsi="Arial" w:cs="Arial"/>
          <w:sz w:val="22"/>
          <w:szCs w:val="22"/>
        </w:rPr>
      </w:pPr>
      <w:r w:rsidRPr="0086598B">
        <w:rPr>
          <w:rFonts w:ascii="Arial" w:hAnsi="Arial" w:cs="Arial"/>
          <w:sz w:val="22"/>
          <w:szCs w:val="22"/>
        </w:rPr>
        <w:t xml:space="preserve"> </w:t>
      </w:r>
      <w:r w:rsidRPr="0086598B">
        <w:rPr>
          <w:rFonts w:ascii="Arial" w:hAnsi="Arial" w:cs="Arial"/>
          <w:b/>
          <w:bCs/>
          <w:sz w:val="22"/>
          <w:szCs w:val="22"/>
        </w:rPr>
        <w:t>(B)</w:t>
      </w:r>
      <w:r w:rsidRPr="0086598B">
        <w:rPr>
          <w:rFonts w:ascii="Arial" w:hAnsi="Arial" w:cs="Arial"/>
          <w:sz w:val="22"/>
          <w:szCs w:val="22"/>
        </w:rPr>
        <w:t xml:space="preserve"> Network map illustrating enriched biological processes and pathways associated with the commonly downregulated genes across multiple cell types. Nodes represent individual pathways, colored according to functional categories, with node size reflecting the significance of </w:t>
      </w:r>
      <w:r w:rsidRPr="0086598B">
        <w:rPr>
          <w:rFonts w:ascii="Arial" w:hAnsi="Arial" w:cs="Arial"/>
          <w:sz w:val="22"/>
          <w:szCs w:val="22"/>
        </w:rPr>
        <w:lastRenderedPageBreak/>
        <w:t xml:space="preserve">enrichment. Major clusters include processes related to mRNA processing (red), RNA stabilization (orange), protein folding (green), NOD1/2 signaling pathway (dark purple), glycogen metabolic process (yellow), and mitophagy (light purple). </w:t>
      </w:r>
    </w:p>
    <w:p w14:paraId="47E7A4EF" w14:textId="77777777" w:rsidR="00D50DD0" w:rsidRPr="004C50BC" w:rsidRDefault="00D50DD0" w:rsidP="00D50DD0">
      <w:pPr>
        <w:spacing w:after="100" w:afterAutospacing="1" w:line="360" w:lineRule="auto"/>
        <w:jc w:val="both"/>
        <w:rPr>
          <w:rFonts w:ascii="Arial" w:hAnsi="Arial" w:cs="Arial"/>
          <w:sz w:val="22"/>
          <w:szCs w:val="22"/>
        </w:rPr>
      </w:pPr>
    </w:p>
    <w:p w14:paraId="1CAF3D78" w14:textId="77777777" w:rsidR="00D50DD0" w:rsidRPr="004C50BC" w:rsidRDefault="00D50DD0" w:rsidP="00D50DD0">
      <w:pPr>
        <w:pStyle w:val="Heading2"/>
        <w:rPr>
          <w:rFonts w:ascii="Arial" w:hAnsi="Arial" w:cs="Arial"/>
          <w:b/>
          <w:bCs/>
          <w:color w:val="auto"/>
          <w:sz w:val="22"/>
          <w:szCs w:val="22"/>
        </w:rPr>
      </w:pPr>
      <w:bookmarkStart w:id="8" w:name="_Toc185457700"/>
      <w:bookmarkStart w:id="9" w:name="OLE_LINK4"/>
      <w:r>
        <w:rPr>
          <w:rFonts w:ascii="Arial" w:hAnsi="Arial" w:cs="Arial"/>
          <w:b/>
          <w:bCs/>
          <w:color w:val="auto"/>
          <w:sz w:val="22"/>
          <w:szCs w:val="22"/>
        </w:rPr>
        <w:t>Extended Data</w:t>
      </w:r>
      <w:r w:rsidRPr="004C50BC">
        <w:rPr>
          <w:rFonts w:ascii="Arial" w:hAnsi="Arial" w:cs="Arial"/>
          <w:b/>
          <w:bCs/>
          <w:color w:val="auto"/>
          <w:sz w:val="22"/>
          <w:szCs w:val="22"/>
        </w:rPr>
        <w:t xml:space="preserve"> 6. Changes In Mitochondrial Subunit Expression in FA Mouse Brain Cells</w:t>
      </w:r>
      <w:bookmarkEnd w:id="8"/>
    </w:p>
    <w:p w14:paraId="09D5D381" w14:textId="77777777" w:rsidR="00D50DD0" w:rsidRPr="004C50BC" w:rsidRDefault="00D50DD0" w:rsidP="00D50DD0">
      <w:pPr>
        <w:spacing w:afterLines="120" w:after="288" w:line="360" w:lineRule="auto"/>
        <w:jc w:val="both"/>
        <w:rPr>
          <w:rFonts w:ascii="Arial" w:hAnsi="Arial" w:cs="Arial"/>
          <w:sz w:val="22"/>
          <w:szCs w:val="22"/>
        </w:rPr>
      </w:pPr>
      <w:r w:rsidRPr="004C50BC">
        <w:rPr>
          <w:rFonts w:ascii="Arial" w:hAnsi="Arial" w:cs="Arial"/>
          <w:sz w:val="22"/>
          <w:szCs w:val="22"/>
        </w:rPr>
        <w:t>(A-E) Heatmaps showing the log2 fold change (logFC) for Complex I NADH dehydrogenase (A), Complex II Succinate dehydrogenase (B), Complex III Coenzyme Q-cytochrome c reductase (C), Complex IV Cytochrome c oxidase (D), and Complex V ATP synthase (E). Each row represents a gene, and each column represents a different CNS cell type. The color scale indicates fold change, with red shades representing over</w:t>
      </w:r>
      <w:r>
        <w:rPr>
          <w:rFonts w:ascii="Arial" w:hAnsi="Arial" w:cs="Arial"/>
          <w:sz w:val="22"/>
          <w:szCs w:val="22"/>
        </w:rPr>
        <w:t>-</w:t>
      </w:r>
      <w:r w:rsidRPr="004C50BC">
        <w:rPr>
          <w:rFonts w:ascii="Arial" w:hAnsi="Arial" w:cs="Arial"/>
          <w:sz w:val="22"/>
          <w:szCs w:val="22"/>
        </w:rPr>
        <w:t>expression, blue shades indicating under</w:t>
      </w:r>
      <w:r>
        <w:rPr>
          <w:rFonts w:ascii="Arial" w:hAnsi="Arial" w:cs="Arial"/>
          <w:sz w:val="22"/>
          <w:szCs w:val="22"/>
        </w:rPr>
        <w:t>-</w:t>
      </w:r>
      <w:r w:rsidRPr="004C50BC">
        <w:rPr>
          <w:rFonts w:ascii="Arial" w:hAnsi="Arial" w:cs="Arial"/>
          <w:sz w:val="22"/>
          <w:szCs w:val="22"/>
        </w:rPr>
        <w:t>expression, and dark gray representing non-significant data.</w:t>
      </w:r>
    </w:p>
    <w:bookmarkEnd w:id="9"/>
    <w:p w14:paraId="6B1FA419" w14:textId="77777777" w:rsidR="00D50DD0" w:rsidRPr="004C50BC" w:rsidRDefault="00D50DD0" w:rsidP="00D50DD0">
      <w:pPr>
        <w:spacing w:after="100" w:afterAutospacing="1" w:line="360" w:lineRule="auto"/>
        <w:jc w:val="both"/>
        <w:rPr>
          <w:rFonts w:ascii="Arial" w:hAnsi="Arial" w:cs="Arial"/>
          <w:sz w:val="22"/>
          <w:szCs w:val="22"/>
        </w:rPr>
      </w:pPr>
    </w:p>
    <w:p w14:paraId="37E741AD" w14:textId="77777777" w:rsidR="00D50DD0" w:rsidRPr="004C50BC" w:rsidRDefault="00D50DD0" w:rsidP="00D50DD0">
      <w:pPr>
        <w:pStyle w:val="Heading2"/>
        <w:rPr>
          <w:rFonts w:ascii="Arial" w:hAnsi="Arial" w:cs="Arial"/>
          <w:color w:val="auto"/>
          <w:sz w:val="22"/>
          <w:szCs w:val="22"/>
        </w:rPr>
      </w:pPr>
    </w:p>
    <w:p w14:paraId="3DCF6795" w14:textId="77777777" w:rsidR="00D50DD0" w:rsidRPr="004C50BC" w:rsidRDefault="00D50DD0" w:rsidP="00D50DD0">
      <w:pPr>
        <w:pStyle w:val="Heading2"/>
        <w:rPr>
          <w:rFonts w:ascii="Arial" w:hAnsi="Arial" w:cs="Arial"/>
          <w:b/>
          <w:bCs/>
          <w:color w:val="auto"/>
          <w:sz w:val="22"/>
          <w:szCs w:val="22"/>
        </w:rPr>
      </w:pPr>
      <w:bookmarkStart w:id="10" w:name="_Toc185457701"/>
      <w:r>
        <w:rPr>
          <w:rFonts w:ascii="Arial" w:hAnsi="Arial" w:cs="Arial"/>
          <w:b/>
          <w:bCs/>
          <w:color w:val="auto"/>
          <w:sz w:val="22"/>
          <w:szCs w:val="22"/>
        </w:rPr>
        <w:t>Extended Data</w:t>
      </w:r>
      <w:r w:rsidRPr="004C50BC">
        <w:rPr>
          <w:rFonts w:ascii="Arial" w:hAnsi="Arial" w:cs="Arial"/>
          <w:b/>
          <w:bCs/>
          <w:color w:val="auto"/>
          <w:sz w:val="22"/>
          <w:szCs w:val="22"/>
        </w:rPr>
        <w:t xml:space="preserve"> 7. Expression of Antioxidant Defense, Krebs Cycle, and Transcriptional Repression Genes in mKate2+ Cells Across CNS Cell Types</w:t>
      </w:r>
      <w:bookmarkEnd w:id="10"/>
    </w:p>
    <w:p w14:paraId="58C5A1E2" w14:textId="77777777" w:rsidR="00D50DD0" w:rsidRPr="004C50BC" w:rsidRDefault="00D50DD0" w:rsidP="00D50DD0">
      <w:pPr>
        <w:spacing w:line="360" w:lineRule="auto"/>
        <w:jc w:val="both"/>
        <w:rPr>
          <w:rFonts w:ascii="Arial" w:hAnsi="Arial" w:cs="Arial"/>
          <w:sz w:val="22"/>
          <w:szCs w:val="22"/>
        </w:rPr>
      </w:pPr>
      <w:r w:rsidRPr="004C50BC">
        <w:rPr>
          <w:rFonts w:ascii="Arial" w:hAnsi="Arial" w:cs="Arial"/>
          <w:b/>
          <w:bCs/>
          <w:sz w:val="22"/>
          <w:szCs w:val="22"/>
        </w:rPr>
        <w:t>(A)</w:t>
      </w:r>
      <w:r w:rsidRPr="004C50BC">
        <w:rPr>
          <w:rFonts w:ascii="Arial" w:hAnsi="Arial" w:cs="Arial"/>
          <w:sz w:val="22"/>
          <w:szCs w:val="22"/>
        </w:rPr>
        <w:t xml:space="preserve"> Heatmap of antioxidant defense genes (</w:t>
      </w:r>
      <w:r w:rsidRPr="00101F4E">
        <w:rPr>
          <w:rFonts w:ascii="Arial" w:hAnsi="Arial" w:cs="Arial"/>
          <w:i/>
          <w:iCs/>
          <w:sz w:val="22"/>
          <w:szCs w:val="22"/>
        </w:rPr>
        <w:t>Prdx2, Prdx5, Sod1, and Sod2</w:t>
      </w:r>
      <w:r w:rsidRPr="004C50BC">
        <w:rPr>
          <w:rFonts w:ascii="Arial" w:hAnsi="Arial" w:cs="Arial"/>
          <w:sz w:val="22"/>
          <w:szCs w:val="22"/>
        </w:rPr>
        <w:t>) across various CNS cell types, including endothelial cells (EC), choroid plexus epithelial cells (CPC),  astrocytes (ASC), neurons (NEU), macrophages (MAC), ependymal cells (EPC), microglia (MG), oligodendrocytes (OLG), arachnoid barrier cells (ABC), oligodendrocyte precursor cells (OPC), pericytes (PC), and olfactory ensheathing glia (OEG). These genes are typically downregulated in FA but show upregulation in mKate2+ cells, suggesting a recovery in antioxidant defense capacity.</w:t>
      </w:r>
    </w:p>
    <w:p w14:paraId="30E04461" w14:textId="77777777" w:rsidR="00D50DD0" w:rsidRPr="004C50BC" w:rsidRDefault="00D50DD0" w:rsidP="00D50DD0">
      <w:pPr>
        <w:spacing w:line="360" w:lineRule="auto"/>
        <w:jc w:val="both"/>
        <w:rPr>
          <w:rFonts w:ascii="Arial" w:hAnsi="Arial" w:cs="Arial"/>
          <w:sz w:val="22"/>
          <w:szCs w:val="22"/>
        </w:rPr>
      </w:pPr>
      <w:r w:rsidRPr="004C50BC">
        <w:rPr>
          <w:rFonts w:ascii="Arial" w:hAnsi="Arial" w:cs="Arial"/>
          <w:b/>
          <w:bCs/>
          <w:sz w:val="22"/>
          <w:szCs w:val="22"/>
        </w:rPr>
        <w:t>(B)</w:t>
      </w:r>
      <w:r w:rsidRPr="004C50BC">
        <w:rPr>
          <w:rFonts w:ascii="Arial" w:hAnsi="Arial" w:cs="Arial"/>
          <w:sz w:val="22"/>
          <w:szCs w:val="22"/>
        </w:rPr>
        <w:t xml:space="preserve"> Heatmap of Krebs cycle genes (</w:t>
      </w:r>
      <w:r w:rsidRPr="00101F4E">
        <w:rPr>
          <w:rFonts w:ascii="Arial" w:hAnsi="Arial" w:cs="Arial"/>
          <w:i/>
          <w:iCs/>
          <w:sz w:val="22"/>
          <w:szCs w:val="22"/>
        </w:rPr>
        <w:t>Aco2 and Mdh1</w:t>
      </w:r>
      <w:r w:rsidRPr="004C50BC">
        <w:rPr>
          <w:rFonts w:ascii="Arial" w:hAnsi="Arial" w:cs="Arial"/>
          <w:sz w:val="22"/>
          <w:szCs w:val="22"/>
        </w:rPr>
        <w:t>) across CNS cell types. These genes are usually downregulated in FA but are upregulated in mKate2+ cells, indicating potential restoration of metabolic function in these cells.</w:t>
      </w:r>
    </w:p>
    <w:p w14:paraId="26ABF895" w14:textId="77777777" w:rsidR="00D50DD0" w:rsidRPr="004C50BC" w:rsidRDefault="00D50DD0" w:rsidP="00D50DD0">
      <w:pPr>
        <w:spacing w:line="360" w:lineRule="auto"/>
        <w:jc w:val="both"/>
        <w:rPr>
          <w:rFonts w:ascii="Arial" w:hAnsi="Arial" w:cs="Arial"/>
          <w:sz w:val="22"/>
          <w:szCs w:val="22"/>
        </w:rPr>
      </w:pPr>
      <w:r w:rsidRPr="004C50BC">
        <w:rPr>
          <w:rFonts w:ascii="Arial" w:hAnsi="Arial" w:cs="Arial"/>
          <w:b/>
          <w:bCs/>
          <w:sz w:val="22"/>
          <w:szCs w:val="22"/>
        </w:rPr>
        <w:t>(C)</w:t>
      </w:r>
      <w:r w:rsidRPr="004C50BC">
        <w:rPr>
          <w:rFonts w:ascii="Arial" w:hAnsi="Arial" w:cs="Arial"/>
          <w:sz w:val="22"/>
          <w:szCs w:val="22"/>
        </w:rPr>
        <w:t xml:space="preserve"> Heatmap of genes associated with transcriptional and translational repression (</w:t>
      </w:r>
      <w:r w:rsidRPr="00101F4E">
        <w:rPr>
          <w:rFonts w:ascii="Arial" w:hAnsi="Arial" w:cs="Arial"/>
          <w:i/>
          <w:iCs/>
          <w:sz w:val="22"/>
          <w:szCs w:val="22"/>
        </w:rPr>
        <w:t>Ehmt2, Eif2ak4, Paip2b, Suds3, and Tcf25</w:t>
      </w:r>
      <w:r w:rsidRPr="004C50BC">
        <w:rPr>
          <w:rFonts w:ascii="Arial" w:hAnsi="Arial" w:cs="Arial"/>
          <w:sz w:val="22"/>
          <w:szCs w:val="22"/>
        </w:rPr>
        <w:t>). These genes are typically upregulated in FA but show downregulation in mKate2+ cells, suggesting a reversal of transcriptional repression in certain cell types.</w:t>
      </w:r>
    </w:p>
    <w:p w14:paraId="2E6C4093" w14:textId="77777777" w:rsidR="00D50DD0" w:rsidRPr="004C50BC" w:rsidRDefault="00D50DD0" w:rsidP="00D50DD0">
      <w:pPr>
        <w:spacing w:line="360" w:lineRule="auto"/>
        <w:jc w:val="both"/>
        <w:rPr>
          <w:rFonts w:ascii="Arial" w:hAnsi="Arial" w:cs="Arial"/>
          <w:sz w:val="22"/>
          <w:szCs w:val="22"/>
        </w:rPr>
      </w:pPr>
      <w:r w:rsidRPr="004C50BC">
        <w:rPr>
          <w:rFonts w:ascii="Arial" w:hAnsi="Arial" w:cs="Arial"/>
          <w:sz w:val="22"/>
          <w:szCs w:val="22"/>
        </w:rPr>
        <w:t>The color scale represents relative expression changes, with shades of red indicating upregulation, shades of blue indicating downregulation, and gray representing non-significant data.</w:t>
      </w:r>
    </w:p>
    <w:p w14:paraId="09F61615" w14:textId="77777777" w:rsidR="00D50DD0" w:rsidRPr="004C50BC" w:rsidRDefault="00D50DD0" w:rsidP="00D50DD0">
      <w:pPr>
        <w:spacing w:afterLines="120" w:after="288" w:line="360" w:lineRule="auto"/>
        <w:jc w:val="both"/>
        <w:rPr>
          <w:rFonts w:ascii="Arial" w:hAnsi="Arial" w:cs="Arial"/>
          <w:sz w:val="22"/>
          <w:szCs w:val="22"/>
        </w:rPr>
      </w:pPr>
    </w:p>
    <w:p w14:paraId="40B9CC77" w14:textId="77777777" w:rsidR="00D50DD0" w:rsidRPr="004C50BC" w:rsidRDefault="00D50DD0" w:rsidP="00D50DD0">
      <w:pPr>
        <w:pStyle w:val="Heading2"/>
        <w:rPr>
          <w:rFonts w:ascii="Arial" w:hAnsi="Arial" w:cs="Arial"/>
          <w:b/>
          <w:bCs/>
          <w:color w:val="auto"/>
          <w:sz w:val="22"/>
          <w:szCs w:val="22"/>
        </w:rPr>
      </w:pPr>
      <w:bookmarkStart w:id="11" w:name="_Toc185457702"/>
      <w:bookmarkStart w:id="12" w:name="OLE_LINK5"/>
      <w:r>
        <w:rPr>
          <w:rFonts w:ascii="Arial" w:hAnsi="Arial" w:cs="Arial"/>
          <w:b/>
          <w:bCs/>
          <w:color w:val="auto"/>
          <w:sz w:val="22"/>
          <w:szCs w:val="22"/>
        </w:rPr>
        <w:t>Extended Data</w:t>
      </w:r>
      <w:r w:rsidRPr="004C50BC">
        <w:rPr>
          <w:rFonts w:ascii="Arial" w:hAnsi="Arial" w:cs="Arial"/>
          <w:b/>
          <w:bCs/>
          <w:color w:val="auto"/>
          <w:sz w:val="22"/>
          <w:szCs w:val="22"/>
        </w:rPr>
        <w:t xml:space="preserve"> 8. Differential Gene Expression between mKate2+ and mKate2- CNS Cell Types Following Mitochondrial Uptake</w:t>
      </w:r>
      <w:bookmarkEnd w:id="11"/>
    </w:p>
    <w:p w14:paraId="32E5CAD9" w14:textId="77777777" w:rsidR="00D50DD0" w:rsidRPr="004C50BC" w:rsidRDefault="00D50DD0" w:rsidP="00D50DD0">
      <w:pPr>
        <w:rPr>
          <w:rFonts w:ascii="Arial" w:hAnsi="Arial" w:cs="Arial"/>
          <w:sz w:val="22"/>
          <w:szCs w:val="22"/>
        </w:rPr>
      </w:pPr>
    </w:p>
    <w:p w14:paraId="34A3A39A" w14:textId="77777777" w:rsidR="00D50DD0" w:rsidRPr="004C50BC" w:rsidRDefault="00D50DD0" w:rsidP="00D50DD0">
      <w:pPr>
        <w:spacing w:after="120" w:line="360" w:lineRule="auto"/>
        <w:jc w:val="both"/>
        <w:rPr>
          <w:rFonts w:ascii="Arial" w:hAnsi="Arial" w:cs="Arial"/>
          <w:sz w:val="22"/>
          <w:szCs w:val="22"/>
        </w:rPr>
      </w:pPr>
      <w:r w:rsidRPr="004C50BC">
        <w:rPr>
          <w:rFonts w:ascii="Arial" w:hAnsi="Arial" w:cs="Arial"/>
          <w:sz w:val="22"/>
          <w:szCs w:val="22"/>
        </w:rPr>
        <w:t>(A-H). Volcano plots showing differentially expressed genes between mKate2+ and mKate2- recipient FRDA cells and mKate2+ Recipient FRDA cells in (A) endothelial cells, (B) macrophages, (C) ependymal cells, (D) choroid plexus cells, (E ) arachnoid barrier cells, (F) oligodendrocyte progenitor cells, (G) pericytes, and (H) olfactory ensheathing glia. Differentially expressed genes (DEGs) were identified using MAST, considering genes that were expressed in at least 25% in either population). Blue dots show significantly downregulated genes (FC &lt; -20%, p &lt; 0.05), red dots show significantly upregulated genes (FC &gt; 20%, p &lt; 0.05), and genes represented by gray dots are not significantly differentially expressed. The top upregulated and downregulated genes (by magnitude of log2 FC) are labeled.</w:t>
      </w:r>
    </w:p>
    <w:bookmarkEnd w:id="12"/>
    <w:p w14:paraId="04C80A57" w14:textId="77777777" w:rsidR="00D50DD0" w:rsidRPr="004C50BC" w:rsidRDefault="00D50DD0" w:rsidP="00D50DD0">
      <w:pPr>
        <w:spacing w:after="120" w:line="360" w:lineRule="auto"/>
        <w:jc w:val="both"/>
        <w:rPr>
          <w:rFonts w:ascii="Arial" w:hAnsi="Arial" w:cs="Arial"/>
          <w:b/>
          <w:bCs/>
          <w:sz w:val="22"/>
          <w:szCs w:val="22"/>
        </w:rPr>
      </w:pPr>
    </w:p>
    <w:p w14:paraId="09415259" w14:textId="77777777" w:rsidR="00D50DD0" w:rsidRPr="004C50BC" w:rsidRDefault="00D50DD0" w:rsidP="00D50DD0">
      <w:pPr>
        <w:pStyle w:val="Heading2"/>
        <w:rPr>
          <w:rFonts w:ascii="Arial" w:hAnsi="Arial" w:cs="Arial"/>
          <w:b/>
          <w:bCs/>
          <w:color w:val="auto"/>
          <w:sz w:val="22"/>
          <w:szCs w:val="22"/>
        </w:rPr>
      </w:pPr>
      <w:bookmarkStart w:id="13" w:name="_Toc185457703"/>
      <w:r>
        <w:rPr>
          <w:rFonts w:ascii="Arial" w:hAnsi="Arial" w:cs="Arial"/>
          <w:b/>
          <w:bCs/>
          <w:color w:val="auto"/>
          <w:sz w:val="22"/>
          <w:szCs w:val="22"/>
        </w:rPr>
        <w:t>Extended Data</w:t>
      </w:r>
      <w:r w:rsidRPr="004C50BC">
        <w:rPr>
          <w:rFonts w:ascii="Arial" w:hAnsi="Arial" w:cs="Arial"/>
          <w:b/>
          <w:bCs/>
          <w:color w:val="auto"/>
          <w:sz w:val="22"/>
          <w:szCs w:val="22"/>
        </w:rPr>
        <w:t xml:space="preserve"> 9. Enriched Pathways in CNS cell Types Following Mitochondrial Uptake</w:t>
      </w:r>
      <w:bookmarkEnd w:id="13"/>
    </w:p>
    <w:p w14:paraId="2A00D04A" w14:textId="77777777" w:rsidR="00D50DD0" w:rsidRPr="004C50BC" w:rsidRDefault="00D50DD0" w:rsidP="00D50DD0">
      <w:pPr>
        <w:spacing w:after="120" w:line="360" w:lineRule="auto"/>
        <w:jc w:val="both"/>
        <w:rPr>
          <w:rFonts w:ascii="Arial" w:hAnsi="Arial" w:cs="Arial"/>
          <w:sz w:val="22"/>
          <w:szCs w:val="22"/>
        </w:rPr>
      </w:pPr>
      <w:r w:rsidRPr="004C50BC">
        <w:rPr>
          <w:rFonts w:ascii="Arial" w:hAnsi="Arial" w:cs="Arial"/>
          <w:sz w:val="22"/>
          <w:szCs w:val="22"/>
        </w:rPr>
        <w:t>(A-H) Bubble plots showing the top 10 enriched gene sets by normalized enrichment score (NES) between mKate2+ and mKate2- recipient FRDA cells and mKate2+ Recipient FRDA cells in (A) endothelial cells, (B) macrophages, (C) ependymal cells, (D) choroid plexus cells, (E ) arachnoid barrier cells, (F) oligodendrocyte progenitor cells, (G) pericytes, and (H) olfactory ensheathing glia. Gene sets are ordered by their NES, which reflects the extent to which each gene set is overrepresented at either the top or bottom of the ranked gene list, after normalizing for gene set size and score distribution in random samples. Each cell type’s ranked gene list is created by ordering genes based on their average log2 fold change values, with the most positive values at the top and the most negative values at the bottom. The gene count indicates how many genes in each set are differentially regulated in our dataset.</w:t>
      </w:r>
    </w:p>
    <w:p w14:paraId="7C4363F2" w14:textId="77777777" w:rsidR="00D50DD0" w:rsidRPr="004C50BC" w:rsidRDefault="00D50DD0" w:rsidP="00D50DD0">
      <w:pPr>
        <w:spacing w:afterLines="120" w:after="288" w:line="360" w:lineRule="auto"/>
        <w:jc w:val="both"/>
        <w:rPr>
          <w:rFonts w:ascii="Arial" w:hAnsi="Arial" w:cs="Arial"/>
          <w:sz w:val="22"/>
          <w:szCs w:val="22"/>
        </w:rPr>
      </w:pPr>
      <w:r w:rsidRPr="004C50BC">
        <w:rPr>
          <w:rFonts w:ascii="Arial" w:hAnsi="Arial" w:cs="Arial"/>
          <w:sz w:val="22"/>
          <w:szCs w:val="22"/>
        </w:rPr>
        <w:br/>
      </w:r>
    </w:p>
    <w:p w14:paraId="405E3C8A" w14:textId="77777777" w:rsidR="00D50DD0" w:rsidRPr="004C50BC" w:rsidRDefault="00D50DD0" w:rsidP="00D50DD0">
      <w:pPr>
        <w:pStyle w:val="Heading2"/>
        <w:rPr>
          <w:rFonts w:ascii="Arial" w:hAnsi="Arial" w:cs="Arial"/>
          <w:b/>
          <w:bCs/>
          <w:color w:val="auto"/>
          <w:sz w:val="22"/>
          <w:szCs w:val="22"/>
        </w:rPr>
      </w:pPr>
      <w:bookmarkStart w:id="14" w:name="_Toc185457704"/>
      <w:r>
        <w:rPr>
          <w:rFonts w:ascii="Arial" w:hAnsi="Arial" w:cs="Arial"/>
          <w:b/>
          <w:bCs/>
          <w:color w:val="auto"/>
          <w:sz w:val="22"/>
          <w:szCs w:val="22"/>
        </w:rPr>
        <w:t>Extended Data</w:t>
      </w:r>
      <w:r w:rsidRPr="004C50BC">
        <w:rPr>
          <w:rFonts w:ascii="Arial" w:hAnsi="Arial" w:cs="Arial"/>
          <w:b/>
          <w:bCs/>
          <w:color w:val="auto"/>
          <w:sz w:val="22"/>
          <w:szCs w:val="22"/>
        </w:rPr>
        <w:t xml:space="preserve"> 10. Analysis of 52 markers genes associated with cardiac disease in FA mice and cell models</w:t>
      </w:r>
      <w:bookmarkEnd w:id="14"/>
    </w:p>
    <w:p w14:paraId="7A455D42" w14:textId="77777777" w:rsidR="00D50DD0" w:rsidRPr="004C50BC" w:rsidRDefault="00D50DD0" w:rsidP="00D50DD0">
      <w:pPr>
        <w:spacing w:line="360" w:lineRule="auto"/>
        <w:jc w:val="both"/>
        <w:rPr>
          <w:rFonts w:ascii="Arial" w:hAnsi="Arial" w:cs="Arial"/>
          <w:sz w:val="22"/>
          <w:szCs w:val="22"/>
        </w:rPr>
      </w:pPr>
      <w:r w:rsidRPr="004C50BC">
        <w:rPr>
          <w:rFonts w:ascii="Arial" w:hAnsi="Arial" w:cs="Arial"/>
          <w:sz w:val="22"/>
          <w:szCs w:val="22"/>
        </w:rPr>
        <w:t>(A) Heatmap of Z-scores of FPKM expression values for the 52 marker genes across 8 samples (FA+FA, n=3; DP+FA, n=3; and DT+WT, n=2). Columns are ordered based on hierarchical clustering using complete linkage and Euclidean distance. The color scale indicates relative expression levels (red = up and blue = down).</w:t>
      </w:r>
    </w:p>
    <w:p w14:paraId="5217B917" w14:textId="77777777" w:rsidR="00D50DD0" w:rsidRPr="004C50BC" w:rsidRDefault="00D50DD0" w:rsidP="00D50DD0">
      <w:pPr>
        <w:spacing w:afterLines="120" w:after="288" w:line="360" w:lineRule="auto"/>
        <w:jc w:val="both"/>
        <w:rPr>
          <w:rFonts w:ascii="Arial" w:hAnsi="Arial" w:cs="Arial"/>
          <w:sz w:val="22"/>
          <w:szCs w:val="22"/>
        </w:rPr>
      </w:pPr>
      <w:r w:rsidRPr="004C50BC">
        <w:rPr>
          <w:rFonts w:ascii="Arial" w:hAnsi="Arial" w:cs="Arial"/>
          <w:sz w:val="22"/>
          <w:szCs w:val="22"/>
        </w:rPr>
        <w:lastRenderedPageBreak/>
        <w:t xml:space="preserve">(B) Bar plots showing the gene expression (FPKM) levels for the remaining 41 genes, excluding the 12 genes presented in </w:t>
      </w:r>
      <w:r w:rsidRPr="004C50BC">
        <w:rPr>
          <w:rFonts w:ascii="Arial" w:hAnsi="Arial" w:cs="Arial"/>
          <w:b/>
          <w:bCs/>
          <w:sz w:val="22"/>
          <w:szCs w:val="22"/>
        </w:rPr>
        <w:t>Figure 6</w:t>
      </w:r>
      <w:r w:rsidRPr="004C50BC">
        <w:rPr>
          <w:rFonts w:ascii="Arial" w:hAnsi="Arial" w:cs="Arial"/>
          <w:sz w:val="22"/>
          <w:szCs w:val="22"/>
        </w:rPr>
        <w:t>. Statistical analysis was performed using one-way ANOVA with Sidak’s multiple comparisons test compared to FA+FA (*p &lt; 0.05; **p &lt; 0.01; ***p &lt; 0.001).</w:t>
      </w:r>
    </w:p>
    <w:p w14:paraId="73249AF8" w14:textId="77777777" w:rsidR="00D50DD0" w:rsidRPr="004C50BC" w:rsidRDefault="00D50DD0" w:rsidP="00D50DD0">
      <w:pPr>
        <w:spacing w:after="120" w:line="360" w:lineRule="auto"/>
        <w:jc w:val="both"/>
        <w:rPr>
          <w:rFonts w:ascii="Arial" w:hAnsi="Arial" w:cs="Arial"/>
          <w:sz w:val="22"/>
          <w:szCs w:val="22"/>
        </w:rPr>
      </w:pPr>
      <w:r w:rsidRPr="004C50BC">
        <w:rPr>
          <w:rFonts w:ascii="Arial" w:hAnsi="Arial" w:cs="Arial"/>
          <w:sz w:val="22"/>
          <w:szCs w:val="22"/>
        </w:rPr>
        <w:t>(C) Volcano plots showing differentially expressed genes between FA+FA and DP+FA hearts. (n=3 for each sample). Blue dots show significantly downregulated genes (FC &lt; -20%, p &lt; 0.05), red dots show significantly upregulated genes (FC &gt; 20%, p &lt; 0.05), and genes represented by gray dots are not significantly differentially expressed. The top five upregulated and downregulated genes, ranked by the magnitude of their -Log10 p-values, are labeled.</w:t>
      </w:r>
    </w:p>
    <w:p w14:paraId="5E5A0059" w14:textId="77777777" w:rsidR="00D50DD0" w:rsidRPr="004C50BC" w:rsidRDefault="00D50DD0" w:rsidP="00D50DD0">
      <w:pPr>
        <w:spacing w:afterLines="120" w:after="288" w:line="360" w:lineRule="auto"/>
        <w:jc w:val="both"/>
        <w:rPr>
          <w:rFonts w:ascii="Arial" w:hAnsi="Arial" w:cs="Arial"/>
          <w:sz w:val="22"/>
          <w:szCs w:val="22"/>
        </w:rPr>
      </w:pPr>
    </w:p>
    <w:p w14:paraId="3DCC31AC" w14:textId="77777777" w:rsidR="00D50DD0" w:rsidRPr="004C50BC" w:rsidRDefault="00D50DD0" w:rsidP="00D50DD0">
      <w:pPr>
        <w:pStyle w:val="Heading2"/>
        <w:rPr>
          <w:rFonts w:ascii="Arial" w:hAnsi="Arial" w:cs="Arial"/>
          <w:b/>
          <w:bCs/>
          <w:color w:val="auto"/>
          <w:sz w:val="22"/>
          <w:szCs w:val="22"/>
        </w:rPr>
      </w:pPr>
      <w:bookmarkStart w:id="15" w:name="_Toc185457705"/>
      <w:r>
        <w:rPr>
          <w:rFonts w:ascii="Arial" w:hAnsi="Arial" w:cs="Arial"/>
          <w:b/>
          <w:bCs/>
          <w:color w:val="auto"/>
          <w:sz w:val="22"/>
          <w:szCs w:val="22"/>
        </w:rPr>
        <w:t>Extended Data</w:t>
      </w:r>
      <w:r w:rsidRPr="004C50BC">
        <w:rPr>
          <w:rFonts w:ascii="Arial" w:hAnsi="Arial" w:cs="Arial"/>
          <w:b/>
          <w:bCs/>
          <w:color w:val="auto"/>
          <w:sz w:val="22"/>
          <w:szCs w:val="22"/>
        </w:rPr>
        <w:t xml:space="preserve"> 11. </w:t>
      </w:r>
      <w:r>
        <w:rPr>
          <w:rFonts w:ascii="Arial" w:hAnsi="Arial" w:cs="Arial"/>
          <w:b/>
          <w:bCs/>
          <w:color w:val="auto"/>
          <w:sz w:val="22"/>
          <w:szCs w:val="22"/>
        </w:rPr>
        <w:t>Transfer of intact mitochondria to patient fibroblasts</w:t>
      </w:r>
      <w:bookmarkEnd w:id="15"/>
    </w:p>
    <w:p w14:paraId="5D9A5711" w14:textId="77777777" w:rsidR="00D50DD0" w:rsidRPr="004C50BC" w:rsidRDefault="00D50DD0" w:rsidP="00D50DD0">
      <w:pPr>
        <w:spacing w:afterLines="120" w:after="288" w:line="360" w:lineRule="auto"/>
        <w:jc w:val="both"/>
        <w:rPr>
          <w:rFonts w:ascii="Arial" w:hAnsi="Arial" w:cs="Arial"/>
          <w:b/>
          <w:bCs/>
          <w:sz w:val="22"/>
          <w:szCs w:val="22"/>
        </w:rPr>
      </w:pPr>
      <w:r w:rsidRPr="004C50BC">
        <w:rPr>
          <w:rFonts w:ascii="Arial" w:hAnsi="Arial" w:cs="Arial"/>
          <w:sz w:val="22"/>
          <w:szCs w:val="22"/>
        </w:rPr>
        <w:t>(A-B) Representative images of co-cultured Mitotracker-loaded double-positive macrophages (DP-Mø) with</w:t>
      </w:r>
      <w:r>
        <w:rPr>
          <w:rFonts w:ascii="Arial" w:hAnsi="Arial" w:cs="Arial"/>
          <w:sz w:val="22"/>
          <w:szCs w:val="22"/>
        </w:rPr>
        <w:t xml:space="preserve"> patient-derived</w:t>
      </w:r>
      <w:r w:rsidRPr="004C50BC">
        <w:rPr>
          <w:rFonts w:ascii="Arial" w:hAnsi="Arial" w:cs="Arial"/>
          <w:sz w:val="22"/>
          <w:szCs w:val="22"/>
        </w:rPr>
        <w:t xml:space="preserve"> </w:t>
      </w:r>
      <w:r>
        <w:rPr>
          <w:rFonts w:ascii="Arial" w:hAnsi="Arial" w:cs="Arial"/>
          <w:sz w:val="22"/>
          <w:szCs w:val="22"/>
        </w:rPr>
        <w:t>FA</w:t>
      </w:r>
      <w:r w:rsidRPr="004C50BC">
        <w:rPr>
          <w:rFonts w:ascii="Arial" w:hAnsi="Arial" w:cs="Arial"/>
          <w:sz w:val="22"/>
          <w:szCs w:val="22"/>
        </w:rPr>
        <w:t xml:space="preserve"> fibroblasts. The images show mKate2 (red), GFP (green), Mitotracker (blue), and the merged channels. The enlarged region (dashed white box) highlights a GFP-negative fibroblast that is positive for mKate2 and Mitotracker. See also </w:t>
      </w:r>
      <w:r w:rsidRPr="004C50BC">
        <w:rPr>
          <w:rFonts w:ascii="Arial" w:hAnsi="Arial" w:cs="Arial"/>
          <w:b/>
          <w:bCs/>
          <w:sz w:val="22"/>
          <w:szCs w:val="22"/>
        </w:rPr>
        <w:t>Figure 7.</w:t>
      </w:r>
    </w:p>
    <w:p w14:paraId="0B3B5392"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DD0"/>
    <w:rsid w:val="0003089F"/>
    <w:rsid w:val="00331A6B"/>
    <w:rsid w:val="00755780"/>
    <w:rsid w:val="00857596"/>
    <w:rsid w:val="00CF0EB4"/>
    <w:rsid w:val="00D50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E6DAA"/>
  <w15:chartTrackingRefBased/>
  <w15:docId w15:val="{F09E09DF-20FC-48E5-9E99-39A307F57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0DD0"/>
    <w:pPr>
      <w:spacing w:after="0" w:line="240" w:lineRule="auto"/>
    </w:pPr>
    <w:rPr>
      <w:rFonts w:eastAsiaTheme="minorEastAsia"/>
      <w:sz w:val="24"/>
      <w:szCs w:val="24"/>
    </w:rPr>
  </w:style>
  <w:style w:type="paragraph" w:styleId="Heading1">
    <w:name w:val="heading 1"/>
    <w:basedOn w:val="Normal"/>
    <w:next w:val="Normal"/>
    <w:link w:val="Heading1Char"/>
    <w:uiPriority w:val="9"/>
    <w:qFormat/>
    <w:rsid w:val="00D50DD0"/>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50DD0"/>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0DD0"/>
    <w:pPr>
      <w:keepNext/>
      <w:keepLines/>
      <w:spacing w:before="160" w:after="80" w:line="259"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0DD0"/>
    <w:pPr>
      <w:keepNext/>
      <w:keepLines/>
      <w:spacing w:before="80" w:after="40" w:line="259" w:lineRule="auto"/>
      <w:outlineLvl w:val="3"/>
    </w:pPr>
    <w:rPr>
      <w:rFonts w:eastAsiaTheme="majorEastAsia" w:cstheme="majorBidi"/>
      <w:i/>
      <w:iCs/>
      <w:color w:val="0F4761" w:themeColor="accent1" w:themeShade="BF"/>
      <w:sz w:val="22"/>
      <w:szCs w:val="22"/>
    </w:rPr>
  </w:style>
  <w:style w:type="paragraph" w:styleId="Heading5">
    <w:name w:val="heading 5"/>
    <w:basedOn w:val="Normal"/>
    <w:next w:val="Normal"/>
    <w:link w:val="Heading5Char"/>
    <w:uiPriority w:val="9"/>
    <w:semiHidden/>
    <w:unhideWhenUsed/>
    <w:qFormat/>
    <w:rsid w:val="00D50DD0"/>
    <w:pPr>
      <w:keepNext/>
      <w:keepLines/>
      <w:spacing w:before="80" w:after="40" w:line="259" w:lineRule="auto"/>
      <w:outlineLvl w:val="4"/>
    </w:pPr>
    <w:rPr>
      <w:rFonts w:eastAsiaTheme="majorEastAsia" w:cstheme="majorBidi"/>
      <w:color w:val="0F4761" w:themeColor="accent1" w:themeShade="BF"/>
      <w:sz w:val="22"/>
      <w:szCs w:val="22"/>
    </w:rPr>
  </w:style>
  <w:style w:type="paragraph" w:styleId="Heading6">
    <w:name w:val="heading 6"/>
    <w:basedOn w:val="Normal"/>
    <w:next w:val="Normal"/>
    <w:link w:val="Heading6Char"/>
    <w:uiPriority w:val="9"/>
    <w:semiHidden/>
    <w:unhideWhenUsed/>
    <w:qFormat/>
    <w:rsid w:val="00D50DD0"/>
    <w:pPr>
      <w:keepNext/>
      <w:keepLines/>
      <w:spacing w:before="40" w:line="259" w:lineRule="auto"/>
      <w:outlineLvl w:val="5"/>
    </w:pPr>
    <w:rPr>
      <w:rFonts w:eastAsiaTheme="majorEastAsia"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rsid w:val="00D50DD0"/>
    <w:pPr>
      <w:keepNext/>
      <w:keepLines/>
      <w:spacing w:before="40" w:line="259" w:lineRule="auto"/>
      <w:outlineLvl w:val="6"/>
    </w:pPr>
    <w:rPr>
      <w:rFonts w:eastAsiaTheme="majorEastAsia" w:cstheme="majorBidi"/>
      <w:color w:val="595959" w:themeColor="text1" w:themeTint="A6"/>
      <w:sz w:val="22"/>
      <w:szCs w:val="22"/>
    </w:rPr>
  </w:style>
  <w:style w:type="paragraph" w:styleId="Heading8">
    <w:name w:val="heading 8"/>
    <w:basedOn w:val="Normal"/>
    <w:next w:val="Normal"/>
    <w:link w:val="Heading8Char"/>
    <w:uiPriority w:val="9"/>
    <w:semiHidden/>
    <w:unhideWhenUsed/>
    <w:qFormat/>
    <w:rsid w:val="00D50DD0"/>
    <w:pPr>
      <w:keepNext/>
      <w:keepLines/>
      <w:spacing w:line="259" w:lineRule="auto"/>
      <w:outlineLvl w:val="7"/>
    </w:pPr>
    <w:rPr>
      <w:rFonts w:eastAsiaTheme="majorEastAsia" w:cstheme="majorBidi"/>
      <w:i/>
      <w:iCs/>
      <w:color w:val="272727" w:themeColor="text1" w:themeTint="D8"/>
      <w:sz w:val="22"/>
      <w:szCs w:val="22"/>
    </w:rPr>
  </w:style>
  <w:style w:type="paragraph" w:styleId="Heading9">
    <w:name w:val="heading 9"/>
    <w:basedOn w:val="Normal"/>
    <w:next w:val="Normal"/>
    <w:link w:val="Heading9Char"/>
    <w:uiPriority w:val="9"/>
    <w:semiHidden/>
    <w:unhideWhenUsed/>
    <w:qFormat/>
    <w:rsid w:val="00D50DD0"/>
    <w:pPr>
      <w:keepNext/>
      <w:keepLines/>
      <w:spacing w:line="259" w:lineRule="auto"/>
      <w:outlineLvl w:val="8"/>
    </w:pPr>
    <w:rPr>
      <w:rFonts w:eastAsiaTheme="majorEastAsia" w:cstheme="majorBidi"/>
      <w:color w:val="272727" w:themeColor="text1" w:themeTint="D8"/>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0D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50D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0D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0D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0D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0D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0D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0D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0DD0"/>
    <w:rPr>
      <w:rFonts w:eastAsiaTheme="majorEastAsia" w:cstheme="majorBidi"/>
      <w:color w:val="272727" w:themeColor="text1" w:themeTint="D8"/>
    </w:rPr>
  </w:style>
  <w:style w:type="paragraph" w:styleId="Title">
    <w:name w:val="Title"/>
    <w:basedOn w:val="Normal"/>
    <w:next w:val="Normal"/>
    <w:link w:val="TitleChar"/>
    <w:uiPriority w:val="10"/>
    <w:qFormat/>
    <w:rsid w:val="00D50DD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0D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0DD0"/>
    <w:pPr>
      <w:numPr>
        <w:ilvl w:val="1"/>
      </w:numPr>
      <w:spacing w:after="160" w:line="259"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0D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0DD0"/>
    <w:pPr>
      <w:spacing w:before="160" w:after="160" w:line="259" w:lineRule="auto"/>
      <w:jc w:val="center"/>
    </w:pPr>
    <w:rPr>
      <w:rFonts w:eastAsiaTheme="minorHAnsi"/>
      <w:i/>
      <w:iCs/>
      <w:color w:val="404040" w:themeColor="text1" w:themeTint="BF"/>
      <w:sz w:val="22"/>
      <w:szCs w:val="22"/>
    </w:rPr>
  </w:style>
  <w:style w:type="character" w:customStyle="1" w:styleId="QuoteChar">
    <w:name w:val="Quote Char"/>
    <w:basedOn w:val="DefaultParagraphFont"/>
    <w:link w:val="Quote"/>
    <w:uiPriority w:val="29"/>
    <w:rsid w:val="00D50DD0"/>
    <w:rPr>
      <w:i/>
      <w:iCs/>
      <w:color w:val="404040" w:themeColor="text1" w:themeTint="BF"/>
    </w:rPr>
  </w:style>
  <w:style w:type="paragraph" w:styleId="ListParagraph">
    <w:name w:val="List Paragraph"/>
    <w:basedOn w:val="Normal"/>
    <w:uiPriority w:val="34"/>
    <w:qFormat/>
    <w:rsid w:val="00D50DD0"/>
    <w:pPr>
      <w:spacing w:after="160" w:line="259" w:lineRule="auto"/>
      <w:ind w:left="720"/>
      <w:contextualSpacing/>
    </w:pPr>
    <w:rPr>
      <w:rFonts w:eastAsiaTheme="minorHAnsi"/>
      <w:sz w:val="22"/>
      <w:szCs w:val="22"/>
    </w:rPr>
  </w:style>
  <w:style w:type="character" w:styleId="IntenseEmphasis">
    <w:name w:val="Intense Emphasis"/>
    <w:basedOn w:val="DefaultParagraphFont"/>
    <w:uiPriority w:val="21"/>
    <w:qFormat/>
    <w:rsid w:val="00D50DD0"/>
    <w:rPr>
      <w:i/>
      <w:iCs/>
      <w:color w:val="0F4761" w:themeColor="accent1" w:themeShade="BF"/>
    </w:rPr>
  </w:style>
  <w:style w:type="paragraph" w:styleId="IntenseQuote">
    <w:name w:val="Intense Quote"/>
    <w:basedOn w:val="Normal"/>
    <w:next w:val="Normal"/>
    <w:link w:val="IntenseQuoteChar"/>
    <w:uiPriority w:val="30"/>
    <w:qFormat/>
    <w:rsid w:val="00D50DD0"/>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szCs w:val="22"/>
    </w:rPr>
  </w:style>
  <w:style w:type="character" w:customStyle="1" w:styleId="IntenseQuoteChar">
    <w:name w:val="Intense Quote Char"/>
    <w:basedOn w:val="DefaultParagraphFont"/>
    <w:link w:val="IntenseQuote"/>
    <w:uiPriority w:val="30"/>
    <w:rsid w:val="00D50DD0"/>
    <w:rPr>
      <w:i/>
      <w:iCs/>
      <w:color w:val="0F4761" w:themeColor="accent1" w:themeShade="BF"/>
    </w:rPr>
  </w:style>
  <w:style w:type="character" w:styleId="IntenseReference">
    <w:name w:val="Intense Reference"/>
    <w:basedOn w:val="DefaultParagraphFont"/>
    <w:uiPriority w:val="32"/>
    <w:qFormat/>
    <w:rsid w:val="00D50DD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1486</Words>
  <Characters>8471</Characters>
  <Application>Microsoft Office Word</Application>
  <DocSecurity>0</DocSecurity>
  <Lines>70</Lines>
  <Paragraphs>19</Paragraphs>
  <ScaleCrop>false</ScaleCrop>
  <Company>Springer Nature</Company>
  <LinksUpToDate>false</LinksUpToDate>
  <CharactersWithSpaces>9938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2025-02-11T12:24:00Z</dcterms:created>
  <dcterms:modified xsi:type="dcterms:W3CDTF">2025-02-11T12:25:00Z</dcterms:modified>
</cp:coreProperties>
</file>