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FD4" w:rsidRPr="00254546" w:rsidRDefault="006D4FD4" w:rsidP="006D4FD4">
      <w:pPr>
        <w:pStyle w:val="Heading2"/>
      </w:pPr>
      <w:r>
        <w:t>Supplemental materials</w:t>
      </w:r>
      <w:r w:rsidRPr="00254546">
        <w:t>:</w:t>
      </w:r>
    </w:p>
    <w:p w:rsidR="006D4FD4" w:rsidRDefault="006D4FD4" w:rsidP="006D4FD4">
      <w:pPr>
        <w:pStyle w:val="Title"/>
      </w:pPr>
      <w:r w:rsidRPr="00A2724C">
        <w:rPr>
          <w:rFonts w:hint="eastAsia"/>
          <w:b/>
          <w:bCs/>
        </w:rPr>
        <w:t>T</w:t>
      </w:r>
      <w:r w:rsidRPr="00A2724C">
        <w:rPr>
          <w:b/>
          <w:bCs/>
        </w:rPr>
        <w:t>able A.1</w:t>
      </w:r>
      <w:r>
        <w:rPr>
          <w:b/>
          <w:bCs/>
        </w:rPr>
        <w:t>.</w:t>
      </w:r>
      <w:r w:rsidRPr="00254546">
        <w:rPr>
          <w:rFonts w:hint="eastAsia"/>
        </w:rPr>
        <w:t xml:space="preserve"> </w:t>
      </w:r>
      <w:r>
        <w:t>Sources of the referred grape phenology dates (including bud break, flowering, veraison, berry maturation, and leaf fall) in all the study areas.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5"/>
        <w:gridCol w:w="1558"/>
        <w:gridCol w:w="4053"/>
      </w:tblGrid>
      <w:tr w:rsidR="006D4FD4" w:rsidRPr="00886D15" w:rsidTr="00CF4CA5">
        <w:tc>
          <w:tcPr>
            <w:tcW w:w="1622" w:type="pct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sz w:val="16"/>
                <w:szCs w:val="16"/>
              </w:rPr>
              <w:t>Area</w:t>
            </w:r>
          </w:p>
        </w:tc>
        <w:tc>
          <w:tcPr>
            <w:tcW w:w="938" w:type="pct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sz w:val="16"/>
                <w:szCs w:val="16"/>
              </w:rPr>
              <w:t>Reference</w:t>
            </w:r>
          </w:p>
        </w:tc>
        <w:tc>
          <w:tcPr>
            <w:tcW w:w="2440" w:type="pct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sz w:val="16"/>
                <w:szCs w:val="16"/>
              </w:rPr>
              <w:t>Journal</w:t>
            </w:r>
          </w:p>
        </w:tc>
      </w:tr>
      <w:tr w:rsidR="006D4FD4" w:rsidRPr="00886D15" w:rsidTr="00CF4CA5">
        <w:tc>
          <w:tcPr>
            <w:tcW w:w="1622" w:type="pct"/>
            <w:vMerge w:val="restar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Anhui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Zhou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(2015)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Modern Agricultural Science and Technology</w:t>
            </w:r>
          </w:p>
        </w:tc>
      </w:tr>
      <w:tr w:rsidR="006D4FD4" w:rsidRPr="00886D15" w:rsidTr="00CF4CA5">
        <w:tc>
          <w:tcPr>
            <w:tcW w:w="1622" w:type="pct"/>
            <w:vMerge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Chen (2009)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Subtropical Agriculture Research</w:t>
            </w:r>
          </w:p>
        </w:tc>
      </w:tr>
      <w:tr w:rsidR="006D4FD4" w:rsidRPr="00886D15" w:rsidTr="00CF4CA5">
        <w:tc>
          <w:tcPr>
            <w:tcW w:w="1622" w:type="pct"/>
            <w:vMerge w:val="restar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Fujian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Liu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(2018)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Southeast Horticulture</w:t>
            </w:r>
          </w:p>
        </w:tc>
      </w:tr>
      <w:tr w:rsidR="006D4FD4" w:rsidRPr="00886D15" w:rsidTr="00CF4CA5">
        <w:tc>
          <w:tcPr>
            <w:tcW w:w="1622" w:type="pct"/>
            <w:vMerge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Zheng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(2016)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Bulletin of Agricultural Science and Technology</w:t>
            </w:r>
          </w:p>
        </w:tc>
      </w:tr>
      <w:tr w:rsidR="006D4FD4" w:rsidRPr="00886D15" w:rsidTr="00CF4CA5">
        <w:tc>
          <w:tcPr>
            <w:tcW w:w="1622" w:type="pct"/>
            <w:vMerge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Yao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(2013)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Agricultural Research in the Arid Areas</w:t>
            </w:r>
          </w:p>
        </w:tc>
      </w:tr>
      <w:tr w:rsidR="006D4FD4" w:rsidRPr="00886D15" w:rsidTr="00CF4CA5">
        <w:tc>
          <w:tcPr>
            <w:tcW w:w="1622" w:type="pct"/>
            <w:vMerge w:val="restar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Gansu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Xu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(2019)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Journal of China Agricultural University</w:t>
            </w:r>
          </w:p>
        </w:tc>
      </w:tr>
      <w:tr w:rsidR="006D4FD4" w:rsidRPr="00886D15" w:rsidTr="00CF4CA5">
        <w:tc>
          <w:tcPr>
            <w:tcW w:w="1622" w:type="pct"/>
            <w:vMerge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Wang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(2018)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Journal of Anhui Agricultural Sciences</w:t>
            </w:r>
          </w:p>
        </w:tc>
      </w:tr>
      <w:tr w:rsidR="006D4FD4" w:rsidRPr="00886D15" w:rsidTr="00CF4CA5">
        <w:tc>
          <w:tcPr>
            <w:tcW w:w="1622" w:type="pct"/>
            <w:vMerge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Chen (2017)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Gansu Agricultural University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Guangxi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Zhang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(2016)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Southern Horticulture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Guizhou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Zhou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(2014)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Northern Horticulture</w:t>
            </w:r>
          </w:p>
        </w:tc>
      </w:tr>
      <w:tr w:rsidR="006D4FD4" w:rsidRPr="00886D15" w:rsidTr="00CF4CA5">
        <w:tc>
          <w:tcPr>
            <w:tcW w:w="1622" w:type="pct"/>
            <w:vMerge w:val="restar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He’nan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Wang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(2009)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Journal of Henan Forestry Science and Technology</w:t>
            </w:r>
          </w:p>
        </w:tc>
      </w:tr>
      <w:tr w:rsidR="006D4FD4" w:rsidRPr="00886D15" w:rsidTr="00CF4CA5">
        <w:tc>
          <w:tcPr>
            <w:tcW w:w="1622" w:type="pct"/>
            <w:vMerge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Li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(2018)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Deciduous Fruits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Hebei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Chai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(2005)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China Fruits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Hu’nan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Shi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(2002)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Journal of Hunan Agricultural University (Natural Sciences)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Hubei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He and Wang (2005)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Guizhou Agricultural Sciences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Jiangsu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Zhou (2017)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Agricultural Equipment &amp; Technology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Jilin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Sun and Liu (2006)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Deciduous Fruits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Liaoning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Yin (2019)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Bulletin of Agricultural Science and Technology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Ningxia Hui Autonomous Region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Shi (2012)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Ningxia Journal of Agriculture and Forestry Science and Technology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Shaa</w:t>
            </w:r>
            <w:r w:rsidRPr="003224D1" w:rsidDel="0007120F">
              <w:rPr>
                <w:rFonts w:eastAsia="SimSun" w:cs="Times New Roman"/>
                <w:sz w:val="16"/>
                <w:szCs w:val="16"/>
              </w:rPr>
              <w:t>n</w:t>
            </w:r>
            <w:r w:rsidRPr="003224D1">
              <w:rPr>
                <w:rFonts w:eastAsia="SimSun" w:cs="Times New Roman"/>
                <w:sz w:val="16"/>
                <w:szCs w:val="16"/>
              </w:rPr>
              <w:t>nxi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Wu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al.,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(2012)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Northern Horticulture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Shandong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Jia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al.,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(2014)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Sino-Overseas Grapevine &amp; Wine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Shanxi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Ren (2015)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Shanxi Agricultural University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Sichuan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Liu (2009)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Sichuan Agricultural University</w:t>
            </w:r>
          </w:p>
        </w:tc>
      </w:tr>
      <w:tr w:rsidR="006D4FD4" w:rsidRPr="00886D15" w:rsidTr="00CF4CA5">
        <w:tc>
          <w:tcPr>
            <w:tcW w:w="1622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Xinjiang Uygur Autonomous Region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Liu (2008)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Xinjiang Farm Research of Science and Technology</w:t>
            </w:r>
          </w:p>
        </w:tc>
      </w:tr>
      <w:tr w:rsidR="006D4FD4" w:rsidRPr="00886D15" w:rsidTr="00CF4CA5">
        <w:tc>
          <w:tcPr>
            <w:tcW w:w="1622" w:type="pct"/>
            <w:vMerge w:val="restar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Yunnan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Yu (2015)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Agricultural Engineering Technology</w:t>
            </w:r>
          </w:p>
        </w:tc>
      </w:tr>
      <w:tr w:rsidR="006D4FD4" w:rsidRPr="00886D15" w:rsidTr="00CF4CA5">
        <w:tc>
          <w:tcPr>
            <w:tcW w:w="1622" w:type="pct"/>
            <w:vMerge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Jin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al.,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(2019)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China Fruits</w:t>
            </w:r>
          </w:p>
        </w:tc>
      </w:tr>
      <w:tr w:rsidR="006D4FD4" w:rsidRPr="00886D15" w:rsidTr="00CF4CA5">
        <w:tc>
          <w:tcPr>
            <w:tcW w:w="1622" w:type="pct"/>
            <w:vMerge w:val="restar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Zhejiang province</w:t>
            </w: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 xml:space="preserve">Jin </w:t>
            </w:r>
            <w:r w:rsidRPr="003224D1">
              <w:rPr>
                <w:rFonts w:eastAsia="SimSun" w:cs="Times New Roman"/>
                <w:i/>
                <w:iCs/>
                <w:sz w:val="16"/>
                <w:szCs w:val="16"/>
              </w:rPr>
              <w:t>et al.,</w:t>
            </w:r>
            <w:r w:rsidRPr="003224D1">
              <w:rPr>
                <w:rFonts w:eastAsia="SimSun" w:cs="Times New Roman"/>
                <w:sz w:val="16"/>
                <w:szCs w:val="16"/>
              </w:rPr>
              <w:t xml:space="preserve"> (2019)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China Fruits</w:t>
            </w:r>
          </w:p>
        </w:tc>
      </w:tr>
      <w:tr w:rsidR="006D4FD4" w:rsidRPr="00886D15" w:rsidTr="00CF4CA5">
        <w:tc>
          <w:tcPr>
            <w:tcW w:w="1622" w:type="pct"/>
            <w:vMerge/>
          </w:tcPr>
          <w:p w:rsidR="006D4FD4" w:rsidRPr="003224D1" w:rsidRDefault="006D4FD4" w:rsidP="00CF4CA5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938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sz w:val="16"/>
                <w:szCs w:val="16"/>
              </w:rPr>
            </w:pPr>
            <w:r w:rsidRPr="003224D1">
              <w:rPr>
                <w:rFonts w:eastAsia="SimSun" w:cs="Times New Roman"/>
                <w:sz w:val="16"/>
                <w:szCs w:val="16"/>
              </w:rPr>
              <w:t>Yang (2013)</w:t>
            </w:r>
          </w:p>
        </w:tc>
        <w:tc>
          <w:tcPr>
            <w:tcW w:w="2440" w:type="pct"/>
            <w:vAlign w:val="center"/>
          </w:tcPr>
          <w:p w:rsidR="006D4FD4" w:rsidRPr="003224D1" w:rsidRDefault="006D4FD4" w:rsidP="00CF4CA5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3224D1">
              <w:rPr>
                <w:rFonts w:eastAsia="SimSun" w:cs="Times New Roman"/>
                <w:i/>
                <w:sz w:val="16"/>
                <w:szCs w:val="16"/>
              </w:rPr>
              <w:t>Sino-Overseas Grapevine &amp; Wine</w:t>
            </w:r>
          </w:p>
        </w:tc>
      </w:tr>
    </w:tbl>
    <w:p w:rsidR="006D4FD4" w:rsidRPr="000A681B" w:rsidRDefault="006D4FD4" w:rsidP="006D4FD4"/>
    <w:p w:rsidR="006D4FD4" w:rsidRDefault="006D4FD4" w:rsidP="006D4FD4">
      <w:r w:rsidRPr="00254546">
        <w:rPr>
          <w:rFonts w:eastAsia="SimSun" w:cs="Times New Roman"/>
          <w:noProof/>
          <w:kern w:val="2"/>
          <w:sz w:val="21"/>
          <w:szCs w:val="22"/>
          <w:lang w:eastAsia="en-US"/>
        </w:rPr>
        <w:lastRenderedPageBreak/>
        <w:drawing>
          <wp:inline distT="0" distB="0" distL="0" distR="0" wp14:anchorId="374039E6" wp14:editId="35F9EBB8">
            <wp:extent cx="5274309" cy="3559592"/>
            <wp:effectExtent l="19050" t="19050" r="22225" b="222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华北全组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3559592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6D4FD4" w:rsidRPr="003224D1" w:rsidRDefault="006D4FD4" w:rsidP="006D4FD4">
      <w:pPr>
        <w:pStyle w:val="Title"/>
        <w:rPr>
          <w:rFonts w:eastAsia="SimHei"/>
          <w:color w:val="000000"/>
          <w:szCs w:val="21"/>
        </w:rPr>
      </w:pPr>
      <w:r w:rsidRPr="00A2724C">
        <w:rPr>
          <w:b/>
          <w:bCs/>
          <w:szCs w:val="21"/>
        </w:rPr>
        <w:t>Fig. A.2</w:t>
      </w:r>
      <w:r>
        <w:rPr>
          <w:b/>
          <w:bCs/>
          <w:szCs w:val="21"/>
        </w:rPr>
        <w:t>.</w:t>
      </w:r>
      <w:r w:rsidRPr="00254546">
        <w:rPr>
          <w:szCs w:val="21"/>
        </w:rPr>
        <w:t xml:space="preserve"> </w:t>
      </w:r>
      <w:r w:rsidRPr="00254546">
        <w:t xml:space="preserve">The butterfly diagram </w:t>
      </w:r>
      <w:r>
        <w:t xml:space="preserve">patterns </w:t>
      </w:r>
      <w:r w:rsidRPr="00254546">
        <w:t xml:space="preserve">of </w:t>
      </w:r>
      <w:r>
        <w:t xml:space="preserve">exceptional and extreme droughts (D4 and D3) during veraison-berry maturation and berry maturation-leaf fall from 1981 to 2016 </w:t>
      </w:r>
      <w:r w:rsidRPr="00254546">
        <w:t xml:space="preserve">in </w:t>
      </w:r>
      <w:r w:rsidRPr="00254546">
        <w:rPr>
          <w:rFonts w:eastAsia="SimHei"/>
          <w:color w:val="000000"/>
          <w:szCs w:val="21"/>
        </w:rPr>
        <w:t xml:space="preserve">Northwest </w:t>
      </w:r>
      <w:r w:rsidRPr="00254546">
        <w:rPr>
          <w:rFonts w:eastAsia="SimHei" w:hint="eastAsia"/>
          <w:color w:val="000000"/>
          <w:szCs w:val="21"/>
        </w:rPr>
        <w:t>China</w:t>
      </w:r>
      <w:r>
        <w:rPr>
          <w:rFonts w:eastAsia="SimHei"/>
          <w:color w:val="000000"/>
          <w:szCs w:val="21"/>
        </w:rPr>
        <w:t>.</w:t>
      </w:r>
    </w:p>
    <w:p w:rsidR="006D4FD4" w:rsidRPr="00254546" w:rsidRDefault="006D4FD4" w:rsidP="006D4FD4">
      <w:pPr>
        <w:widowControl w:val="0"/>
        <w:spacing w:line="240" w:lineRule="auto"/>
        <w:jc w:val="center"/>
        <w:rPr>
          <w:rFonts w:eastAsia="SimSun" w:cs="Times New Roman"/>
          <w:b/>
          <w:kern w:val="2"/>
          <w:sz w:val="28"/>
          <w:szCs w:val="22"/>
        </w:rPr>
      </w:pPr>
      <w:r w:rsidRPr="00254546">
        <w:rPr>
          <w:rFonts w:eastAsia="SimSun" w:cs="Times New Roman"/>
          <w:b/>
          <w:noProof/>
          <w:kern w:val="2"/>
          <w:sz w:val="28"/>
          <w:szCs w:val="22"/>
          <w:lang w:eastAsia="en-US"/>
        </w:rPr>
        <w:lastRenderedPageBreak/>
        <w:drawing>
          <wp:inline distT="0" distB="0" distL="0" distR="0" wp14:anchorId="4FD4D067" wp14:editId="324BE21A">
            <wp:extent cx="5131626" cy="5109412"/>
            <wp:effectExtent l="19050" t="19050" r="12065" b="152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华北全组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1626" cy="5109412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6D4FD4" w:rsidRPr="00254546" w:rsidRDefault="006D4FD4" w:rsidP="006D4FD4">
      <w:pPr>
        <w:pStyle w:val="Title"/>
      </w:pPr>
      <w:r w:rsidRPr="00A2724C">
        <w:rPr>
          <w:b/>
          <w:bCs/>
          <w:szCs w:val="21"/>
        </w:rPr>
        <w:t>Fig. A.3</w:t>
      </w:r>
      <w:r>
        <w:rPr>
          <w:b/>
          <w:bCs/>
          <w:szCs w:val="21"/>
        </w:rPr>
        <w:t>.</w:t>
      </w:r>
      <w:r w:rsidRPr="00254546">
        <w:rPr>
          <w:szCs w:val="21"/>
        </w:rPr>
        <w:t xml:space="preserve"> </w:t>
      </w:r>
      <w:r w:rsidRPr="00254546">
        <w:t xml:space="preserve">The butterfly diagram </w:t>
      </w:r>
      <w:r>
        <w:t xml:space="preserve">patterns </w:t>
      </w:r>
      <w:r w:rsidRPr="00254546">
        <w:t xml:space="preserve">of </w:t>
      </w:r>
      <w:r>
        <w:t xml:space="preserve">exceptional drought (D4) </w:t>
      </w:r>
      <w:r>
        <w:rPr>
          <w:rFonts w:hint="eastAsia"/>
        </w:rPr>
        <w:t>d</w:t>
      </w:r>
      <w:r>
        <w:t xml:space="preserve">uring bud break-flowering, exceptional, extreme, and severe droughts (D4, D3, and D2) during flowering-veraison, and moderate drought (D1) during veraison-berry maturation and berry maturation-leaf fall from 1981 to 2016 </w:t>
      </w:r>
      <w:r w:rsidRPr="00254546">
        <w:t xml:space="preserve">in </w:t>
      </w:r>
      <w:r w:rsidRPr="00254546">
        <w:rPr>
          <w:rFonts w:eastAsia="SimHei"/>
          <w:color w:val="000000"/>
          <w:szCs w:val="21"/>
        </w:rPr>
        <w:t xml:space="preserve">North </w:t>
      </w:r>
      <w:r w:rsidRPr="00254546">
        <w:rPr>
          <w:rFonts w:eastAsia="SimHei" w:hint="eastAsia"/>
          <w:color w:val="000000"/>
          <w:szCs w:val="21"/>
        </w:rPr>
        <w:t>China</w:t>
      </w:r>
      <w:r>
        <w:rPr>
          <w:rFonts w:eastAsia="SimHei"/>
          <w:color w:val="000000"/>
          <w:szCs w:val="21"/>
        </w:rPr>
        <w:t>.</w:t>
      </w:r>
    </w:p>
    <w:p w:rsidR="006D4FD4" w:rsidRPr="00254546" w:rsidRDefault="006D4FD4" w:rsidP="006D4FD4">
      <w:pPr>
        <w:widowControl w:val="0"/>
        <w:spacing w:line="240" w:lineRule="auto"/>
        <w:jc w:val="center"/>
        <w:rPr>
          <w:rFonts w:eastAsia="SimSun" w:cs="Times New Roman"/>
          <w:b/>
          <w:kern w:val="2"/>
          <w:sz w:val="28"/>
          <w:szCs w:val="22"/>
        </w:rPr>
      </w:pPr>
      <w:r w:rsidRPr="00254546">
        <w:rPr>
          <w:rFonts w:eastAsia="SimSun" w:cs="Times New Roman" w:hint="eastAsia"/>
          <w:b/>
          <w:noProof/>
          <w:kern w:val="2"/>
          <w:sz w:val="28"/>
          <w:szCs w:val="22"/>
          <w:lang w:eastAsia="en-US"/>
        </w:rPr>
        <w:lastRenderedPageBreak/>
        <w:drawing>
          <wp:inline distT="0" distB="0" distL="0" distR="0" wp14:anchorId="242DBB64" wp14:editId="097AAACC">
            <wp:extent cx="5274219" cy="5464174"/>
            <wp:effectExtent l="19050" t="19050" r="22225" b="2286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东北全组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219" cy="5464174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6D4FD4" w:rsidRPr="00254546" w:rsidRDefault="006D4FD4" w:rsidP="006D4FD4">
      <w:pPr>
        <w:pStyle w:val="Title"/>
      </w:pPr>
      <w:r w:rsidRPr="00A2724C">
        <w:rPr>
          <w:b/>
          <w:bCs/>
          <w:szCs w:val="21"/>
        </w:rPr>
        <w:t>Fig. A.4</w:t>
      </w:r>
      <w:r>
        <w:rPr>
          <w:b/>
          <w:bCs/>
          <w:szCs w:val="21"/>
        </w:rPr>
        <w:t>.</w:t>
      </w:r>
      <w:r w:rsidRPr="00254546">
        <w:rPr>
          <w:szCs w:val="21"/>
        </w:rPr>
        <w:t xml:space="preserve"> </w:t>
      </w:r>
      <w:bookmarkStart w:id="0" w:name="_GoBack"/>
      <w:r w:rsidRPr="00254546">
        <w:t xml:space="preserve">The butterfly diagram </w:t>
      </w:r>
      <w:r>
        <w:t xml:space="preserve">patterns </w:t>
      </w:r>
      <w:r w:rsidRPr="00254546">
        <w:t xml:space="preserve">of </w:t>
      </w:r>
      <w:r>
        <w:t xml:space="preserve">extreme and severe droughts (D3 and D2) </w:t>
      </w:r>
      <w:r>
        <w:rPr>
          <w:rFonts w:hint="eastAsia"/>
        </w:rPr>
        <w:t>d</w:t>
      </w:r>
      <w:r>
        <w:t xml:space="preserve">uring bud break-flowering, severe and moderate droughts (D2 and D1) during flowering-veraison, and moderate drought (D1) during veraison-berry maturation and berry maturation-leaf fall from 1981 to 2016 </w:t>
      </w:r>
      <w:r w:rsidRPr="00254546">
        <w:t xml:space="preserve">in </w:t>
      </w:r>
      <w:r w:rsidRPr="00254546">
        <w:rPr>
          <w:rFonts w:eastAsia="SimHei" w:hint="eastAsia"/>
          <w:color w:val="000000"/>
          <w:szCs w:val="21"/>
        </w:rPr>
        <w:t>N</w:t>
      </w:r>
      <w:r w:rsidRPr="00254546">
        <w:rPr>
          <w:rFonts w:eastAsia="SimHei"/>
          <w:color w:val="000000"/>
          <w:szCs w:val="21"/>
        </w:rPr>
        <w:t xml:space="preserve">ortheast </w:t>
      </w:r>
      <w:r w:rsidRPr="00254546">
        <w:rPr>
          <w:rFonts w:eastAsia="SimHei" w:hint="eastAsia"/>
          <w:color w:val="000000"/>
          <w:szCs w:val="21"/>
        </w:rPr>
        <w:t>China</w:t>
      </w:r>
      <w:r>
        <w:rPr>
          <w:rFonts w:eastAsia="SimHei"/>
          <w:color w:val="000000"/>
          <w:szCs w:val="21"/>
        </w:rPr>
        <w:t>.</w:t>
      </w:r>
      <w:bookmarkEnd w:id="0"/>
    </w:p>
    <w:p w:rsidR="006D4FD4" w:rsidRPr="00254546" w:rsidRDefault="006D4FD4" w:rsidP="006D4FD4">
      <w:pPr>
        <w:widowControl w:val="0"/>
        <w:spacing w:line="240" w:lineRule="auto"/>
        <w:jc w:val="center"/>
        <w:rPr>
          <w:rFonts w:eastAsia="SimSun" w:cs="Times New Roman"/>
          <w:kern w:val="2"/>
          <w:sz w:val="21"/>
          <w:szCs w:val="21"/>
        </w:rPr>
      </w:pPr>
      <w:r w:rsidRPr="00254546">
        <w:rPr>
          <w:rFonts w:eastAsia="SimSun" w:cs="Times New Roman" w:hint="eastAsia"/>
          <w:b/>
          <w:noProof/>
          <w:kern w:val="2"/>
          <w:sz w:val="28"/>
          <w:szCs w:val="22"/>
          <w:lang w:eastAsia="en-US"/>
        </w:rPr>
        <w:lastRenderedPageBreak/>
        <w:drawing>
          <wp:inline distT="0" distB="0" distL="0" distR="0" wp14:anchorId="41F701D1" wp14:editId="3C0D811F">
            <wp:extent cx="4540984" cy="5065066"/>
            <wp:effectExtent l="19050" t="19050" r="12065" b="215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西南全组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984" cy="5065066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 w:rsidRPr="00254546">
        <w:rPr>
          <w:rFonts w:eastAsia="SimSun" w:cs="Times New Roman"/>
          <w:kern w:val="2"/>
          <w:sz w:val="21"/>
          <w:szCs w:val="21"/>
        </w:rPr>
        <w:t xml:space="preserve"> </w:t>
      </w:r>
    </w:p>
    <w:p w:rsidR="006D4FD4" w:rsidRPr="00254546" w:rsidRDefault="006D4FD4" w:rsidP="006D4FD4">
      <w:pPr>
        <w:pStyle w:val="Title"/>
      </w:pPr>
      <w:r w:rsidRPr="00A2724C">
        <w:rPr>
          <w:b/>
          <w:bCs/>
          <w:szCs w:val="21"/>
        </w:rPr>
        <w:t>Fig. A.5</w:t>
      </w:r>
      <w:r>
        <w:rPr>
          <w:b/>
          <w:bCs/>
          <w:szCs w:val="21"/>
        </w:rPr>
        <w:t>.</w:t>
      </w:r>
      <w:r w:rsidRPr="00254546">
        <w:rPr>
          <w:szCs w:val="21"/>
        </w:rPr>
        <w:t xml:space="preserve"> </w:t>
      </w:r>
      <w:r w:rsidRPr="00254546">
        <w:t xml:space="preserve">The butterfly diagram </w:t>
      </w:r>
      <w:r>
        <w:t xml:space="preserve">patterns </w:t>
      </w:r>
      <w:r w:rsidRPr="00254546">
        <w:t xml:space="preserve">of </w:t>
      </w:r>
      <w:r>
        <w:t xml:space="preserve">extreme, severe, and moderate droughts (D3, D2, and D1) </w:t>
      </w:r>
      <w:r>
        <w:rPr>
          <w:rFonts w:hint="eastAsia"/>
        </w:rPr>
        <w:t>d</w:t>
      </w:r>
      <w:r>
        <w:t xml:space="preserve">uring bud break-flowering, and severe and moderate droughts (D2 and D1) during flowering-veraison from 1981 to 2016 </w:t>
      </w:r>
      <w:r w:rsidRPr="00254546">
        <w:t xml:space="preserve">in </w:t>
      </w:r>
      <w:r w:rsidRPr="00254546">
        <w:rPr>
          <w:rFonts w:eastAsia="SimHei"/>
          <w:color w:val="000000"/>
          <w:szCs w:val="21"/>
        </w:rPr>
        <w:t xml:space="preserve">Southwest </w:t>
      </w:r>
      <w:r w:rsidRPr="00254546">
        <w:rPr>
          <w:rFonts w:eastAsia="SimHei" w:hint="eastAsia"/>
          <w:color w:val="000000"/>
          <w:szCs w:val="21"/>
        </w:rPr>
        <w:t>China</w:t>
      </w:r>
      <w:r>
        <w:rPr>
          <w:rFonts w:eastAsia="SimHei"/>
          <w:color w:val="000000"/>
          <w:szCs w:val="21"/>
        </w:rPr>
        <w:t>.</w:t>
      </w:r>
    </w:p>
    <w:p w:rsidR="006D4FD4" w:rsidRPr="00254546" w:rsidRDefault="006D4FD4" w:rsidP="006D4FD4">
      <w:pPr>
        <w:widowControl w:val="0"/>
        <w:spacing w:line="240" w:lineRule="auto"/>
        <w:jc w:val="center"/>
        <w:rPr>
          <w:rFonts w:eastAsia="SimSun" w:cs="Times New Roman"/>
          <w:b/>
          <w:kern w:val="2"/>
          <w:sz w:val="28"/>
          <w:szCs w:val="22"/>
        </w:rPr>
      </w:pPr>
      <w:r w:rsidRPr="00254546">
        <w:rPr>
          <w:rFonts w:eastAsia="SimSun" w:cs="Times New Roman" w:hint="eastAsia"/>
          <w:b/>
          <w:noProof/>
          <w:kern w:val="2"/>
          <w:sz w:val="28"/>
          <w:szCs w:val="22"/>
          <w:lang w:eastAsia="en-US"/>
        </w:rPr>
        <w:drawing>
          <wp:inline distT="0" distB="0" distL="0" distR="0" wp14:anchorId="6D1F6610" wp14:editId="689B71EA">
            <wp:extent cx="2380723" cy="2008636"/>
            <wp:effectExtent l="19050" t="19050" r="19685" b="1079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东南全组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0723" cy="2008636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6D4FD4" w:rsidRPr="00254546" w:rsidRDefault="006D4FD4" w:rsidP="006D4FD4">
      <w:pPr>
        <w:pStyle w:val="Title"/>
      </w:pPr>
      <w:r w:rsidRPr="00A2724C">
        <w:rPr>
          <w:b/>
          <w:bCs/>
          <w:szCs w:val="21"/>
        </w:rPr>
        <w:t>Fig. A.6</w:t>
      </w:r>
      <w:r>
        <w:rPr>
          <w:b/>
          <w:bCs/>
          <w:szCs w:val="21"/>
        </w:rPr>
        <w:t>.</w:t>
      </w:r>
      <w:r w:rsidRPr="00254546">
        <w:rPr>
          <w:szCs w:val="21"/>
        </w:rPr>
        <w:t xml:space="preserve"> </w:t>
      </w:r>
      <w:r w:rsidRPr="00254546">
        <w:t xml:space="preserve">The butterfly diagram </w:t>
      </w:r>
      <w:r>
        <w:t xml:space="preserve">patterns </w:t>
      </w:r>
      <w:r w:rsidRPr="00254546">
        <w:t xml:space="preserve">of </w:t>
      </w:r>
      <w:r>
        <w:t xml:space="preserve">moderate drought (D1) </w:t>
      </w:r>
      <w:r>
        <w:rPr>
          <w:rFonts w:hint="eastAsia"/>
        </w:rPr>
        <w:t>d</w:t>
      </w:r>
      <w:r>
        <w:t>uring bud break-flowering and berry maturation-leaf fall from 1981 to 2016</w:t>
      </w:r>
      <w:r w:rsidRPr="00254546">
        <w:t xml:space="preserve"> in </w:t>
      </w:r>
      <w:r w:rsidRPr="00254546">
        <w:rPr>
          <w:rFonts w:eastAsia="SimHei"/>
          <w:color w:val="000000"/>
          <w:szCs w:val="21"/>
        </w:rPr>
        <w:t xml:space="preserve">Southeast </w:t>
      </w:r>
      <w:r w:rsidRPr="00254546">
        <w:rPr>
          <w:rFonts w:eastAsia="SimHei" w:hint="eastAsia"/>
          <w:color w:val="000000"/>
          <w:szCs w:val="21"/>
        </w:rPr>
        <w:t>China</w:t>
      </w:r>
      <w:r>
        <w:rPr>
          <w:rFonts w:eastAsia="SimHei"/>
          <w:color w:val="000000"/>
          <w:szCs w:val="21"/>
        </w:rPr>
        <w:t>.</w:t>
      </w:r>
    </w:p>
    <w:p w:rsidR="00000F57" w:rsidRDefault="006D4FD4"/>
    <w:sectPr w:rsidR="00000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FD4"/>
    <w:rsid w:val="0007695B"/>
    <w:rsid w:val="005615C6"/>
    <w:rsid w:val="006D4FD4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77933A-1F6F-44D2-9EF1-CDEC44718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FD4"/>
    <w:pPr>
      <w:spacing w:after="0" w:line="480" w:lineRule="auto"/>
      <w:jc w:val="both"/>
    </w:pPr>
    <w:rPr>
      <w:rFonts w:ascii="Times New Roman" w:eastAsiaTheme="minorEastAsia" w:hAnsi="Times New Roman"/>
      <w:sz w:val="20"/>
      <w:szCs w:val="24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4FD4"/>
    <w:pPr>
      <w:keepNext/>
      <w:keepLines/>
      <w:jc w:val="left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4FD4"/>
    <w:rPr>
      <w:rFonts w:ascii="Times New Roman" w:eastAsiaTheme="majorEastAsia" w:hAnsi="Times New Roman" w:cstheme="majorBidi"/>
      <w:b/>
      <w:sz w:val="20"/>
      <w:szCs w:val="26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6D4FD4"/>
    <w:pPr>
      <w:contextualSpacing/>
    </w:pPr>
    <w:rPr>
      <w:rFonts w:eastAsiaTheme="majorEastAsia" w:cstheme="majorBidi"/>
      <w:spacing w:val="-10"/>
      <w:kern w:val="28"/>
      <w:sz w:val="1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4FD4"/>
    <w:rPr>
      <w:rFonts w:ascii="Times New Roman" w:eastAsiaTheme="majorEastAsia" w:hAnsi="Times New Roman" w:cstheme="majorBidi"/>
      <w:spacing w:val="-10"/>
      <w:kern w:val="28"/>
      <w:sz w:val="18"/>
      <w:szCs w:val="56"/>
      <w:lang w:eastAsia="zh-CN"/>
    </w:rPr>
  </w:style>
  <w:style w:type="table" w:styleId="TableGrid">
    <w:name w:val="Table Grid"/>
    <w:basedOn w:val="TableNormal"/>
    <w:uiPriority w:val="59"/>
    <w:rsid w:val="006D4FD4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477</Words>
  <Characters>2725</Characters>
  <Application>Microsoft Office Word</Application>
  <DocSecurity>0</DocSecurity>
  <Lines>22</Lines>
  <Paragraphs>6</Paragraphs>
  <ScaleCrop>false</ScaleCrop>
  <Company>Springer Nature IT</Company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2021-07-13T07:11:00Z</dcterms:created>
  <dcterms:modified xsi:type="dcterms:W3CDTF">2021-07-13T07:11:00Z</dcterms:modified>
</cp:coreProperties>
</file>