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32"/>
          <w:szCs w:val="32"/>
        </w:rPr>
        <w:t>SUPPLEMENTARY INFORMATION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Aerosol inhibition on photochemical surface ozone formation under future climate and air quality scenarios</w:t>
      </w:r>
    </w:p>
    <w:p w:rsidR="001433FE" w:rsidRDefault="001433FE" w:rsidP="001433FE">
      <w:pPr>
        <w:spacing w:after="240"/>
        <w:jc w:val="both"/>
        <w:rPr>
          <w:rFonts w:ascii="Calibri" w:eastAsia="Calibri" w:hAnsi="Calibri" w:cs="Calibri"/>
          <w:b/>
          <w:sz w:val="24"/>
          <w:szCs w:val="24"/>
          <w:vertAlign w:val="superscript"/>
        </w:rPr>
      </w:pPr>
      <w:r>
        <w:rPr>
          <w:rFonts w:ascii="Calibri" w:eastAsia="Calibri" w:hAnsi="Calibri" w:cs="Calibri"/>
          <w:b/>
          <w:sz w:val="24"/>
          <w:szCs w:val="24"/>
        </w:rPr>
        <w:t>G S Gopikrishnan</w:t>
      </w:r>
      <w:r>
        <w:rPr>
          <w:rFonts w:ascii="Calibri" w:eastAsia="Calibri" w:hAnsi="Calibri" w:cs="Calibri"/>
          <w:b/>
          <w:sz w:val="24"/>
          <w:szCs w:val="24"/>
          <w:vertAlign w:val="superscript"/>
        </w:rPr>
        <w:t>1,2</w:t>
      </w:r>
      <w:r>
        <w:rPr>
          <w:rFonts w:ascii="Calibri" w:eastAsia="Calibri" w:hAnsi="Calibri" w:cs="Calibri"/>
          <w:b/>
          <w:sz w:val="24"/>
          <w:szCs w:val="24"/>
        </w:rPr>
        <w:t>, D. M. Westervelt</w:t>
      </w:r>
      <w:proofErr w:type="gramStart"/>
      <w:r>
        <w:rPr>
          <w:rFonts w:ascii="Calibri" w:eastAsia="Calibri" w:hAnsi="Calibri" w:cs="Calibri"/>
          <w:b/>
          <w:sz w:val="24"/>
          <w:szCs w:val="24"/>
          <w:vertAlign w:val="superscript"/>
        </w:rPr>
        <w:t>2,*</w:t>
      </w:r>
      <w:proofErr w:type="gramEnd"/>
      <w:r>
        <w:rPr>
          <w:rFonts w:ascii="Calibri" w:eastAsia="Calibri" w:hAnsi="Calibri" w:cs="Calibri"/>
          <w:b/>
          <w:sz w:val="24"/>
          <w:szCs w:val="24"/>
        </w:rPr>
        <w:t xml:space="preserve"> and J. Kuttippurath</w:t>
      </w:r>
      <w:r>
        <w:rPr>
          <w:rFonts w:ascii="Calibri" w:eastAsia="Calibri" w:hAnsi="Calibri" w:cs="Calibri"/>
          <w:b/>
          <w:sz w:val="24"/>
          <w:szCs w:val="24"/>
          <w:vertAlign w:val="superscript"/>
        </w:rPr>
        <w:t>1</w:t>
      </w:r>
    </w:p>
    <w:p w:rsidR="001433FE" w:rsidRDefault="001433FE" w:rsidP="001433FE">
      <w:pPr>
        <w:jc w:val="both"/>
        <w:rPr>
          <w:rFonts w:ascii="Calibri" w:eastAsia="Calibri" w:hAnsi="Calibri" w:cs="Calibri"/>
          <w:i/>
          <w:sz w:val="24"/>
          <w:szCs w:val="24"/>
        </w:rPr>
      </w:pPr>
      <w:r>
        <w:rPr>
          <w:rFonts w:ascii="Calibri" w:eastAsia="Calibri" w:hAnsi="Calibri" w:cs="Calibri"/>
          <w:i/>
          <w:sz w:val="24"/>
          <w:szCs w:val="24"/>
          <w:vertAlign w:val="superscript"/>
        </w:rPr>
        <w:t xml:space="preserve">1 </w:t>
      </w:r>
      <w:r>
        <w:rPr>
          <w:rFonts w:ascii="Calibri" w:eastAsia="Calibri" w:hAnsi="Calibri" w:cs="Calibri"/>
          <w:i/>
          <w:sz w:val="24"/>
          <w:szCs w:val="24"/>
        </w:rPr>
        <w:t>CORAL, Indian Institute of Technology Kharagpur, Kharagpur–721302, India.</w:t>
      </w:r>
    </w:p>
    <w:p w:rsidR="001433FE" w:rsidRDefault="001433FE" w:rsidP="001433FE">
      <w:pPr>
        <w:jc w:val="both"/>
        <w:rPr>
          <w:rFonts w:ascii="Calibri" w:eastAsia="Calibri" w:hAnsi="Calibri" w:cs="Calibri"/>
          <w:i/>
          <w:sz w:val="24"/>
          <w:szCs w:val="24"/>
        </w:rPr>
      </w:pPr>
      <w:r>
        <w:rPr>
          <w:rFonts w:ascii="Calibri" w:eastAsia="Calibri" w:hAnsi="Calibri" w:cs="Calibri"/>
          <w:i/>
          <w:sz w:val="24"/>
          <w:szCs w:val="24"/>
          <w:vertAlign w:val="superscript"/>
        </w:rPr>
        <w:t>2</w:t>
      </w:r>
      <w:r>
        <w:rPr>
          <w:rFonts w:ascii="Calibri" w:eastAsia="Calibri" w:hAnsi="Calibri" w:cs="Calibri"/>
          <w:sz w:val="24"/>
          <w:szCs w:val="24"/>
        </w:rPr>
        <w:t xml:space="preserve"> </w:t>
      </w:r>
      <w:r>
        <w:rPr>
          <w:rFonts w:ascii="Calibri" w:eastAsia="Calibri" w:hAnsi="Calibri" w:cs="Calibri"/>
          <w:i/>
          <w:sz w:val="24"/>
          <w:szCs w:val="24"/>
        </w:rPr>
        <w:t>Lamont‐Doherty Earth Observatory, Columbia University, New York - 10964, NY, USA</w:t>
      </w:r>
    </w:p>
    <w:p w:rsidR="001433FE" w:rsidRDefault="001433FE" w:rsidP="001433FE">
      <w:pPr>
        <w:spacing w:before="240"/>
        <w:jc w:val="both"/>
        <w:rPr>
          <w:rFonts w:ascii="Calibri" w:eastAsia="Calibri" w:hAnsi="Calibri" w:cs="Calibri"/>
          <w:b/>
          <w:i/>
          <w:sz w:val="24"/>
          <w:szCs w:val="24"/>
        </w:rPr>
      </w:pPr>
      <w:r>
        <w:rPr>
          <w:rFonts w:ascii="Calibri" w:eastAsia="Calibri" w:hAnsi="Calibri" w:cs="Calibri"/>
          <w:b/>
          <w:i/>
          <w:sz w:val="24"/>
          <w:szCs w:val="24"/>
        </w:rPr>
        <w:t xml:space="preserve"> </w:t>
      </w:r>
    </w:p>
    <w:p w:rsidR="001433FE" w:rsidRDefault="001433FE" w:rsidP="001433FE">
      <w:pPr>
        <w:spacing w:before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i/>
          <w:sz w:val="24"/>
          <w:szCs w:val="24"/>
        </w:rPr>
        <w:t>* To whom correspondence should be addressed. Email: danielmw@ldeo.columbia.edu</w:t>
      </w:r>
    </w:p>
    <w:p w:rsidR="001433FE" w:rsidRDefault="001433FE" w:rsidP="001433FE">
      <w:pPr>
        <w:spacing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noProof/>
          <w:sz w:val="28"/>
          <w:szCs w:val="28"/>
        </w:rPr>
        <w:drawing>
          <wp:inline distT="114300" distB="114300" distL="114300" distR="114300" wp14:anchorId="7EF7AC91" wp14:editId="7EA42C9C">
            <wp:extent cx="4644920" cy="6519863"/>
            <wp:effectExtent l="0" t="0" r="0" b="0"/>
            <wp:docPr id="1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4920" cy="65198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1| </w:t>
      </w:r>
      <w:r>
        <w:rPr>
          <w:rFonts w:ascii="Calibri" w:eastAsia="Calibri" w:hAnsi="Calibri" w:cs="Calibri"/>
          <w:sz w:val="24"/>
          <w:szCs w:val="24"/>
        </w:rPr>
        <w:t>The regional distribution of various ozone generation photochemical regimes modelled with an aerosol uptake coefficient of 0 in 2018.</w:t>
      </w:r>
    </w:p>
    <w:p w:rsidR="001433FE" w:rsidRDefault="001433FE" w:rsidP="001433FE">
      <w:pPr>
        <w:spacing w:before="240" w:after="240"/>
        <w:rPr>
          <w:rFonts w:ascii="Calibri" w:eastAsia="Calibri" w:hAnsi="Calibri" w:cs="Calibri"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noProof/>
          <w:sz w:val="28"/>
          <w:szCs w:val="28"/>
        </w:rPr>
        <w:lastRenderedPageBreak/>
        <w:drawing>
          <wp:inline distT="114300" distB="114300" distL="114300" distR="114300" wp14:anchorId="7B505920" wp14:editId="54781596">
            <wp:extent cx="4522774" cy="6348413"/>
            <wp:effectExtent l="0" t="0" r="0" b="0"/>
            <wp:docPr id="1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2774" cy="6348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2| </w:t>
      </w:r>
      <w:r>
        <w:rPr>
          <w:rFonts w:ascii="Calibri" w:eastAsia="Calibri" w:hAnsi="Calibri" w:cs="Calibri"/>
          <w:sz w:val="24"/>
          <w:szCs w:val="24"/>
        </w:rPr>
        <w:t>The regional distribution of various ozone generation photochemical regimes modelled with an aerosol uptake coefficient of 0.1 in 2018.</w:t>
      </w: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noProof/>
          <w:sz w:val="28"/>
          <w:szCs w:val="28"/>
        </w:rPr>
        <w:lastRenderedPageBreak/>
        <w:drawing>
          <wp:inline distT="114300" distB="114300" distL="114300" distR="114300" wp14:anchorId="1DE10A2A" wp14:editId="5D4FAB99">
            <wp:extent cx="4563489" cy="6405563"/>
            <wp:effectExtent l="0" t="0" r="0" b="0"/>
            <wp:docPr id="21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63489" cy="64055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3| </w:t>
      </w:r>
      <w:r>
        <w:rPr>
          <w:rFonts w:ascii="Calibri" w:eastAsia="Calibri" w:hAnsi="Calibri" w:cs="Calibri"/>
          <w:sz w:val="24"/>
          <w:szCs w:val="24"/>
        </w:rPr>
        <w:t>The regional distribution of various ozone generation photochemical regimes modelled with an aerosol uptake coefficient of 0.4 in 2018.</w:t>
      </w: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8"/>
          <w:szCs w:val="28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noProof/>
          <w:sz w:val="28"/>
          <w:szCs w:val="28"/>
        </w:rPr>
        <w:lastRenderedPageBreak/>
        <w:drawing>
          <wp:inline distT="114300" distB="114300" distL="114300" distR="114300" wp14:anchorId="5476EB37" wp14:editId="712A86A0">
            <wp:extent cx="4464650" cy="5376863"/>
            <wp:effectExtent l="0" t="0" r="0" b="0"/>
            <wp:docPr id="19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4650" cy="53768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4| </w:t>
      </w:r>
      <w:r>
        <w:rPr>
          <w:rFonts w:ascii="Calibri" w:eastAsia="Calibri" w:hAnsi="Calibri" w:cs="Calibri"/>
          <w:sz w:val="24"/>
          <w:szCs w:val="24"/>
        </w:rPr>
        <w:t>The percentage change in surface ozone between 0 aerosol uptake and 0.1 aerosol uptake values in 2018.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noProof/>
          <w:sz w:val="24"/>
          <w:szCs w:val="24"/>
        </w:rPr>
        <w:lastRenderedPageBreak/>
        <w:drawing>
          <wp:inline distT="114300" distB="114300" distL="114300" distR="114300" wp14:anchorId="077BACAD" wp14:editId="2E9C28C3">
            <wp:extent cx="4670285" cy="5624513"/>
            <wp:effectExtent l="0" t="0" r="0" b="0"/>
            <wp:docPr id="15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0285" cy="5624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5| </w:t>
      </w:r>
      <w:r>
        <w:rPr>
          <w:rFonts w:ascii="Calibri" w:eastAsia="Calibri" w:hAnsi="Calibri" w:cs="Calibri"/>
          <w:sz w:val="24"/>
          <w:szCs w:val="24"/>
        </w:rPr>
        <w:t>The percentage change in surface ozone between when γHO</w:t>
      </w:r>
      <w:r>
        <w:rPr>
          <w:rFonts w:ascii="Calibri" w:eastAsia="Calibri" w:hAnsi="Calibri" w:cs="Calibri"/>
          <w:sz w:val="24"/>
          <w:szCs w:val="24"/>
          <w:vertAlign w:val="subscript"/>
        </w:rPr>
        <w:t xml:space="preserve">2 </w:t>
      </w:r>
      <w:r>
        <w:rPr>
          <w:rFonts w:ascii="Calibri" w:eastAsia="Calibri" w:hAnsi="Calibri" w:cs="Calibri"/>
          <w:sz w:val="24"/>
          <w:szCs w:val="24"/>
        </w:rPr>
        <w:t>is</w:t>
      </w:r>
      <w:r>
        <w:rPr>
          <w:rFonts w:ascii="Calibri" w:eastAsia="Calibri" w:hAnsi="Calibri" w:cs="Calibri"/>
          <w:sz w:val="24"/>
          <w:szCs w:val="24"/>
          <w:vertAlign w:val="subscript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0 and 0.2 in 2018.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37D4985B" wp14:editId="71E5BAE4">
            <wp:extent cx="4456741" cy="5367338"/>
            <wp:effectExtent l="0" t="0" r="0" b="0"/>
            <wp:docPr id="24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6741" cy="5367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6| </w:t>
      </w:r>
      <w:r>
        <w:rPr>
          <w:rFonts w:ascii="Calibri" w:eastAsia="Calibri" w:hAnsi="Calibri" w:cs="Calibri"/>
          <w:sz w:val="24"/>
          <w:szCs w:val="24"/>
        </w:rPr>
        <w:t>The percentage change in surface ozone between 0 aerosol uptake and 0.4 aerosol uptake values in 2018.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153FA2E2" wp14:editId="45587AB6">
            <wp:extent cx="4471988" cy="6277125"/>
            <wp:effectExtent l="0" t="0" r="0" b="0"/>
            <wp:docPr id="22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1988" cy="6277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7| </w:t>
      </w:r>
      <w:r>
        <w:rPr>
          <w:rFonts w:ascii="Calibri" w:eastAsia="Calibri" w:hAnsi="Calibri" w:cs="Calibri"/>
          <w:sz w:val="24"/>
          <w:szCs w:val="24"/>
        </w:rPr>
        <w:t>The regional distribution of ozone generation photochemical regimes modelled with an aerosol uptake coefficient of 0.2 in the SSP 1-2.6 scenario for 2046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6E688450" wp14:editId="3AA8D5FE">
            <wp:extent cx="4481513" cy="6290495"/>
            <wp:effectExtent l="0" t="0" r="0" b="0"/>
            <wp:docPr id="23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81513" cy="62904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8| </w:t>
      </w:r>
      <w:r>
        <w:rPr>
          <w:rFonts w:ascii="Calibri" w:eastAsia="Calibri" w:hAnsi="Calibri" w:cs="Calibri"/>
          <w:sz w:val="24"/>
          <w:szCs w:val="24"/>
        </w:rPr>
        <w:t>The regional distribution of ozone generation photochemical regimes modelled with an aerosol uptake coefficient of 0.2 in the SSP 5-8.5 scenario for 2046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noProof/>
          <w:sz w:val="24"/>
          <w:szCs w:val="24"/>
        </w:rPr>
        <w:drawing>
          <wp:inline distT="114300" distB="114300" distL="114300" distR="114300" wp14:anchorId="7A263E85" wp14:editId="28397EEF">
            <wp:extent cx="5731200" cy="3581400"/>
            <wp:effectExtent l="0" t="0" r="0" b="0"/>
            <wp:docPr id="25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8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9| </w:t>
      </w:r>
      <w:r>
        <w:rPr>
          <w:rFonts w:ascii="Calibri" w:eastAsia="Calibri" w:hAnsi="Calibri" w:cs="Calibri"/>
          <w:sz w:val="24"/>
          <w:szCs w:val="24"/>
        </w:rPr>
        <w:t xml:space="preserve">The change in Aerosol surface area </w:t>
      </w:r>
      <w:proofErr w:type="gramStart"/>
      <w:r>
        <w:rPr>
          <w:rFonts w:ascii="Calibri" w:eastAsia="Calibri" w:hAnsi="Calibri" w:cs="Calibri"/>
          <w:sz w:val="24"/>
          <w:szCs w:val="24"/>
        </w:rPr>
        <w:t>density  in</w:t>
      </w:r>
      <w:proofErr w:type="gramEnd"/>
      <w:r>
        <w:rPr>
          <w:rFonts w:ascii="Calibri" w:eastAsia="Calibri" w:hAnsi="Calibri" w:cs="Calibri"/>
          <w:sz w:val="24"/>
          <w:szCs w:val="24"/>
        </w:rPr>
        <w:t xml:space="preserve"> SSP 2-4.5 for </w:t>
      </w:r>
      <w:r>
        <w:rPr>
          <w:rFonts w:ascii="Calibri" w:eastAsia="Calibri" w:hAnsi="Calibri" w:cs="Calibri"/>
          <w:b/>
          <w:sz w:val="24"/>
          <w:szCs w:val="24"/>
        </w:rPr>
        <w:t xml:space="preserve">[left] </w:t>
      </w:r>
      <w:r>
        <w:rPr>
          <w:rFonts w:ascii="Calibri" w:eastAsia="Calibri" w:hAnsi="Calibri" w:cs="Calibri"/>
          <w:sz w:val="24"/>
          <w:szCs w:val="24"/>
        </w:rPr>
        <w:t xml:space="preserve">2046 and </w:t>
      </w:r>
      <w:r>
        <w:rPr>
          <w:rFonts w:ascii="Calibri" w:eastAsia="Calibri" w:hAnsi="Calibri" w:cs="Calibri"/>
          <w:b/>
          <w:sz w:val="24"/>
          <w:szCs w:val="24"/>
        </w:rPr>
        <w:t>[right]</w:t>
      </w:r>
      <w:r>
        <w:rPr>
          <w:rFonts w:ascii="Calibri" w:eastAsia="Calibri" w:hAnsi="Calibri" w:cs="Calibri"/>
          <w:sz w:val="24"/>
          <w:szCs w:val="24"/>
        </w:rPr>
        <w:t xml:space="preserve"> 2096 when compared to that of 2018.</w:t>
      </w:r>
    </w:p>
    <w:p w:rsidR="001433FE" w:rsidRDefault="001433FE" w:rsidP="001433FE">
      <w:pPr>
        <w:spacing w:before="240" w:after="240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noProof/>
          <w:sz w:val="24"/>
          <w:szCs w:val="24"/>
        </w:rPr>
        <w:lastRenderedPageBreak/>
        <w:drawing>
          <wp:inline distT="114300" distB="114300" distL="114300" distR="114300" wp14:anchorId="40C77203" wp14:editId="3E6DB91A">
            <wp:extent cx="5731200" cy="3695700"/>
            <wp:effectExtent l="0" t="0" r="0" b="0"/>
            <wp:docPr id="26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9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10| </w:t>
      </w:r>
      <w:r>
        <w:rPr>
          <w:rFonts w:ascii="Calibri" w:eastAsia="Calibri" w:hAnsi="Calibri" w:cs="Calibri"/>
          <w:sz w:val="24"/>
          <w:szCs w:val="24"/>
        </w:rPr>
        <w:t xml:space="preserve">The change in Black Carbon Aerosol surface area </w:t>
      </w:r>
      <w:proofErr w:type="gramStart"/>
      <w:r>
        <w:rPr>
          <w:rFonts w:ascii="Calibri" w:eastAsia="Calibri" w:hAnsi="Calibri" w:cs="Calibri"/>
          <w:sz w:val="24"/>
          <w:szCs w:val="24"/>
        </w:rPr>
        <w:t>density  in</w:t>
      </w:r>
      <w:proofErr w:type="gramEnd"/>
      <w:r>
        <w:rPr>
          <w:rFonts w:ascii="Calibri" w:eastAsia="Calibri" w:hAnsi="Calibri" w:cs="Calibri"/>
          <w:sz w:val="24"/>
          <w:szCs w:val="24"/>
        </w:rPr>
        <w:t xml:space="preserve"> SSP 2-4.5 for </w:t>
      </w:r>
      <w:r>
        <w:rPr>
          <w:rFonts w:ascii="Calibri" w:eastAsia="Calibri" w:hAnsi="Calibri" w:cs="Calibri"/>
          <w:b/>
          <w:sz w:val="24"/>
          <w:szCs w:val="24"/>
        </w:rPr>
        <w:t xml:space="preserve">[left] </w:t>
      </w:r>
      <w:r>
        <w:rPr>
          <w:rFonts w:ascii="Calibri" w:eastAsia="Calibri" w:hAnsi="Calibri" w:cs="Calibri"/>
          <w:sz w:val="24"/>
          <w:szCs w:val="24"/>
        </w:rPr>
        <w:t xml:space="preserve">2046 and </w:t>
      </w:r>
      <w:r>
        <w:rPr>
          <w:rFonts w:ascii="Calibri" w:eastAsia="Calibri" w:hAnsi="Calibri" w:cs="Calibri"/>
          <w:b/>
          <w:sz w:val="24"/>
          <w:szCs w:val="24"/>
        </w:rPr>
        <w:t>[right]</w:t>
      </w:r>
      <w:r>
        <w:rPr>
          <w:rFonts w:ascii="Calibri" w:eastAsia="Calibri" w:hAnsi="Calibri" w:cs="Calibri"/>
          <w:sz w:val="24"/>
          <w:szCs w:val="24"/>
        </w:rPr>
        <w:t xml:space="preserve"> 2096 when compared to that of 2018.</w:t>
      </w: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noProof/>
          <w:sz w:val="24"/>
          <w:szCs w:val="24"/>
        </w:rPr>
        <w:lastRenderedPageBreak/>
        <w:drawing>
          <wp:inline distT="114300" distB="114300" distL="114300" distR="114300" wp14:anchorId="1262F663" wp14:editId="7992E291">
            <wp:extent cx="5731200" cy="3683000"/>
            <wp:effectExtent l="0" t="0" r="0" b="0"/>
            <wp:docPr id="27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8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11| </w:t>
      </w:r>
      <w:r>
        <w:rPr>
          <w:rFonts w:ascii="Calibri" w:eastAsia="Calibri" w:hAnsi="Calibri" w:cs="Calibri"/>
          <w:sz w:val="24"/>
          <w:szCs w:val="24"/>
        </w:rPr>
        <w:t xml:space="preserve">The change in Sulphate Aerosol surface area </w:t>
      </w:r>
      <w:proofErr w:type="gramStart"/>
      <w:r>
        <w:rPr>
          <w:rFonts w:ascii="Calibri" w:eastAsia="Calibri" w:hAnsi="Calibri" w:cs="Calibri"/>
          <w:sz w:val="24"/>
          <w:szCs w:val="24"/>
        </w:rPr>
        <w:t>density  in</w:t>
      </w:r>
      <w:proofErr w:type="gramEnd"/>
      <w:r>
        <w:rPr>
          <w:rFonts w:ascii="Calibri" w:eastAsia="Calibri" w:hAnsi="Calibri" w:cs="Calibri"/>
          <w:sz w:val="24"/>
          <w:szCs w:val="24"/>
        </w:rPr>
        <w:t xml:space="preserve"> SSP 2-4.5 for </w:t>
      </w:r>
      <w:r>
        <w:rPr>
          <w:rFonts w:ascii="Calibri" w:eastAsia="Calibri" w:hAnsi="Calibri" w:cs="Calibri"/>
          <w:b/>
          <w:sz w:val="24"/>
          <w:szCs w:val="24"/>
        </w:rPr>
        <w:t xml:space="preserve">[left] </w:t>
      </w:r>
      <w:r>
        <w:rPr>
          <w:rFonts w:ascii="Calibri" w:eastAsia="Calibri" w:hAnsi="Calibri" w:cs="Calibri"/>
          <w:sz w:val="24"/>
          <w:szCs w:val="24"/>
        </w:rPr>
        <w:t xml:space="preserve">2046 and </w:t>
      </w:r>
      <w:r>
        <w:rPr>
          <w:rFonts w:ascii="Calibri" w:eastAsia="Calibri" w:hAnsi="Calibri" w:cs="Calibri"/>
          <w:b/>
          <w:sz w:val="24"/>
          <w:szCs w:val="24"/>
        </w:rPr>
        <w:t>[right]</w:t>
      </w:r>
      <w:r>
        <w:rPr>
          <w:rFonts w:ascii="Calibri" w:eastAsia="Calibri" w:hAnsi="Calibri" w:cs="Calibri"/>
          <w:sz w:val="24"/>
          <w:szCs w:val="24"/>
        </w:rPr>
        <w:t xml:space="preserve"> 2096 when compared to that of 2018.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130AD422" wp14:editId="2178CEC8">
            <wp:extent cx="4465560" cy="5348288"/>
            <wp:effectExtent l="0" t="0" r="0" b="0"/>
            <wp:docPr id="28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5560" cy="53482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12| </w:t>
      </w:r>
      <w:r>
        <w:rPr>
          <w:rFonts w:ascii="Calibri" w:eastAsia="Calibri" w:hAnsi="Calibri" w:cs="Calibri"/>
          <w:sz w:val="24"/>
          <w:szCs w:val="24"/>
        </w:rPr>
        <w:t>The percentage change in surface ozone between 0 aerosol uptake and 0.2 aerosol uptake values for the SSP 1-2.6 scenario in 2046.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b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32A18B80" wp14:editId="7A7173DB">
            <wp:extent cx="4718396" cy="5653088"/>
            <wp:effectExtent l="0" t="0" r="0" b="0"/>
            <wp:docPr id="29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18396" cy="56530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Supplementary Fig. 13|</w:t>
      </w:r>
      <w:r>
        <w:rPr>
          <w:rFonts w:ascii="Calibri" w:eastAsia="Calibri" w:hAnsi="Calibri" w:cs="Calibri"/>
          <w:sz w:val="24"/>
          <w:szCs w:val="24"/>
        </w:rPr>
        <w:t xml:space="preserve"> The percentage change in surface ozone between 0 aerosol uptake and 0.2 aerosol uptake values for the SSP 2-4.5 scenario in 2046.</w:t>
      </w: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6D7687E6" wp14:editId="77487F9B">
            <wp:extent cx="4465560" cy="5348288"/>
            <wp:effectExtent l="0" t="0" r="0" b="0"/>
            <wp:docPr id="31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5560" cy="53482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14| </w:t>
      </w:r>
      <w:r>
        <w:rPr>
          <w:rFonts w:ascii="Calibri" w:eastAsia="Calibri" w:hAnsi="Calibri" w:cs="Calibri"/>
          <w:sz w:val="24"/>
          <w:szCs w:val="24"/>
        </w:rPr>
        <w:t>The percentage change in surface ozone between 0 aerosol uptake and 0.2 aerosol uptake values for the SSP 5-8.5 scenario in 2046.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335463A8" wp14:editId="477FF1BB">
            <wp:extent cx="4475273" cy="6281738"/>
            <wp:effectExtent l="0" t="0" r="0" b="0"/>
            <wp:docPr id="32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5273" cy="62817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15| </w:t>
      </w:r>
      <w:r>
        <w:rPr>
          <w:rFonts w:ascii="Calibri" w:eastAsia="Calibri" w:hAnsi="Calibri" w:cs="Calibri"/>
          <w:sz w:val="24"/>
          <w:szCs w:val="24"/>
        </w:rPr>
        <w:t>The regional distribution of ozone generation photochemical regimes modelled with an aerosol uptake coefficient of 0.2 in the SSP 1-2.6 scenario for 2096.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12697AA3" wp14:editId="739281AC">
            <wp:extent cx="4482059" cy="6291263"/>
            <wp:effectExtent l="0" t="0" r="0" b="0"/>
            <wp:docPr id="33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82059" cy="62912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16| </w:t>
      </w:r>
      <w:r>
        <w:rPr>
          <w:rFonts w:ascii="Calibri" w:eastAsia="Calibri" w:hAnsi="Calibri" w:cs="Calibri"/>
          <w:sz w:val="24"/>
          <w:szCs w:val="24"/>
        </w:rPr>
        <w:t>The regional distribution of ozone generation photochemical regimes modelled with an aerosol uptake coefficient of 0.2 in the SSP 5-8.5 scenario for 2096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5685A81B" wp14:editId="608F00FA">
            <wp:extent cx="4902971" cy="5872163"/>
            <wp:effectExtent l="0" t="0" r="0" b="0"/>
            <wp:docPr id="6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2971" cy="5872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17| </w:t>
      </w:r>
      <w:r>
        <w:rPr>
          <w:rFonts w:ascii="Calibri" w:eastAsia="Calibri" w:hAnsi="Calibri" w:cs="Calibri"/>
          <w:sz w:val="24"/>
          <w:szCs w:val="24"/>
        </w:rPr>
        <w:t>The percentage change in surface ozone between 0 aerosol uptake and 0.2 aerosol uptake values for the SSP 1-2.6 scenario in 2096.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6925699C" wp14:editId="5B516A00">
            <wp:extent cx="4958641" cy="5938838"/>
            <wp:effectExtent l="0" t="0" r="0" b="0"/>
            <wp:docPr id="7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8641" cy="5938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18| </w:t>
      </w:r>
      <w:r>
        <w:rPr>
          <w:rFonts w:ascii="Calibri" w:eastAsia="Calibri" w:hAnsi="Calibri" w:cs="Calibri"/>
          <w:sz w:val="24"/>
          <w:szCs w:val="24"/>
        </w:rPr>
        <w:t>The percentage change in surface ozone between 0 aerosol uptake and 0.2 aerosol uptake values for the SSP 2-4.5 scenario in 2096.</w:t>
      </w: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5D5C6428" wp14:editId="3C7B2A6C">
            <wp:extent cx="4656430" cy="5576888"/>
            <wp:effectExtent l="0" t="0" r="0" b="0"/>
            <wp:docPr id="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6430" cy="5576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19| </w:t>
      </w:r>
      <w:r>
        <w:rPr>
          <w:rFonts w:ascii="Calibri" w:eastAsia="Calibri" w:hAnsi="Calibri" w:cs="Calibri"/>
          <w:sz w:val="24"/>
          <w:szCs w:val="24"/>
        </w:rPr>
        <w:t>The percentage change in surface ozone between 0 aerosol uptake and 0.2 aerosol uptake values for the SSP 5-8.5 scenario in 2096.</w:t>
      </w: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ind w:left="720"/>
        <w:jc w:val="center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5C174D8B" wp14:editId="0506C54F">
            <wp:extent cx="4450368" cy="5233988"/>
            <wp:effectExtent l="0" t="0" r="0" b="0"/>
            <wp:docPr id="9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0368" cy="5233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20| </w:t>
      </w:r>
      <w:r>
        <w:rPr>
          <w:rFonts w:ascii="Calibri" w:eastAsia="Calibri" w:hAnsi="Calibri" w:cs="Calibri"/>
          <w:sz w:val="24"/>
          <w:szCs w:val="24"/>
        </w:rPr>
        <w:t>The percentage change in surface ozone for the year 2046 when compared to that of 2018 for the SSP 1-2.6 scenario.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6FCC2C2E" wp14:editId="06C7E1AB">
            <wp:extent cx="4669039" cy="5491163"/>
            <wp:effectExtent l="0" t="0" r="0" b="0"/>
            <wp:docPr id="1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4"/>
                    <a:srcRect l="16" r="17"/>
                    <a:stretch>
                      <a:fillRect/>
                    </a:stretch>
                  </pic:blipFill>
                  <pic:spPr>
                    <a:xfrm>
                      <a:off x="0" y="0"/>
                      <a:ext cx="4669039" cy="5491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21| </w:t>
      </w:r>
      <w:r>
        <w:rPr>
          <w:rFonts w:ascii="Calibri" w:eastAsia="Calibri" w:hAnsi="Calibri" w:cs="Calibri"/>
          <w:sz w:val="24"/>
          <w:szCs w:val="24"/>
        </w:rPr>
        <w:t>The percentage change in surface ozone for the year 2046 when compared to that of 2018 for the SSP 2-4.5 scenario.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3D290176" wp14:editId="6929E960">
            <wp:extent cx="4482764" cy="5272088"/>
            <wp:effectExtent l="0" t="0" r="0" b="0"/>
            <wp:docPr id="2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82764" cy="52720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22| </w:t>
      </w:r>
      <w:r>
        <w:rPr>
          <w:rFonts w:ascii="Calibri" w:eastAsia="Calibri" w:hAnsi="Calibri" w:cs="Calibri"/>
          <w:sz w:val="24"/>
          <w:szCs w:val="24"/>
        </w:rPr>
        <w:t>The percentage change in surface ozone for the year 2046 when compared to that of 2018 for the SSP 5-8.5 scenario.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noProof/>
          <w:sz w:val="24"/>
          <w:szCs w:val="24"/>
        </w:rPr>
        <w:lastRenderedPageBreak/>
        <w:drawing>
          <wp:inline distT="114300" distB="114300" distL="114300" distR="114300" wp14:anchorId="07EAFC18" wp14:editId="5CD5CDA1">
            <wp:extent cx="5731200" cy="4495800"/>
            <wp:effectExtent l="0" t="0" r="0" b="0"/>
            <wp:docPr id="1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49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Supplementary Fig. 23|</w:t>
      </w:r>
      <w:r>
        <w:rPr>
          <w:rFonts w:ascii="Calibri" w:eastAsia="Calibri" w:hAnsi="Calibri" w:cs="Calibri"/>
          <w:sz w:val="24"/>
          <w:szCs w:val="24"/>
        </w:rPr>
        <w:t>The land cover changes from the Integrated assessment models (IAMs) for the SSP 2-4.5 scenario for the period from 2005 to 2100.</w:t>
      </w:r>
    </w:p>
    <w:p w:rsidR="001433FE" w:rsidRDefault="001433FE" w:rsidP="001433FE">
      <w:pPr>
        <w:spacing w:before="240" w:after="2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113E7A13" wp14:editId="24DDE38D">
            <wp:extent cx="5731200" cy="5143500"/>
            <wp:effectExtent l="0" t="0" r="0" b="0"/>
            <wp:docPr id="1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4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24| </w:t>
      </w:r>
      <w:r>
        <w:rPr>
          <w:rFonts w:ascii="Calibri" w:eastAsia="Calibri" w:hAnsi="Calibri" w:cs="Calibri"/>
          <w:sz w:val="24"/>
          <w:szCs w:val="24"/>
        </w:rPr>
        <w:t>The time series of NO</w:t>
      </w:r>
      <w:r>
        <w:rPr>
          <w:rFonts w:ascii="Calibri" w:eastAsia="Calibri" w:hAnsi="Calibri" w:cs="Calibri"/>
          <w:sz w:val="24"/>
          <w:szCs w:val="24"/>
          <w:vertAlign w:val="subscript"/>
        </w:rPr>
        <w:t xml:space="preserve">x </w:t>
      </w:r>
      <w:r>
        <w:rPr>
          <w:rFonts w:ascii="Calibri" w:eastAsia="Calibri" w:hAnsi="Calibri" w:cs="Calibri"/>
          <w:sz w:val="24"/>
          <w:szCs w:val="24"/>
        </w:rPr>
        <w:t>emissions from different sectors in different SSP scenarios for the period from 1980 to 2100</w:t>
      </w: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noProof/>
          <w:sz w:val="24"/>
          <w:szCs w:val="24"/>
        </w:rPr>
        <w:lastRenderedPageBreak/>
        <w:drawing>
          <wp:inline distT="114300" distB="114300" distL="114300" distR="114300" wp14:anchorId="6F6F57FC" wp14:editId="1D8F4E7E">
            <wp:extent cx="5731200" cy="5143500"/>
            <wp:effectExtent l="0" t="0" r="0" b="0"/>
            <wp:docPr id="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4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25| </w:t>
      </w:r>
      <w:r>
        <w:rPr>
          <w:rFonts w:ascii="Calibri" w:eastAsia="Calibri" w:hAnsi="Calibri" w:cs="Calibri"/>
          <w:sz w:val="24"/>
          <w:szCs w:val="24"/>
        </w:rPr>
        <w:t xml:space="preserve">The time series of </w:t>
      </w:r>
      <w:proofErr w:type="gramStart"/>
      <w:r>
        <w:rPr>
          <w:rFonts w:ascii="Calibri" w:eastAsia="Calibri" w:hAnsi="Calibri" w:cs="Calibri"/>
          <w:sz w:val="24"/>
          <w:szCs w:val="24"/>
        </w:rPr>
        <w:t xml:space="preserve">VOC </w:t>
      </w:r>
      <w:r>
        <w:rPr>
          <w:rFonts w:ascii="Calibri" w:eastAsia="Calibri" w:hAnsi="Calibri" w:cs="Calibri"/>
          <w:sz w:val="24"/>
          <w:szCs w:val="24"/>
          <w:vertAlign w:val="subscript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emissions</w:t>
      </w:r>
      <w:proofErr w:type="gramEnd"/>
      <w:r>
        <w:rPr>
          <w:rFonts w:ascii="Calibri" w:eastAsia="Calibri" w:hAnsi="Calibri" w:cs="Calibri"/>
          <w:sz w:val="24"/>
          <w:szCs w:val="24"/>
        </w:rPr>
        <w:t xml:space="preserve"> from different sectors in different SSP scenarios for the period from 1980 to 2100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1DC2F97D" wp14:editId="5BE9EF59">
            <wp:extent cx="4485217" cy="5274972"/>
            <wp:effectExtent l="0" t="0" r="0" b="0"/>
            <wp:docPr id="11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85217" cy="52749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26| </w:t>
      </w:r>
      <w:r>
        <w:rPr>
          <w:rFonts w:ascii="Calibri" w:eastAsia="Calibri" w:hAnsi="Calibri" w:cs="Calibri"/>
          <w:sz w:val="24"/>
          <w:szCs w:val="24"/>
        </w:rPr>
        <w:t>The percentage change in surface Ozone for the year 2096 when compared to that of 2018 for the SSP 1-2.6 scenario.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3890195A" wp14:editId="0B295A61">
            <wp:extent cx="4740354" cy="5576888"/>
            <wp:effectExtent l="0" t="0" r="0" b="0"/>
            <wp:docPr id="18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40354" cy="5576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27| </w:t>
      </w:r>
      <w:r>
        <w:rPr>
          <w:rFonts w:ascii="Calibri" w:eastAsia="Calibri" w:hAnsi="Calibri" w:cs="Calibri"/>
          <w:sz w:val="24"/>
          <w:szCs w:val="24"/>
        </w:rPr>
        <w:t>The percentage change in surface Ozone for the year 2096 when compared to that of 2018 for the SSP 2-4.5 scenario.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4C7CF60E" wp14:editId="70F8677A">
            <wp:extent cx="4474215" cy="5262033"/>
            <wp:effectExtent l="0" t="0" r="0" b="0"/>
            <wp:docPr id="20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4215" cy="52620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Supplementary Fig. 28| </w:t>
      </w:r>
      <w:r>
        <w:rPr>
          <w:rFonts w:ascii="Calibri" w:eastAsia="Calibri" w:hAnsi="Calibri" w:cs="Calibri"/>
          <w:sz w:val="24"/>
          <w:szCs w:val="24"/>
        </w:rPr>
        <w:t>The percentage change in surface Ozone for the year 2096 when compared to that of 2018 for the SSP 5-8.5 scenario.</w:t>
      </w: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lastRenderedPageBreak/>
        <w:t xml:space="preserve">Table S1: </w:t>
      </w:r>
      <w:r>
        <w:rPr>
          <w:rFonts w:ascii="Calibri" w:eastAsia="Calibri" w:hAnsi="Calibri" w:cs="Calibri"/>
          <w:sz w:val="24"/>
          <w:szCs w:val="24"/>
        </w:rPr>
        <w:t>Total energy demand in EJ/yr from Integrated Assessment Modelling (IAM) models.</w:t>
      </w:r>
    </w:p>
    <w:tbl>
      <w:tblPr>
        <w:tblW w:w="900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775"/>
        <w:gridCol w:w="570"/>
        <w:gridCol w:w="540"/>
        <w:gridCol w:w="570"/>
        <w:gridCol w:w="570"/>
        <w:gridCol w:w="555"/>
        <w:gridCol w:w="570"/>
        <w:gridCol w:w="540"/>
        <w:gridCol w:w="615"/>
        <w:gridCol w:w="570"/>
        <w:gridCol w:w="570"/>
        <w:gridCol w:w="555"/>
      </w:tblGrid>
      <w:tr w:rsidR="001433FE" w:rsidTr="00983CA6">
        <w:trPr>
          <w:trHeight w:val="315"/>
        </w:trPr>
        <w:tc>
          <w:tcPr>
            <w:tcW w:w="277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Sectors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2005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2010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2020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2030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2040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2050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2060</w:t>
            </w:r>
          </w:p>
        </w:tc>
        <w:tc>
          <w:tcPr>
            <w:tcW w:w="61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2070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2080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2090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2100</w:t>
            </w:r>
          </w:p>
        </w:tc>
      </w:tr>
      <w:tr w:rsidR="001433FE" w:rsidTr="00983CA6">
        <w:trPr>
          <w:trHeight w:val="525"/>
        </w:trPr>
        <w:tc>
          <w:tcPr>
            <w:tcW w:w="277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Total Primary Energy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464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501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576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645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707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771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825</w:t>
            </w:r>
          </w:p>
        </w:tc>
        <w:tc>
          <w:tcPr>
            <w:tcW w:w="61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875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937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1005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1100</w:t>
            </w:r>
          </w:p>
        </w:tc>
      </w:tr>
      <w:tr w:rsidR="001433FE" w:rsidTr="00983CA6">
        <w:trPr>
          <w:trHeight w:val="750"/>
        </w:trPr>
        <w:tc>
          <w:tcPr>
            <w:tcW w:w="277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Primary Total Biomass Energy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48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55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63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62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62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67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73</w:t>
            </w:r>
          </w:p>
        </w:tc>
        <w:tc>
          <w:tcPr>
            <w:tcW w:w="61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80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89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100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116</w:t>
            </w:r>
          </w:p>
        </w:tc>
      </w:tr>
      <w:tr w:rsidR="001433FE" w:rsidTr="00983CA6">
        <w:trPr>
          <w:trHeight w:val="525"/>
        </w:trPr>
        <w:tc>
          <w:tcPr>
            <w:tcW w:w="277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Primary Total Coal Energy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121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140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138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139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121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111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120</w:t>
            </w:r>
          </w:p>
        </w:tc>
        <w:tc>
          <w:tcPr>
            <w:tcW w:w="61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138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157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192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247</w:t>
            </w:r>
          </w:p>
        </w:tc>
      </w:tr>
      <w:tr w:rsidR="001433FE" w:rsidTr="00983CA6">
        <w:trPr>
          <w:trHeight w:val="525"/>
        </w:trPr>
        <w:tc>
          <w:tcPr>
            <w:tcW w:w="277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Primary Total Oil Energy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173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173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208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223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234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231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199</w:t>
            </w:r>
          </w:p>
        </w:tc>
        <w:tc>
          <w:tcPr>
            <w:tcW w:w="61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153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116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78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52</w:t>
            </w:r>
          </w:p>
        </w:tc>
      </w:tr>
      <w:tr w:rsidR="001433FE" w:rsidTr="00983CA6">
        <w:trPr>
          <w:trHeight w:val="525"/>
        </w:trPr>
        <w:tc>
          <w:tcPr>
            <w:tcW w:w="277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Primary Total Gas Energy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100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106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123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157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204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247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283</w:t>
            </w:r>
          </w:p>
        </w:tc>
        <w:tc>
          <w:tcPr>
            <w:tcW w:w="61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303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316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297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283</w:t>
            </w:r>
          </w:p>
        </w:tc>
      </w:tr>
      <w:tr w:rsidR="001433FE" w:rsidTr="00983CA6">
        <w:trPr>
          <w:trHeight w:val="525"/>
        </w:trPr>
        <w:tc>
          <w:tcPr>
            <w:tcW w:w="277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Primary Total Fossil Energy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394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419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469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519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558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590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601</w:t>
            </w:r>
          </w:p>
        </w:tc>
        <w:tc>
          <w:tcPr>
            <w:tcW w:w="61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595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589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567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582</w:t>
            </w:r>
          </w:p>
        </w:tc>
      </w:tr>
      <w:tr w:rsidR="001433FE" w:rsidTr="00983CA6">
        <w:trPr>
          <w:trHeight w:val="525"/>
        </w:trPr>
        <w:tc>
          <w:tcPr>
            <w:tcW w:w="277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Secondary Total Electricity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65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75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95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116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139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169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211</w:t>
            </w:r>
          </w:p>
        </w:tc>
        <w:tc>
          <w:tcPr>
            <w:tcW w:w="61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251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289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335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394</w:t>
            </w:r>
          </w:p>
        </w:tc>
      </w:tr>
      <w:tr w:rsidR="001433FE" w:rsidTr="00983CA6">
        <w:trPr>
          <w:trHeight w:val="525"/>
        </w:trPr>
        <w:tc>
          <w:tcPr>
            <w:tcW w:w="277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Secondary Total Gases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87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95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108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131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163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197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225</w:t>
            </w:r>
          </w:p>
        </w:tc>
        <w:tc>
          <w:tcPr>
            <w:tcW w:w="61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243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272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276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294</w:t>
            </w:r>
          </w:p>
        </w:tc>
      </w:tr>
      <w:tr w:rsidR="001433FE" w:rsidTr="00983CA6">
        <w:trPr>
          <w:trHeight w:val="525"/>
        </w:trPr>
        <w:tc>
          <w:tcPr>
            <w:tcW w:w="277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Secondary Total Heat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13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13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15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19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18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18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21</w:t>
            </w:r>
          </w:p>
        </w:tc>
        <w:tc>
          <w:tcPr>
            <w:tcW w:w="61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28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34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42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50</w:t>
            </w:r>
          </w:p>
        </w:tc>
      </w:tr>
      <w:tr w:rsidR="001433FE" w:rsidTr="00983CA6">
        <w:trPr>
          <w:trHeight w:val="315"/>
        </w:trPr>
        <w:tc>
          <w:tcPr>
            <w:tcW w:w="277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Total Energy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323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362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439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509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571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618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651</w:t>
            </w:r>
          </w:p>
        </w:tc>
        <w:tc>
          <w:tcPr>
            <w:tcW w:w="61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693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745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798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855</w:t>
            </w:r>
          </w:p>
        </w:tc>
      </w:tr>
      <w:tr w:rsidR="001433FE" w:rsidTr="00983CA6">
        <w:trPr>
          <w:trHeight w:val="525"/>
        </w:trPr>
        <w:tc>
          <w:tcPr>
            <w:tcW w:w="277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Total Energy Electricity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54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64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82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102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123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150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187</w:t>
            </w:r>
          </w:p>
        </w:tc>
        <w:tc>
          <w:tcPr>
            <w:tcW w:w="61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221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251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286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334</w:t>
            </w:r>
          </w:p>
        </w:tc>
      </w:tr>
      <w:tr w:rsidR="001433FE" w:rsidTr="00983CA6">
        <w:trPr>
          <w:trHeight w:val="525"/>
        </w:trPr>
        <w:tc>
          <w:tcPr>
            <w:tcW w:w="277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Total Energy Gases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48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53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56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56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65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79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93</w:t>
            </w:r>
          </w:p>
        </w:tc>
        <w:tc>
          <w:tcPr>
            <w:tcW w:w="61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124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181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242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282</w:t>
            </w:r>
          </w:p>
        </w:tc>
      </w:tr>
      <w:tr w:rsidR="001433FE" w:rsidTr="00983CA6">
        <w:trPr>
          <w:trHeight w:val="525"/>
        </w:trPr>
        <w:tc>
          <w:tcPr>
            <w:tcW w:w="277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Total Energy Industry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117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135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166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190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211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230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249</w:t>
            </w:r>
          </w:p>
        </w:tc>
        <w:tc>
          <w:tcPr>
            <w:tcW w:w="61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265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273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278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282</w:t>
            </w:r>
          </w:p>
        </w:tc>
      </w:tr>
      <w:tr w:rsidR="001433FE" w:rsidTr="00983CA6">
        <w:trPr>
          <w:trHeight w:val="525"/>
        </w:trPr>
        <w:tc>
          <w:tcPr>
            <w:tcW w:w="277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Total Energy Residential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120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131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153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173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189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205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226</w:t>
            </w:r>
          </w:p>
        </w:tc>
        <w:tc>
          <w:tcPr>
            <w:tcW w:w="61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249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274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302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333</w:t>
            </w:r>
          </w:p>
        </w:tc>
      </w:tr>
      <w:tr w:rsidR="001433FE" w:rsidTr="00983CA6">
        <w:trPr>
          <w:trHeight w:val="525"/>
        </w:trPr>
        <w:tc>
          <w:tcPr>
            <w:tcW w:w="277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Total Energy Transport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87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96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121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147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170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182</w:t>
            </w:r>
          </w:p>
        </w:tc>
        <w:tc>
          <w:tcPr>
            <w:tcW w:w="54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177</w:t>
            </w:r>
          </w:p>
        </w:tc>
        <w:tc>
          <w:tcPr>
            <w:tcW w:w="61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179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198</w:t>
            </w:r>
          </w:p>
        </w:tc>
        <w:tc>
          <w:tcPr>
            <w:tcW w:w="570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218</w:t>
            </w:r>
          </w:p>
        </w:tc>
        <w:tc>
          <w:tcPr>
            <w:tcW w:w="555" w:type="dxa"/>
            <w:tcBorders>
              <w:top w:val="single" w:sz="5" w:space="0" w:color="CCCCCC"/>
              <w:left w:val="single" w:sz="5" w:space="0" w:color="CCCCCC"/>
              <w:bottom w:val="single" w:sz="5" w:space="0" w:color="CCCCCC"/>
              <w:right w:val="single" w:sz="5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1433FE" w:rsidRDefault="001433FE" w:rsidP="00983CA6">
            <w:pPr>
              <w:widowControl w:val="0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240</w:t>
            </w:r>
          </w:p>
        </w:tc>
      </w:tr>
    </w:tbl>
    <w:p w:rsidR="001433FE" w:rsidRDefault="001433FE" w:rsidP="001433FE">
      <w:pPr>
        <w:spacing w:before="240" w:after="240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 w:rsidP="001433FE">
      <w:pPr>
        <w:spacing w:before="240" w:after="240"/>
        <w:jc w:val="both"/>
        <w:rPr>
          <w:rFonts w:ascii="Calibri" w:eastAsia="Calibri" w:hAnsi="Calibri" w:cs="Calibri"/>
          <w:sz w:val="24"/>
          <w:szCs w:val="24"/>
        </w:rPr>
      </w:pPr>
    </w:p>
    <w:p w:rsidR="001433FE" w:rsidRDefault="001433FE"/>
    <w:sectPr w:rsidR="001433FE" w:rsidSect="001433FE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pgSz w:w="11906" w:h="16838"/>
      <w:pgMar w:top="1440" w:right="1440" w:bottom="1440" w:left="1440" w:header="720" w:footer="720" w:gutter="0"/>
      <w:lnNumType w:countBy="1" w:restart="continuous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000000" w:rsidRDefault="0000000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000000" w:rsidRDefault="0000000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000000" w:rsidRDefault="00000000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000000" w:rsidRDefault="0000000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000000" w:rsidRDefault="00000000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000000" w:rsidRDefault="00000000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33FE"/>
    <w:rsid w:val="00005669"/>
    <w:rsid w:val="001433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3B2EE8"/>
  <w15:chartTrackingRefBased/>
  <w15:docId w15:val="{3F8380A2-BCCB-1A43-A0DA-A8EAF16EE6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433FE"/>
    <w:pPr>
      <w:spacing w:after="0" w:line="276" w:lineRule="auto"/>
    </w:pPr>
    <w:rPr>
      <w:rFonts w:ascii="Arial" w:eastAsia="Arial" w:hAnsi="Arial" w:cs="Arial"/>
      <w:kern w:val="0"/>
      <w:sz w:val="22"/>
      <w:szCs w:val="22"/>
      <w:lang w:val="en-GB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1433FE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40"/>
      <w:lang w:val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433FE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32"/>
      <w:lang w:val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433FE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2F5496" w:themeColor="accent1" w:themeShade="BF"/>
      <w:kern w:val="2"/>
      <w:sz w:val="28"/>
      <w:szCs w:val="28"/>
      <w:lang w:val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433FE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  <w:kern w:val="2"/>
      <w:sz w:val="24"/>
      <w:szCs w:val="24"/>
      <w:lang w:val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433FE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2F5496" w:themeColor="accent1" w:themeShade="BF"/>
      <w:kern w:val="2"/>
      <w:sz w:val="24"/>
      <w:szCs w:val="24"/>
      <w:lang w:val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433FE"/>
    <w:pPr>
      <w:keepNext/>
      <w:keepLines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4"/>
      <w:szCs w:val="24"/>
      <w:lang w:val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433FE"/>
    <w:pPr>
      <w:keepNext/>
      <w:keepLines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4"/>
      <w:szCs w:val="24"/>
      <w:lang w:val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433FE"/>
    <w:pPr>
      <w:keepNext/>
      <w:keepLines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4"/>
      <w:szCs w:val="24"/>
      <w:lang w:val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433FE"/>
    <w:pPr>
      <w:keepNext/>
      <w:keepLines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4"/>
      <w:szCs w:val="24"/>
      <w:lang w:val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433F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433F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433F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433FE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433FE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433F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433F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433F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433F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433F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1433F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433FE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val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1433F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433FE"/>
    <w:pPr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4"/>
      <w:szCs w:val="24"/>
      <w:lang w:val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1433F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433FE"/>
    <w:pPr>
      <w:spacing w:after="160" w:line="278" w:lineRule="auto"/>
      <w:ind w:left="720"/>
      <w:contextualSpacing/>
    </w:pPr>
    <w:rPr>
      <w:rFonts w:asciiTheme="minorHAnsi" w:eastAsiaTheme="minorHAnsi" w:hAnsiTheme="minorHAnsi" w:cstheme="minorBidi"/>
      <w:kern w:val="2"/>
      <w:sz w:val="24"/>
      <w:szCs w:val="24"/>
      <w:lang w:val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1433FE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433F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2F5496" w:themeColor="accent1" w:themeShade="BF"/>
      <w:kern w:val="2"/>
      <w:sz w:val="24"/>
      <w:szCs w:val="24"/>
      <w:lang w:val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433FE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433FE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1433FE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33FE"/>
    <w:rPr>
      <w:rFonts w:ascii="Arial" w:eastAsia="Arial" w:hAnsi="Arial" w:cs="Arial"/>
      <w:kern w:val="0"/>
      <w:sz w:val="22"/>
      <w:szCs w:val="22"/>
      <w:lang w:val="en-GB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1433FE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33FE"/>
    <w:rPr>
      <w:rFonts w:ascii="Arial" w:eastAsia="Arial" w:hAnsi="Arial" w:cs="Arial"/>
      <w:kern w:val="0"/>
      <w:sz w:val="22"/>
      <w:szCs w:val="22"/>
      <w:lang w:val="en-GB"/>
      <w14:ligatures w14:val="none"/>
    </w:rPr>
  </w:style>
  <w:style w:type="character" w:styleId="LineNumber">
    <w:name w:val="line number"/>
    <w:basedOn w:val="DefaultParagraphFont"/>
    <w:uiPriority w:val="99"/>
    <w:semiHidden/>
    <w:unhideWhenUsed/>
    <w:rsid w:val="001433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21" Type="http://schemas.openxmlformats.org/officeDocument/2006/relationships/image" Target="media/image18.png"/><Relationship Id="rId34" Type="http://schemas.openxmlformats.org/officeDocument/2006/relationships/footer" Target="footer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header" Target="header2.xml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header" Target="header3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oter" Target="footer2.xml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30</Pages>
  <Words>888</Words>
  <Characters>5062</Characters>
  <Application>Microsoft Office Word</Application>
  <DocSecurity>0</DocSecurity>
  <Lines>42</Lines>
  <Paragraphs>11</Paragraphs>
  <ScaleCrop>false</ScaleCrop>
  <Company/>
  <LinksUpToDate>false</LinksUpToDate>
  <CharactersWithSpaces>5939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 Westervelt</dc:creator>
  <cp:keywords/>
  <dc:description/>
  <cp:lastModifiedBy>Dan Westervelt</cp:lastModifiedBy>
  <cp:revision>1</cp:revision>
  <dcterms:created xsi:type="dcterms:W3CDTF">2025-01-24T17:33:00Z</dcterms:created>
  <dcterms:modified xsi:type="dcterms:W3CDTF">2025-01-24T17:33:00Z</dcterms:modified>
</cp:coreProperties>
</file>