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305AB" w14:textId="77777777" w:rsidR="00EF053D" w:rsidRDefault="00EF053D" w:rsidP="00EF053D">
      <w:pPr>
        <w:widowControl/>
        <w:jc w:val="center"/>
        <w:rPr>
          <w:rFonts w:cs="Times New Roman"/>
          <w:color w:val="000000" w:themeColor="text1"/>
          <w:szCs w:val="24"/>
        </w:rPr>
      </w:pPr>
      <w:r w:rsidRPr="004861C6">
        <w:rPr>
          <w:rFonts w:cs="Times New Roman"/>
          <w:noProof/>
          <w:color w:val="000000" w:themeColor="text1"/>
          <w:szCs w:val="24"/>
        </w:rPr>
        <w:drawing>
          <wp:inline distT="0" distB="0" distL="0" distR="0" wp14:anchorId="0449F497" wp14:editId="243905F8">
            <wp:extent cx="5989320" cy="2971307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t="3820"/>
                    <a:stretch/>
                  </pic:blipFill>
                  <pic:spPr bwMode="auto">
                    <a:xfrm>
                      <a:off x="0" y="0"/>
                      <a:ext cx="5989850" cy="2971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D5B71" w14:textId="77777777" w:rsidR="00EF053D" w:rsidRDefault="00EF053D" w:rsidP="00EF053D">
      <w:pPr>
        <w:widowControl/>
        <w:spacing w:line="360" w:lineRule="auto"/>
        <w:rPr>
          <w:rFonts w:cs="Times New Roman"/>
          <w:color w:val="000000" w:themeColor="text1"/>
          <w:szCs w:val="24"/>
        </w:rPr>
      </w:pPr>
      <w:r w:rsidRPr="00756246">
        <w:rPr>
          <w:rFonts w:cs="Times New Roman"/>
          <w:b/>
          <w:bCs/>
          <w:color w:val="000000" w:themeColor="text1"/>
          <w:szCs w:val="24"/>
        </w:rPr>
        <w:t>Schem</w:t>
      </w:r>
      <w:r>
        <w:rPr>
          <w:rFonts w:cs="Times New Roman" w:hint="eastAsia"/>
          <w:b/>
          <w:bCs/>
          <w:color w:val="000000" w:themeColor="text1"/>
          <w:szCs w:val="24"/>
        </w:rPr>
        <w:t>e</w:t>
      </w:r>
      <w:r w:rsidRPr="00756246">
        <w:rPr>
          <w:rFonts w:cs="Times New Roman"/>
          <w:b/>
          <w:bCs/>
          <w:color w:val="000000" w:themeColor="text1"/>
          <w:szCs w:val="24"/>
        </w:rPr>
        <w:t xml:space="preserve"> 1</w:t>
      </w:r>
      <w:r>
        <w:rPr>
          <w:rFonts w:cs="Times New Roman" w:hint="eastAsia"/>
          <w:color w:val="000000" w:themeColor="text1"/>
          <w:szCs w:val="24"/>
        </w:rPr>
        <w:t xml:space="preserve">. </w:t>
      </w:r>
      <w:r w:rsidRPr="00285536">
        <w:rPr>
          <w:rFonts w:cs="Times New Roman"/>
          <w:color w:val="000000" w:themeColor="text1"/>
          <w:szCs w:val="24"/>
        </w:rPr>
        <w:t xml:space="preserve">Schematic </w:t>
      </w:r>
      <w:r>
        <w:rPr>
          <w:rFonts w:cs="Times New Roman"/>
          <w:color w:val="000000" w:themeColor="text1"/>
          <w:szCs w:val="24"/>
        </w:rPr>
        <w:t>illustration of the criteria for Ca ion co-intercalation in graphite</w:t>
      </w:r>
      <w:r w:rsidRPr="00285536">
        <w:rPr>
          <w:rFonts w:cs="Times New Roman"/>
          <w:color w:val="000000" w:themeColor="text1"/>
          <w:szCs w:val="24"/>
        </w:rPr>
        <w:t xml:space="preserve"> (left: bulk electrolyte, </w:t>
      </w:r>
      <w:r>
        <w:rPr>
          <w:rFonts w:cs="Times New Roman" w:hint="eastAsia"/>
          <w:color w:val="000000" w:themeColor="text1"/>
          <w:szCs w:val="24"/>
        </w:rPr>
        <w:t xml:space="preserve">middle: </w:t>
      </w:r>
      <w:r w:rsidRPr="00E61F8C">
        <w:rPr>
          <w:rFonts w:cs="Times New Roman"/>
          <w:color w:val="000000" w:themeColor="text1"/>
          <w:szCs w:val="24"/>
        </w:rPr>
        <w:t>electrolyte/electrode interface</w:t>
      </w:r>
      <w:r>
        <w:rPr>
          <w:rFonts w:cs="Times New Roman" w:hint="eastAsia"/>
          <w:color w:val="000000" w:themeColor="text1"/>
          <w:szCs w:val="24"/>
        </w:rPr>
        <w:t xml:space="preserve">, </w:t>
      </w:r>
      <w:r w:rsidRPr="00285536">
        <w:rPr>
          <w:rFonts w:cs="Times New Roman"/>
          <w:color w:val="000000" w:themeColor="text1"/>
          <w:szCs w:val="24"/>
        </w:rPr>
        <w:t xml:space="preserve">right: </w:t>
      </w:r>
      <w:r w:rsidRPr="00E61F8C">
        <w:rPr>
          <w:rFonts w:cs="Times New Roman"/>
          <w:color w:val="000000" w:themeColor="text1"/>
          <w:szCs w:val="24"/>
        </w:rPr>
        <w:t>graphite galleries</w:t>
      </w:r>
      <w:r w:rsidRPr="00285536">
        <w:rPr>
          <w:rFonts w:cs="Times New Roman"/>
          <w:color w:val="000000" w:themeColor="text1"/>
          <w:szCs w:val="24"/>
        </w:rPr>
        <w:t>)</w:t>
      </w:r>
      <w:r>
        <w:rPr>
          <w:rFonts w:cs="Times New Roman" w:hint="eastAsia"/>
          <w:color w:val="000000" w:themeColor="text1"/>
          <w:szCs w:val="24"/>
        </w:rPr>
        <w:t xml:space="preserve">. Green, blue and yellow </w:t>
      </w:r>
      <w:r>
        <w:rPr>
          <w:rFonts w:cs="Times New Roman"/>
          <w:color w:val="000000" w:themeColor="text1"/>
          <w:szCs w:val="24"/>
        </w:rPr>
        <w:t xml:space="preserve">shadows </w:t>
      </w:r>
      <w:r>
        <w:rPr>
          <w:rFonts w:cs="Times New Roman" w:hint="eastAsia"/>
          <w:color w:val="000000" w:themeColor="text1"/>
          <w:szCs w:val="24"/>
        </w:rPr>
        <w:t xml:space="preserve">represent DMF, NMAc and DMAc-based </w:t>
      </w:r>
      <w:r w:rsidRPr="00791C48">
        <w:rPr>
          <w:rFonts w:cs="Times New Roman"/>
          <w:color w:val="000000" w:themeColor="text1"/>
          <w:szCs w:val="24"/>
        </w:rPr>
        <w:t>solvation sheaths</w:t>
      </w:r>
      <w:r>
        <w:rPr>
          <w:rFonts w:cs="Times New Roman" w:hint="eastAsia"/>
          <w:color w:val="000000" w:themeColor="text1"/>
          <w:szCs w:val="24"/>
        </w:rPr>
        <w:t>.</w:t>
      </w:r>
      <w:r>
        <w:rPr>
          <w:rFonts w:cs="Times New Roman"/>
          <w:color w:val="000000" w:themeColor="text1"/>
          <w:szCs w:val="24"/>
        </w:rPr>
        <w:t xml:space="preserve"> </w:t>
      </w:r>
      <w:r w:rsidRPr="000D24A2">
        <w:rPr>
          <w:rFonts w:cs="Times New Roman"/>
          <w:i/>
          <w:color w:val="000000" w:themeColor="text1"/>
          <w:szCs w:val="24"/>
        </w:rPr>
        <w:t>E</w:t>
      </w:r>
      <w:r w:rsidRPr="000D24A2">
        <w:rPr>
          <w:rFonts w:cs="Times New Roman"/>
          <w:i/>
          <w:color w:val="000000" w:themeColor="text1"/>
          <w:szCs w:val="24"/>
          <w:vertAlign w:val="subscript"/>
        </w:rPr>
        <w:t>int</w:t>
      </w:r>
      <w:r>
        <w:rPr>
          <w:rFonts w:cs="Times New Roman"/>
          <w:color w:val="000000" w:themeColor="text1"/>
          <w:szCs w:val="24"/>
        </w:rPr>
        <w:t xml:space="preserve"> and</w:t>
      </w:r>
      <w:r>
        <w:rPr>
          <w:rFonts w:cs="Times New Roman" w:hint="eastAsia"/>
          <w:color w:val="000000" w:themeColor="text1"/>
          <w:szCs w:val="24"/>
        </w:rPr>
        <w:t xml:space="preserve"> </w:t>
      </w:r>
      <w:r>
        <w:rPr>
          <w:rFonts w:cs="Times New Roman"/>
          <w:i/>
          <w:iCs/>
          <w:color w:val="000000" w:themeColor="text1"/>
          <w:szCs w:val="24"/>
        </w:rPr>
        <w:t>E</w:t>
      </w:r>
      <w:r w:rsidRPr="004861C6">
        <w:rPr>
          <w:rFonts w:cs="Times New Roman"/>
          <w:i/>
          <w:iCs/>
          <w:color w:val="000000" w:themeColor="text1"/>
          <w:szCs w:val="24"/>
          <w:vertAlign w:val="subscript"/>
        </w:rPr>
        <w:t>diff</w:t>
      </w:r>
      <w:r>
        <w:rPr>
          <w:rFonts w:cs="Times New Roman" w:hint="eastAsia"/>
          <w:color w:val="000000" w:themeColor="text1"/>
          <w:szCs w:val="24"/>
        </w:rPr>
        <w:t xml:space="preserve"> </w:t>
      </w:r>
      <w:r w:rsidRPr="00791C48">
        <w:rPr>
          <w:rFonts w:cs="Times New Roman"/>
          <w:color w:val="000000" w:themeColor="text1"/>
          <w:szCs w:val="24"/>
        </w:rPr>
        <w:t>represent the</w:t>
      </w:r>
      <w:r>
        <w:rPr>
          <w:rFonts w:cs="Times New Roman"/>
          <w:color w:val="000000" w:themeColor="text1"/>
          <w:szCs w:val="24"/>
        </w:rPr>
        <w:t xml:space="preserve"> intercalation energy barriers at the electrode/electrolyte interface and the</w:t>
      </w:r>
      <w:r w:rsidRPr="00791C48">
        <w:rPr>
          <w:rFonts w:cs="Times New Roman"/>
          <w:color w:val="000000" w:themeColor="text1"/>
          <w:szCs w:val="24"/>
        </w:rPr>
        <w:t xml:space="preserve"> energy barrier</w:t>
      </w:r>
      <w:r>
        <w:rPr>
          <w:rFonts w:cs="Times New Roman"/>
          <w:color w:val="000000" w:themeColor="text1"/>
          <w:szCs w:val="24"/>
        </w:rPr>
        <w:t xml:space="preserve">s for Ca ion diffusion in graphite, respectively. </w:t>
      </w:r>
    </w:p>
    <w:p w14:paraId="2C4CBBA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53D"/>
    <w:rsid w:val="00331A6B"/>
    <w:rsid w:val="003D5016"/>
    <w:rsid w:val="00755780"/>
    <w:rsid w:val="00857596"/>
    <w:rsid w:val="00EF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A9D32"/>
  <w15:chartTrackingRefBased/>
  <w15:docId w15:val="{8DA79971-375B-480F-B889-3FFAEC10E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53D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053D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53D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53D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53D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53D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53D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53D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53D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53D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5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5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5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5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5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5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5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5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5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53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F05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53D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F05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53D"/>
    <w:pPr>
      <w:widowControl/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F05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53D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EF05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53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5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5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>Springer Nature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2025-02-14T05:22:00Z</dcterms:created>
  <dcterms:modified xsi:type="dcterms:W3CDTF">2025-02-14T05:23:00Z</dcterms:modified>
</cp:coreProperties>
</file>