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115ED" w14:textId="77777777" w:rsidR="00B86EC5" w:rsidRDefault="00B86EC5" w:rsidP="00CA1AE1">
      <w:pPr>
        <w:spacing w:line="240" w:lineRule="auto"/>
        <w:jc w:val="both"/>
        <w:rPr>
          <w:rFonts w:ascii="Times New Roman" w:hAnsi="Times New Roman" w:cs="Times New Roman"/>
          <w:noProof/>
          <w:sz w:val="24"/>
          <w:szCs w:val="24"/>
        </w:rPr>
      </w:pPr>
    </w:p>
    <w:p w14:paraId="5AC64C88" w14:textId="77777777" w:rsidR="00B44C59" w:rsidRDefault="008B1443" w:rsidP="009C7097">
      <w:pPr>
        <w:adjustRightInd w:val="0"/>
        <w:spacing w:after="0" w:line="240" w:lineRule="auto"/>
        <w:ind w:left="-142"/>
        <w:rPr>
          <w:rFonts w:ascii="Times New Roman" w:hAnsi="Times New Roman" w:cs="Times New Roman"/>
          <w:b/>
          <w:bCs/>
          <w:color w:val="000000"/>
          <w:sz w:val="24"/>
          <w:szCs w:val="24"/>
        </w:rPr>
      </w:pPr>
      <w:r>
        <w:rPr>
          <w:rFonts w:ascii="Times New Roman" w:hAnsi="Times New Roman" w:cs="Times New Roman"/>
          <w:b/>
          <w:bCs/>
          <w:color w:val="000000"/>
          <w:sz w:val="24"/>
          <w:szCs w:val="24"/>
        </w:rPr>
        <w:t>SUPPLEMENTAL TABLES AND SUPPLEMENTAL FIGURES</w:t>
      </w:r>
    </w:p>
    <w:p w14:paraId="0472EFC0" w14:textId="77777777" w:rsidR="00B44C59" w:rsidRDefault="00B44C59" w:rsidP="00B44C59">
      <w:pPr>
        <w:adjustRightInd w:val="0"/>
        <w:spacing w:after="0" w:line="240" w:lineRule="auto"/>
        <w:rPr>
          <w:rFonts w:ascii="Times New Roman" w:hAnsi="Times New Roman" w:cs="Times New Roman"/>
          <w:b/>
          <w:bCs/>
          <w:color w:val="000000"/>
          <w:sz w:val="24"/>
          <w:szCs w:val="24"/>
        </w:rPr>
      </w:pPr>
    </w:p>
    <w:p w14:paraId="48645345" w14:textId="77777777" w:rsidR="00B44C59" w:rsidRDefault="008B1443" w:rsidP="00087C21">
      <w:pPr>
        <w:adjustRightInd w:val="0"/>
        <w:spacing w:after="0" w:line="240" w:lineRule="auto"/>
        <w:ind w:left="-142"/>
        <w:jc w:val="both"/>
        <w:rPr>
          <w:rFonts w:ascii="Times New Roman" w:hAnsi="Times New Roman" w:cs="Times New Roman"/>
          <w:bCs/>
          <w:color w:val="000000"/>
          <w:sz w:val="24"/>
          <w:szCs w:val="24"/>
        </w:rPr>
      </w:pPr>
      <w:r>
        <w:rPr>
          <w:rFonts w:ascii="Times New Roman" w:eastAsia="Calibri" w:hAnsi="Times New Roman" w:cs="Times New Roman"/>
          <w:b/>
          <w:bCs/>
          <w:color w:val="000000"/>
          <w:sz w:val="24"/>
          <w:szCs w:val="24"/>
        </w:rPr>
        <w:t>Table</w:t>
      </w:r>
      <w:r>
        <w:rPr>
          <w:rFonts w:ascii="Times New Roman" w:hAnsi="Times New Roman" w:cs="Times New Roman"/>
          <w:b/>
          <w:bCs/>
          <w:color w:val="000000"/>
          <w:sz w:val="24"/>
          <w:szCs w:val="24"/>
        </w:rPr>
        <w:t xml:space="preserve"> S1 </w:t>
      </w:r>
      <w:r>
        <w:rPr>
          <w:rFonts w:ascii="Times New Roman" w:hAnsi="Times New Roman" w:cs="Times New Roman"/>
          <w:bCs/>
          <w:color w:val="000000"/>
          <w:sz w:val="24"/>
          <w:szCs w:val="24"/>
        </w:rPr>
        <w:t>Details of 198 soybean accessions. (Attached in the supplemental file)</w:t>
      </w:r>
    </w:p>
    <w:p w14:paraId="4BDB5296" w14:textId="77777777" w:rsidR="00B44C59" w:rsidRDefault="00B44C59" w:rsidP="00087C21">
      <w:pPr>
        <w:adjustRightInd w:val="0"/>
        <w:spacing w:after="0" w:line="240" w:lineRule="auto"/>
        <w:ind w:left="-142"/>
        <w:jc w:val="both"/>
        <w:rPr>
          <w:rFonts w:ascii="Times New Roman" w:hAnsi="Times New Roman" w:cs="Times New Roman"/>
          <w:bCs/>
          <w:color w:val="000000"/>
          <w:sz w:val="24"/>
          <w:szCs w:val="24"/>
        </w:rPr>
      </w:pPr>
    </w:p>
    <w:p w14:paraId="37FC1A23" w14:textId="77777777" w:rsidR="00B44C59" w:rsidRDefault="005C0916" w:rsidP="00087C21">
      <w:pPr>
        <w:adjustRightInd w:val="0"/>
        <w:spacing w:after="0" w:line="240" w:lineRule="auto"/>
        <w:ind w:left="-142"/>
        <w:jc w:val="both"/>
        <w:rPr>
          <w:rFonts w:ascii="Times New Roman" w:hAnsi="Times New Roman" w:cs="Times New Roman"/>
          <w:bCs/>
          <w:color w:val="000000"/>
          <w:sz w:val="24"/>
          <w:szCs w:val="24"/>
        </w:rPr>
      </w:pPr>
      <w:r>
        <w:rPr>
          <w:rFonts w:ascii="Times New Roman" w:hAnsi="Times New Roman" w:cs="Times New Roman"/>
          <w:b/>
          <w:bCs/>
          <w:color w:val="000000"/>
          <w:sz w:val="24"/>
          <w:szCs w:val="24"/>
        </w:rPr>
        <w:t xml:space="preserve">Table S2 </w:t>
      </w:r>
      <w:r>
        <w:rPr>
          <w:rFonts w:ascii="Times New Roman" w:hAnsi="Times New Roman" w:cs="Times New Roman"/>
          <w:bCs/>
          <w:color w:val="000000"/>
          <w:sz w:val="24"/>
          <w:szCs w:val="24"/>
        </w:rPr>
        <w:t>Phenotypic data for qualitative and quantitative DRTs of 198 soybean accessions in E1 and E2. (Attached in the supplemental file)</w:t>
      </w:r>
    </w:p>
    <w:p w14:paraId="5D837BCB" w14:textId="77777777" w:rsidR="00B44C59" w:rsidRDefault="00B44C59" w:rsidP="00087C21">
      <w:pPr>
        <w:adjustRightInd w:val="0"/>
        <w:spacing w:after="0" w:line="240" w:lineRule="auto"/>
        <w:ind w:left="-142"/>
        <w:jc w:val="both"/>
        <w:rPr>
          <w:rFonts w:ascii="Times New Roman" w:hAnsi="Times New Roman" w:cs="Times New Roman"/>
          <w:bCs/>
          <w:color w:val="000000"/>
          <w:sz w:val="24"/>
          <w:szCs w:val="24"/>
        </w:rPr>
      </w:pPr>
    </w:p>
    <w:p w14:paraId="1830F4BD" w14:textId="77777777" w:rsidR="003D00E9" w:rsidRDefault="005C0916" w:rsidP="00087C21">
      <w:pPr>
        <w:spacing w:after="0" w:line="240" w:lineRule="auto"/>
        <w:ind w:left="-142"/>
        <w:jc w:val="both"/>
        <w:rPr>
          <w:rFonts w:ascii="Times New Roman" w:hAnsi="Times New Roman" w:cs="Times New Roman"/>
          <w:bCs/>
          <w:color w:val="000000"/>
          <w:sz w:val="24"/>
          <w:szCs w:val="24"/>
        </w:rPr>
      </w:pPr>
      <w:r w:rsidRPr="0057616E">
        <w:rPr>
          <w:rFonts w:ascii="Times New Roman" w:hAnsi="Times New Roman" w:cs="Times New Roman"/>
          <w:b/>
          <w:bCs/>
          <w:color w:val="000000"/>
          <w:sz w:val="24"/>
          <w:szCs w:val="24"/>
        </w:rPr>
        <w:t xml:space="preserve">Table S3 </w:t>
      </w:r>
      <w:r>
        <w:rPr>
          <w:rFonts w:ascii="Times New Roman" w:hAnsi="Times New Roman" w:cs="Times New Roman"/>
          <w:bCs/>
          <w:color w:val="000000"/>
          <w:sz w:val="24"/>
          <w:szCs w:val="24"/>
        </w:rPr>
        <w:t xml:space="preserve">SNP distribution by chromosome (Chr.) and the average distance between SNPs </w:t>
      </w:r>
      <w:r w:rsidR="008B1443">
        <w:rPr>
          <w:rFonts w:ascii="Times New Roman" w:eastAsia="Calibri" w:hAnsi="Times New Roman" w:cs="Times New Roman"/>
          <w:bCs/>
          <w:color w:val="000000"/>
          <w:sz w:val="24"/>
          <w:szCs w:val="24"/>
        </w:rPr>
        <w:t>on</w:t>
      </w:r>
      <w:r>
        <w:rPr>
          <w:rFonts w:ascii="Times New Roman" w:hAnsi="Times New Roman" w:cs="Times New Roman"/>
          <w:bCs/>
          <w:color w:val="000000"/>
          <w:sz w:val="24"/>
          <w:szCs w:val="24"/>
        </w:rPr>
        <w:t xml:space="preserve"> 20 soybean chromosomes (Mb). (Attached in the supplemental file)</w:t>
      </w:r>
    </w:p>
    <w:p w14:paraId="2929AFE8" w14:textId="77777777" w:rsidR="00DB666D" w:rsidRPr="0057616E" w:rsidRDefault="00DB666D" w:rsidP="00087C21">
      <w:pPr>
        <w:spacing w:after="0" w:line="240" w:lineRule="auto"/>
        <w:ind w:left="-142"/>
        <w:jc w:val="both"/>
        <w:rPr>
          <w:rFonts w:ascii="Times New Roman" w:hAnsi="Times New Roman" w:cs="Times New Roman"/>
          <w:bCs/>
          <w:color w:val="000000"/>
          <w:sz w:val="24"/>
          <w:szCs w:val="24"/>
        </w:rPr>
      </w:pPr>
    </w:p>
    <w:p w14:paraId="3F4E286E" w14:textId="77777777" w:rsidR="00B44C59" w:rsidRDefault="008B1443" w:rsidP="00087C21">
      <w:pPr>
        <w:ind w:left="-142"/>
        <w:jc w:val="both"/>
        <w:rPr>
          <w:rFonts w:ascii="Times New Roman" w:hAnsi="Times New Roman" w:cs="Times New Roman"/>
          <w:bCs/>
          <w:color w:val="000000"/>
          <w:sz w:val="24"/>
          <w:szCs w:val="24"/>
        </w:rPr>
      </w:pPr>
      <w:r>
        <w:rPr>
          <w:rFonts w:ascii="Times New Roman" w:hAnsi="Times New Roman" w:cs="Times New Roman"/>
          <w:b/>
          <w:bCs/>
          <w:color w:val="000000"/>
          <w:sz w:val="24"/>
          <w:szCs w:val="24"/>
        </w:rPr>
        <w:t>Table</w:t>
      </w:r>
      <w:r w:rsidR="005C0916">
        <w:rPr>
          <w:rFonts w:ascii="Times New Roman" w:hAnsi="Times New Roman" w:cs="Times New Roman"/>
          <w:b/>
          <w:bCs/>
          <w:kern w:val="24"/>
          <w:sz w:val="24"/>
          <w:szCs w:val="24"/>
        </w:rPr>
        <w:t xml:space="preserve"> S4 </w:t>
      </w:r>
      <w:r w:rsidR="005C0916">
        <w:rPr>
          <w:rFonts w:ascii="Times New Roman" w:hAnsi="Times New Roman" w:cs="Times New Roman"/>
          <w:bCs/>
          <w:kern w:val="24"/>
          <w:sz w:val="24"/>
          <w:szCs w:val="24"/>
        </w:rPr>
        <w:t>List of</w:t>
      </w:r>
      <w:r w:rsidR="005C0916">
        <w:rPr>
          <w:rFonts w:ascii="Times New Roman" w:hAnsi="Times New Roman" w:cs="Times New Roman"/>
          <w:b/>
          <w:bCs/>
          <w:kern w:val="24"/>
          <w:sz w:val="24"/>
          <w:szCs w:val="24"/>
        </w:rPr>
        <w:t xml:space="preserve"> </w:t>
      </w:r>
      <w:r w:rsidR="005C0916">
        <w:rPr>
          <w:rFonts w:ascii="Times New Roman" w:hAnsi="Times New Roman" w:cs="Times New Roman"/>
          <w:bCs/>
          <w:kern w:val="24"/>
          <w:sz w:val="24"/>
          <w:szCs w:val="24"/>
        </w:rPr>
        <w:t xml:space="preserve">significant </w:t>
      </w:r>
      <w:r>
        <w:rPr>
          <w:rFonts w:ascii="Times New Roman" w:eastAsia="Calibri" w:hAnsi="Times New Roman" w:cs="Times New Roman"/>
          <w:bCs/>
          <w:kern w:val="24"/>
          <w:sz w:val="24"/>
          <w:szCs w:val="24"/>
        </w:rPr>
        <w:t>marker‒trait</w:t>
      </w:r>
      <w:r w:rsidR="005C0916">
        <w:rPr>
          <w:rFonts w:ascii="Times New Roman" w:hAnsi="Times New Roman" w:cs="Times New Roman"/>
          <w:bCs/>
          <w:kern w:val="24"/>
          <w:sz w:val="24"/>
          <w:szCs w:val="24"/>
        </w:rPr>
        <w:t xml:space="preserve"> associations with </w:t>
      </w:r>
      <w:r w:rsidR="00FC2ABD" w:rsidRPr="00FC2ABD">
        <w:rPr>
          <w:rFonts w:ascii="Times New Roman" w:eastAsia="Times New Roman" w:hAnsi="Times New Roman" w:cs="Times New Roman"/>
          <w:bCs/>
          <w:sz w:val="24"/>
          <w:szCs w:val="24"/>
          <w:shd w:val="clear" w:color="auto" w:fill="FCFCFC"/>
          <w:lang w:eastAsia="en-IN" w:bidi="hi-IN"/>
        </w:rPr>
        <w:t xml:space="preserve">–log10(p) </w:t>
      </w:r>
      <w:r w:rsidR="00087C21">
        <w:rPr>
          <w:rFonts w:ascii="Times New Roman" w:hAnsi="Times New Roman" w:cs="Times New Roman"/>
          <w:bCs/>
          <w:kern w:val="24"/>
          <w:sz w:val="24"/>
          <w:szCs w:val="24"/>
        </w:rPr>
        <w:t xml:space="preserve">≥ 4.0 for nine DRTs of 198 soybean accessions grown in E1 and E2 analyzed by </w:t>
      </w:r>
      <w:r>
        <w:rPr>
          <w:rFonts w:ascii="Times New Roman" w:eastAsia="Calibri" w:hAnsi="Times New Roman" w:cs="Times New Roman"/>
          <w:bCs/>
          <w:kern w:val="24"/>
          <w:sz w:val="24"/>
          <w:szCs w:val="24"/>
        </w:rPr>
        <w:t xml:space="preserve">the </w:t>
      </w:r>
      <w:r w:rsidR="00087C21">
        <w:rPr>
          <w:rFonts w:ascii="Times New Roman" w:hAnsi="Times New Roman" w:cs="Times New Roman"/>
          <w:bCs/>
          <w:kern w:val="24"/>
          <w:sz w:val="24"/>
          <w:szCs w:val="24"/>
        </w:rPr>
        <w:t xml:space="preserve">FarmCPU and BLINK GWAS models. </w:t>
      </w:r>
      <w:r w:rsidR="005C0916">
        <w:rPr>
          <w:rFonts w:ascii="Times New Roman" w:hAnsi="Times New Roman" w:cs="Times New Roman"/>
          <w:bCs/>
          <w:color w:val="000000"/>
          <w:sz w:val="24"/>
          <w:szCs w:val="24"/>
        </w:rPr>
        <w:t>(Attached in the supplemental file)</w:t>
      </w:r>
    </w:p>
    <w:p w14:paraId="3471D2F0" w14:textId="77777777" w:rsidR="00B44C59" w:rsidRPr="00854CAB" w:rsidRDefault="00B44C59" w:rsidP="00087C21">
      <w:pPr>
        <w:ind w:left="-142"/>
        <w:jc w:val="both"/>
        <w:rPr>
          <w:rFonts w:ascii="Times New Roman" w:hAnsi="Times New Roman" w:cs="Times New Roman"/>
          <w:bCs/>
          <w:color w:val="000000"/>
          <w:kern w:val="24"/>
          <w:sz w:val="20"/>
          <w:szCs w:val="20"/>
        </w:rPr>
      </w:pPr>
    </w:p>
    <w:p w14:paraId="0DB605E6" w14:textId="77777777" w:rsidR="00B44C59" w:rsidRDefault="008B1443" w:rsidP="00087C21">
      <w:pPr>
        <w:ind w:left="-142"/>
        <w:jc w:val="both"/>
        <w:rPr>
          <w:rFonts w:ascii="Times New Roman" w:hAnsi="Times New Roman" w:cs="Times New Roman"/>
          <w:bCs/>
          <w:kern w:val="24"/>
          <w:sz w:val="24"/>
          <w:szCs w:val="24"/>
        </w:rPr>
      </w:pPr>
      <w:r>
        <w:rPr>
          <w:rFonts w:ascii="Times New Roman" w:hAnsi="Times New Roman" w:cs="Times New Roman"/>
          <w:b/>
          <w:bCs/>
          <w:color w:val="000000"/>
          <w:sz w:val="24"/>
          <w:szCs w:val="24"/>
        </w:rPr>
        <w:t>Table</w:t>
      </w:r>
      <w:r w:rsidR="005C0916">
        <w:rPr>
          <w:rFonts w:ascii="Times New Roman" w:hAnsi="Times New Roman" w:cs="Times New Roman"/>
          <w:b/>
          <w:bCs/>
          <w:kern w:val="24"/>
          <w:sz w:val="24"/>
          <w:szCs w:val="24"/>
        </w:rPr>
        <w:t xml:space="preserve"> S5</w:t>
      </w:r>
      <w:r w:rsidR="005C0916">
        <w:rPr>
          <w:rFonts w:ascii="Times New Roman" w:hAnsi="Times New Roman" w:cs="Times New Roman"/>
          <w:bCs/>
          <w:kern w:val="24"/>
          <w:sz w:val="24"/>
          <w:szCs w:val="24"/>
        </w:rPr>
        <w:t xml:space="preserve"> Epistatic SNP × SNP interactions for nine DRTs of 198 soybean accessions grown in E1 and E2. (Attached in the supplemental file)</w:t>
      </w:r>
    </w:p>
    <w:p w14:paraId="1B0D11B0" w14:textId="77777777" w:rsidR="00EB70EF" w:rsidRDefault="00EB70EF" w:rsidP="00DB666D">
      <w:pPr>
        <w:jc w:val="both"/>
        <w:rPr>
          <w:rFonts w:ascii="Times New Roman" w:hAnsi="Times New Roman" w:cs="Times New Roman"/>
          <w:bCs/>
          <w:color w:val="000000"/>
          <w:kern w:val="24"/>
          <w:sz w:val="24"/>
          <w:szCs w:val="24"/>
        </w:rPr>
      </w:pPr>
    </w:p>
    <w:p w14:paraId="5F6C4B34" w14:textId="77777777" w:rsidR="0002003C" w:rsidRDefault="005C0916" w:rsidP="00087C21">
      <w:pPr>
        <w:ind w:left="-142"/>
        <w:jc w:val="both"/>
        <w:rPr>
          <w:rFonts w:ascii="Times New Roman" w:hAnsi="Times New Roman" w:cs="Times New Roman"/>
          <w:b/>
          <w:bCs/>
          <w:noProof/>
          <w:sz w:val="24"/>
          <w:szCs w:val="24"/>
        </w:rPr>
      </w:pPr>
      <w:r>
        <w:rPr>
          <w:rFonts w:ascii="Times New Roman" w:hAnsi="Times New Roman" w:cs="Times New Roman"/>
          <w:b/>
          <w:bCs/>
          <w:color w:val="000000"/>
          <w:sz w:val="24"/>
          <w:szCs w:val="24"/>
        </w:rPr>
        <w:t>Fig. S</w:t>
      </w:r>
      <w:r w:rsidRPr="00B20C81">
        <w:rPr>
          <w:rFonts w:ascii="Times New Roman" w:hAnsi="Times New Roman" w:cs="Times New Roman"/>
          <w:b/>
          <w:bCs/>
          <w:noProof/>
          <w:sz w:val="24"/>
          <w:szCs w:val="24"/>
        </w:rPr>
        <w:t xml:space="preserve">1 </w:t>
      </w:r>
      <w:r>
        <w:rPr>
          <w:rFonts w:ascii="Times New Roman" w:eastAsia="Calibri" w:hAnsi="Times New Roman" w:cs="Times New Roman"/>
          <w:noProof/>
          <w:sz w:val="24"/>
          <w:szCs w:val="24"/>
        </w:rPr>
        <w:t>Differences</w:t>
      </w:r>
      <w:r>
        <w:rPr>
          <w:rFonts w:ascii="Times New Roman" w:hAnsi="Times New Roman" w:cs="Times New Roman"/>
          <w:noProof/>
          <w:sz w:val="24"/>
          <w:szCs w:val="24"/>
        </w:rPr>
        <w:t xml:space="preserve"> in qualitative traits associated with DRTs.</w:t>
      </w:r>
    </w:p>
    <w:p w14:paraId="588DE18E" w14:textId="77777777" w:rsidR="00087C21" w:rsidRPr="00CA1AE1" w:rsidRDefault="008B1443" w:rsidP="00087C21">
      <w:pPr>
        <w:spacing w:before="100" w:beforeAutospacing="1" w:after="100" w:afterAutospacing="1" w:line="240" w:lineRule="auto"/>
        <w:ind w:left="-142"/>
        <w:jc w:val="both"/>
        <w:rPr>
          <w:rFonts w:ascii="Times New Roman" w:eastAsia="Times New Roman" w:hAnsi="Times New Roman" w:cs="Times New Roman"/>
          <w:sz w:val="24"/>
          <w:szCs w:val="24"/>
        </w:rPr>
      </w:pPr>
      <w:r>
        <w:rPr>
          <w:rFonts w:ascii="Times New Roman" w:hAnsi="Times New Roman" w:cs="Times New Roman"/>
          <w:b/>
          <w:bCs/>
          <w:color w:val="000000"/>
          <w:sz w:val="24"/>
          <w:szCs w:val="24"/>
        </w:rPr>
        <w:t xml:space="preserve">Fig. S2 </w:t>
      </w:r>
      <w:r w:rsidRPr="00FC2ABD">
        <w:rPr>
          <w:rFonts w:ascii="Times New Roman" w:eastAsia="Times New Roman" w:hAnsi="Times New Roman" w:cs="Times New Roman"/>
          <w:sz w:val="24"/>
          <w:szCs w:val="24"/>
        </w:rPr>
        <w:t xml:space="preserve">Circos plot showing the Manhattan plot genome-wide association plot for identifying MTAs associated with (A) seed </w:t>
      </w:r>
      <w:r>
        <w:rPr>
          <w:rFonts w:ascii="Times New Roman" w:eastAsia="Times New Roman" w:hAnsi="Times New Roman" w:cs="Times New Roman"/>
          <w:sz w:val="24"/>
          <w:szCs w:val="24"/>
        </w:rPr>
        <w:t>size–length</w:t>
      </w:r>
      <w:r w:rsidRPr="00FC2ABD">
        <w:rPr>
          <w:rFonts w:ascii="Times New Roman" w:eastAsia="Times New Roman" w:hAnsi="Times New Roman" w:cs="Times New Roman"/>
          <w:sz w:val="24"/>
          <w:szCs w:val="24"/>
        </w:rPr>
        <w:t xml:space="preserve">, thickness and width upper panel for E1 and lower panel for E2. The analysis employs both the FarmCPU and BLINK models. The red dotted line in the plot represents the genome-wide significance threshold set at a –log10(p) </w:t>
      </w:r>
      <w:r w:rsidRPr="00A65E42">
        <w:rPr>
          <w:rFonts w:ascii="Times New Roman" w:hAnsi="Times New Roman" w:cs="Times New Roman"/>
          <w:noProof/>
          <w:sz w:val="24"/>
          <w:szCs w:val="24"/>
        </w:rPr>
        <w:t xml:space="preserve">value </w:t>
      </w:r>
      <w:r w:rsidRPr="00EF1643">
        <w:rPr>
          <w:rFonts w:ascii="Times New Roman" w:eastAsia="Times New Roman" w:hAnsi="Times New Roman"/>
          <w:sz w:val="24"/>
          <w:szCs w:val="24"/>
        </w:rPr>
        <w:t>≥ 5.67</w:t>
      </w:r>
      <w:r w:rsidRPr="00CA1AE1">
        <w:rPr>
          <w:rFonts w:ascii="Segoe UI" w:hAnsi="Segoe UI" w:cs="Segoe UI"/>
          <w:color w:val="374151"/>
          <w:sz w:val="24"/>
          <w:szCs w:val="24"/>
          <w:shd w:val="clear" w:color="auto" w:fill="F7F7F8"/>
        </w:rPr>
        <w:t xml:space="preserve"> </w:t>
      </w:r>
      <w:r w:rsidRPr="00CA1AE1">
        <w:rPr>
          <w:rFonts w:ascii="Times New Roman" w:hAnsi="Times New Roman" w:cs="Times New Roman"/>
          <w:color w:val="374151"/>
          <w:sz w:val="24"/>
          <w:szCs w:val="24"/>
          <w:shd w:val="clear" w:color="auto" w:fill="F7F7F8"/>
        </w:rPr>
        <w:t>(</w:t>
      </w:r>
      <w:r w:rsidRPr="00CA1AE1">
        <w:rPr>
          <w:rFonts w:ascii="Times New Roman" w:eastAsia="Times New Roman" w:hAnsi="Times New Roman" w:cs="Times New Roman"/>
          <w:sz w:val="24"/>
          <w:szCs w:val="24"/>
        </w:rPr>
        <w:t>Bonferroni correction</w:t>
      </w:r>
      <w:r w:rsidRPr="00CA1AE1">
        <w:rPr>
          <w:rFonts w:ascii="Times New Roman" w:hAnsi="Times New Roman" w:cs="Times New Roman"/>
          <w:color w:val="374151"/>
          <w:sz w:val="24"/>
          <w:szCs w:val="24"/>
          <w:shd w:val="clear" w:color="auto" w:fill="F7F7F8"/>
        </w:rPr>
        <w:t xml:space="preserve"> </w:t>
      </w:r>
      <w:r w:rsidRPr="00CA1AE1">
        <w:rPr>
          <w:rFonts w:ascii="Times New Roman" w:eastAsia="Times New Roman" w:hAnsi="Times New Roman" w:cs="Times New Roman"/>
          <w:sz w:val="24"/>
          <w:szCs w:val="24"/>
        </w:rPr>
        <w:t>set at 0.05 (5%)). The quantile‒quantile (Q‒Q) corresponds to the dataset depicted in the Manhattan plot.</w:t>
      </w:r>
    </w:p>
    <w:p w14:paraId="5612F25B" w14:textId="77777777" w:rsidR="00087C21" w:rsidRPr="00CA1AE1" w:rsidRDefault="008B1443" w:rsidP="00087C21">
      <w:pPr>
        <w:spacing w:before="240" w:after="0" w:line="240" w:lineRule="auto"/>
        <w:ind w:left="-142"/>
        <w:jc w:val="both"/>
        <w:rPr>
          <w:rFonts w:ascii="Times New Roman" w:eastAsia="Times New Roman" w:hAnsi="Times New Roman" w:cs="Times New Roman"/>
          <w:sz w:val="24"/>
          <w:szCs w:val="24"/>
        </w:rPr>
      </w:pPr>
      <w:r>
        <w:rPr>
          <w:rFonts w:ascii="Times New Roman" w:hAnsi="Times New Roman" w:cs="Times New Roman"/>
          <w:b/>
          <w:bCs/>
          <w:color w:val="000000"/>
          <w:sz w:val="24"/>
          <w:szCs w:val="24"/>
        </w:rPr>
        <w:t xml:space="preserve">Fig. S3 </w:t>
      </w:r>
      <w:r w:rsidRPr="00FC2ABD">
        <w:rPr>
          <w:rFonts w:ascii="Times New Roman" w:eastAsia="Times New Roman" w:hAnsi="Times New Roman" w:cs="Times New Roman"/>
          <w:sz w:val="24"/>
          <w:szCs w:val="24"/>
        </w:rPr>
        <w:t>Circos plot showing the Manhattan plot of the genome-wide association plot for identifying MTAs associated with (</w:t>
      </w:r>
      <w:r w:rsidRPr="00295D4A">
        <w:rPr>
          <w:rFonts w:ascii="Times New Roman" w:eastAsia="Times New Roman" w:hAnsi="Times New Roman" w:cs="Times New Roman"/>
          <w:b/>
          <w:bCs/>
          <w:sz w:val="24"/>
          <w:szCs w:val="24"/>
        </w:rPr>
        <w:t>B</w:t>
      </w:r>
      <w:r w:rsidRPr="00FC2ABD">
        <w:rPr>
          <w:rFonts w:ascii="Times New Roman" w:eastAsia="Times New Roman" w:hAnsi="Times New Roman" w:cs="Times New Roman"/>
          <w:sz w:val="24"/>
          <w:szCs w:val="24"/>
        </w:rPr>
        <w:t>) seed coat color, (</w:t>
      </w:r>
      <w:r w:rsidRPr="00295D4A">
        <w:rPr>
          <w:rFonts w:ascii="Times New Roman" w:eastAsia="Times New Roman" w:hAnsi="Times New Roman" w:cs="Times New Roman"/>
          <w:b/>
          <w:bCs/>
          <w:sz w:val="24"/>
          <w:szCs w:val="24"/>
        </w:rPr>
        <w:t>C</w:t>
      </w:r>
      <w:r w:rsidRPr="00FC2ABD">
        <w:rPr>
          <w:rFonts w:ascii="Times New Roman" w:eastAsia="Times New Roman" w:hAnsi="Times New Roman" w:cs="Times New Roman"/>
          <w:sz w:val="24"/>
          <w:szCs w:val="24"/>
        </w:rPr>
        <w:t>) cotyledon color, (</w:t>
      </w:r>
      <w:r w:rsidRPr="00295D4A">
        <w:rPr>
          <w:rFonts w:ascii="Times New Roman" w:eastAsia="Times New Roman" w:hAnsi="Times New Roman" w:cs="Times New Roman"/>
          <w:b/>
          <w:bCs/>
          <w:sz w:val="24"/>
          <w:szCs w:val="24"/>
        </w:rPr>
        <w:t>D</w:t>
      </w:r>
      <w:r w:rsidRPr="00FC2ABD">
        <w:rPr>
          <w:rFonts w:ascii="Times New Roman" w:eastAsia="Times New Roman" w:hAnsi="Times New Roman" w:cs="Times New Roman"/>
          <w:sz w:val="24"/>
          <w:szCs w:val="24"/>
        </w:rPr>
        <w:t>) hypocotyl color, and (</w:t>
      </w:r>
      <w:r w:rsidRPr="00295D4A">
        <w:rPr>
          <w:rFonts w:ascii="Times New Roman" w:eastAsia="Times New Roman" w:hAnsi="Times New Roman" w:cs="Times New Roman"/>
          <w:b/>
          <w:bCs/>
          <w:sz w:val="24"/>
          <w:szCs w:val="24"/>
        </w:rPr>
        <w:t>E</w:t>
      </w:r>
      <w:r w:rsidRPr="00FC2ABD">
        <w:rPr>
          <w:rFonts w:ascii="Times New Roman" w:eastAsia="Times New Roman" w:hAnsi="Times New Roman" w:cs="Times New Roman"/>
          <w:sz w:val="24"/>
          <w:szCs w:val="24"/>
        </w:rPr>
        <w:t>) stem growth habits in the upper panel and (</w:t>
      </w:r>
      <w:r w:rsidRPr="00295D4A">
        <w:rPr>
          <w:rFonts w:ascii="Times New Roman" w:eastAsia="Times New Roman" w:hAnsi="Times New Roman" w:cs="Times New Roman"/>
          <w:b/>
          <w:bCs/>
          <w:sz w:val="24"/>
          <w:szCs w:val="24"/>
        </w:rPr>
        <w:t>F</w:t>
      </w:r>
      <w:r w:rsidRPr="00FC2ABD">
        <w:rPr>
          <w:rFonts w:ascii="Times New Roman" w:eastAsia="Times New Roman" w:hAnsi="Times New Roman" w:cs="Times New Roman"/>
          <w:sz w:val="24"/>
          <w:szCs w:val="24"/>
        </w:rPr>
        <w:t>) flower color, (</w:t>
      </w:r>
      <w:r w:rsidRPr="00295D4A">
        <w:rPr>
          <w:rFonts w:ascii="Times New Roman" w:eastAsia="Times New Roman" w:hAnsi="Times New Roman" w:cs="Times New Roman"/>
          <w:b/>
          <w:bCs/>
          <w:sz w:val="24"/>
          <w:szCs w:val="24"/>
        </w:rPr>
        <w:t>G</w:t>
      </w:r>
      <w:r w:rsidRPr="00FC2ABD">
        <w:rPr>
          <w:rFonts w:ascii="Times New Roman" w:eastAsia="Times New Roman" w:hAnsi="Times New Roman" w:cs="Times New Roman"/>
          <w:sz w:val="24"/>
          <w:szCs w:val="24"/>
        </w:rPr>
        <w:t>) pod color, and (</w:t>
      </w:r>
      <w:r w:rsidRPr="00295D4A">
        <w:rPr>
          <w:rFonts w:ascii="Times New Roman" w:eastAsia="Times New Roman" w:hAnsi="Times New Roman" w:cs="Times New Roman"/>
          <w:b/>
          <w:bCs/>
          <w:sz w:val="24"/>
          <w:szCs w:val="24"/>
        </w:rPr>
        <w:t>H</w:t>
      </w:r>
      <w:r w:rsidRPr="00EF1643">
        <w:rPr>
          <w:rFonts w:ascii="Times New Roman" w:eastAsia="Times New Roman" w:hAnsi="Times New Roman"/>
          <w:sz w:val="24"/>
          <w:szCs w:val="24"/>
        </w:rPr>
        <w:t>) pubescence in the lower panel. The analysis employs both the FarmCPU and BLINK models. The red dotted line in the plot represents the genome-wide significance threshold set at a –log10(p) value ≥ 5.67</w:t>
      </w:r>
      <w:r w:rsidRPr="00CA1AE1">
        <w:rPr>
          <w:rFonts w:ascii="Segoe UI" w:hAnsi="Segoe UI" w:cs="Segoe UI"/>
          <w:color w:val="374151"/>
          <w:sz w:val="24"/>
          <w:szCs w:val="24"/>
          <w:shd w:val="clear" w:color="auto" w:fill="F7F7F8"/>
        </w:rPr>
        <w:t xml:space="preserve"> </w:t>
      </w:r>
      <w:r w:rsidRPr="00CA1AE1">
        <w:rPr>
          <w:rFonts w:ascii="Times New Roman" w:hAnsi="Times New Roman" w:cs="Times New Roman"/>
          <w:color w:val="374151"/>
          <w:sz w:val="24"/>
          <w:szCs w:val="24"/>
          <w:shd w:val="clear" w:color="auto" w:fill="F7F7F8"/>
        </w:rPr>
        <w:t>(</w:t>
      </w:r>
      <w:r w:rsidRPr="00CA1AE1">
        <w:rPr>
          <w:rFonts w:ascii="Times New Roman" w:eastAsia="Times New Roman" w:hAnsi="Times New Roman" w:cs="Times New Roman"/>
          <w:sz w:val="24"/>
          <w:szCs w:val="24"/>
        </w:rPr>
        <w:t>Bonferroni correction</w:t>
      </w:r>
      <w:r w:rsidRPr="00CA1AE1">
        <w:rPr>
          <w:rFonts w:ascii="Times New Roman" w:hAnsi="Times New Roman" w:cs="Times New Roman"/>
          <w:color w:val="374151"/>
          <w:sz w:val="24"/>
          <w:szCs w:val="24"/>
          <w:shd w:val="clear" w:color="auto" w:fill="F7F7F8"/>
        </w:rPr>
        <w:t xml:space="preserve"> </w:t>
      </w:r>
      <w:r w:rsidRPr="00CA1AE1">
        <w:rPr>
          <w:rFonts w:ascii="Times New Roman" w:eastAsia="Times New Roman" w:hAnsi="Times New Roman" w:cs="Times New Roman"/>
          <w:sz w:val="24"/>
          <w:szCs w:val="24"/>
        </w:rPr>
        <w:t xml:space="preserve">set at 0.05 (5%)). The quantile‒quantile (Q‒Q) corresponds to the dataset depicted in the Manhattan plot. </w:t>
      </w:r>
      <w:r w:rsidRPr="00CA1AE1">
        <w:rPr>
          <w:rFonts w:ascii="Times New Roman" w:hAnsi="Times New Roman" w:cs="Times New Roman"/>
          <w:bCs/>
          <w:noProof/>
          <w:sz w:val="24"/>
          <w:szCs w:val="24"/>
        </w:rPr>
        <w:t xml:space="preserve">We </w:t>
      </w:r>
      <w:r>
        <w:rPr>
          <w:rFonts w:ascii="Times New Roman" w:eastAsia="Calibri" w:hAnsi="Times New Roman" w:cs="Times New Roman"/>
          <w:bCs/>
          <w:noProof/>
          <w:sz w:val="24"/>
          <w:szCs w:val="24"/>
        </w:rPr>
        <w:t>used the</w:t>
      </w:r>
      <w:r w:rsidRPr="00CA1AE1">
        <w:rPr>
          <w:rFonts w:ascii="Times New Roman" w:hAnsi="Times New Roman" w:cs="Times New Roman"/>
          <w:bCs/>
          <w:noProof/>
          <w:sz w:val="24"/>
          <w:szCs w:val="24"/>
        </w:rPr>
        <w:t xml:space="preserve"> </w:t>
      </w:r>
      <w:r w:rsidRPr="00F939EB">
        <w:rPr>
          <w:rFonts w:ascii="Times New Roman" w:eastAsia="Times New Roman" w:hAnsi="Times New Roman" w:cs="Times New Roman"/>
          <w:bCs/>
          <w:sz w:val="24"/>
          <w:szCs w:val="24"/>
          <w:shd w:val="clear" w:color="auto" w:fill="FCFCFC"/>
          <w:lang w:eastAsia="en-IN" w:bidi="hi-IN"/>
        </w:rPr>
        <w:t>–</w:t>
      </w:r>
      <w:r w:rsidRPr="00CA1AE1">
        <w:rPr>
          <w:rFonts w:ascii="Times New Roman" w:hAnsi="Times New Roman" w:cs="Times New Roman"/>
          <w:bCs/>
          <w:noProof/>
          <w:sz w:val="24"/>
          <w:szCs w:val="24"/>
        </w:rPr>
        <w:t>log10 (p)-value for the stem growth habit trait to detect common SNPs across GWAS models and both</w:t>
      </w:r>
      <w:r w:rsidRPr="00C650A2">
        <w:rPr>
          <w:rFonts w:ascii="Times New Roman" w:eastAsia="Times New Roman" w:hAnsi="Times New Roman" w:cs="Times New Roman"/>
          <w:color w:val="000000"/>
          <w:sz w:val="24"/>
          <w:szCs w:val="24"/>
          <w:lang w:eastAsia="en-IN" w:bidi="hi-IN"/>
        </w:rPr>
        <w:t xml:space="preserve"> </w:t>
      </w:r>
      <w:r w:rsidRPr="00CA1AE1">
        <w:rPr>
          <w:rFonts w:ascii="Times New Roman" w:hAnsi="Times New Roman" w:cs="Times New Roman"/>
          <w:bCs/>
          <w:noProof/>
          <w:sz w:val="24"/>
          <w:szCs w:val="24"/>
        </w:rPr>
        <w:t>environments.</w:t>
      </w:r>
    </w:p>
    <w:p w14:paraId="2FE86ADF" w14:textId="77777777" w:rsidR="0002003C" w:rsidRDefault="0002003C" w:rsidP="0002003C">
      <w:pPr>
        <w:jc w:val="both"/>
        <w:rPr>
          <w:rFonts w:ascii="Times New Roman" w:hAnsi="Times New Roman" w:cs="Times New Roman"/>
        </w:rPr>
      </w:pPr>
    </w:p>
    <w:p w14:paraId="0258B060" w14:textId="77777777" w:rsidR="00087C21" w:rsidRPr="0002003C" w:rsidRDefault="008B1443" w:rsidP="00087C21">
      <w:pPr>
        <w:spacing w:after="0" w:line="240" w:lineRule="auto"/>
        <w:ind w:left="-142"/>
        <w:jc w:val="both"/>
        <w:rPr>
          <w:rFonts w:ascii="Times New Roman" w:eastAsia="Times New Roman" w:hAnsi="Times New Roman" w:cs="Times New Roman"/>
          <w:sz w:val="24"/>
          <w:szCs w:val="24"/>
        </w:rPr>
      </w:pPr>
      <w:r w:rsidRPr="0002003C">
        <w:rPr>
          <w:rFonts w:ascii="Times New Roman" w:hAnsi="Times New Roman" w:cs="Times New Roman"/>
          <w:b/>
          <w:bCs/>
          <w:color w:val="000000"/>
          <w:sz w:val="24"/>
          <w:szCs w:val="24"/>
        </w:rPr>
        <w:t xml:space="preserve">Fig. S4 </w:t>
      </w:r>
      <w:r w:rsidRPr="00FC2ABD">
        <w:rPr>
          <w:rFonts w:ascii="Times New Roman" w:eastAsia="Times New Roman" w:hAnsi="Times New Roman" w:cs="Times New Roman"/>
          <w:sz w:val="24"/>
          <w:szCs w:val="24"/>
        </w:rPr>
        <w:t>Circos plot showing the Manhattan plot genome-wide association plot for identifying MTAs associated with (</w:t>
      </w:r>
      <w:r w:rsidRPr="00295D4A">
        <w:rPr>
          <w:rFonts w:ascii="Times New Roman" w:eastAsia="Times New Roman" w:hAnsi="Times New Roman" w:cs="Times New Roman"/>
          <w:b/>
          <w:bCs/>
          <w:sz w:val="24"/>
          <w:szCs w:val="24"/>
        </w:rPr>
        <w:t>I</w:t>
      </w:r>
      <w:r w:rsidRPr="00FC2ABD">
        <w:rPr>
          <w:rFonts w:ascii="Times New Roman" w:eastAsia="Times New Roman" w:hAnsi="Times New Roman" w:cs="Times New Roman"/>
          <w:sz w:val="24"/>
          <w:szCs w:val="24"/>
        </w:rPr>
        <w:t>) pod-shattering (AVRDC scale) in the left panel for E1 and E2 and pod-shattering (</w:t>
      </w:r>
      <w:r>
        <w:rPr>
          <w:rFonts w:ascii="Times New Roman" w:eastAsia="Times New Roman" w:hAnsi="Times New Roman" w:cs="Times New Roman"/>
          <w:sz w:val="24"/>
          <w:szCs w:val="24"/>
        </w:rPr>
        <w:t>oven</w:t>
      </w:r>
      <w:r w:rsidRPr="00FC2ABD">
        <w:rPr>
          <w:rFonts w:ascii="Times New Roman" w:eastAsia="Times New Roman" w:hAnsi="Times New Roman" w:cs="Times New Roman"/>
          <w:sz w:val="24"/>
          <w:szCs w:val="24"/>
        </w:rPr>
        <w:t xml:space="preserve">-based) in the right panel for E1 and E2. The analysis employs both the FarmCPU and BLINK models. The red dotted line in the plot represents the genome-wide significance threshold set at a –log10(p) </w:t>
      </w:r>
      <w:r w:rsidRPr="0002003C">
        <w:rPr>
          <w:rFonts w:ascii="Times New Roman" w:hAnsi="Times New Roman" w:cs="Times New Roman"/>
          <w:noProof/>
          <w:sz w:val="24"/>
          <w:szCs w:val="24"/>
        </w:rPr>
        <w:t xml:space="preserve">value </w:t>
      </w:r>
      <w:r w:rsidRPr="0002003C">
        <w:rPr>
          <w:rFonts w:ascii="Times New Roman" w:eastAsia="Times New Roman" w:hAnsi="Times New Roman" w:cs="Times New Roman"/>
          <w:sz w:val="24"/>
          <w:szCs w:val="24"/>
        </w:rPr>
        <w:t>≥ 5.67</w:t>
      </w:r>
      <w:r w:rsidRPr="0002003C">
        <w:rPr>
          <w:rFonts w:ascii="Times New Roman" w:hAnsi="Times New Roman" w:cs="Times New Roman"/>
          <w:color w:val="374151"/>
          <w:sz w:val="24"/>
          <w:szCs w:val="24"/>
          <w:shd w:val="clear" w:color="auto" w:fill="F7F7F8"/>
        </w:rPr>
        <w:t xml:space="preserve"> (</w:t>
      </w:r>
      <w:r w:rsidRPr="0002003C">
        <w:rPr>
          <w:rFonts w:ascii="Times New Roman" w:eastAsia="Times New Roman" w:hAnsi="Times New Roman" w:cs="Times New Roman"/>
          <w:sz w:val="24"/>
          <w:szCs w:val="24"/>
        </w:rPr>
        <w:t>Bonferroni correction</w:t>
      </w:r>
      <w:r w:rsidRPr="0002003C">
        <w:rPr>
          <w:rFonts w:ascii="Times New Roman" w:hAnsi="Times New Roman" w:cs="Times New Roman"/>
          <w:color w:val="374151"/>
          <w:sz w:val="24"/>
          <w:szCs w:val="24"/>
          <w:shd w:val="clear" w:color="auto" w:fill="F7F7F8"/>
        </w:rPr>
        <w:t xml:space="preserve"> </w:t>
      </w:r>
      <w:r w:rsidRPr="0002003C">
        <w:rPr>
          <w:rFonts w:ascii="Times New Roman" w:eastAsia="Times New Roman" w:hAnsi="Times New Roman" w:cs="Times New Roman"/>
          <w:sz w:val="24"/>
          <w:szCs w:val="24"/>
        </w:rPr>
        <w:t>set at 0.05 (5%)). The quantile‒quantile (Q‒Q) corresponds to the dataset depicted in the Manhattan plot.</w:t>
      </w:r>
    </w:p>
    <w:p w14:paraId="1F7311AB" w14:textId="77777777" w:rsidR="00087C21" w:rsidRDefault="00087C21" w:rsidP="0002003C">
      <w:pPr>
        <w:jc w:val="both"/>
        <w:rPr>
          <w:rFonts w:ascii="Times New Roman" w:hAnsi="Times New Roman" w:cs="Times New Roman"/>
        </w:rPr>
      </w:pPr>
    </w:p>
    <w:p w14:paraId="1C7988D8" w14:textId="77777777" w:rsidR="00087C21" w:rsidRDefault="00087C21" w:rsidP="0002003C">
      <w:pPr>
        <w:jc w:val="both"/>
        <w:rPr>
          <w:rFonts w:ascii="Times New Roman" w:hAnsi="Times New Roman" w:cs="Times New Roman"/>
        </w:rPr>
      </w:pPr>
    </w:p>
    <w:p w14:paraId="7D838807" w14:textId="77777777" w:rsidR="00087C21" w:rsidRDefault="00087C21" w:rsidP="0002003C">
      <w:pPr>
        <w:jc w:val="both"/>
        <w:rPr>
          <w:rFonts w:ascii="Times New Roman" w:hAnsi="Times New Roman" w:cs="Times New Roman"/>
        </w:rPr>
      </w:pPr>
    </w:p>
    <w:p w14:paraId="3A067246" w14:textId="77777777" w:rsidR="00087C21" w:rsidRDefault="00087C21" w:rsidP="0002003C">
      <w:pPr>
        <w:jc w:val="both"/>
        <w:rPr>
          <w:rFonts w:ascii="Times New Roman" w:hAnsi="Times New Roman" w:cs="Times New Roman"/>
        </w:rPr>
      </w:pPr>
    </w:p>
    <w:p w14:paraId="245AB97A" w14:textId="77777777" w:rsidR="00EB70EF" w:rsidRDefault="008B1443" w:rsidP="00EB70EF">
      <w:pPr>
        <w:rPr>
          <w:rFonts w:ascii="Times New Roman" w:hAnsi="Times New Roman" w:cs="Times New Roman"/>
          <w:b/>
          <w:bCs/>
          <w:noProof/>
          <w:sz w:val="24"/>
          <w:szCs w:val="24"/>
        </w:rPr>
      </w:pPr>
      <w:r w:rsidRPr="007567AB">
        <w:rPr>
          <w:noProof/>
        </w:rPr>
        <w:drawing>
          <wp:inline distT="0" distB="0" distL="0" distR="0" wp14:anchorId="05EB51B1" wp14:editId="2FA99791">
            <wp:extent cx="6105525" cy="4402997"/>
            <wp:effectExtent l="19050" t="19050" r="9525" b="171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4"/>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6105525" cy="4402997"/>
                    </a:xfrm>
                    <a:prstGeom prst="rect">
                      <a:avLst/>
                    </a:prstGeom>
                    <a:noFill/>
                    <a:ln>
                      <a:solidFill>
                        <a:schemeClr val="tx1"/>
                      </a:solidFill>
                    </a:ln>
                  </pic:spPr>
                </pic:pic>
              </a:graphicData>
            </a:graphic>
          </wp:inline>
        </w:drawing>
      </w:r>
    </w:p>
    <w:p w14:paraId="478A5330" w14:textId="77777777" w:rsidR="00EB70EF" w:rsidRDefault="005C0916" w:rsidP="0002003C">
      <w:pPr>
        <w:jc w:val="both"/>
        <w:rPr>
          <w:rFonts w:ascii="Times New Roman" w:hAnsi="Times New Roman" w:cs="Times New Roman"/>
          <w:b/>
          <w:bCs/>
          <w:noProof/>
          <w:sz w:val="24"/>
          <w:szCs w:val="24"/>
        </w:rPr>
      </w:pPr>
      <w:r>
        <w:rPr>
          <w:rFonts w:ascii="Times New Roman" w:hAnsi="Times New Roman" w:cs="Times New Roman"/>
          <w:b/>
          <w:bCs/>
          <w:color w:val="000000"/>
          <w:sz w:val="24"/>
          <w:szCs w:val="24"/>
        </w:rPr>
        <w:t xml:space="preserve">Fig. S1 </w:t>
      </w:r>
      <w:r>
        <w:rPr>
          <w:rFonts w:ascii="Times New Roman" w:eastAsia="Calibri" w:hAnsi="Times New Roman" w:cs="Times New Roman"/>
          <w:noProof/>
          <w:sz w:val="24"/>
          <w:szCs w:val="24"/>
        </w:rPr>
        <w:t>Differences</w:t>
      </w:r>
      <w:r>
        <w:rPr>
          <w:rFonts w:ascii="Times New Roman" w:hAnsi="Times New Roman" w:cs="Times New Roman"/>
          <w:noProof/>
          <w:sz w:val="24"/>
          <w:szCs w:val="24"/>
        </w:rPr>
        <w:t xml:space="preserve"> in qualitative traits associated with DRTs.</w:t>
      </w:r>
    </w:p>
    <w:p w14:paraId="20A6386C" w14:textId="77777777" w:rsidR="00EB70EF" w:rsidRDefault="00EB70EF" w:rsidP="00DB666D">
      <w:pPr>
        <w:jc w:val="both"/>
        <w:rPr>
          <w:rFonts w:ascii="Times New Roman" w:hAnsi="Times New Roman" w:cs="Times New Roman"/>
          <w:b/>
          <w:bCs/>
          <w:color w:val="000000"/>
          <w:sz w:val="24"/>
          <w:szCs w:val="24"/>
        </w:rPr>
      </w:pPr>
    </w:p>
    <w:p w14:paraId="23CF54DD" w14:textId="77777777" w:rsidR="00EB70EF" w:rsidRDefault="00EB70EF" w:rsidP="00DB666D">
      <w:pPr>
        <w:jc w:val="both"/>
        <w:rPr>
          <w:rFonts w:ascii="Times New Roman" w:hAnsi="Times New Roman" w:cs="Times New Roman"/>
          <w:b/>
          <w:bCs/>
          <w:color w:val="000000"/>
          <w:sz w:val="24"/>
          <w:szCs w:val="24"/>
        </w:rPr>
      </w:pPr>
    </w:p>
    <w:p w14:paraId="63F75CA7" w14:textId="77777777" w:rsidR="00EB70EF" w:rsidRDefault="00EB70EF" w:rsidP="00DB666D">
      <w:pPr>
        <w:jc w:val="both"/>
        <w:rPr>
          <w:rFonts w:ascii="Times New Roman" w:hAnsi="Times New Roman" w:cs="Times New Roman"/>
          <w:b/>
          <w:bCs/>
          <w:color w:val="000000"/>
          <w:sz w:val="24"/>
          <w:szCs w:val="24"/>
        </w:rPr>
      </w:pPr>
    </w:p>
    <w:p w14:paraId="23AA5F9E" w14:textId="77777777" w:rsidR="00EB70EF" w:rsidRDefault="00EB70EF" w:rsidP="00DB666D">
      <w:pPr>
        <w:jc w:val="both"/>
        <w:rPr>
          <w:rFonts w:ascii="Times New Roman" w:hAnsi="Times New Roman" w:cs="Times New Roman"/>
          <w:b/>
          <w:bCs/>
          <w:color w:val="000000"/>
          <w:sz w:val="24"/>
          <w:szCs w:val="24"/>
        </w:rPr>
      </w:pPr>
    </w:p>
    <w:p w14:paraId="5A22E7EB" w14:textId="77777777" w:rsidR="00EB70EF" w:rsidRDefault="00EB70EF" w:rsidP="00DB666D">
      <w:pPr>
        <w:jc w:val="both"/>
        <w:rPr>
          <w:rFonts w:ascii="Times New Roman" w:hAnsi="Times New Roman" w:cs="Times New Roman"/>
          <w:b/>
          <w:bCs/>
          <w:color w:val="000000"/>
          <w:sz w:val="24"/>
          <w:szCs w:val="24"/>
        </w:rPr>
      </w:pPr>
    </w:p>
    <w:p w14:paraId="08281311" w14:textId="77777777" w:rsidR="00EB70EF" w:rsidRDefault="00EB70EF" w:rsidP="00DB666D">
      <w:pPr>
        <w:jc w:val="both"/>
        <w:rPr>
          <w:rFonts w:ascii="Times New Roman" w:hAnsi="Times New Roman" w:cs="Times New Roman"/>
          <w:b/>
          <w:bCs/>
          <w:color w:val="000000"/>
          <w:sz w:val="24"/>
          <w:szCs w:val="24"/>
        </w:rPr>
      </w:pPr>
    </w:p>
    <w:p w14:paraId="04702DD9" w14:textId="77777777" w:rsidR="00EB70EF" w:rsidRDefault="00EB70EF" w:rsidP="00DB666D">
      <w:pPr>
        <w:jc w:val="both"/>
        <w:rPr>
          <w:rFonts w:ascii="Times New Roman" w:hAnsi="Times New Roman" w:cs="Times New Roman"/>
          <w:b/>
          <w:bCs/>
          <w:color w:val="000000"/>
          <w:sz w:val="24"/>
          <w:szCs w:val="24"/>
        </w:rPr>
      </w:pPr>
    </w:p>
    <w:p w14:paraId="5E9B99EC" w14:textId="77777777" w:rsidR="00EB70EF" w:rsidRDefault="008B1443" w:rsidP="00EB70EF">
      <w:pPr>
        <w:spacing w:before="100" w:beforeAutospacing="1" w:after="100" w:afterAutospacing="1" w:line="240" w:lineRule="auto"/>
        <w:rPr>
          <w:rFonts w:ascii="Times New Roman" w:eastAsia="Times New Roman" w:hAnsi="Times New Roman" w:cs="Times New Roman"/>
          <w:sz w:val="24"/>
          <w:szCs w:val="24"/>
          <w:lang w:eastAsia="en-IN" w:bidi="hi-IN"/>
        </w:rPr>
      </w:pPr>
      <w:r w:rsidRPr="0000404C">
        <w:rPr>
          <w:rFonts w:ascii="Times New Roman" w:eastAsia="Times New Roman" w:hAnsi="Times New Roman" w:cs="Times New Roman"/>
          <w:noProof/>
          <w:sz w:val="24"/>
          <w:szCs w:val="24"/>
          <w:lang w:eastAsia="en-IN" w:bidi="hi-IN"/>
        </w:rPr>
        <w:lastRenderedPageBreak/>
        <w:drawing>
          <wp:inline distT="0" distB="0" distL="0" distR="0" wp14:anchorId="18286C39" wp14:editId="61CC7250">
            <wp:extent cx="6378861" cy="7177320"/>
            <wp:effectExtent l="19050" t="19050" r="22225" b="24130"/>
            <wp:docPr id="5" name="Picture 5" descr="C:\Users\acer\Pictures\imgonline-com-ua-twotoone-IgDPGhlpDOI8Gv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Users\acer\Pictures\imgonline-com-ua-twotoone-IgDPGhlpDOI8GvU.jp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6386437" cy="7185845"/>
                    </a:xfrm>
                    <a:prstGeom prst="rect">
                      <a:avLst/>
                    </a:prstGeom>
                    <a:noFill/>
                    <a:ln>
                      <a:solidFill>
                        <a:schemeClr val="tx1"/>
                      </a:solidFill>
                    </a:ln>
                  </pic:spPr>
                </pic:pic>
              </a:graphicData>
            </a:graphic>
          </wp:inline>
        </w:drawing>
      </w:r>
    </w:p>
    <w:p w14:paraId="126CE680" w14:textId="77777777" w:rsidR="00EB70EF" w:rsidRPr="00CA1AE1" w:rsidRDefault="005C0916" w:rsidP="0002003C">
      <w:p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hAnsi="Times New Roman" w:cs="Times New Roman"/>
          <w:b/>
          <w:bCs/>
          <w:color w:val="000000"/>
          <w:sz w:val="24"/>
          <w:szCs w:val="24"/>
        </w:rPr>
        <w:t xml:space="preserve">Fig. S2 </w:t>
      </w:r>
      <w:r w:rsidR="00FC2ABD" w:rsidRPr="00FC2ABD">
        <w:rPr>
          <w:rFonts w:ascii="Times New Roman" w:eastAsia="Times New Roman" w:hAnsi="Times New Roman" w:cs="Times New Roman"/>
          <w:sz w:val="24"/>
          <w:szCs w:val="24"/>
        </w:rPr>
        <w:t xml:space="preserve">Circos plot showing the Manhattan plot genome-wide association plot for identifying MTAs associated with (A) seed </w:t>
      </w:r>
      <w:r w:rsidR="008B1443">
        <w:rPr>
          <w:rFonts w:ascii="Times New Roman" w:eastAsia="Times New Roman" w:hAnsi="Times New Roman" w:cs="Times New Roman"/>
          <w:sz w:val="24"/>
          <w:szCs w:val="24"/>
        </w:rPr>
        <w:t>size–length</w:t>
      </w:r>
      <w:r w:rsidR="00FC2ABD" w:rsidRPr="00FC2ABD">
        <w:rPr>
          <w:rFonts w:ascii="Times New Roman" w:eastAsia="Times New Roman" w:hAnsi="Times New Roman" w:cs="Times New Roman"/>
          <w:sz w:val="24"/>
          <w:szCs w:val="24"/>
        </w:rPr>
        <w:t xml:space="preserve">, thickness and width upper panel for E1 and lower panel for E2. The analysis employs both the FarmCPU and BLINK models. The red dotted line in the plot represents the genome-wide significance threshold set at a –log10(p) </w:t>
      </w:r>
      <w:r w:rsidRPr="00A65E42">
        <w:rPr>
          <w:rFonts w:ascii="Times New Roman" w:hAnsi="Times New Roman" w:cs="Times New Roman"/>
          <w:noProof/>
          <w:sz w:val="24"/>
          <w:szCs w:val="24"/>
        </w:rPr>
        <w:t xml:space="preserve">value </w:t>
      </w:r>
      <w:r w:rsidRPr="00EF1643">
        <w:rPr>
          <w:rFonts w:ascii="Times New Roman" w:eastAsia="Times New Roman" w:hAnsi="Times New Roman"/>
          <w:sz w:val="24"/>
          <w:szCs w:val="24"/>
        </w:rPr>
        <w:t>≥ 5.67</w:t>
      </w:r>
      <w:r w:rsidRPr="00CA1AE1">
        <w:rPr>
          <w:rFonts w:ascii="Segoe UI" w:hAnsi="Segoe UI" w:cs="Segoe UI"/>
          <w:color w:val="374151"/>
          <w:sz w:val="24"/>
          <w:szCs w:val="24"/>
          <w:shd w:val="clear" w:color="auto" w:fill="F7F7F8"/>
        </w:rPr>
        <w:t xml:space="preserve"> </w:t>
      </w:r>
      <w:r w:rsidRPr="00CA1AE1">
        <w:rPr>
          <w:rFonts w:ascii="Times New Roman" w:hAnsi="Times New Roman" w:cs="Times New Roman"/>
          <w:color w:val="374151"/>
          <w:sz w:val="24"/>
          <w:szCs w:val="24"/>
          <w:shd w:val="clear" w:color="auto" w:fill="F7F7F8"/>
        </w:rPr>
        <w:t>(</w:t>
      </w:r>
      <w:r w:rsidRPr="00CA1AE1">
        <w:rPr>
          <w:rFonts w:ascii="Times New Roman" w:eastAsia="Times New Roman" w:hAnsi="Times New Roman" w:cs="Times New Roman"/>
          <w:sz w:val="24"/>
          <w:szCs w:val="24"/>
        </w:rPr>
        <w:t>Bonferroni correction</w:t>
      </w:r>
      <w:r w:rsidRPr="00CA1AE1">
        <w:rPr>
          <w:rFonts w:ascii="Times New Roman" w:hAnsi="Times New Roman" w:cs="Times New Roman"/>
          <w:color w:val="374151"/>
          <w:sz w:val="24"/>
          <w:szCs w:val="24"/>
          <w:shd w:val="clear" w:color="auto" w:fill="F7F7F8"/>
        </w:rPr>
        <w:t xml:space="preserve"> </w:t>
      </w:r>
      <w:r w:rsidRPr="00CA1AE1">
        <w:rPr>
          <w:rFonts w:ascii="Times New Roman" w:eastAsia="Times New Roman" w:hAnsi="Times New Roman" w:cs="Times New Roman"/>
          <w:sz w:val="24"/>
          <w:szCs w:val="24"/>
        </w:rPr>
        <w:t>set at 0.05 (5%)). The quantile‒quantile (Q‒Q) corresponds to the dataset depicted in the Manhattan plot.</w:t>
      </w:r>
    </w:p>
    <w:p w14:paraId="76D38853" w14:textId="77777777" w:rsidR="00EB70EF" w:rsidRPr="005F0E10" w:rsidRDefault="00EB70EF" w:rsidP="00EB70EF">
      <w:pPr>
        <w:pStyle w:val="ListParagraph"/>
        <w:ind w:left="0"/>
        <w:jc w:val="both"/>
        <w:rPr>
          <w:rFonts w:ascii="Times New Roman" w:hAnsi="Times New Roman" w:cs="Times New Roman"/>
          <w:noProof/>
          <w:sz w:val="24"/>
          <w:szCs w:val="24"/>
        </w:rPr>
      </w:pPr>
    </w:p>
    <w:p w14:paraId="2C21D176" w14:textId="77777777" w:rsidR="00EB70EF" w:rsidRDefault="008B1443" w:rsidP="00EB70EF">
      <w:pPr>
        <w:spacing w:after="0" w:line="240" w:lineRule="auto"/>
        <w:ind w:left="-142"/>
        <w:jc w:val="both"/>
        <w:rPr>
          <w:rFonts w:ascii="Times New Roman" w:eastAsia="Times New Roman" w:hAnsi="Times New Roman" w:cs="Times New Roman"/>
          <w:b/>
          <w:bCs/>
          <w:sz w:val="24"/>
          <w:szCs w:val="24"/>
        </w:rPr>
      </w:pPr>
      <w:r w:rsidRPr="00D86D52">
        <w:rPr>
          <w:noProof/>
        </w:rPr>
        <w:lastRenderedPageBreak/>
        <w:drawing>
          <wp:inline distT="0" distB="0" distL="0" distR="0" wp14:anchorId="7B4A5C52" wp14:editId="6EC4C041">
            <wp:extent cx="6105525" cy="5059468"/>
            <wp:effectExtent l="19050" t="19050" r="9525" b="2730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26"/>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6105525" cy="5059468"/>
                    </a:xfrm>
                    <a:prstGeom prst="rect">
                      <a:avLst/>
                    </a:prstGeom>
                    <a:noFill/>
                    <a:ln>
                      <a:solidFill>
                        <a:schemeClr val="tx1"/>
                      </a:solidFill>
                    </a:ln>
                  </pic:spPr>
                </pic:pic>
              </a:graphicData>
            </a:graphic>
          </wp:inline>
        </w:drawing>
      </w:r>
    </w:p>
    <w:p w14:paraId="286D78B5" w14:textId="77777777" w:rsidR="00EB70EF" w:rsidRPr="00CA1AE1" w:rsidRDefault="005C0916" w:rsidP="0002003C">
      <w:pPr>
        <w:spacing w:before="240" w:after="0" w:line="240" w:lineRule="auto"/>
        <w:ind w:left="-142"/>
        <w:jc w:val="both"/>
        <w:rPr>
          <w:rFonts w:ascii="Times New Roman" w:eastAsia="Times New Roman" w:hAnsi="Times New Roman" w:cs="Times New Roman"/>
          <w:sz w:val="24"/>
          <w:szCs w:val="24"/>
        </w:rPr>
      </w:pPr>
      <w:r>
        <w:rPr>
          <w:rFonts w:ascii="Times New Roman" w:hAnsi="Times New Roman" w:cs="Times New Roman"/>
          <w:b/>
          <w:bCs/>
          <w:color w:val="000000"/>
          <w:sz w:val="24"/>
          <w:szCs w:val="24"/>
        </w:rPr>
        <w:t xml:space="preserve">Fig. S3 </w:t>
      </w:r>
      <w:r w:rsidR="00FC2ABD" w:rsidRPr="00FC2ABD">
        <w:rPr>
          <w:rFonts w:ascii="Times New Roman" w:eastAsia="Times New Roman" w:hAnsi="Times New Roman" w:cs="Times New Roman"/>
          <w:sz w:val="24"/>
          <w:szCs w:val="24"/>
        </w:rPr>
        <w:t>Circos plot showing the Manhattan plot of the genome-wide association plot for identifying MTAs associated with (</w:t>
      </w:r>
      <w:r w:rsidR="00FC2ABD" w:rsidRPr="00295D4A">
        <w:rPr>
          <w:rFonts w:ascii="Times New Roman" w:eastAsia="Times New Roman" w:hAnsi="Times New Roman" w:cs="Times New Roman"/>
          <w:b/>
          <w:bCs/>
          <w:sz w:val="24"/>
          <w:szCs w:val="24"/>
        </w:rPr>
        <w:t>B</w:t>
      </w:r>
      <w:r w:rsidR="00FC2ABD" w:rsidRPr="00FC2ABD">
        <w:rPr>
          <w:rFonts w:ascii="Times New Roman" w:eastAsia="Times New Roman" w:hAnsi="Times New Roman" w:cs="Times New Roman"/>
          <w:sz w:val="24"/>
          <w:szCs w:val="24"/>
        </w:rPr>
        <w:t>) seed coat color, (</w:t>
      </w:r>
      <w:r w:rsidR="00FC2ABD" w:rsidRPr="00295D4A">
        <w:rPr>
          <w:rFonts w:ascii="Times New Roman" w:eastAsia="Times New Roman" w:hAnsi="Times New Roman" w:cs="Times New Roman"/>
          <w:b/>
          <w:bCs/>
          <w:sz w:val="24"/>
          <w:szCs w:val="24"/>
        </w:rPr>
        <w:t>C</w:t>
      </w:r>
      <w:r w:rsidR="00FC2ABD" w:rsidRPr="00FC2ABD">
        <w:rPr>
          <w:rFonts w:ascii="Times New Roman" w:eastAsia="Times New Roman" w:hAnsi="Times New Roman" w:cs="Times New Roman"/>
          <w:sz w:val="24"/>
          <w:szCs w:val="24"/>
        </w:rPr>
        <w:t>) cotyledon color, (</w:t>
      </w:r>
      <w:r w:rsidR="00FC2ABD" w:rsidRPr="00295D4A">
        <w:rPr>
          <w:rFonts w:ascii="Times New Roman" w:eastAsia="Times New Roman" w:hAnsi="Times New Roman" w:cs="Times New Roman"/>
          <w:b/>
          <w:bCs/>
          <w:sz w:val="24"/>
          <w:szCs w:val="24"/>
        </w:rPr>
        <w:t>D</w:t>
      </w:r>
      <w:r w:rsidR="00FC2ABD" w:rsidRPr="00FC2ABD">
        <w:rPr>
          <w:rFonts w:ascii="Times New Roman" w:eastAsia="Times New Roman" w:hAnsi="Times New Roman" w:cs="Times New Roman"/>
          <w:sz w:val="24"/>
          <w:szCs w:val="24"/>
        </w:rPr>
        <w:t>) hypocotyl color, and (</w:t>
      </w:r>
      <w:r w:rsidR="00FC2ABD" w:rsidRPr="00295D4A">
        <w:rPr>
          <w:rFonts w:ascii="Times New Roman" w:eastAsia="Times New Roman" w:hAnsi="Times New Roman" w:cs="Times New Roman"/>
          <w:b/>
          <w:bCs/>
          <w:sz w:val="24"/>
          <w:szCs w:val="24"/>
        </w:rPr>
        <w:t>E</w:t>
      </w:r>
      <w:r w:rsidR="00FC2ABD" w:rsidRPr="00FC2ABD">
        <w:rPr>
          <w:rFonts w:ascii="Times New Roman" w:eastAsia="Times New Roman" w:hAnsi="Times New Roman" w:cs="Times New Roman"/>
          <w:sz w:val="24"/>
          <w:szCs w:val="24"/>
        </w:rPr>
        <w:t>) stem growth habits in the upper panel and (</w:t>
      </w:r>
      <w:r w:rsidR="00FC2ABD" w:rsidRPr="00295D4A">
        <w:rPr>
          <w:rFonts w:ascii="Times New Roman" w:eastAsia="Times New Roman" w:hAnsi="Times New Roman" w:cs="Times New Roman"/>
          <w:b/>
          <w:bCs/>
          <w:sz w:val="24"/>
          <w:szCs w:val="24"/>
        </w:rPr>
        <w:t>F</w:t>
      </w:r>
      <w:r w:rsidR="00FC2ABD" w:rsidRPr="00FC2ABD">
        <w:rPr>
          <w:rFonts w:ascii="Times New Roman" w:eastAsia="Times New Roman" w:hAnsi="Times New Roman" w:cs="Times New Roman"/>
          <w:sz w:val="24"/>
          <w:szCs w:val="24"/>
        </w:rPr>
        <w:t>) flower color, (</w:t>
      </w:r>
      <w:r w:rsidR="00FC2ABD" w:rsidRPr="00295D4A">
        <w:rPr>
          <w:rFonts w:ascii="Times New Roman" w:eastAsia="Times New Roman" w:hAnsi="Times New Roman" w:cs="Times New Roman"/>
          <w:b/>
          <w:bCs/>
          <w:sz w:val="24"/>
          <w:szCs w:val="24"/>
        </w:rPr>
        <w:t>G</w:t>
      </w:r>
      <w:r w:rsidR="00FC2ABD" w:rsidRPr="00FC2ABD">
        <w:rPr>
          <w:rFonts w:ascii="Times New Roman" w:eastAsia="Times New Roman" w:hAnsi="Times New Roman" w:cs="Times New Roman"/>
          <w:sz w:val="24"/>
          <w:szCs w:val="24"/>
        </w:rPr>
        <w:t>) pod color, and (</w:t>
      </w:r>
      <w:r w:rsidR="00FC2ABD" w:rsidRPr="00295D4A">
        <w:rPr>
          <w:rFonts w:ascii="Times New Roman" w:eastAsia="Times New Roman" w:hAnsi="Times New Roman" w:cs="Times New Roman"/>
          <w:b/>
          <w:bCs/>
          <w:sz w:val="24"/>
          <w:szCs w:val="24"/>
        </w:rPr>
        <w:t>H</w:t>
      </w:r>
      <w:r>
        <w:rPr>
          <w:rFonts w:ascii="Times New Roman" w:eastAsia="Times New Roman" w:hAnsi="Times New Roman" w:cs="Times New Roman"/>
          <w:sz w:val="24"/>
          <w:szCs w:val="24"/>
        </w:rPr>
        <w:t xml:space="preserve">) pubescence in the lower panel. The analysis employs both the FarmCPU and BLINK models. The red dotted line in the plot represents the genome-wide significance threshold set at a </w:t>
      </w:r>
      <w:r w:rsidRPr="00EF1643">
        <w:rPr>
          <w:rFonts w:ascii="Times New Roman" w:eastAsia="Times New Roman" w:hAnsi="Times New Roman"/>
          <w:sz w:val="24"/>
          <w:szCs w:val="24"/>
        </w:rPr>
        <w:t>–log10(p) value ≥ 5.67</w:t>
      </w:r>
      <w:r w:rsidRPr="00CA1AE1">
        <w:rPr>
          <w:rFonts w:ascii="Segoe UI" w:hAnsi="Segoe UI" w:cs="Segoe UI"/>
          <w:color w:val="374151"/>
          <w:sz w:val="24"/>
          <w:szCs w:val="24"/>
          <w:shd w:val="clear" w:color="auto" w:fill="F7F7F8"/>
        </w:rPr>
        <w:t xml:space="preserve"> </w:t>
      </w:r>
      <w:r w:rsidRPr="00CA1AE1">
        <w:rPr>
          <w:rFonts w:ascii="Times New Roman" w:hAnsi="Times New Roman" w:cs="Times New Roman"/>
          <w:color w:val="374151"/>
          <w:sz w:val="24"/>
          <w:szCs w:val="24"/>
          <w:shd w:val="clear" w:color="auto" w:fill="F7F7F8"/>
        </w:rPr>
        <w:t>(</w:t>
      </w:r>
      <w:r w:rsidRPr="00CA1AE1">
        <w:rPr>
          <w:rFonts w:ascii="Times New Roman" w:eastAsia="Times New Roman" w:hAnsi="Times New Roman" w:cs="Times New Roman"/>
          <w:sz w:val="24"/>
          <w:szCs w:val="24"/>
        </w:rPr>
        <w:t>Bonferroni correction</w:t>
      </w:r>
      <w:r w:rsidRPr="00CA1AE1">
        <w:rPr>
          <w:rFonts w:ascii="Times New Roman" w:hAnsi="Times New Roman" w:cs="Times New Roman"/>
          <w:color w:val="374151"/>
          <w:sz w:val="24"/>
          <w:szCs w:val="24"/>
          <w:shd w:val="clear" w:color="auto" w:fill="F7F7F8"/>
        </w:rPr>
        <w:t xml:space="preserve"> </w:t>
      </w:r>
      <w:r w:rsidRPr="00CA1AE1">
        <w:rPr>
          <w:rFonts w:ascii="Times New Roman" w:eastAsia="Times New Roman" w:hAnsi="Times New Roman" w:cs="Times New Roman"/>
          <w:sz w:val="24"/>
          <w:szCs w:val="24"/>
        </w:rPr>
        <w:t xml:space="preserve">set at 0.05 (5%)). The quantile‒quantile (Q‒Q) corresponds to the dataset depicted in the Manhattan plot. </w:t>
      </w:r>
      <w:r w:rsidRPr="00CA1AE1">
        <w:rPr>
          <w:rFonts w:ascii="Times New Roman" w:hAnsi="Times New Roman" w:cs="Times New Roman"/>
          <w:bCs/>
          <w:noProof/>
          <w:sz w:val="24"/>
          <w:szCs w:val="24"/>
        </w:rPr>
        <w:t xml:space="preserve">We </w:t>
      </w:r>
      <w:r>
        <w:rPr>
          <w:rFonts w:ascii="Times New Roman" w:eastAsia="Calibri" w:hAnsi="Times New Roman" w:cs="Times New Roman"/>
          <w:bCs/>
          <w:noProof/>
          <w:sz w:val="24"/>
          <w:szCs w:val="24"/>
        </w:rPr>
        <w:t>used the</w:t>
      </w:r>
      <w:r w:rsidRPr="00CA1AE1">
        <w:rPr>
          <w:rFonts w:ascii="Times New Roman" w:hAnsi="Times New Roman" w:cs="Times New Roman"/>
          <w:bCs/>
          <w:noProof/>
          <w:sz w:val="24"/>
          <w:szCs w:val="24"/>
        </w:rPr>
        <w:t xml:space="preserve"> </w:t>
      </w:r>
      <w:r w:rsidRPr="00F939EB">
        <w:rPr>
          <w:rFonts w:ascii="Times New Roman" w:eastAsia="Times New Roman" w:hAnsi="Times New Roman" w:cs="Times New Roman"/>
          <w:bCs/>
          <w:sz w:val="24"/>
          <w:szCs w:val="24"/>
          <w:shd w:val="clear" w:color="auto" w:fill="FCFCFC"/>
          <w:lang w:eastAsia="en-IN" w:bidi="hi-IN"/>
        </w:rPr>
        <w:t>–</w:t>
      </w:r>
      <w:r w:rsidRPr="00CA1AE1">
        <w:rPr>
          <w:rFonts w:ascii="Times New Roman" w:hAnsi="Times New Roman" w:cs="Times New Roman"/>
          <w:bCs/>
          <w:noProof/>
          <w:sz w:val="24"/>
          <w:szCs w:val="24"/>
        </w:rPr>
        <w:t>log10 (p)-value for the stem growth habit trait to detect common SNPs across GWAS models and both</w:t>
      </w:r>
      <w:r w:rsidR="00C650A2" w:rsidRPr="00C650A2">
        <w:rPr>
          <w:rFonts w:ascii="Times New Roman" w:eastAsia="Times New Roman" w:hAnsi="Times New Roman" w:cs="Times New Roman"/>
          <w:color w:val="000000"/>
          <w:sz w:val="24"/>
          <w:szCs w:val="24"/>
          <w:lang w:eastAsia="en-IN" w:bidi="hi-IN"/>
        </w:rPr>
        <w:t xml:space="preserve"> </w:t>
      </w:r>
      <w:r w:rsidRPr="00CA1AE1">
        <w:rPr>
          <w:rFonts w:ascii="Times New Roman" w:hAnsi="Times New Roman" w:cs="Times New Roman"/>
          <w:bCs/>
          <w:noProof/>
          <w:sz w:val="24"/>
          <w:szCs w:val="24"/>
        </w:rPr>
        <w:t>environments.</w:t>
      </w:r>
    </w:p>
    <w:p w14:paraId="0ABC6D42" w14:textId="77777777" w:rsidR="00EB70EF" w:rsidRDefault="00EB70EF" w:rsidP="00EB70EF">
      <w:pPr>
        <w:pStyle w:val="ListParagraph"/>
        <w:ind w:left="-142"/>
        <w:jc w:val="both"/>
        <w:rPr>
          <w:rFonts w:ascii="Times New Roman" w:hAnsi="Times New Roman" w:cs="Times New Roman"/>
          <w:noProof/>
          <w:sz w:val="24"/>
          <w:szCs w:val="24"/>
        </w:rPr>
      </w:pPr>
    </w:p>
    <w:p w14:paraId="79B8249C" w14:textId="77777777" w:rsidR="00EB70EF" w:rsidRPr="00916E5B" w:rsidRDefault="008B1443" w:rsidP="00EB70EF">
      <w:pPr>
        <w:pStyle w:val="ListParagraph"/>
        <w:ind w:left="-142"/>
        <w:jc w:val="both"/>
        <w:rPr>
          <w:rFonts w:ascii="Times New Roman" w:hAnsi="Times New Roman" w:cs="Times New Roman"/>
          <w:noProof/>
          <w:sz w:val="24"/>
          <w:szCs w:val="24"/>
        </w:rPr>
      </w:pPr>
      <w:r>
        <w:rPr>
          <w:noProof/>
        </w:rPr>
        <w:lastRenderedPageBreak/>
        <w:drawing>
          <wp:inline distT="0" distB="0" distL="0" distR="0" wp14:anchorId="0D10713B" wp14:editId="4AD4A266">
            <wp:extent cx="6105525" cy="2511192"/>
            <wp:effectExtent l="19050" t="19050" r="9525" b="2286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2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6105525" cy="2511192"/>
                    </a:xfrm>
                    <a:prstGeom prst="rect">
                      <a:avLst/>
                    </a:prstGeom>
                    <a:noFill/>
                    <a:ln>
                      <a:solidFill>
                        <a:schemeClr val="tx1"/>
                      </a:solidFill>
                    </a:ln>
                  </pic:spPr>
                </pic:pic>
              </a:graphicData>
            </a:graphic>
          </wp:inline>
        </w:drawing>
      </w:r>
    </w:p>
    <w:p w14:paraId="2861783F" w14:textId="77777777" w:rsidR="00EB70EF" w:rsidRPr="0002003C" w:rsidRDefault="005C0916" w:rsidP="00EB70EF">
      <w:pPr>
        <w:spacing w:after="0" w:line="240" w:lineRule="auto"/>
        <w:ind w:left="-142"/>
        <w:jc w:val="both"/>
        <w:rPr>
          <w:rFonts w:ascii="Times New Roman" w:eastAsia="Times New Roman" w:hAnsi="Times New Roman" w:cs="Times New Roman"/>
          <w:sz w:val="24"/>
          <w:szCs w:val="24"/>
        </w:rPr>
      </w:pPr>
      <w:r w:rsidRPr="0002003C">
        <w:rPr>
          <w:rFonts w:ascii="Times New Roman" w:hAnsi="Times New Roman" w:cs="Times New Roman"/>
          <w:b/>
          <w:bCs/>
          <w:color w:val="000000"/>
          <w:sz w:val="24"/>
          <w:szCs w:val="24"/>
        </w:rPr>
        <w:t xml:space="preserve">Fig. S4 </w:t>
      </w:r>
      <w:r w:rsidR="00FC2ABD" w:rsidRPr="00FC2ABD">
        <w:rPr>
          <w:rFonts w:ascii="Times New Roman" w:eastAsia="Times New Roman" w:hAnsi="Times New Roman" w:cs="Times New Roman"/>
          <w:sz w:val="24"/>
          <w:szCs w:val="24"/>
        </w:rPr>
        <w:t>Circos plot showing the Manhattan plot genome-wide association plot for identifying MTAs associated with (</w:t>
      </w:r>
      <w:r w:rsidR="00FC2ABD" w:rsidRPr="00295D4A">
        <w:rPr>
          <w:rFonts w:ascii="Times New Roman" w:eastAsia="Times New Roman" w:hAnsi="Times New Roman" w:cs="Times New Roman"/>
          <w:b/>
          <w:bCs/>
          <w:sz w:val="24"/>
          <w:szCs w:val="24"/>
        </w:rPr>
        <w:t>I</w:t>
      </w:r>
      <w:r w:rsidR="00FC2ABD" w:rsidRPr="00FC2ABD">
        <w:rPr>
          <w:rFonts w:ascii="Times New Roman" w:eastAsia="Times New Roman" w:hAnsi="Times New Roman" w:cs="Times New Roman"/>
          <w:sz w:val="24"/>
          <w:szCs w:val="24"/>
        </w:rPr>
        <w:t>) pod-shattering (AVRDC scale) in the left panel for E1 and E2 and pod-shattering (</w:t>
      </w:r>
      <w:r w:rsidR="008B1443">
        <w:rPr>
          <w:rFonts w:ascii="Times New Roman" w:eastAsia="Times New Roman" w:hAnsi="Times New Roman" w:cs="Times New Roman"/>
          <w:sz w:val="24"/>
          <w:szCs w:val="24"/>
        </w:rPr>
        <w:t>oven</w:t>
      </w:r>
      <w:r w:rsidR="00FC2ABD" w:rsidRPr="00FC2ABD">
        <w:rPr>
          <w:rFonts w:ascii="Times New Roman" w:eastAsia="Times New Roman" w:hAnsi="Times New Roman" w:cs="Times New Roman"/>
          <w:sz w:val="24"/>
          <w:szCs w:val="24"/>
        </w:rPr>
        <w:t xml:space="preserve">-based) in the right panel for E1 and E2. The analysis employs both the FarmCPU and BLINK models. The red dotted line in the plot represents the genome-wide significance threshold set at a –log10(p) </w:t>
      </w:r>
      <w:r w:rsidRPr="0002003C">
        <w:rPr>
          <w:rFonts w:ascii="Times New Roman" w:hAnsi="Times New Roman" w:cs="Times New Roman"/>
          <w:noProof/>
          <w:sz w:val="24"/>
          <w:szCs w:val="24"/>
        </w:rPr>
        <w:t xml:space="preserve">value </w:t>
      </w:r>
      <w:r w:rsidRPr="0002003C">
        <w:rPr>
          <w:rFonts w:ascii="Times New Roman" w:eastAsia="Times New Roman" w:hAnsi="Times New Roman" w:cs="Times New Roman"/>
          <w:sz w:val="24"/>
          <w:szCs w:val="24"/>
        </w:rPr>
        <w:t>≥ 5.67</w:t>
      </w:r>
      <w:r w:rsidRPr="0002003C">
        <w:rPr>
          <w:rFonts w:ascii="Times New Roman" w:hAnsi="Times New Roman" w:cs="Times New Roman"/>
          <w:color w:val="374151"/>
          <w:sz w:val="24"/>
          <w:szCs w:val="24"/>
          <w:shd w:val="clear" w:color="auto" w:fill="F7F7F8"/>
        </w:rPr>
        <w:t xml:space="preserve"> (</w:t>
      </w:r>
      <w:r w:rsidRPr="0002003C">
        <w:rPr>
          <w:rFonts w:ascii="Times New Roman" w:eastAsia="Times New Roman" w:hAnsi="Times New Roman" w:cs="Times New Roman"/>
          <w:sz w:val="24"/>
          <w:szCs w:val="24"/>
        </w:rPr>
        <w:t>Bonferroni correction</w:t>
      </w:r>
      <w:r w:rsidRPr="0002003C">
        <w:rPr>
          <w:rFonts w:ascii="Times New Roman" w:hAnsi="Times New Roman" w:cs="Times New Roman"/>
          <w:color w:val="374151"/>
          <w:sz w:val="24"/>
          <w:szCs w:val="24"/>
          <w:shd w:val="clear" w:color="auto" w:fill="F7F7F8"/>
        </w:rPr>
        <w:t xml:space="preserve"> </w:t>
      </w:r>
      <w:r w:rsidRPr="0002003C">
        <w:rPr>
          <w:rFonts w:ascii="Times New Roman" w:eastAsia="Times New Roman" w:hAnsi="Times New Roman" w:cs="Times New Roman"/>
          <w:sz w:val="24"/>
          <w:szCs w:val="24"/>
        </w:rPr>
        <w:t>set at 0.05 (5%)). The quantile‒quantile (Q‒Q) corresponds to the dataset depicted in the Manhattan plot.</w:t>
      </w:r>
    </w:p>
    <w:p w14:paraId="3E4EE13A" w14:textId="77777777" w:rsidR="00EB70EF" w:rsidRDefault="00EB70EF" w:rsidP="00DB666D">
      <w:pPr>
        <w:jc w:val="both"/>
        <w:rPr>
          <w:rFonts w:ascii="Times New Roman" w:hAnsi="Times New Roman" w:cs="Times New Roman"/>
          <w:bCs/>
          <w:color w:val="000000"/>
          <w:kern w:val="24"/>
          <w:sz w:val="24"/>
          <w:szCs w:val="24"/>
        </w:rPr>
      </w:pPr>
    </w:p>
    <w:sectPr w:rsidR="00EB70EF" w:rsidSect="009B4682">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F7EC9" w14:textId="77777777" w:rsidR="000B315C" w:rsidRDefault="000B315C">
      <w:pPr>
        <w:spacing w:after="0" w:line="240" w:lineRule="auto"/>
      </w:pPr>
      <w:r>
        <w:separator/>
      </w:r>
    </w:p>
  </w:endnote>
  <w:endnote w:type="continuationSeparator" w:id="0">
    <w:p w14:paraId="794EA721" w14:textId="77777777" w:rsidR="000B315C" w:rsidRDefault="000B31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rlito">
    <w:altName w:val="Segoe Print"/>
    <w:charset w:val="00"/>
    <w:family w:val="swiss"/>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28B02" w14:textId="77777777" w:rsidR="0087368E" w:rsidRDefault="008736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6525243"/>
      <w:docPartObj>
        <w:docPartGallery w:val="Page Numbers (Bottom of Page)"/>
        <w:docPartUnique/>
      </w:docPartObj>
    </w:sdtPr>
    <w:sdtEndPr>
      <w:rPr>
        <w:noProof/>
      </w:rPr>
    </w:sdtEndPr>
    <w:sdtContent>
      <w:p w14:paraId="586EF8E1" w14:textId="77777777" w:rsidR="0087368E" w:rsidRDefault="0087368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44EB2A5" w14:textId="77777777" w:rsidR="0087368E" w:rsidRDefault="0087368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4D182C" w14:textId="77777777" w:rsidR="0087368E" w:rsidRDefault="008736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DEAF30" w14:textId="77777777" w:rsidR="000B315C" w:rsidRDefault="000B315C">
      <w:pPr>
        <w:spacing w:after="0" w:line="240" w:lineRule="auto"/>
      </w:pPr>
      <w:r>
        <w:separator/>
      </w:r>
    </w:p>
  </w:footnote>
  <w:footnote w:type="continuationSeparator" w:id="0">
    <w:p w14:paraId="189937A9" w14:textId="77777777" w:rsidR="000B315C" w:rsidRDefault="000B31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5AC00" w14:textId="77777777" w:rsidR="0087368E" w:rsidRDefault="008736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9FB73" w14:textId="77777777" w:rsidR="0087368E" w:rsidRDefault="008736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E02DA" w14:textId="77777777" w:rsidR="0087368E" w:rsidRDefault="008736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729BEF6"/>
    <w:multiLevelType w:val="singleLevel"/>
    <w:tmpl w:val="9729BEF6"/>
    <w:lvl w:ilvl="0">
      <w:start w:val="4"/>
      <w:numFmt w:val="decimal"/>
      <w:suff w:val="space"/>
      <w:lvlText w:val="%1."/>
      <w:lvlJc w:val="left"/>
      <w:rPr>
        <w:rFonts w:hint="default"/>
        <w:sz w:val="24"/>
        <w:szCs w:val="24"/>
      </w:rPr>
    </w:lvl>
  </w:abstractNum>
  <w:abstractNum w:abstractNumId="1" w15:restartNumberingAfterBreak="0">
    <w:nsid w:val="D9B65F6B"/>
    <w:multiLevelType w:val="singleLevel"/>
    <w:tmpl w:val="D9B65F6B"/>
    <w:lvl w:ilvl="0">
      <w:start w:val="1"/>
      <w:numFmt w:val="decimal"/>
      <w:suff w:val="space"/>
      <w:lvlText w:val="%1."/>
      <w:lvlJc w:val="left"/>
    </w:lvl>
  </w:abstractNum>
  <w:abstractNum w:abstractNumId="2" w15:restartNumberingAfterBreak="0">
    <w:nsid w:val="DB26FED9"/>
    <w:multiLevelType w:val="singleLevel"/>
    <w:tmpl w:val="DB26FED9"/>
    <w:lvl w:ilvl="0">
      <w:start w:val="1"/>
      <w:numFmt w:val="decimal"/>
      <w:suff w:val="space"/>
      <w:lvlText w:val="%1."/>
      <w:lvlJc w:val="left"/>
    </w:lvl>
  </w:abstractNum>
  <w:abstractNum w:abstractNumId="3" w15:restartNumberingAfterBreak="0">
    <w:nsid w:val="005616C9"/>
    <w:multiLevelType w:val="hybridMultilevel"/>
    <w:tmpl w:val="8AD80E86"/>
    <w:lvl w:ilvl="0" w:tplc="64DEFB36">
      <w:start w:val="1"/>
      <w:numFmt w:val="decimal"/>
      <w:lvlText w:val="%1."/>
      <w:lvlJc w:val="left"/>
      <w:pPr>
        <w:ind w:left="720" w:hanging="360"/>
      </w:pPr>
    </w:lvl>
    <w:lvl w:ilvl="1" w:tplc="CE809192" w:tentative="1">
      <w:start w:val="1"/>
      <w:numFmt w:val="lowerLetter"/>
      <w:lvlText w:val="%2."/>
      <w:lvlJc w:val="left"/>
      <w:pPr>
        <w:ind w:left="1440" w:hanging="360"/>
      </w:pPr>
    </w:lvl>
    <w:lvl w:ilvl="2" w:tplc="3C0CFF38" w:tentative="1">
      <w:start w:val="1"/>
      <w:numFmt w:val="lowerRoman"/>
      <w:lvlText w:val="%3."/>
      <w:lvlJc w:val="right"/>
      <w:pPr>
        <w:ind w:left="2160" w:hanging="180"/>
      </w:pPr>
    </w:lvl>
    <w:lvl w:ilvl="3" w:tplc="8F2294F4" w:tentative="1">
      <w:start w:val="1"/>
      <w:numFmt w:val="decimal"/>
      <w:lvlText w:val="%4."/>
      <w:lvlJc w:val="left"/>
      <w:pPr>
        <w:ind w:left="2880" w:hanging="360"/>
      </w:pPr>
    </w:lvl>
    <w:lvl w:ilvl="4" w:tplc="B8F4F5D6" w:tentative="1">
      <w:start w:val="1"/>
      <w:numFmt w:val="lowerLetter"/>
      <w:lvlText w:val="%5."/>
      <w:lvlJc w:val="left"/>
      <w:pPr>
        <w:ind w:left="3600" w:hanging="360"/>
      </w:pPr>
    </w:lvl>
    <w:lvl w:ilvl="5" w:tplc="96CEF002" w:tentative="1">
      <w:start w:val="1"/>
      <w:numFmt w:val="lowerRoman"/>
      <w:lvlText w:val="%6."/>
      <w:lvlJc w:val="right"/>
      <w:pPr>
        <w:ind w:left="4320" w:hanging="180"/>
      </w:pPr>
    </w:lvl>
    <w:lvl w:ilvl="6" w:tplc="0DE2E2DA" w:tentative="1">
      <w:start w:val="1"/>
      <w:numFmt w:val="decimal"/>
      <w:lvlText w:val="%7."/>
      <w:lvlJc w:val="left"/>
      <w:pPr>
        <w:ind w:left="5040" w:hanging="360"/>
      </w:pPr>
    </w:lvl>
    <w:lvl w:ilvl="7" w:tplc="838AB9C0" w:tentative="1">
      <w:start w:val="1"/>
      <w:numFmt w:val="lowerLetter"/>
      <w:lvlText w:val="%8."/>
      <w:lvlJc w:val="left"/>
      <w:pPr>
        <w:ind w:left="5760" w:hanging="360"/>
      </w:pPr>
    </w:lvl>
    <w:lvl w:ilvl="8" w:tplc="8CE46D18" w:tentative="1">
      <w:start w:val="1"/>
      <w:numFmt w:val="lowerRoman"/>
      <w:lvlText w:val="%9."/>
      <w:lvlJc w:val="right"/>
      <w:pPr>
        <w:ind w:left="6480" w:hanging="180"/>
      </w:pPr>
    </w:lvl>
  </w:abstractNum>
  <w:abstractNum w:abstractNumId="4" w15:restartNumberingAfterBreak="0">
    <w:nsid w:val="030A3A99"/>
    <w:multiLevelType w:val="hybridMultilevel"/>
    <w:tmpl w:val="E9C4AB1C"/>
    <w:lvl w:ilvl="0" w:tplc="47BC530E">
      <w:start w:val="1"/>
      <w:numFmt w:val="decimal"/>
      <w:lvlText w:val="%1."/>
      <w:lvlJc w:val="left"/>
      <w:pPr>
        <w:ind w:left="720" w:hanging="360"/>
      </w:pPr>
      <w:rPr>
        <w:rFonts w:hint="default"/>
      </w:rPr>
    </w:lvl>
    <w:lvl w:ilvl="1" w:tplc="C9B242D0" w:tentative="1">
      <w:start w:val="1"/>
      <w:numFmt w:val="lowerLetter"/>
      <w:lvlText w:val="%2."/>
      <w:lvlJc w:val="left"/>
      <w:pPr>
        <w:ind w:left="1440" w:hanging="360"/>
      </w:pPr>
    </w:lvl>
    <w:lvl w:ilvl="2" w:tplc="972CF7B2" w:tentative="1">
      <w:start w:val="1"/>
      <w:numFmt w:val="lowerRoman"/>
      <w:lvlText w:val="%3."/>
      <w:lvlJc w:val="right"/>
      <w:pPr>
        <w:ind w:left="2160" w:hanging="180"/>
      </w:pPr>
    </w:lvl>
    <w:lvl w:ilvl="3" w:tplc="EF52A476" w:tentative="1">
      <w:start w:val="1"/>
      <w:numFmt w:val="decimal"/>
      <w:lvlText w:val="%4."/>
      <w:lvlJc w:val="left"/>
      <w:pPr>
        <w:ind w:left="2880" w:hanging="360"/>
      </w:pPr>
    </w:lvl>
    <w:lvl w:ilvl="4" w:tplc="C4BE1FD8" w:tentative="1">
      <w:start w:val="1"/>
      <w:numFmt w:val="lowerLetter"/>
      <w:lvlText w:val="%5."/>
      <w:lvlJc w:val="left"/>
      <w:pPr>
        <w:ind w:left="3600" w:hanging="360"/>
      </w:pPr>
    </w:lvl>
    <w:lvl w:ilvl="5" w:tplc="EFFC5320" w:tentative="1">
      <w:start w:val="1"/>
      <w:numFmt w:val="lowerRoman"/>
      <w:lvlText w:val="%6."/>
      <w:lvlJc w:val="right"/>
      <w:pPr>
        <w:ind w:left="4320" w:hanging="180"/>
      </w:pPr>
    </w:lvl>
    <w:lvl w:ilvl="6" w:tplc="7D4A04DC" w:tentative="1">
      <w:start w:val="1"/>
      <w:numFmt w:val="decimal"/>
      <w:lvlText w:val="%7."/>
      <w:lvlJc w:val="left"/>
      <w:pPr>
        <w:ind w:left="5040" w:hanging="360"/>
      </w:pPr>
    </w:lvl>
    <w:lvl w:ilvl="7" w:tplc="D50CD206" w:tentative="1">
      <w:start w:val="1"/>
      <w:numFmt w:val="lowerLetter"/>
      <w:lvlText w:val="%8."/>
      <w:lvlJc w:val="left"/>
      <w:pPr>
        <w:ind w:left="5760" w:hanging="360"/>
      </w:pPr>
    </w:lvl>
    <w:lvl w:ilvl="8" w:tplc="D1B2394C" w:tentative="1">
      <w:start w:val="1"/>
      <w:numFmt w:val="lowerRoman"/>
      <w:lvlText w:val="%9."/>
      <w:lvlJc w:val="right"/>
      <w:pPr>
        <w:ind w:left="6480" w:hanging="180"/>
      </w:pPr>
    </w:lvl>
  </w:abstractNum>
  <w:abstractNum w:abstractNumId="5" w15:restartNumberingAfterBreak="0">
    <w:nsid w:val="03C965E4"/>
    <w:multiLevelType w:val="multilevel"/>
    <w:tmpl w:val="3C2AA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45335B"/>
    <w:multiLevelType w:val="multilevel"/>
    <w:tmpl w:val="EC226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0A719D"/>
    <w:multiLevelType w:val="multilevel"/>
    <w:tmpl w:val="EC761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394E93"/>
    <w:multiLevelType w:val="hybridMultilevel"/>
    <w:tmpl w:val="6B76F24A"/>
    <w:lvl w:ilvl="0" w:tplc="DAB6F596">
      <w:start w:val="1"/>
      <w:numFmt w:val="bullet"/>
      <w:lvlText w:val=""/>
      <w:lvlJc w:val="left"/>
      <w:pPr>
        <w:ind w:left="720" w:hanging="360"/>
      </w:pPr>
      <w:rPr>
        <w:rFonts w:ascii="Symbol" w:hAnsi="Symbol" w:hint="default"/>
      </w:rPr>
    </w:lvl>
    <w:lvl w:ilvl="1" w:tplc="FE5A65AA" w:tentative="1">
      <w:start w:val="1"/>
      <w:numFmt w:val="bullet"/>
      <w:lvlText w:val="o"/>
      <w:lvlJc w:val="left"/>
      <w:pPr>
        <w:ind w:left="1440" w:hanging="360"/>
      </w:pPr>
      <w:rPr>
        <w:rFonts w:ascii="Courier New" w:hAnsi="Courier New" w:cs="Courier New" w:hint="default"/>
      </w:rPr>
    </w:lvl>
    <w:lvl w:ilvl="2" w:tplc="C186C35E" w:tentative="1">
      <w:start w:val="1"/>
      <w:numFmt w:val="bullet"/>
      <w:lvlText w:val=""/>
      <w:lvlJc w:val="left"/>
      <w:pPr>
        <w:ind w:left="2160" w:hanging="360"/>
      </w:pPr>
      <w:rPr>
        <w:rFonts w:ascii="Wingdings" w:hAnsi="Wingdings" w:hint="default"/>
      </w:rPr>
    </w:lvl>
    <w:lvl w:ilvl="3" w:tplc="6194ED02" w:tentative="1">
      <w:start w:val="1"/>
      <w:numFmt w:val="bullet"/>
      <w:lvlText w:val=""/>
      <w:lvlJc w:val="left"/>
      <w:pPr>
        <w:ind w:left="2880" w:hanging="360"/>
      </w:pPr>
      <w:rPr>
        <w:rFonts w:ascii="Symbol" w:hAnsi="Symbol" w:hint="default"/>
      </w:rPr>
    </w:lvl>
    <w:lvl w:ilvl="4" w:tplc="1B20FCBE" w:tentative="1">
      <w:start w:val="1"/>
      <w:numFmt w:val="bullet"/>
      <w:lvlText w:val="o"/>
      <w:lvlJc w:val="left"/>
      <w:pPr>
        <w:ind w:left="3600" w:hanging="360"/>
      </w:pPr>
      <w:rPr>
        <w:rFonts w:ascii="Courier New" w:hAnsi="Courier New" w:cs="Courier New" w:hint="default"/>
      </w:rPr>
    </w:lvl>
    <w:lvl w:ilvl="5" w:tplc="C1C664C6" w:tentative="1">
      <w:start w:val="1"/>
      <w:numFmt w:val="bullet"/>
      <w:lvlText w:val=""/>
      <w:lvlJc w:val="left"/>
      <w:pPr>
        <w:ind w:left="4320" w:hanging="360"/>
      </w:pPr>
      <w:rPr>
        <w:rFonts w:ascii="Wingdings" w:hAnsi="Wingdings" w:hint="default"/>
      </w:rPr>
    </w:lvl>
    <w:lvl w:ilvl="6" w:tplc="564877D2" w:tentative="1">
      <w:start w:val="1"/>
      <w:numFmt w:val="bullet"/>
      <w:lvlText w:val=""/>
      <w:lvlJc w:val="left"/>
      <w:pPr>
        <w:ind w:left="5040" w:hanging="360"/>
      </w:pPr>
      <w:rPr>
        <w:rFonts w:ascii="Symbol" w:hAnsi="Symbol" w:hint="default"/>
      </w:rPr>
    </w:lvl>
    <w:lvl w:ilvl="7" w:tplc="126060EA" w:tentative="1">
      <w:start w:val="1"/>
      <w:numFmt w:val="bullet"/>
      <w:lvlText w:val="o"/>
      <w:lvlJc w:val="left"/>
      <w:pPr>
        <w:ind w:left="5760" w:hanging="360"/>
      </w:pPr>
      <w:rPr>
        <w:rFonts w:ascii="Courier New" w:hAnsi="Courier New" w:cs="Courier New" w:hint="default"/>
      </w:rPr>
    </w:lvl>
    <w:lvl w:ilvl="8" w:tplc="4F3C3518" w:tentative="1">
      <w:start w:val="1"/>
      <w:numFmt w:val="bullet"/>
      <w:lvlText w:val=""/>
      <w:lvlJc w:val="left"/>
      <w:pPr>
        <w:ind w:left="6480" w:hanging="360"/>
      </w:pPr>
      <w:rPr>
        <w:rFonts w:ascii="Wingdings" w:hAnsi="Wingdings" w:hint="default"/>
      </w:rPr>
    </w:lvl>
  </w:abstractNum>
  <w:abstractNum w:abstractNumId="9" w15:restartNumberingAfterBreak="0">
    <w:nsid w:val="12712071"/>
    <w:multiLevelType w:val="hybridMultilevel"/>
    <w:tmpl w:val="1EB2199A"/>
    <w:lvl w:ilvl="0" w:tplc="9EFEEAD2">
      <w:numFmt w:val="bullet"/>
      <w:lvlText w:val=""/>
      <w:lvlJc w:val="left"/>
      <w:pPr>
        <w:ind w:left="720" w:hanging="360"/>
      </w:pPr>
      <w:rPr>
        <w:rFonts w:ascii="Symbol" w:eastAsia="Times New Roman" w:hAnsi="Symbol" w:cs="Times New Roman" w:hint="default"/>
      </w:rPr>
    </w:lvl>
    <w:lvl w:ilvl="1" w:tplc="08A4FE28" w:tentative="1">
      <w:start w:val="1"/>
      <w:numFmt w:val="bullet"/>
      <w:lvlText w:val="o"/>
      <w:lvlJc w:val="left"/>
      <w:pPr>
        <w:ind w:left="1440" w:hanging="360"/>
      </w:pPr>
      <w:rPr>
        <w:rFonts w:ascii="Courier New" w:hAnsi="Courier New" w:cs="Courier New" w:hint="default"/>
      </w:rPr>
    </w:lvl>
    <w:lvl w:ilvl="2" w:tplc="0E425842" w:tentative="1">
      <w:start w:val="1"/>
      <w:numFmt w:val="bullet"/>
      <w:lvlText w:val=""/>
      <w:lvlJc w:val="left"/>
      <w:pPr>
        <w:ind w:left="2160" w:hanging="360"/>
      </w:pPr>
      <w:rPr>
        <w:rFonts w:ascii="Wingdings" w:hAnsi="Wingdings" w:hint="default"/>
      </w:rPr>
    </w:lvl>
    <w:lvl w:ilvl="3" w:tplc="5932406E" w:tentative="1">
      <w:start w:val="1"/>
      <w:numFmt w:val="bullet"/>
      <w:lvlText w:val=""/>
      <w:lvlJc w:val="left"/>
      <w:pPr>
        <w:ind w:left="2880" w:hanging="360"/>
      </w:pPr>
      <w:rPr>
        <w:rFonts w:ascii="Symbol" w:hAnsi="Symbol" w:hint="default"/>
      </w:rPr>
    </w:lvl>
    <w:lvl w:ilvl="4" w:tplc="2C7CDDD4" w:tentative="1">
      <w:start w:val="1"/>
      <w:numFmt w:val="bullet"/>
      <w:lvlText w:val="o"/>
      <w:lvlJc w:val="left"/>
      <w:pPr>
        <w:ind w:left="3600" w:hanging="360"/>
      </w:pPr>
      <w:rPr>
        <w:rFonts w:ascii="Courier New" w:hAnsi="Courier New" w:cs="Courier New" w:hint="default"/>
      </w:rPr>
    </w:lvl>
    <w:lvl w:ilvl="5" w:tplc="8FA670EA" w:tentative="1">
      <w:start w:val="1"/>
      <w:numFmt w:val="bullet"/>
      <w:lvlText w:val=""/>
      <w:lvlJc w:val="left"/>
      <w:pPr>
        <w:ind w:left="4320" w:hanging="360"/>
      </w:pPr>
      <w:rPr>
        <w:rFonts w:ascii="Wingdings" w:hAnsi="Wingdings" w:hint="default"/>
      </w:rPr>
    </w:lvl>
    <w:lvl w:ilvl="6" w:tplc="42D8C40C" w:tentative="1">
      <w:start w:val="1"/>
      <w:numFmt w:val="bullet"/>
      <w:lvlText w:val=""/>
      <w:lvlJc w:val="left"/>
      <w:pPr>
        <w:ind w:left="5040" w:hanging="360"/>
      </w:pPr>
      <w:rPr>
        <w:rFonts w:ascii="Symbol" w:hAnsi="Symbol" w:hint="default"/>
      </w:rPr>
    </w:lvl>
    <w:lvl w:ilvl="7" w:tplc="BBA67302" w:tentative="1">
      <w:start w:val="1"/>
      <w:numFmt w:val="bullet"/>
      <w:lvlText w:val="o"/>
      <w:lvlJc w:val="left"/>
      <w:pPr>
        <w:ind w:left="5760" w:hanging="360"/>
      </w:pPr>
      <w:rPr>
        <w:rFonts w:ascii="Courier New" w:hAnsi="Courier New" w:cs="Courier New" w:hint="default"/>
      </w:rPr>
    </w:lvl>
    <w:lvl w:ilvl="8" w:tplc="AA089B0A" w:tentative="1">
      <w:start w:val="1"/>
      <w:numFmt w:val="bullet"/>
      <w:lvlText w:val=""/>
      <w:lvlJc w:val="left"/>
      <w:pPr>
        <w:ind w:left="6480" w:hanging="360"/>
      </w:pPr>
      <w:rPr>
        <w:rFonts w:ascii="Wingdings" w:hAnsi="Wingdings" w:hint="default"/>
      </w:rPr>
    </w:lvl>
  </w:abstractNum>
  <w:abstractNum w:abstractNumId="10" w15:restartNumberingAfterBreak="0">
    <w:nsid w:val="142B6637"/>
    <w:multiLevelType w:val="hybridMultilevel"/>
    <w:tmpl w:val="CEDA2D42"/>
    <w:lvl w:ilvl="0" w:tplc="BE6E3C82">
      <w:start w:val="1"/>
      <w:numFmt w:val="decimal"/>
      <w:lvlText w:val="%1."/>
      <w:lvlJc w:val="left"/>
      <w:pPr>
        <w:ind w:left="720" w:hanging="360"/>
      </w:pPr>
      <w:rPr>
        <w:rFonts w:hint="default"/>
      </w:rPr>
    </w:lvl>
    <w:lvl w:ilvl="1" w:tplc="90B4AFB2" w:tentative="1">
      <w:start w:val="1"/>
      <w:numFmt w:val="lowerLetter"/>
      <w:lvlText w:val="%2."/>
      <w:lvlJc w:val="left"/>
      <w:pPr>
        <w:ind w:left="1440" w:hanging="360"/>
      </w:pPr>
    </w:lvl>
    <w:lvl w:ilvl="2" w:tplc="BD7E3C3E" w:tentative="1">
      <w:start w:val="1"/>
      <w:numFmt w:val="lowerRoman"/>
      <w:lvlText w:val="%3."/>
      <w:lvlJc w:val="right"/>
      <w:pPr>
        <w:ind w:left="2160" w:hanging="180"/>
      </w:pPr>
    </w:lvl>
    <w:lvl w:ilvl="3" w:tplc="A0FA2E9A" w:tentative="1">
      <w:start w:val="1"/>
      <w:numFmt w:val="decimal"/>
      <w:lvlText w:val="%4."/>
      <w:lvlJc w:val="left"/>
      <w:pPr>
        <w:ind w:left="2880" w:hanging="360"/>
      </w:pPr>
    </w:lvl>
    <w:lvl w:ilvl="4" w:tplc="10DAE080" w:tentative="1">
      <w:start w:val="1"/>
      <w:numFmt w:val="lowerLetter"/>
      <w:lvlText w:val="%5."/>
      <w:lvlJc w:val="left"/>
      <w:pPr>
        <w:ind w:left="3600" w:hanging="360"/>
      </w:pPr>
    </w:lvl>
    <w:lvl w:ilvl="5" w:tplc="15EC608C" w:tentative="1">
      <w:start w:val="1"/>
      <w:numFmt w:val="lowerRoman"/>
      <w:lvlText w:val="%6."/>
      <w:lvlJc w:val="right"/>
      <w:pPr>
        <w:ind w:left="4320" w:hanging="180"/>
      </w:pPr>
    </w:lvl>
    <w:lvl w:ilvl="6" w:tplc="40789FBE" w:tentative="1">
      <w:start w:val="1"/>
      <w:numFmt w:val="decimal"/>
      <w:lvlText w:val="%7."/>
      <w:lvlJc w:val="left"/>
      <w:pPr>
        <w:ind w:left="5040" w:hanging="360"/>
      </w:pPr>
    </w:lvl>
    <w:lvl w:ilvl="7" w:tplc="DF66C64C" w:tentative="1">
      <w:start w:val="1"/>
      <w:numFmt w:val="lowerLetter"/>
      <w:lvlText w:val="%8."/>
      <w:lvlJc w:val="left"/>
      <w:pPr>
        <w:ind w:left="5760" w:hanging="360"/>
      </w:pPr>
    </w:lvl>
    <w:lvl w:ilvl="8" w:tplc="D13C86C6" w:tentative="1">
      <w:start w:val="1"/>
      <w:numFmt w:val="lowerRoman"/>
      <w:lvlText w:val="%9."/>
      <w:lvlJc w:val="right"/>
      <w:pPr>
        <w:ind w:left="6480" w:hanging="180"/>
      </w:pPr>
    </w:lvl>
  </w:abstractNum>
  <w:abstractNum w:abstractNumId="11" w15:restartNumberingAfterBreak="0">
    <w:nsid w:val="19CD77EA"/>
    <w:multiLevelType w:val="multilevel"/>
    <w:tmpl w:val="1C623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E0605A"/>
    <w:multiLevelType w:val="hybridMultilevel"/>
    <w:tmpl w:val="718685D2"/>
    <w:lvl w:ilvl="0" w:tplc="D9947B34">
      <w:start w:val="1"/>
      <w:numFmt w:val="bullet"/>
      <w:lvlText w:val=""/>
      <w:lvlJc w:val="left"/>
      <w:pPr>
        <w:ind w:left="720" w:hanging="360"/>
      </w:pPr>
      <w:rPr>
        <w:rFonts w:ascii="Symbol" w:hAnsi="Symbol" w:hint="default"/>
      </w:rPr>
    </w:lvl>
    <w:lvl w:ilvl="1" w:tplc="F9C20C66">
      <w:start w:val="1"/>
      <w:numFmt w:val="bullet"/>
      <w:lvlText w:val="o"/>
      <w:lvlJc w:val="left"/>
      <w:pPr>
        <w:ind w:left="1440" w:hanging="360"/>
      </w:pPr>
      <w:rPr>
        <w:rFonts w:ascii="Courier New" w:hAnsi="Courier New" w:cs="Courier New" w:hint="default"/>
      </w:rPr>
    </w:lvl>
    <w:lvl w:ilvl="2" w:tplc="274041FE">
      <w:start w:val="1"/>
      <w:numFmt w:val="bullet"/>
      <w:lvlText w:val=""/>
      <w:lvlJc w:val="left"/>
      <w:pPr>
        <w:ind w:left="2160" w:hanging="360"/>
      </w:pPr>
      <w:rPr>
        <w:rFonts w:ascii="Wingdings" w:hAnsi="Wingdings" w:hint="default"/>
      </w:rPr>
    </w:lvl>
    <w:lvl w:ilvl="3" w:tplc="F776F0D4">
      <w:start w:val="1"/>
      <w:numFmt w:val="bullet"/>
      <w:lvlText w:val=""/>
      <w:lvlJc w:val="left"/>
      <w:pPr>
        <w:ind w:left="2880" w:hanging="360"/>
      </w:pPr>
      <w:rPr>
        <w:rFonts w:ascii="Symbol" w:hAnsi="Symbol" w:hint="default"/>
      </w:rPr>
    </w:lvl>
    <w:lvl w:ilvl="4" w:tplc="9EF21FBE">
      <w:start w:val="1"/>
      <w:numFmt w:val="bullet"/>
      <w:lvlText w:val="o"/>
      <w:lvlJc w:val="left"/>
      <w:pPr>
        <w:ind w:left="3600" w:hanging="360"/>
      </w:pPr>
      <w:rPr>
        <w:rFonts w:ascii="Courier New" w:hAnsi="Courier New" w:cs="Courier New" w:hint="default"/>
      </w:rPr>
    </w:lvl>
    <w:lvl w:ilvl="5" w:tplc="1E1675E8">
      <w:start w:val="1"/>
      <w:numFmt w:val="bullet"/>
      <w:lvlText w:val=""/>
      <w:lvlJc w:val="left"/>
      <w:pPr>
        <w:ind w:left="4320" w:hanging="360"/>
      </w:pPr>
      <w:rPr>
        <w:rFonts w:ascii="Wingdings" w:hAnsi="Wingdings" w:hint="default"/>
      </w:rPr>
    </w:lvl>
    <w:lvl w:ilvl="6" w:tplc="DB62CC6C">
      <w:start w:val="1"/>
      <w:numFmt w:val="bullet"/>
      <w:lvlText w:val=""/>
      <w:lvlJc w:val="left"/>
      <w:pPr>
        <w:ind w:left="5040" w:hanging="360"/>
      </w:pPr>
      <w:rPr>
        <w:rFonts w:ascii="Symbol" w:hAnsi="Symbol" w:hint="default"/>
      </w:rPr>
    </w:lvl>
    <w:lvl w:ilvl="7" w:tplc="F32EDAC4">
      <w:start w:val="1"/>
      <w:numFmt w:val="bullet"/>
      <w:lvlText w:val="o"/>
      <w:lvlJc w:val="left"/>
      <w:pPr>
        <w:ind w:left="5760" w:hanging="360"/>
      </w:pPr>
      <w:rPr>
        <w:rFonts w:ascii="Courier New" w:hAnsi="Courier New" w:cs="Courier New" w:hint="default"/>
      </w:rPr>
    </w:lvl>
    <w:lvl w:ilvl="8" w:tplc="227431CC">
      <w:start w:val="1"/>
      <w:numFmt w:val="bullet"/>
      <w:lvlText w:val=""/>
      <w:lvlJc w:val="left"/>
      <w:pPr>
        <w:ind w:left="6480" w:hanging="360"/>
      </w:pPr>
      <w:rPr>
        <w:rFonts w:ascii="Wingdings" w:hAnsi="Wingdings" w:hint="default"/>
      </w:rPr>
    </w:lvl>
  </w:abstractNum>
  <w:abstractNum w:abstractNumId="13" w15:restartNumberingAfterBreak="0">
    <w:nsid w:val="21587369"/>
    <w:multiLevelType w:val="multilevel"/>
    <w:tmpl w:val="C3146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9F55B1F"/>
    <w:multiLevelType w:val="hybridMultilevel"/>
    <w:tmpl w:val="E638B164"/>
    <w:lvl w:ilvl="0" w:tplc="06D68946">
      <w:start w:val="1"/>
      <w:numFmt w:val="decimal"/>
      <w:lvlText w:val="%1."/>
      <w:lvlJc w:val="left"/>
      <w:pPr>
        <w:ind w:left="720" w:hanging="360"/>
      </w:pPr>
      <w:rPr>
        <w:rFonts w:hint="default"/>
      </w:rPr>
    </w:lvl>
    <w:lvl w:ilvl="1" w:tplc="B748C9F4" w:tentative="1">
      <w:start w:val="1"/>
      <w:numFmt w:val="lowerLetter"/>
      <w:lvlText w:val="%2."/>
      <w:lvlJc w:val="left"/>
      <w:pPr>
        <w:ind w:left="1440" w:hanging="360"/>
      </w:pPr>
    </w:lvl>
    <w:lvl w:ilvl="2" w:tplc="23D2A330" w:tentative="1">
      <w:start w:val="1"/>
      <w:numFmt w:val="lowerRoman"/>
      <w:lvlText w:val="%3."/>
      <w:lvlJc w:val="right"/>
      <w:pPr>
        <w:ind w:left="2160" w:hanging="180"/>
      </w:pPr>
    </w:lvl>
    <w:lvl w:ilvl="3" w:tplc="19669BE8" w:tentative="1">
      <w:start w:val="1"/>
      <w:numFmt w:val="decimal"/>
      <w:lvlText w:val="%4."/>
      <w:lvlJc w:val="left"/>
      <w:pPr>
        <w:ind w:left="2880" w:hanging="360"/>
      </w:pPr>
    </w:lvl>
    <w:lvl w:ilvl="4" w:tplc="B78C2494" w:tentative="1">
      <w:start w:val="1"/>
      <w:numFmt w:val="lowerLetter"/>
      <w:lvlText w:val="%5."/>
      <w:lvlJc w:val="left"/>
      <w:pPr>
        <w:ind w:left="3600" w:hanging="360"/>
      </w:pPr>
    </w:lvl>
    <w:lvl w:ilvl="5" w:tplc="95C0508C" w:tentative="1">
      <w:start w:val="1"/>
      <w:numFmt w:val="lowerRoman"/>
      <w:lvlText w:val="%6."/>
      <w:lvlJc w:val="right"/>
      <w:pPr>
        <w:ind w:left="4320" w:hanging="180"/>
      </w:pPr>
    </w:lvl>
    <w:lvl w:ilvl="6" w:tplc="8F0AFAD8" w:tentative="1">
      <w:start w:val="1"/>
      <w:numFmt w:val="decimal"/>
      <w:lvlText w:val="%7."/>
      <w:lvlJc w:val="left"/>
      <w:pPr>
        <w:ind w:left="5040" w:hanging="360"/>
      </w:pPr>
    </w:lvl>
    <w:lvl w:ilvl="7" w:tplc="D3641908" w:tentative="1">
      <w:start w:val="1"/>
      <w:numFmt w:val="lowerLetter"/>
      <w:lvlText w:val="%8."/>
      <w:lvlJc w:val="left"/>
      <w:pPr>
        <w:ind w:left="5760" w:hanging="360"/>
      </w:pPr>
    </w:lvl>
    <w:lvl w:ilvl="8" w:tplc="BAE212CC" w:tentative="1">
      <w:start w:val="1"/>
      <w:numFmt w:val="lowerRoman"/>
      <w:lvlText w:val="%9."/>
      <w:lvlJc w:val="right"/>
      <w:pPr>
        <w:ind w:left="6480" w:hanging="180"/>
      </w:pPr>
    </w:lvl>
  </w:abstractNum>
  <w:abstractNum w:abstractNumId="15" w15:restartNumberingAfterBreak="0">
    <w:nsid w:val="2B910A51"/>
    <w:multiLevelType w:val="multilevel"/>
    <w:tmpl w:val="D0840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D40A85"/>
    <w:multiLevelType w:val="hybridMultilevel"/>
    <w:tmpl w:val="743E1266"/>
    <w:lvl w:ilvl="0" w:tplc="97481F84">
      <w:start w:val="1"/>
      <w:numFmt w:val="upperLetter"/>
      <w:lvlText w:val="%1."/>
      <w:lvlJc w:val="left"/>
      <w:pPr>
        <w:ind w:left="720" w:hanging="360"/>
      </w:pPr>
      <w:rPr>
        <w:rFonts w:hint="default"/>
        <w:b/>
      </w:rPr>
    </w:lvl>
    <w:lvl w:ilvl="1" w:tplc="8012B920" w:tentative="1">
      <w:start w:val="1"/>
      <w:numFmt w:val="lowerLetter"/>
      <w:lvlText w:val="%2."/>
      <w:lvlJc w:val="left"/>
      <w:pPr>
        <w:ind w:left="1440" w:hanging="360"/>
      </w:pPr>
    </w:lvl>
    <w:lvl w:ilvl="2" w:tplc="7D9C6E34" w:tentative="1">
      <w:start w:val="1"/>
      <w:numFmt w:val="lowerRoman"/>
      <w:lvlText w:val="%3."/>
      <w:lvlJc w:val="right"/>
      <w:pPr>
        <w:ind w:left="2160" w:hanging="180"/>
      </w:pPr>
    </w:lvl>
    <w:lvl w:ilvl="3" w:tplc="3DD0AD40" w:tentative="1">
      <w:start w:val="1"/>
      <w:numFmt w:val="decimal"/>
      <w:lvlText w:val="%4."/>
      <w:lvlJc w:val="left"/>
      <w:pPr>
        <w:ind w:left="2880" w:hanging="360"/>
      </w:pPr>
    </w:lvl>
    <w:lvl w:ilvl="4" w:tplc="016E455A" w:tentative="1">
      <w:start w:val="1"/>
      <w:numFmt w:val="lowerLetter"/>
      <w:lvlText w:val="%5."/>
      <w:lvlJc w:val="left"/>
      <w:pPr>
        <w:ind w:left="3600" w:hanging="360"/>
      </w:pPr>
    </w:lvl>
    <w:lvl w:ilvl="5" w:tplc="0F9AFD90" w:tentative="1">
      <w:start w:val="1"/>
      <w:numFmt w:val="lowerRoman"/>
      <w:lvlText w:val="%6."/>
      <w:lvlJc w:val="right"/>
      <w:pPr>
        <w:ind w:left="4320" w:hanging="180"/>
      </w:pPr>
    </w:lvl>
    <w:lvl w:ilvl="6" w:tplc="432A28B4" w:tentative="1">
      <w:start w:val="1"/>
      <w:numFmt w:val="decimal"/>
      <w:lvlText w:val="%7."/>
      <w:lvlJc w:val="left"/>
      <w:pPr>
        <w:ind w:left="5040" w:hanging="360"/>
      </w:pPr>
    </w:lvl>
    <w:lvl w:ilvl="7" w:tplc="CEDA26A6" w:tentative="1">
      <w:start w:val="1"/>
      <w:numFmt w:val="lowerLetter"/>
      <w:lvlText w:val="%8."/>
      <w:lvlJc w:val="left"/>
      <w:pPr>
        <w:ind w:left="5760" w:hanging="360"/>
      </w:pPr>
    </w:lvl>
    <w:lvl w:ilvl="8" w:tplc="0B4CB59C" w:tentative="1">
      <w:start w:val="1"/>
      <w:numFmt w:val="lowerRoman"/>
      <w:lvlText w:val="%9."/>
      <w:lvlJc w:val="right"/>
      <w:pPr>
        <w:ind w:left="6480" w:hanging="180"/>
      </w:pPr>
    </w:lvl>
  </w:abstractNum>
  <w:abstractNum w:abstractNumId="17" w15:restartNumberingAfterBreak="0">
    <w:nsid w:val="2F89667D"/>
    <w:multiLevelType w:val="multilevel"/>
    <w:tmpl w:val="6A9ECCA2"/>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0045431"/>
    <w:multiLevelType w:val="hybridMultilevel"/>
    <w:tmpl w:val="D1289EBC"/>
    <w:lvl w:ilvl="0" w:tplc="9C4E0356">
      <w:start w:val="1"/>
      <w:numFmt w:val="decimal"/>
      <w:lvlText w:val="%1."/>
      <w:lvlJc w:val="left"/>
      <w:pPr>
        <w:ind w:left="720" w:hanging="360"/>
      </w:pPr>
      <w:rPr>
        <w:b w:val="0"/>
        <w:bCs w:val="0"/>
      </w:rPr>
    </w:lvl>
    <w:lvl w:ilvl="1" w:tplc="3A842534" w:tentative="1">
      <w:start w:val="1"/>
      <w:numFmt w:val="lowerLetter"/>
      <w:lvlText w:val="%2."/>
      <w:lvlJc w:val="left"/>
      <w:pPr>
        <w:ind w:left="1440" w:hanging="360"/>
      </w:pPr>
    </w:lvl>
    <w:lvl w:ilvl="2" w:tplc="ACC4668C" w:tentative="1">
      <w:start w:val="1"/>
      <w:numFmt w:val="lowerRoman"/>
      <w:lvlText w:val="%3."/>
      <w:lvlJc w:val="right"/>
      <w:pPr>
        <w:ind w:left="2160" w:hanging="180"/>
      </w:pPr>
    </w:lvl>
    <w:lvl w:ilvl="3" w:tplc="A1582B2A" w:tentative="1">
      <w:start w:val="1"/>
      <w:numFmt w:val="decimal"/>
      <w:lvlText w:val="%4."/>
      <w:lvlJc w:val="left"/>
      <w:pPr>
        <w:ind w:left="2880" w:hanging="360"/>
      </w:pPr>
    </w:lvl>
    <w:lvl w:ilvl="4" w:tplc="492C9322" w:tentative="1">
      <w:start w:val="1"/>
      <w:numFmt w:val="lowerLetter"/>
      <w:lvlText w:val="%5."/>
      <w:lvlJc w:val="left"/>
      <w:pPr>
        <w:ind w:left="3600" w:hanging="360"/>
      </w:pPr>
    </w:lvl>
    <w:lvl w:ilvl="5" w:tplc="1AE8B8C8" w:tentative="1">
      <w:start w:val="1"/>
      <w:numFmt w:val="lowerRoman"/>
      <w:lvlText w:val="%6."/>
      <w:lvlJc w:val="right"/>
      <w:pPr>
        <w:ind w:left="4320" w:hanging="180"/>
      </w:pPr>
    </w:lvl>
    <w:lvl w:ilvl="6" w:tplc="82F46EE2" w:tentative="1">
      <w:start w:val="1"/>
      <w:numFmt w:val="decimal"/>
      <w:lvlText w:val="%7."/>
      <w:lvlJc w:val="left"/>
      <w:pPr>
        <w:ind w:left="5040" w:hanging="360"/>
      </w:pPr>
    </w:lvl>
    <w:lvl w:ilvl="7" w:tplc="6924219E" w:tentative="1">
      <w:start w:val="1"/>
      <w:numFmt w:val="lowerLetter"/>
      <w:lvlText w:val="%8."/>
      <w:lvlJc w:val="left"/>
      <w:pPr>
        <w:ind w:left="5760" w:hanging="360"/>
      </w:pPr>
    </w:lvl>
    <w:lvl w:ilvl="8" w:tplc="36DE4D06" w:tentative="1">
      <w:start w:val="1"/>
      <w:numFmt w:val="lowerRoman"/>
      <w:lvlText w:val="%9."/>
      <w:lvlJc w:val="right"/>
      <w:pPr>
        <w:ind w:left="6480" w:hanging="180"/>
      </w:pPr>
    </w:lvl>
  </w:abstractNum>
  <w:abstractNum w:abstractNumId="19" w15:restartNumberingAfterBreak="0">
    <w:nsid w:val="33AF72EB"/>
    <w:multiLevelType w:val="hybridMultilevel"/>
    <w:tmpl w:val="A6EE83A6"/>
    <w:lvl w:ilvl="0" w:tplc="7E562F1C">
      <w:start w:val="1"/>
      <w:numFmt w:val="decimal"/>
      <w:lvlText w:val="%1."/>
      <w:lvlJc w:val="left"/>
      <w:pPr>
        <w:ind w:left="786" w:hanging="360"/>
      </w:pPr>
      <w:rPr>
        <w:rFonts w:hint="default"/>
      </w:rPr>
    </w:lvl>
    <w:lvl w:ilvl="1" w:tplc="AC5CC60A" w:tentative="1">
      <w:start w:val="1"/>
      <w:numFmt w:val="lowerLetter"/>
      <w:lvlText w:val="%2."/>
      <w:lvlJc w:val="left"/>
      <w:pPr>
        <w:ind w:left="1506" w:hanging="360"/>
      </w:pPr>
    </w:lvl>
    <w:lvl w:ilvl="2" w:tplc="176CC764" w:tentative="1">
      <w:start w:val="1"/>
      <w:numFmt w:val="lowerRoman"/>
      <w:lvlText w:val="%3."/>
      <w:lvlJc w:val="right"/>
      <w:pPr>
        <w:ind w:left="2226" w:hanging="180"/>
      </w:pPr>
    </w:lvl>
    <w:lvl w:ilvl="3" w:tplc="FD30C6AE" w:tentative="1">
      <w:start w:val="1"/>
      <w:numFmt w:val="decimal"/>
      <w:lvlText w:val="%4."/>
      <w:lvlJc w:val="left"/>
      <w:pPr>
        <w:ind w:left="2946" w:hanging="360"/>
      </w:pPr>
    </w:lvl>
    <w:lvl w:ilvl="4" w:tplc="977E453C" w:tentative="1">
      <w:start w:val="1"/>
      <w:numFmt w:val="lowerLetter"/>
      <w:lvlText w:val="%5."/>
      <w:lvlJc w:val="left"/>
      <w:pPr>
        <w:ind w:left="3666" w:hanging="360"/>
      </w:pPr>
    </w:lvl>
    <w:lvl w:ilvl="5" w:tplc="940C144E" w:tentative="1">
      <w:start w:val="1"/>
      <w:numFmt w:val="lowerRoman"/>
      <w:lvlText w:val="%6."/>
      <w:lvlJc w:val="right"/>
      <w:pPr>
        <w:ind w:left="4386" w:hanging="180"/>
      </w:pPr>
    </w:lvl>
    <w:lvl w:ilvl="6" w:tplc="54DE5C08" w:tentative="1">
      <w:start w:val="1"/>
      <w:numFmt w:val="decimal"/>
      <w:lvlText w:val="%7."/>
      <w:lvlJc w:val="left"/>
      <w:pPr>
        <w:ind w:left="5106" w:hanging="360"/>
      </w:pPr>
    </w:lvl>
    <w:lvl w:ilvl="7" w:tplc="2BFE03D4" w:tentative="1">
      <w:start w:val="1"/>
      <w:numFmt w:val="lowerLetter"/>
      <w:lvlText w:val="%8."/>
      <w:lvlJc w:val="left"/>
      <w:pPr>
        <w:ind w:left="5826" w:hanging="360"/>
      </w:pPr>
    </w:lvl>
    <w:lvl w:ilvl="8" w:tplc="5AAE4254" w:tentative="1">
      <w:start w:val="1"/>
      <w:numFmt w:val="lowerRoman"/>
      <w:lvlText w:val="%9."/>
      <w:lvlJc w:val="right"/>
      <w:pPr>
        <w:ind w:left="6546" w:hanging="180"/>
      </w:pPr>
    </w:lvl>
  </w:abstractNum>
  <w:abstractNum w:abstractNumId="20" w15:restartNumberingAfterBreak="0">
    <w:nsid w:val="353A35A9"/>
    <w:multiLevelType w:val="hybridMultilevel"/>
    <w:tmpl w:val="41C804B2"/>
    <w:lvl w:ilvl="0" w:tplc="80E68B64">
      <w:start w:val="1"/>
      <w:numFmt w:val="decimal"/>
      <w:lvlText w:val="%1."/>
      <w:lvlJc w:val="left"/>
      <w:pPr>
        <w:ind w:left="720" w:hanging="360"/>
      </w:pPr>
      <w:rPr>
        <w:rFonts w:hint="default"/>
      </w:rPr>
    </w:lvl>
    <w:lvl w:ilvl="1" w:tplc="259C41E2" w:tentative="1">
      <w:start w:val="1"/>
      <w:numFmt w:val="lowerLetter"/>
      <w:lvlText w:val="%2."/>
      <w:lvlJc w:val="left"/>
      <w:pPr>
        <w:ind w:left="1440" w:hanging="360"/>
      </w:pPr>
    </w:lvl>
    <w:lvl w:ilvl="2" w:tplc="F692C976" w:tentative="1">
      <w:start w:val="1"/>
      <w:numFmt w:val="lowerRoman"/>
      <w:lvlText w:val="%3."/>
      <w:lvlJc w:val="right"/>
      <w:pPr>
        <w:ind w:left="2160" w:hanging="180"/>
      </w:pPr>
    </w:lvl>
    <w:lvl w:ilvl="3" w:tplc="4838EE96" w:tentative="1">
      <w:start w:val="1"/>
      <w:numFmt w:val="decimal"/>
      <w:lvlText w:val="%4."/>
      <w:lvlJc w:val="left"/>
      <w:pPr>
        <w:ind w:left="2880" w:hanging="360"/>
      </w:pPr>
    </w:lvl>
    <w:lvl w:ilvl="4" w:tplc="96C6B3B4" w:tentative="1">
      <w:start w:val="1"/>
      <w:numFmt w:val="lowerLetter"/>
      <w:lvlText w:val="%5."/>
      <w:lvlJc w:val="left"/>
      <w:pPr>
        <w:ind w:left="3600" w:hanging="360"/>
      </w:pPr>
    </w:lvl>
    <w:lvl w:ilvl="5" w:tplc="8FCCF072" w:tentative="1">
      <w:start w:val="1"/>
      <w:numFmt w:val="lowerRoman"/>
      <w:lvlText w:val="%6."/>
      <w:lvlJc w:val="right"/>
      <w:pPr>
        <w:ind w:left="4320" w:hanging="180"/>
      </w:pPr>
    </w:lvl>
    <w:lvl w:ilvl="6" w:tplc="FCFE207A" w:tentative="1">
      <w:start w:val="1"/>
      <w:numFmt w:val="decimal"/>
      <w:lvlText w:val="%7."/>
      <w:lvlJc w:val="left"/>
      <w:pPr>
        <w:ind w:left="5040" w:hanging="360"/>
      </w:pPr>
    </w:lvl>
    <w:lvl w:ilvl="7" w:tplc="5C9AD7BC" w:tentative="1">
      <w:start w:val="1"/>
      <w:numFmt w:val="lowerLetter"/>
      <w:lvlText w:val="%8."/>
      <w:lvlJc w:val="left"/>
      <w:pPr>
        <w:ind w:left="5760" w:hanging="360"/>
      </w:pPr>
    </w:lvl>
    <w:lvl w:ilvl="8" w:tplc="D640EB08" w:tentative="1">
      <w:start w:val="1"/>
      <w:numFmt w:val="lowerRoman"/>
      <w:lvlText w:val="%9."/>
      <w:lvlJc w:val="right"/>
      <w:pPr>
        <w:ind w:left="6480" w:hanging="180"/>
      </w:pPr>
    </w:lvl>
  </w:abstractNum>
  <w:abstractNum w:abstractNumId="21" w15:restartNumberingAfterBreak="0">
    <w:nsid w:val="3990127D"/>
    <w:multiLevelType w:val="hybridMultilevel"/>
    <w:tmpl w:val="A372E216"/>
    <w:lvl w:ilvl="0" w:tplc="C7E8B718">
      <w:start w:val="1"/>
      <w:numFmt w:val="decimal"/>
      <w:lvlText w:val="%1."/>
      <w:lvlJc w:val="left"/>
      <w:pPr>
        <w:ind w:left="1080" w:hanging="360"/>
      </w:pPr>
      <w:rPr>
        <w:rFonts w:hint="default"/>
      </w:rPr>
    </w:lvl>
    <w:lvl w:ilvl="1" w:tplc="AA64472C" w:tentative="1">
      <w:start w:val="1"/>
      <w:numFmt w:val="lowerLetter"/>
      <w:lvlText w:val="%2."/>
      <w:lvlJc w:val="left"/>
      <w:pPr>
        <w:ind w:left="1800" w:hanging="360"/>
      </w:pPr>
    </w:lvl>
    <w:lvl w:ilvl="2" w:tplc="DA2A1D6A" w:tentative="1">
      <w:start w:val="1"/>
      <w:numFmt w:val="lowerRoman"/>
      <w:lvlText w:val="%3."/>
      <w:lvlJc w:val="right"/>
      <w:pPr>
        <w:ind w:left="2520" w:hanging="180"/>
      </w:pPr>
    </w:lvl>
    <w:lvl w:ilvl="3" w:tplc="CCA692F2" w:tentative="1">
      <w:start w:val="1"/>
      <w:numFmt w:val="decimal"/>
      <w:lvlText w:val="%4."/>
      <w:lvlJc w:val="left"/>
      <w:pPr>
        <w:ind w:left="3240" w:hanging="360"/>
      </w:pPr>
    </w:lvl>
    <w:lvl w:ilvl="4" w:tplc="F1F011D2" w:tentative="1">
      <w:start w:val="1"/>
      <w:numFmt w:val="lowerLetter"/>
      <w:lvlText w:val="%5."/>
      <w:lvlJc w:val="left"/>
      <w:pPr>
        <w:ind w:left="3960" w:hanging="360"/>
      </w:pPr>
    </w:lvl>
    <w:lvl w:ilvl="5" w:tplc="E61A0540" w:tentative="1">
      <w:start w:val="1"/>
      <w:numFmt w:val="lowerRoman"/>
      <w:lvlText w:val="%6."/>
      <w:lvlJc w:val="right"/>
      <w:pPr>
        <w:ind w:left="4680" w:hanging="180"/>
      </w:pPr>
    </w:lvl>
    <w:lvl w:ilvl="6" w:tplc="AE7C58CA" w:tentative="1">
      <w:start w:val="1"/>
      <w:numFmt w:val="decimal"/>
      <w:lvlText w:val="%7."/>
      <w:lvlJc w:val="left"/>
      <w:pPr>
        <w:ind w:left="5400" w:hanging="360"/>
      </w:pPr>
    </w:lvl>
    <w:lvl w:ilvl="7" w:tplc="BD34F32A" w:tentative="1">
      <w:start w:val="1"/>
      <w:numFmt w:val="lowerLetter"/>
      <w:lvlText w:val="%8."/>
      <w:lvlJc w:val="left"/>
      <w:pPr>
        <w:ind w:left="6120" w:hanging="360"/>
      </w:pPr>
    </w:lvl>
    <w:lvl w:ilvl="8" w:tplc="2FECD5B4" w:tentative="1">
      <w:start w:val="1"/>
      <w:numFmt w:val="lowerRoman"/>
      <w:lvlText w:val="%9."/>
      <w:lvlJc w:val="right"/>
      <w:pPr>
        <w:ind w:left="6840" w:hanging="180"/>
      </w:pPr>
    </w:lvl>
  </w:abstractNum>
  <w:abstractNum w:abstractNumId="22" w15:restartNumberingAfterBreak="0">
    <w:nsid w:val="399538BC"/>
    <w:multiLevelType w:val="multilevel"/>
    <w:tmpl w:val="AAA06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195418"/>
    <w:multiLevelType w:val="multilevel"/>
    <w:tmpl w:val="DA104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5F3995"/>
    <w:multiLevelType w:val="multilevel"/>
    <w:tmpl w:val="99224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7692A0F"/>
    <w:multiLevelType w:val="hybridMultilevel"/>
    <w:tmpl w:val="7B2A6DAE"/>
    <w:lvl w:ilvl="0" w:tplc="DB085078">
      <w:numFmt w:val="bullet"/>
      <w:lvlText w:val="-"/>
      <w:lvlJc w:val="left"/>
      <w:pPr>
        <w:ind w:left="720" w:hanging="360"/>
      </w:pPr>
      <w:rPr>
        <w:rFonts w:ascii="Times New Roman" w:eastAsia="Times New Roman" w:hAnsi="Times New Roman" w:cs="Times New Roman" w:hint="default"/>
      </w:rPr>
    </w:lvl>
    <w:lvl w:ilvl="1" w:tplc="875EC5BE" w:tentative="1">
      <w:start w:val="1"/>
      <w:numFmt w:val="bullet"/>
      <w:lvlText w:val="o"/>
      <w:lvlJc w:val="left"/>
      <w:pPr>
        <w:ind w:left="1440" w:hanging="360"/>
      </w:pPr>
      <w:rPr>
        <w:rFonts w:ascii="Courier New" w:hAnsi="Courier New" w:cs="Courier New" w:hint="default"/>
      </w:rPr>
    </w:lvl>
    <w:lvl w:ilvl="2" w:tplc="C29C87BC" w:tentative="1">
      <w:start w:val="1"/>
      <w:numFmt w:val="bullet"/>
      <w:lvlText w:val=""/>
      <w:lvlJc w:val="left"/>
      <w:pPr>
        <w:ind w:left="2160" w:hanging="360"/>
      </w:pPr>
      <w:rPr>
        <w:rFonts w:ascii="Wingdings" w:hAnsi="Wingdings" w:hint="default"/>
      </w:rPr>
    </w:lvl>
    <w:lvl w:ilvl="3" w:tplc="C2C6C290" w:tentative="1">
      <w:start w:val="1"/>
      <w:numFmt w:val="bullet"/>
      <w:lvlText w:val=""/>
      <w:lvlJc w:val="left"/>
      <w:pPr>
        <w:ind w:left="2880" w:hanging="360"/>
      </w:pPr>
      <w:rPr>
        <w:rFonts w:ascii="Symbol" w:hAnsi="Symbol" w:hint="default"/>
      </w:rPr>
    </w:lvl>
    <w:lvl w:ilvl="4" w:tplc="9B102A4A" w:tentative="1">
      <w:start w:val="1"/>
      <w:numFmt w:val="bullet"/>
      <w:lvlText w:val="o"/>
      <w:lvlJc w:val="left"/>
      <w:pPr>
        <w:ind w:left="3600" w:hanging="360"/>
      </w:pPr>
      <w:rPr>
        <w:rFonts w:ascii="Courier New" w:hAnsi="Courier New" w:cs="Courier New" w:hint="default"/>
      </w:rPr>
    </w:lvl>
    <w:lvl w:ilvl="5" w:tplc="AF70039E" w:tentative="1">
      <w:start w:val="1"/>
      <w:numFmt w:val="bullet"/>
      <w:lvlText w:val=""/>
      <w:lvlJc w:val="left"/>
      <w:pPr>
        <w:ind w:left="4320" w:hanging="360"/>
      </w:pPr>
      <w:rPr>
        <w:rFonts w:ascii="Wingdings" w:hAnsi="Wingdings" w:hint="default"/>
      </w:rPr>
    </w:lvl>
    <w:lvl w:ilvl="6" w:tplc="0F082A94" w:tentative="1">
      <w:start w:val="1"/>
      <w:numFmt w:val="bullet"/>
      <w:lvlText w:val=""/>
      <w:lvlJc w:val="left"/>
      <w:pPr>
        <w:ind w:left="5040" w:hanging="360"/>
      </w:pPr>
      <w:rPr>
        <w:rFonts w:ascii="Symbol" w:hAnsi="Symbol" w:hint="default"/>
      </w:rPr>
    </w:lvl>
    <w:lvl w:ilvl="7" w:tplc="DA00E08A" w:tentative="1">
      <w:start w:val="1"/>
      <w:numFmt w:val="bullet"/>
      <w:lvlText w:val="o"/>
      <w:lvlJc w:val="left"/>
      <w:pPr>
        <w:ind w:left="5760" w:hanging="360"/>
      </w:pPr>
      <w:rPr>
        <w:rFonts w:ascii="Courier New" w:hAnsi="Courier New" w:cs="Courier New" w:hint="default"/>
      </w:rPr>
    </w:lvl>
    <w:lvl w:ilvl="8" w:tplc="98CE9622" w:tentative="1">
      <w:start w:val="1"/>
      <w:numFmt w:val="bullet"/>
      <w:lvlText w:val=""/>
      <w:lvlJc w:val="left"/>
      <w:pPr>
        <w:ind w:left="6480" w:hanging="360"/>
      </w:pPr>
      <w:rPr>
        <w:rFonts w:ascii="Wingdings" w:hAnsi="Wingdings" w:hint="default"/>
      </w:rPr>
    </w:lvl>
  </w:abstractNum>
  <w:abstractNum w:abstractNumId="26" w15:restartNumberingAfterBreak="0">
    <w:nsid w:val="5B0F0CC0"/>
    <w:multiLevelType w:val="multilevel"/>
    <w:tmpl w:val="C89A3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640749"/>
    <w:multiLevelType w:val="hybridMultilevel"/>
    <w:tmpl w:val="6B7AB758"/>
    <w:lvl w:ilvl="0" w:tplc="4D7051CE">
      <w:start w:val="1"/>
      <w:numFmt w:val="bullet"/>
      <w:lvlText w:val=""/>
      <w:lvlJc w:val="left"/>
      <w:pPr>
        <w:ind w:left="720" w:hanging="360"/>
      </w:pPr>
      <w:rPr>
        <w:rFonts w:ascii="Symbol" w:hAnsi="Symbol" w:hint="default"/>
      </w:rPr>
    </w:lvl>
    <w:lvl w:ilvl="1" w:tplc="BDA63A44" w:tentative="1">
      <w:start w:val="1"/>
      <w:numFmt w:val="bullet"/>
      <w:lvlText w:val="o"/>
      <w:lvlJc w:val="left"/>
      <w:pPr>
        <w:ind w:left="1440" w:hanging="360"/>
      </w:pPr>
      <w:rPr>
        <w:rFonts w:ascii="Courier New" w:hAnsi="Courier New" w:cs="Courier New" w:hint="default"/>
      </w:rPr>
    </w:lvl>
    <w:lvl w:ilvl="2" w:tplc="C10EB7C2" w:tentative="1">
      <w:start w:val="1"/>
      <w:numFmt w:val="bullet"/>
      <w:lvlText w:val=""/>
      <w:lvlJc w:val="left"/>
      <w:pPr>
        <w:ind w:left="2160" w:hanging="360"/>
      </w:pPr>
      <w:rPr>
        <w:rFonts w:ascii="Wingdings" w:hAnsi="Wingdings" w:hint="default"/>
      </w:rPr>
    </w:lvl>
    <w:lvl w:ilvl="3" w:tplc="393075DE" w:tentative="1">
      <w:start w:val="1"/>
      <w:numFmt w:val="bullet"/>
      <w:lvlText w:val=""/>
      <w:lvlJc w:val="left"/>
      <w:pPr>
        <w:ind w:left="2880" w:hanging="360"/>
      </w:pPr>
      <w:rPr>
        <w:rFonts w:ascii="Symbol" w:hAnsi="Symbol" w:hint="default"/>
      </w:rPr>
    </w:lvl>
    <w:lvl w:ilvl="4" w:tplc="3C90C650" w:tentative="1">
      <w:start w:val="1"/>
      <w:numFmt w:val="bullet"/>
      <w:lvlText w:val="o"/>
      <w:lvlJc w:val="left"/>
      <w:pPr>
        <w:ind w:left="3600" w:hanging="360"/>
      </w:pPr>
      <w:rPr>
        <w:rFonts w:ascii="Courier New" w:hAnsi="Courier New" w:cs="Courier New" w:hint="default"/>
      </w:rPr>
    </w:lvl>
    <w:lvl w:ilvl="5" w:tplc="5EC87366" w:tentative="1">
      <w:start w:val="1"/>
      <w:numFmt w:val="bullet"/>
      <w:lvlText w:val=""/>
      <w:lvlJc w:val="left"/>
      <w:pPr>
        <w:ind w:left="4320" w:hanging="360"/>
      </w:pPr>
      <w:rPr>
        <w:rFonts w:ascii="Wingdings" w:hAnsi="Wingdings" w:hint="default"/>
      </w:rPr>
    </w:lvl>
    <w:lvl w:ilvl="6" w:tplc="892A8008" w:tentative="1">
      <w:start w:val="1"/>
      <w:numFmt w:val="bullet"/>
      <w:lvlText w:val=""/>
      <w:lvlJc w:val="left"/>
      <w:pPr>
        <w:ind w:left="5040" w:hanging="360"/>
      </w:pPr>
      <w:rPr>
        <w:rFonts w:ascii="Symbol" w:hAnsi="Symbol" w:hint="default"/>
      </w:rPr>
    </w:lvl>
    <w:lvl w:ilvl="7" w:tplc="3BC0C738" w:tentative="1">
      <w:start w:val="1"/>
      <w:numFmt w:val="bullet"/>
      <w:lvlText w:val="o"/>
      <w:lvlJc w:val="left"/>
      <w:pPr>
        <w:ind w:left="5760" w:hanging="360"/>
      </w:pPr>
      <w:rPr>
        <w:rFonts w:ascii="Courier New" w:hAnsi="Courier New" w:cs="Courier New" w:hint="default"/>
      </w:rPr>
    </w:lvl>
    <w:lvl w:ilvl="8" w:tplc="29FE81EC" w:tentative="1">
      <w:start w:val="1"/>
      <w:numFmt w:val="bullet"/>
      <w:lvlText w:val=""/>
      <w:lvlJc w:val="left"/>
      <w:pPr>
        <w:ind w:left="6480" w:hanging="360"/>
      </w:pPr>
      <w:rPr>
        <w:rFonts w:ascii="Wingdings" w:hAnsi="Wingdings" w:hint="default"/>
      </w:rPr>
    </w:lvl>
  </w:abstractNum>
  <w:abstractNum w:abstractNumId="28" w15:restartNumberingAfterBreak="0">
    <w:nsid w:val="5F911996"/>
    <w:multiLevelType w:val="hybridMultilevel"/>
    <w:tmpl w:val="AC0AA34E"/>
    <w:lvl w:ilvl="0" w:tplc="7CA413C8">
      <w:start w:val="1"/>
      <w:numFmt w:val="decimal"/>
      <w:lvlText w:val="%1."/>
      <w:lvlJc w:val="left"/>
      <w:pPr>
        <w:ind w:left="720" w:hanging="360"/>
      </w:pPr>
    </w:lvl>
    <w:lvl w:ilvl="1" w:tplc="675464F6" w:tentative="1">
      <w:start w:val="1"/>
      <w:numFmt w:val="lowerLetter"/>
      <w:lvlText w:val="%2."/>
      <w:lvlJc w:val="left"/>
      <w:pPr>
        <w:ind w:left="1440" w:hanging="360"/>
      </w:pPr>
    </w:lvl>
    <w:lvl w:ilvl="2" w:tplc="A8BA67EE" w:tentative="1">
      <w:start w:val="1"/>
      <w:numFmt w:val="lowerRoman"/>
      <w:lvlText w:val="%3."/>
      <w:lvlJc w:val="right"/>
      <w:pPr>
        <w:ind w:left="2160" w:hanging="180"/>
      </w:pPr>
    </w:lvl>
    <w:lvl w:ilvl="3" w:tplc="8B1E7506" w:tentative="1">
      <w:start w:val="1"/>
      <w:numFmt w:val="decimal"/>
      <w:lvlText w:val="%4."/>
      <w:lvlJc w:val="left"/>
      <w:pPr>
        <w:ind w:left="2880" w:hanging="360"/>
      </w:pPr>
    </w:lvl>
    <w:lvl w:ilvl="4" w:tplc="EE12C528" w:tentative="1">
      <w:start w:val="1"/>
      <w:numFmt w:val="lowerLetter"/>
      <w:lvlText w:val="%5."/>
      <w:lvlJc w:val="left"/>
      <w:pPr>
        <w:ind w:left="3600" w:hanging="360"/>
      </w:pPr>
    </w:lvl>
    <w:lvl w:ilvl="5" w:tplc="321EFE9C" w:tentative="1">
      <w:start w:val="1"/>
      <w:numFmt w:val="lowerRoman"/>
      <w:lvlText w:val="%6."/>
      <w:lvlJc w:val="right"/>
      <w:pPr>
        <w:ind w:left="4320" w:hanging="180"/>
      </w:pPr>
    </w:lvl>
    <w:lvl w:ilvl="6" w:tplc="74BA6ECC" w:tentative="1">
      <w:start w:val="1"/>
      <w:numFmt w:val="decimal"/>
      <w:lvlText w:val="%7."/>
      <w:lvlJc w:val="left"/>
      <w:pPr>
        <w:ind w:left="5040" w:hanging="360"/>
      </w:pPr>
    </w:lvl>
    <w:lvl w:ilvl="7" w:tplc="FC46D502" w:tentative="1">
      <w:start w:val="1"/>
      <w:numFmt w:val="lowerLetter"/>
      <w:lvlText w:val="%8."/>
      <w:lvlJc w:val="left"/>
      <w:pPr>
        <w:ind w:left="5760" w:hanging="360"/>
      </w:pPr>
    </w:lvl>
    <w:lvl w:ilvl="8" w:tplc="35CC3378" w:tentative="1">
      <w:start w:val="1"/>
      <w:numFmt w:val="lowerRoman"/>
      <w:lvlText w:val="%9."/>
      <w:lvlJc w:val="right"/>
      <w:pPr>
        <w:ind w:left="6480" w:hanging="180"/>
      </w:pPr>
    </w:lvl>
  </w:abstractNum>
  <w:abstractNum w:abstractNumId="29" w15:restartNumberingAfterBreak="0">
    <w:nsid w:val="64FE21FD"/>
    <w:multiLevelType w:val="multilevel"/>
    <w:tmpl w:val="3B36E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9610794"/>
    <w:multiLevelType w:val="hybridMultilevel"/>
    <w:tmpl w:val="CEDA2D42"/>
    <w:lvl w:ilvl="0" w:tplc="CD5A82D8">
      <w:start w:val="1"/>
      <w:numFmt w:val="decimal"/>
      <w:lvlText w:val="%1."/>
      <w:lvlJc w:val="left"/>
      <w:pPr>
        <w:ind w:left="720" w:hanging="360"/>
      </w:pPr>
      <w:rPr>
        <w:rFonts w:hint="default"/>
      </w:rPr>
    </w:lvl>
    <w:lvl w:ilvl="1" w:tplc="05481B76" w:tentative="1">
      <w:start w:val="1"/>
      <w:numFmt w:val="lowerLetter"/>
      <w:lvlText w:val="%2."/>
      <w:lvlJc w:val="left"/>
      <w:pPr>
        <w:ind w:left="1440" w:hanging="360"/>
      </w:pPr>
    </w:lvl>
    <w:lvl w:ilvl="2" w:tplc="DE088500" w:tentative="1">
      <w:start w:val="1"/>
      <w:numFmt w:val="lowerRoman"/>
      <w:lvlText w:val="%3."/>
      <w:lvlJc w:val="right"/>
      <w:pPr>
        <w:ind w:left="2160" w:hanging="180"/>
      </w:pPr>
    </w:lvl>
    <w:lvl w:ilvl="3" w:tplc="C3AC36CC" w:tentative="1">
      <w:start w:val="1"/>
      <w:numFmt w:val="decimal"/>
      <w:lvlText w:val="%4."/>
      <w:lvlJc w:val="left"/>
      <w:pPr>
        <w:ind w:left="2880" w:hanging="360"/>
      </w:pPr>
    </w:lvl>
    <w:lvl w:ilvl="4" w:tplc="B21A2E58" w:tentative="1">
      <w:start w:val="1"/>
      <w:numFmt w:val="lowerLetter"/>
      <w:lvlText w:val="%5."/>
      <w:lvlJc w:val="left"/>
      <w:pPr>
        <w:ind w:left="3600" w:hanging="360"/>
      </w:pPr>
    </w:lvl>
    <w:lvl w:ilvl="5" w:tplc="63F07A34" w:tentative="1">
      <w:start w:val="1"/>
      <w:numFmt w:val="lowerRoman"/>
      <w:lvlText w:val="%6."/>
      <w:lvlJc w:val="right"/>
      <w:pPr>
        <w:ind w:left="4320" w:hanging="180"/>
      </w:pPr>
    </w:lvl>
    <w:lvl w:ilvl="6" w:tplc="9FA4FF36" w:tentative="1">
      <w:start w:val="1"/>
      <w:numFmt w:val="decimal"/>
      <w:lvlText w:val="%7."/>
      <w:lvlJc w:val="left"/>
      <w:pPr>
        <w:ind w:left="5040" w:hanging="360"/>
      </w:pPr>
    </w:lvl>
    <w:lvl w:ilvl="7" w:tplc="7A86C6B4" w:tentative="1">
      <w:start w:val="1"/>
      <w:numFmt w:val="lowerLetter"/>
      <w:lvlText w:val="%8."/>
      <w:lvlJc w:val="left"/>
      <w:pPr>
        <w:ind w:left="5760" w:hanging="360"/>
      </w:pPr>
    </w:lvl>
    <w:lvl w:ilvl="8" w:tplc="7102CCAC" w:tentative="1">
      <w:start w:val="1"/>
      <w:numFmt w:val="lowerRoman"/>
      <w:lvlText w:val="%9."/>
      <w:lvlJc w:val="right"/>
      <w:pPr>
        <w:ind w:left="6480" w:hanging="180"/>
      </w:pPr>
    </w:lvl>
  </w:abstractNum>
  <w:abstractNum w:abstractNumId="31" w15:restartNumberingAfterBreak="0">
    <w:nsid w:val="69860595"/>
    <w:multiLevelType w:val="multilevel"/>
    <w:tmpl w:val="C3C86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C8873D1"/>
    <w:multiLevelType w:val="multilevel"/>
    <w:tmpl w:val="E670F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4EF1999"/>
    <w:multiLevelType w:val="singleLevel"/>
    <w:tmpl w:val="74EF1999"/>
    <w:lvl w:ilvl="0">
      <w:start w:val="1"/>
      <w:numFmt w:val="decimal"/>
      <w:suff w:val="space"/>
      <w:lvlText w:val="%1."/>
      <w:lvlJc w:val="left"/>
    </w:lvl>
  </w:abstractNum>
  <w:abstractNum w:abstractNumId="34" w15:restartNumberingAfterBreak="0">
    <w:nsid w:val="75592E1A"/>
    <w:multiLevelType w:val="multilevel"/>
    <w:tmpl w:val="A3E87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5EC364C"/>
    <w:multiLevelType w:val="multilevel"/>
    <w:tmpl w:val="8C7C0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B872B1E"/>
    <w:multiLevelType w:val="hybridMultilevel"/>
    <w:tmpl w:val="12523ADE"/>
    <w:lvl w:ilvl="0" w:tplc="84CAB21A">
      <w:start w:val="3"/>
      <w:numFmt w:val="decimal"/>
      <w:lvlText w:val="%1."/>
      <w:lvlJc w:val="left"/>
      <w:pPr>
        <w:ind w:left="720" w:hanging="360"/>
      </w:pPr>
      <w:rPr>
        <w:rFonts w:hint="default"/>
      </w:rPr>
    </w:lvl>
    <w:lvl w:ilvl="1" w:tplc="28B4D00E" w:tentative="1">
      <w:start w:val="1"/>
      <w:numFmt w:val="lowerLetter"/>
      <w:lvlText w:val="%2."/>
      <w:lvlJc w:val="left"/>
      <w:pPr>
        <w:ind w:left="1440" w:hanging="360"/>
      </w:pPr>
    </w:lvl>
    <w:lvl w:ilvl="2" w:tplc="209A2C2E" w:tentative="1">
      <w:start w:val="1"/>
      <w:numFmt w:val="lowerRoman"/>
      <w:lvlText w:val="%3."/>
      <w:lvlJc w:val="right"/>
      <w:pPr>
        <w:ind w:left="2160" w:hanging="180"/>
      </w:pPr>
    </w:lvl>
    <w:lvl w:ilvl="3" w:tplc="2954E32A" w:tentative="1">
      <w:start w:val="1"/>
      <w:numFmt w:val="decimal"/>
      <w:lvlText w:val="%4."/>
      <w:lvlJc w:val="left"/>
      <w:pPr>
        <w:ind w:left="2880" w:hanging="360"/>
      </w:pPr>
    </w:lvl>
    <w:lvl w:ilvl="4" w:tplc="6C88F8E0" w:tentative="1">
      <w:start w:val="1"/>
      <w:numFmt w:val="lowerLetter"/>
      <w:lvlText w:val="%5."/>
      <w:lvlJc w:val="left"/>
      <w:pPr>
        <w:ind w:left="3600" w:hanging="360"/>
      </w:pPr>
    </w:lvl>
    <w:lvl w:ilvl="5" w:tplc="59FA489E" w:tentative="1">
      <w:start w:val="1"/>
      <w:numFmt w:val="lowerRoman"/>
      <w:lvlText w:val="%6."/>
      <w:lvlJc w:val="right"/>
      <w:pPr>
        <w:ind w:left="4320" w:hanging="180"/>
      </w:pPr>
    </w:lvl>
    <w:lvl w:ilvl="6" w:tplc="350A4EB4" w:tentative="1">
      <w:start w:val="1"/>
      <w:numFmt w:val="decimal"/>
      <w:lvlText w:val="%7."/>
      <w:lvlJc w:val="left"/>
      <w:pPr>
        <w:ind w:left="5040" w:hanging="360"/>
      </w:pPr>
    </w:lvl>
    <w:lvl w:ilvl="7" w:tplc="DD14FFA4" w:tentative="1">
      <w:start w:val="1"/>
      <w:numFmt w:val="lowerLetter"/>
      <w:lvlText w:val="%8."/>
      <w:lvlJc w:val="left"/>
      <w:pPr>
        <w:ind w:left="5760" w:hanging="360"/>
      </w:pPr>
    </w:lvl>
    <w:lvl w:ilvl="8" w:tplc="01FC8D1C" w:tentative="1">
      <w:start w:val="1"/>
      <w:numFmt w:val="lowerRoman"/>
      <w:lvlText w:val="%9."/>
      <w:lvlJc w:val="right"/>
      <w:pPr>
        <w:ind w:left="6480" w:hanging="180"/>
      </w:pPr>
    </w:lvl>
  </w:abstractNum>
  <w:num w:numId="1" w16cid:durableId="1660309554">
    <w:abstractNumId w:val="5"/>
  </w:num>
  <w:num w:numId="2" w16cid:durableId="1681003355">
    <w:abstractNumId w:val="30"/>
  </w:num>
  <w:num w:numId="3" w16cid:durableId="1853645586">
    <w:abstractNumId w:val="33"/>
  </w:num>
  <w:num w:numId="4" w16cid:durableId="266697494">
    <w:abstractNumId w:val="2"/>
  </w:num>
  <w:num w:numId="5" w16cid:durableId="461385087">
    <w:abstractNumId w:val="0"/>
  </w:num>
  <w:num w:numId="6" w16cid:durableId="1245531920">
    <w:abstractNumId w:val="1"/>
  </w:num>
  <w:num w:numId="7" w16cid:durableId="1103721397">
    <w:abstractNumId w:val="17"/>
  </w:num>
  <w:num w:numId="8" w16cid:durableId="32778045">
    <w:abstractNumId w:val="16"/>
  </w:num>
  <w:num w:numId="9" w16cid:durableId="86387329">
    <w:abstractNumId w:val="19"/>
  </w:num>
  <w:num w:numId="10" w16cid:durableId="825903567">
    <w:abstractNumId w:val="14"/>
  </w:num>
  <w:num w:numId="11" w16cid:durableId="320037580">
    <w:abstractNumId w:val="18"/>
  </w:num>
  <w:num w:numId="12" w16cid:durableId="1620143608">
    <w:abstractNumId w:val="12"/>
  </w:num>
  <w:num w:numId="13" w16cid:durableId="208610812">
    <w:abstractNumId w:val="4"/>
  </w:num>
  <w:num w:numId="14" w16cid:durableId="865413450">
    <w:abstractNumId w:val="10"/>
  </w:num>
  <w:num w:numId="15" w16cid:durableId="859317733">
    <w:abstractNumId w:val="36"/>
  </w:num>
  <w:num w:numId="16" w16cid:durableId="472675220">
    <w:abstractNumId w:val="8"/>
  </w:num>
  <w:num w:numId="17" w16cid:durableId="1242368890">
    <w:abstractNumId w:val="3"/>
  </w:num>
  <w:num w:numId="18" w16cid:durableId="691221003">
    <w:abstractNumId w:val="25"/>
  </w:num>
  <w:num w:numId="19" w16cid:durableId="394206558">
    <w:abstractNumId w:val="20"/>
  </w:num>
  <w:num w:numId="20" w16cid:durableId="566496899">
    <w:abstractNumId w:val="21"/>
  </w:num>
  <w:num w:numId="21" w16cid:durableId="395859219">
    <w:abstractNumId w:val="6"/>
  </w:num>
  <w:num w:numId="22" w16cid:durableId="306789958">
    <w:abstractNumId w:val="15"/>
  </w:num>
  <w:num w:numId="23" w16cid:durableId="251934648">
    <w:abstractNumId w:val="34"/>
  </w:num>
  <w:num w:numId="24" w16cid:durableId="236983491">
    <w:abstractNumId w:val="24"/>
  </w:num>
  <w:num w:numId="25" w16cid:durableId="1959942895">
    <w:abstractNumId w:val="35"/>
  </w:num>
  <w:num w:numId="26" w16cid:durableId="283587083">
    <w:abstractNumId w:val="26"/>
  </w:num>
  <w:num w:numId="27" w16cid:durableId="1729962704">
    <w:abstractNumId w:val="11"/>
  </w:num>
  <w:num w:numId="28" w16cid:durableId="1174341759">
    <w:abstractNumId w:val="28"/>
  </w:num>
  <w:num w:numId="29" w16cid:durableId="743995323">
    <w:abstractNumId w:val="29"/>
  </w:num>
  <w:num w:numId="30" w16cid:durableId="237175025">
    <w:abstractNumId w:val="27"/>
  </w:num>
  <w:num w:numId="31" w16cid:durableId="1917932881">
    <w:abstractNumId w:val="9"/>
  </w:num>
  <w:num w:numId="32" w16cid:durableId="218059839">
    <w:abstractNumId w:val="31"/>
  </w:num>
  <w:num w:numId="33" w16cid:durableId="1623003251">
    <w:abstractNumId w:val="7"/>
  </w:num>
  <w:num w:numId="34" w16cid:durableId="2102295742">
    <w:abstractNumId w:val="32"/>
  </w:num>
  <w:num w:numId="35" w16cid:durableId="380640786">
    <w:abstractNumId w:val="22"/>
  </w:num>
  <w:num w:numId="36" w16cid:durableId="1104032730">
    <w:abstractNumId w:val="23"/>
  </w:num>
  <w:num w:numId="37" w16cid:durableId="42750954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QwNzI3NTcyNLEwMjBR0lEKTi0uzszPAykwN60FANRH1BUtAAAA"/>
  </w:docVars>
  <w:rsids>
    <w:rsidRoot w:val="00E53396"/>
    <w:rsid w:val="00000103"/>
    <w:rsid w:val="0000404C"/>
    <w:rsid w:val="000048F9"/>
    <w:rsid w:val="0000521F"/>
    <w:rsid w:val="00007533"/>
    <w:rsid w:val="0001222C"/>
    <w:rsid w:val="00013748"/>
    <w:rsid w:val="0001382E"/>
    <w:rsid w:val="00013A58"/>
    <w:rsid w:val="00015068"/>
    <w:rsid w:val="000162DF"/>
    <w:rsid w:val="0002003C"/>
    <w:rsid w:val="00020A2D"/>
    <w:rsid w:val="00020DBC"/>
    <w:rsid w:val="000226DF"/>
    <w:rsid w:val="000236C0"/>
    <w:rsid w:val="000275A3"/>
    <w:rsid w:val="00027CB9"/>
    <w:rsid w:val="00027E7F"/>
    <w:rsid w:val="0003055C"/>
    <w:rsid w:val="00030A99"/>
    <w:rsid w:val="000324C4"/>
    <w:rsid w:val="00033E2C"/>
    <w:rsid w:val="00034E27"/>
    <w:rsid w:val="00035A6D"/>
    <w:rsid w:val="00035F40"/>
    <w:rsid w:val="00037815"/>
    <w:rsid w:val="00041294"/>
    <w:rsid w:val="00045730"/>
    <w:rsid w:val="000468A6"/>
    <w:rsid w:val="00046BCC"/>
    <w:rsid w:val="00053DB4"/>
    <w:rsid w:val="000552C0"/>
    <w:rsid w:val="00056E76"/>
    <w:rsid w:val="000570D6"/>
    <w:rsid w:val="000640E5"/>
    <w:rsid w:val="000643A0"/>
    <w:rsid w:val="00064C2A"/>
    <w:rsid w:val="00064CD4"/>
    <w:rsid w:val="00065C11"/>
    <w:rsid w:val="000671A8"/>
    <w:rsid w:val="000701E7"/>
    <w:rsid w:val="0007172E"/>
    <w:rsid w:val="00071750"/>
    <w:rsid w:val="00072090"/>
    <w:rsid w:val="00072A32"/>
    <w:rsid w:val="000751C1"/>
    <w:rsid w:val="000775DC"/>
    <w:rsid w:val="00081971"/>
    <w:rsid w:val="00081B86"/>
    <w:rsid w:val="000832C0"/>
    <w:rsid w:val="00084CF2"/>
    <w:rsid w:val="000862E8"/>
    <w:rsid w:val="00087C21"/>
    <w:rsid w:val="00087F0E"/>
    <w:rsid w:val="0009340F"/>
    <w:rsid w:val="0009521B"/>
    <w:rsid w:val="000956CB"/>
    <w:rsid w:val="000A0A9F"/>
    <w:rsid w:val="000A1B0A"/>
    <w:rsid w:val="000A3583"/>
    <w:rsid w:val="000A3E49"/>
    <w:rsid w:val="000A4A70"/>
    <w:rsid w:val="000A6C0C"/>
    <w:rsid w:val="000A715B"/>
    <w:rsid w:val="000B2035"/>
    <w:rsid w:val="000B2645"/>
    <w:rsid w:val="000B315C"/>
    <w:rsid w:val="000B3CD4"/>
    <w:rsid w:val="000B4CE8"/>
    <w:rsid w:val="000B4D1F"/>
    <w:rsid w:val="000B4D6D"/>
    <w:rsid w:val="000B5AAE"/>
    <w:rsid w:val="000B5B31"/>
    <w:rsid w:val="000B5DC2"/>
    <w:rsid w:val="000B7A45"/>
    <w:rsid w:val="000B7F89"/>
    <w:rsid w:val="000C09FA"/>
    <w:rsid w:val="000C0A4E"/>
    <w:rsid w:val="000C0F0E"/>
    <w:rsid w:val="000C5994"/>
    <w:rsid w:val="000C62C8"/>
    <w:rsid w:val="000D2AB8"/>
    <w:rsid w:val="000D5193"/>
    <w:rsid w:val="000D5D1C"/>
    <w:rsid w:val="000E64DF"/>
    <w:rsid w:val="000F03C7"/>
    <w:rsid w:val="000F13CF"/>
    <w:rsid w:val="000F1EA1"/>
    <w:rsid w:val="000F24E4"/>
    <w:rsid w:val="000F41B0"/>
    <w:rsid w:val="000F50F4"/>
    <w:rsid w:val="000F54F9"/>
    <w:rsid w:val="000F6390"/>
    <w:rsid w:val="000F639B"/>
    <w:rsid w:val="000F65F0"/>
    <w:rsid w:val="000F65FE"/>
    <w:rsid w:val="001018EC"/>
    <w:rsid w:val="00101E3A"/>
    <w:rsid w:val="001026A1"/>
    <w:rsid w:val="00103C20"/>
    <w:rsid w:val="00105925"/>
    <w:rsid w:val="00107B0B"/>
    <w:rsid w:val="00110B2D"/>
    <w:rsid w:val="001141D7"/>
    <w:rsid w:val="00114A58"/>
    <w:rsid w:val="00114DF2"/>
    <w:rsid w:val="00115100"/>
    <w:rsid w:val="0011593B"/>
    <w:rsid w:val="00116C10"/>
    <w:rsid w:val="001200E2"/>
    <w:rsid w:val="001240E4"/>
    <w:rsid w:val="0013697F"/>
    <w:rsid w:val="0013780F"/>
    <w:rsid w:val="00140509"/>
    <w:rsid w:val="00140C15"/>
    <w:rsid w:val="00141503"/>
    <w:rsid w:val="00142AEB"/>
    <w:rsid w:val="00144AA2"/>
    <w:rsid w:val="00144B80"/>
    <w:rsid w:val="001467A6"/>
    <w:rsid w:val="00147559"/>
    <w:rsid w:val="001479D6"/>
    <w:rsid w:val="0015161A"/>
    <w:rsid w:val="00151D42"/>
    <w:rsid w:val="001524B7"/>
    <w:rsid w:val="00152D5B"/>
    <w:rsid w:val="0015416F"/>
    <w:rsid w:val="0015626F"/>
    <w:rsid w:val="0015712B"/>
    <w:rsid w:val="001611FD"/>
    <w:rsid w:val="00161585"/>
    <w:rsid w:val="00162582"/>
    <w:rsid w:val="001632F9"/>
    <w:rsid w:val="00163356"/>
    <w:rsid w:val="00163B18"/>
    <w:rsid w:val="00164E1E"/>
    <w:rsid w:val="00164FA1"/>
    <w:rsid w:val="00165E55"/>
    <w:rsid w:val="001732B3"/>
    <w:rsid w:val="00174871"/>
    <w:rsid w:val="0017664E"/>
    <w:rsid w:val="00176D16"/>
    <w:rsid w:val="001775A7"/>
    <w:rsid w:val="00177B99"/>
    <w:rsid w:val="00180788"/>
    <w:rsid w:val="00181538"/>
    <w:rsid w:val="00184EB4"/>
    <w:rsid w:val="001854E8"/>
    <w:rsid w:val="001864EF"/>
    <w:rsid w:val="00186696"/>
    <w:rsid w:val="001936CE"/>
    <w:rsid w:val="00193D9A"/>
    <w:rsid w:val="00194D1D"/>
    <w:rsid w:val="00197AA6"/>
    <w:rsid w:val="001A0ABD"/>
    <w:rsid w:val="001A504F"/>
    <w:rsid w:val="001A54CE"/>
    <w:rsid w:val="001B0B83"/>
    <w:rsid w:val="001B4A21"/>
    <w:rsid w:val="001B5E4E"/>
    <w:rsid w:val="001B7974"/>
    <w:rsid w:val="001C0B81"/>
    <w:rsid w:val="001C243E"/>
    <w:rsid w:val="001C39D7"/>
    <w:rsid w:val="001C4742"/>
    <w:rsid w:val="001C5073"/>
    <w:rsid w:val="001C5B88"/>
    <w:rsid w:val="001C65F5"/>
    <w:rsid w:val="001C6B87"/>
    <w:rsid w:val="001D0E13"/>
    <w:rsid w:val="001D2B7F"/>
    <w:rsid w:val="001E25E1"/>
    <w:rsid w:val="001E430D"/>
    <w:rsid w:val="001E4A99"/>
    <w:rsid w:val="001E5775"/>
    <w:rsid w:val="001E5DE5"/>
    <w:rsid w:val="001F00F1"/>
    <w:rsid w:val="001F07B6"/>
    <w:rsid w:val="001F28F9"/>
    <w:rsid w:val="001F2B77"/>
    <w:rsid w:val="001F42E0"/>
    <w:rsid w:val="001F50F7"/>
    <w:rsid w:val="0020315F"/>
    <w:rsid w:val="002056CD"/>
    <w:rsid w:val="00207C8E"/>
    <w:rsid w:val="0021024C"/>
    <w:rsid w:val="002111C7"/>
    <w:rsid w:val="002117DA"/>
    <w:rsid w:val="00212544"/>
    <w:rsid w:val="00220BB9"/>
    <w:rsid w:val="0022363F"/>
    <w:rsid w:val="00224C2D"/>
    <w:rsid w:val="00224C78"/>
    <w:rsid w:val="00225DA1"/>
    <w:rsid w:val="00227D79"/>
    <w:rsid w:val="00230571"/>
    <w:rsid w:val="002324FC"/>
    <w:rsid w:val="002401B3"/>
    <w:rsid w:val="00245020"/>
    <w:rsid w:val="00247857"/>
    <w:rsid w:val="00251258"/>
    <w:rsid w:val="00253E36"/>
    <w:rsid w:val="00255155"/>
    <w:rsid w:val="00256606"/>
    <w:rsid w:val="00257658"/>
    <w:rsid w:val="00257813"/>
    <w:rsid w:val="00260615"/>
    <w:rsid w:val="0026061B"/>
    <w:rsid w:val="0026073D"/>
    <w:rsid w:val="0026374C"/>
    <w:rsid w:val="0026438A"/>
    <w:rsid w:val="002704E1"/>
    <w:rsid w:val="00270A7B"/>
    <w:rsid w:val="00272258"/>
    <w:rsid w:val="002730A3"/>
    <w:rsid w:val="0027351D"/>
    <w:rsid w:val="002738A1"/>
    <w:rsid w:val="00274C73"/>
    <w:rsid w:val="0027564C"/>
    <w:rsid w:val="0027618C"/>
    <w:rsid w:val="00282C95"/>
    <w:rsid w:val="00284322"/>
    <w:rsid w:val="00284454"/>
    <w:rsid w:val="00284DF7"/>
    <w:rsid w:val="002926E3"/>
    <w:rsid w:val="00292CFB"/>
    <w:rsid w:val="00295D4A"/>
    <w:rsid w:val="00296206"/>
    <w:rsid w:val="002A0ABF"/>
    <w:rsid w:val="002A0B53"/>
    <w:rsid w:val="002A314F"/>
    <w:rsid w:val="002A3CBC"/>
    <w:rsid w:val="002A4832"/>
    <w:rsid w:val="002A499E"/>
    <w:rsid w:val="002A6BB0"/>
    <w:rsid w:val="002B17F1"/>
    <w:rsid w:val="002B2677"/>
    <w:rsid w:val="002B2FE6"/>
    <w:rsid w:val="002B5133"/>
    <w:rsid w:val="002C0236"/>
    <w:rsid w:val="002C1504"/>
    <w:rsid w:val="002C2654"/>
    <w:rsid w:val="002C2A12"/>
    <w:rsid w:val="002C2CA2"/>
    <w:rsid w:val="002C44E8"/>
    <w:rsid w:val="002C51B8"/>
    <w:rsid w:val="002C6A44"/>
    <w:rsid w:val="002D16A7"/>
    <w:rsid w:val="002D3534"/>
    <w:rsid w:val="002D437D"/>
    <w:rsid w:val="002D51E4"/>
    <w:rsid w:val="002E1065"/>
    <w:rsid w:val="002E2338"/>
    <w:rsid w:val="002E2902"/>
    <w:rsid w:val="002E4C5D"/>
    <w:rsid w:val="002E5324"/>
    <w:rsid w:val="002E6D27"/>
    <w:rsid w:val="002F0B25"/>
    <w:rsid w:val="002F184D"/>
    <w:rsid w:val="002F6FCC"/>
    <w:rsid w:val="002F7216"/>
    <w:rsid w:val="00301558"/>
    <w:rsid w:val="00301F10"/>
    <w:rsid w:val="003064D4"/>
    <w:rsid w:val="00306DE1"/>
    <w:rsid w:val="00307EA1"/>
    <w:rsid w:val="00310407"/>
    <w:rsid w:val="00312675"/>
    <w:rsid w:val="00312FB4"/>
    <w:rsid w:val="0031478E"/>
    <w:rsid w:val="00316B6D"/>
    <w:rsid w:val="0032412C"/>
    <w:rsid w:val="0032425F"/>
    <w:rsid w:val="0032731C"/>
    <w:rsid w:val="00332F95"/>
    <w:rsid w:val="003332B3"/>
    <w:rsid w:val="0033418B"/>
    <w:rsid w:val="00341ED7"/>
    <w:rsid w:val="00344221"/>
    <w:rsid w:val="00353A65"/>
    <w:rsid w:val="00353E27"/>
    <w:rsid w:val="00354E1A"/>
    <w:rsid w:val="00355C91"/>
    <w:rsid w:val="00362512"/>
    <w:rsid w:val="0036382F"/>
    <w:rsid w:val="00363CF9"/>
    <w:rsid w:val="003646C1"/>
    <w:rsid w:val="00365633"/>
    <w:rsid w:val="00366E5C"/>
    <w:rsid w:val="003676BD"/>
    <w:rsid w:val="00373DB4"/>
    <w:rsid w:val="00374506"/>
    <w:rsid w:val="0037635D"/>
    <w:rsid w:val="00381737"/>
    <w:rsid w:val="003848E0"/>
    <w:rsid w:val="00385EBE"/>
    <w:rsid w:val="00386630"/>
    <w:rsid w:val="00390CF2"/>
    <w:rsid w:val="00392A3B"/>
    <w:rsid w:val="0039415E"/>
    <w:rsid w:val="00397AE1"/>
    <w:rsid w:val="003A1D2C"/>
    <w:rsid w:val="003A2564"/>
    <w:rsid w:val="003A2FCD"/>
    <w:rsid w:val="003A4E13"/>
    <w:rsid w:val="003A7FC6"/>
    <w:rsid w:val="003B145A"/>
    <w:rsid w:val="003B44C9"/>
    <w:rsid w:val="003B491A"/>
    <w:rsid w:val="003B492F"/>
    <w:rsid w:val="003B739F"/>
    <w:rsid w:val="003C2A3B"/>
    <w:rsid w:val="003C2D73"/>
    <w:rsid w:val="003C6B9F"/>
    <w:rsid w:val="003C70F7"/>
    <w:rsid w:val="003C7657"/>
    <w:rsid w:val="003C793A"/>
    <w:rsid w:val="003D00E9"/>
    <w:rsid w:val="003D1183"/>
    <w:rsid w:val="003D18F6"/>
    <w:rsid w:val="003D24BB"/>
    <w:rsid w:val="003D2A7A"/>
    <w:rsid w:val="003D33EA"/>
    <w:rsid w:val="003D358C"/>
    <w:rsid w:val="003D3750"/>
    <w:rsid w:val="003D3AE4"/>
    <w:rsid w:val="003D3B99"/>
    <w:rsid w:val="003D5482"/>
    <w:rsid w:val="003E2F12"/>
    <w:rsid w:val="003E4F3A"/>
    <w:rsid w:val="003E68B4"/>
    <w:rsid w:val="003F0568"/>
    <w:rsid w:val="003F0B43"/>
    <w:rsid w:val="003F1CCC"/>
    <w:rsid w:val="003F6A91"/>
    <w:rsid w:val="00404C0B"/>
    <w:rsid w:val="004053C8"/>
    <w:rsid w:val="00405963"/>
    <w:rsid w:val="00405E6C"/>
    <w:rsid w:val="00412355"/>
    <w:rsid w:val="004140E9"/>
    <w:rsid w:val="00417A58"/>
    <w:rsid w:val="00425B37"/>
    <w:rsid w:val="004300C8"/>
    <w:rsid w:val="00430A1B"/>
    <w:rsid w:val="00431869"/>
    <w:rsid w:val="00432DC2"/>
    <w:rsid w:val="0043424A"/>
    <w:rsid w:val="0043439F"/>
    <w:rsid w:val="004352CC"/>
    <w:rsid w:val="00436CB4"/>
    <w:rsid w:val="00440848"/>
    <w:rsid w:val="0044180A"/>
    <w:rsid w:val="00442A58"/>
    <w:rsid w:val="00442B93"/>
    <w:rsid w:val="00443686"/>
    <w:rsid w:val="0044387A"/>
    <w:rsid w:val="00444F95"/>
    <w:rsid w:val="004552E0"/>
    <w:rsid w:val="00456A51"/>
    <w:rsid w:val="0045764E"/>
    <w:rsid w:val="00467020"/>
    <w:rsid w:val="00467F47"/>
    <w:rsid w:val="00470391"/>
    <w:rsid w:val="004711A6"/>
    <w:rsid w:val="00471F49"/>
    <w:rsid w:val="00472964"/>
    <w:rsid w:val="004746FF"/>
    <w:rsid w:val="00477997"/>
    <w:rsid w:val="00480A2D"/>
    <w:rsid w:val="00482B96"/>
    <w:rsid w:val="00483D28"/>
    <w:rsid w:val="004853F7"/>
    <w:rsid w:val="0048585B"/>
    <w:rsid w:val="00486C65"/>
    <w:rsid w:val="0049080C"/>
    <w:rsid w:val="0049158E"/>
    <w:rsid w:val="0049168C"/>
    <w:rsid w:val="00491B8A"/>
    <w:rsid w:val="00491BF7"/>
    <w:rsid w:val="00494841"/>
    <w:rsid w:val="00496AFF"/>
    <w:rsid w:val="00497212"/>
    <w:rsid w:val="004A2F36"/>
    <w:rsid w:val="004A339F"/>
    <w:rsid w:val="004A78CD"/>
    <w:rsid w:val="004B1960"/>
    <w:rsid w:val="004B39A5"/>
    <w:rsid w:val="004B3FCA"/>
    <w:rsid w:val="004B48C4"/>
    <w:rsid w:val="004B518E"/>
    <w:rsid w:val="004C0050"/>
    <w:rsid w:val="004C0294"/>
    <w:rsid w:val="004C0DFC"/>
    <w:rsid w:val="004D0DA5"/>
    <w:rsid w:val="004D1427"/>
    <w:rsid w:val="004D2632"/>
    <w:rsid w:val="004D3BFE"/>
    <w:rsid w:val="004D5B5E"/>
    <w:rsid w:val="004D77F8"/>
    <w:rsid w:val="004D7917"/>
    <w:rsid w:val="004D7A2B"/>
    <w:rsid w:val="004E236B"/>
    <w:rsid w:val="004E3AEB"/>
    <w:rsid w:val="004E41CC"/>
    <w:rsid w:val="004E5BDA"/>
    <w:rsid w:val="004E688C"/>
    <w:rsid w:val="004E7094"/>
    <w:rsid w:val="004E763D"/>
    <w:rsid w:val="004F04E1"/>
    <w:rsid w:val="004F32CD"/>
    <w:rsid w:val="004F33B7"/>
    <w:rsid w:val="00500271"/>
    <w:rsid w:val="005004AA"/>
    <w:rsid w:val="00505F11"/>
    <w:rsid w:val="0050631B"/>
    <w:rsid w:val="0050740F"/>
    <w:rsid w:val="00507A74"/>
    <w:rsid w:val="0051059E"/>
    <w:rsid w:val="005111F7"/>
    <w:rsid w:val="00511C00"/>
    <w:rsid w:val="00511E14"/>
    <w:rsid w:val="005122B1"/>
    <w:rsid w:val="00512CB7"/>
    <w:rsid w:val="00514AFB"/>
    <w:rsid w:val="0051530C"/>
    <w:rsid w:val="005169A2"/>
    <w:rsid w:val="0051727E"/>
    <w:rsid w:val="00517CA1"/>
    <w:rsid w:val="005238A5"/>
    <w:rsid w:val="0052576A"/>
    <w:rsid w:val="00526C32"/>
    <w:rsid w:val="005271B1"/>
    <w:rsid w:val="0053346F"/>
    <w:rsid w:val="00534451"/>
    <w:rsid w:val="00540CB6"/>
    <w:rsid w:val="00541638"/>
    <w:rsid w:val="00541E71"/>
    <w:rsid w:val="00545538"/>
    <w:rsid w:val="005455B9"/>
    <w:rsid w:val="00547105"/>
    <w:rsid w:val="00550419"/>
    <w:rsid w:val="00550A0D"/>
    <w:rsid w:val="005530D2"/>
    <w:rsid w:val="00555D40"/>
    <w:rsid w:val="0056150B"/>
    <w:rsid w:val="00561943"/>
    <w:rsid w:val="005675BE"/>
    <w:rsid w:val="00570170"/>
    <w:rsid w:val="00570892"/>
    <w:rsid w:val="00575104"/>
    <w:rsid w:val="0057616E"/>
    <w:rsid w:val="00577479"/>
    <w:rsid w:val="00580DF9"/>
    <w:rsid w:val="00580EC9"/>
    <w:rsid w:val="005829ED"/>
    <w:rsid w:val="00584674"/>
    <w:rsid w:val="00585D17"/>
    <w:rsid w:val="0058793D"/>
    <w:rsid w:val="00591734"/>
    <w:rsid w:val="00593814"/>
    <w:rsid w:val="005943D7"/>
    <w:rsid w:val="00594CBC"/>
    <w:rsid w:val="00596192"/>
    <w:rsid w:val="005A0DDB"/>
    <w:rsid w:val="005A4A4C"/>
    <w:rsid w:val="005A52FA"/>
    <w:rsid w:val="005A5F6D"/>
    <w:rsid w:val="005B01B3"/>
    <w:rsid w:val="005B0A81"/>
    <w:rsid w:val="005B31ED"/>
    <w:rsid w:val="005B42F1"/>
    <w:rsid w:val="005B5DAF"/>
    <w:rsid w:val="005B7C10"/>
    <w:rsid w:val="005C0176"/>
    <w:rsid w:val="005C0916"/>
    <w:rsid w:val="005C3C71"/>
    <w:rsid w:val="005C5744"/>
    <w:rsid w:val="005D03AC"/>
    <w:rsid w:val="005D0C22"/>
    <w:rsid w:val="005D0C44"/>
    <w:rsid w:val="005D7396"/>
    <w:rsid w:val="005E039B"/>
    <w:rsid w:val="005E370C"/>
    <w:rsid w:val="005E5084"/>
    <w:rsid w:val="005E563F"/>
    <w:rsid w:val="005E5CFD"/>
    <w:rsid w:val="005E73A6"/>
    <w:rsid w:val="005E7729"/>
    <w:rsid w:val="005E7CFF"/>
    <w:rsid w:val="005F0E10"/>
    <w:rsid w:val="005F6639"/>
    <w:rsid w:val="00600A2F"/>
    <w:rsid w:val="0060143B"/>
    <w:rsid w:val="006023A6"/>
    <w:rsid w:val="00612B7E"/>
    <w:rsid w:val="00614AEF"/>
    <w:rsid w:val="00614E1C"/>
    <w:rsid w:val="006156DF"/>
    <w:rsid w:val="006224D7"/>
    <w:rsid w:val="00622857"/>
    <w:rsid w:val="00624163"/>
    <w:rsid w:val="006244DC"/>
    <w:rsid w:val="00626C44"/>
    <w:rsid w:val="00626CD0"/>
    <w:rsid w:val="00627D56"/>
    <w:rsid w:val="0063064B"/>
    <w:rsid w:val="0063180B"/>
    <w:rsid w:val="006372FC"/>
    <w:rsid w:val="00640091"/>
    <w:rsid w:val="006418EC"/>
    <w:rsid w:val="0064327E"/>
    <w:rsid w:val="00644B03"/>
    <w:rsid w:val="00645927"/>
    <w:rsid w:val="006471E6"/>
    <w:rsid w:val="00647364"/>
    <w:rsid w:val="006514A8"/>
    <w:rsid w:val="00651990"/>
    <w:rsid w:val="00653A87"/>
    <w:rsid w:val="00655430"/>
    <w:rsid w:val="00655F7A"/>
    <w:rsid w:val="00664FB9"/>
    <w:rsid w:val="00666654"/>
    <w:rsid w:val="00671B3F"/>
    <w:rsid w:val="00674D7A"/>
    <w:rsid w:val="00676ACF"/>
    <w:rsid w:val="00677511"/>
    <w:rsid w:val="0068061A"/>
    <w:rsid w:val="00680B84"/>
    <w:rsid w:val="006829B7"/>
    <w:rsid w:val="0068423B"/>
    <w:rsid w:val="00686D5E"/>
    <w:rsid w:val="00693B51"/>
    <w:rsid w:val="006A24F7"/>
    <w:rsid w:val="006A55B8"/>
    <w:rsid w:val="006A571A"/>
    <w:rsid w:val="006B0770"/>
    <w:rsid w:val="006B3E88"/>
    <w:rsid w:val="006B47DB"/>
    <w:rsid w:val="006B4C75"/>
    <w:rsid w:val="006B69FD"/>
    <w:rsid w:val="006C292A"/>
    <w:rsid w:val="006C400E"/>
    <w:rsid w:val="006C5214"/>
    <w:rsid w:val="006C6273"/>
    <w:rsid w:val="006C7AE8"/>
    <w:rsid w:val="006C7F99"/>
    <w:rsid w:val="006D22BA"/>
    <w:rsid w:val="006D4463"/>
    <w:rsid w:val="006D6D50"/>
    <w:rsid w:val="006D7232"/>
    <w:rsid w:val="006E202D"/>
    <w:rsid w:val="006E33AD"/>
    <w:rsid w:val="006E4BAB"/>
    <w:rsid w:val="006F3DD6"/>
    <w:rsid w:val="006F4893"/>
    <w:rsid w:val="006F72F1"/>
    <w:rsid w:val="00701452"/>
    <w:rsid w:val="00703DD8"/>
    <w:rsid w:val="007051D0"/>
    <w:rsid w:val="00706D1F"/>
    <w:rsid w:val="0071041E"/>
    <w:rsid w:val="00710DC8"/>
    <w:rsid w:val="007119B8"/>
    <w:rsid w:val="00714426"/>
    <w:rsid w:val="00714A28"/>
    <w:rsid w:val="00714F4B"/>
    <w:rsid w:val="007156BF"/>
    <w:rsid w:val="00715DCA"/>
    <w:rsid w:val="007177D0"/>
    <w:rsid w:val="00721978"/>
    <w:rsid w:val="00721B27"/>
    <w:rsid w:val="00721BF4"/>
    <w:rsid w:val="00727601"/>
    <w:rsid w:val="00730835"/>
    <w:rsid w:val="007343E9"/>
    <w:rsid w:val="00734E85"/>
    <w:rsid w:val="007350D7"/>
    <w:rsid w:val="00735926"/>
    <w:rsid w:val="00735A17"/>
    <w:rsid w:val="00737B9B"/>
    <w:rsid w:val="00741214"/>
    <w:rsid w:val="00741DD9"/>
    <w:rsid w:val="0074362A"/>
    <w:rsid w:val="0074457B"/>
    <w:rsid w:val="00745806"/>
    <w:rsid w:val="00745D64"/>
    <w:rsid w:val="00750D72"/>
    <w:rsid w:val="00750EB8"/>
    <w:rsid w:val="007510FD"/>
    <w:rsid w:val="00753B3A"/>
    <w:rsid w:val="007567AB"/>
    <w:rsid w:val="00762951"/>
    <w:rsid w:val="00763236"/>
    <w:rsid w:val="00767CCE"/>
    <w:rsid w:val="00771862"/>
    <w:rsid w:val="0077281F"/>
    <w:rsid w:val="00776FAA"/>
    <w:rsid w:val="007770A5"/>
    <w:rsid w:val="007815E6"/>
    <w:rsid w:val="00782F1D"/>
    <w:rsid w:val="00782F45"/>
    <w:rsid w:val="0078335C"/>
    <w:rsid w:val="00783C44"/>
    <w:rsid w:val="007852AA"/>
    <w:rsid w:val="00786B04"/>
    <w:rsid w:val="00786EEF"/>
    <w:rsid w:val="00787052"/>
    <w:rsid w:val="00791AFB"/>
    <w:rsid w:val="00791E9C"/>
    <w:rsid w:val="0079225C"/>
    <w:rsid w:val="00793980"/>
    <w:rsid w:val="00794780"/>
    <w:rsid w:val="00794CF3"/>
    <w:rsid w:val="0079521F"/>
    <w:rsid w:val="007955A5"/>
    <w:rsid w:val="007A429C"/>
    <w:rsid w:val="007A483C"/>
    <w:rsid w:val="007A4B40"/>
    <w:rsid w:val="007A4DAF"/>
    <w:rsid w:val="007B3F9B"/>
    <w:rsid w:val="007B44FD"/>
    <w:rsid w:val="007B4DD9"/>
    <w:rsid w:val="007B767F"/>
    <w:rsid w:val="007B7AFB"/>
    <w:rsid w:val="007B7D87"/>
    <w:rsid w:val="007C015C"/>
    <w:rsid w:val="007C04D4"/>
    <w:rsid w:val="007C30E6"/>
    <w:rsid w:val="007C4253"/>
    <w:rsid w:val="007C4CE1"/>
    <w:rsid w:val="007C4DEE"/>
    <w:rsid w:val="007D26BF"/>
    <w:rsid w:val="007D334C"/>
    <w:rsid w:val="007D7CDD"/>
    <w:rsid w:val="007E1698"/>
    <w:rsid w:val="007E198E"/>
    <w:rsid w:val="007E1F7F"/>
    <w:rsid w:val="007E374D"/>
    <w:rsid w:val="007E3F5B"/>
    <w:rsid w:val="007E7A8B"/>
    <w:rsid w:val="007F0167"/>
    <w:rsid w:val="007F2B93"/>
    <w:rsid w:val="007F3C40"/>
    <w:rsid w:val="007F3FB0"/>
    <w:rsid w:val="007F4D10"/>
    <w:rsid w:val="007F7AD6"/>
    <w:rsid w:val="008027EC"/>
    <w:rsid w:val="00803937"/>
    <w:rsid w:val="00805B2F"/>
    <w:rsid w:val="00805F78"/>
    <w:rsid w:val="008078BD"/>
    <w:rsid w:val="008079B1"/>
    <w:rsid w:val="00810E8B"/>
    <w:rsid w:val="00812538"/>
    <w:rsid w:val="0081725C"/>
    <w:rsid w:val="008172D1"/>
    <w:rsid w:val="00821B04"/>
    <w:rsid w:val="00822E2A"/>
    <w:rsid w:val="0082331A"/>
    <w:rsid w:val="0082358C"/>
    <w:rsid w:val="0082415A"/>
    <w:rsid w:val="00825C10"/>
    <w:rsid w:val="008276D6"/>
    <w:rsid w:val="00827E1D"/>
    <w:rsid w:val="0083090E"/>
    <w:rsid w:val="008326C3"/>
    <w:rsid w:val="0083306A"/>
    <w:rsid w:val="008365E7"/>
    <w:rsid w:val="0084055D"/>
    <w:rsid w:val="00841549"/>
    <w:rsid w:val="00842DAD"/>
    <w:rsid w:val="00843095"/>
    <w:rsid w:val="008431C1"/>
    <w:rsid w:val="00844BE8"/>
    <w:rsid w:val="00844EA9"/>
    <w:rsid w:val="00846CF7"/>
    <w:rsid w:val="00847767"/>
    <w:rsid w:val="00847AF8"/>
    <w:rsid w:val="0085000D"/>
    <w:rsid w:val="00850579"/>
    <w:rsid w:val="00851CE2"/>
    <w:rsid w:val="00853BF7"/>
    <w:rsid w:val="00854CAB"/>
    <w:rsid w:val="00857355"/>
    <w:rsid w:val="00857AA0"/>
    <w:rsid w:val="00861DB7"/>
    <w:rsid w:val="0086688D"/>
    <w:rsid w:val="00866CCA"/>
    <w:rsid w:val="00870E9B"/>
    <w:rsid w:val="0087137C"/>
    <w:rsid w:val="00871D60"/>
    <w:rsid w:val="0087368E"/>
    <w:rsid w:val="008742A3"/>
    <w:rsid w:val="00875DA4"/>
    <w:rsid w:val="0087716D"/>
    <w:rsid w:val="00877391"/>
    <w:rsid w:val="00881255"/>
    <w:rsid w:val="0088406C"/>
    <w:rsid w:val="00884BC2"/>
    <w:rsid w:val="008862B5"/>
    <w:rsid w:val="0089124D"/>
    <w:rsid w:val="0089130C"/>
    <w:rsid w:val="008919AF"/>
    <w:rsid w:val="00891C0A"/>
    <w:rsid w:val="008956F6"/>
    <w:rsid w:val="00895D44"/>
    <w:rsid w:val="00895FA6"/>
    <w:rsid w:val="008A1819"/>
    <w:rsid w:val="008A1D4A"/>
    <w:rsid w:val="008A3875"/>
    <w:rsid w:val="008A62BD"/>
    <w:rsid w:val="008B1443"/>
    <w:rsid w:val="008B354D"/>
    <w:rsid w:val="008B3D1E"/>
    <w:rsid w:val="008B62D6"/>
    <w:rsid w:val="008B7650"/>
    <w:rsid w:val="008C1227"/>
    <w:rsid w:val="008C13AD"/>
    <w:rsid w:val="008C34B7"/>
    <w:rsid w:val="008C604D"/>
    <w:rsid w:val="008C60F3"/>
    <w:rsid w:val="008C7712"/>
    <w:rsid w:val="008C79EF"/>
    <w:rsid w:val="008D17E4"/>
    <w:rsid w:val="008D1ED8"/>
    <w:rsid w:val="008D201B"/>
    <w:rsid w:val="008D26A3"/>
    <w:rsid w:val="008D434B"/>
    <w:rsid w:val="008D45CD"/>
    <w:rsid w:val="008D4B44"/>
    <w:rsid w:val="008D6099"/>
    <w:rsid w:val="008E1CB4"/>
    <w:rsid w:val="008E1F45"/>
    <w:rsid w:val="008E38B0"/>
    <w:rsid w:val="008E490A"/>
    <w:rsid w:val="008E68F2"/>
    <w:rsid w:val="008F1120"/>
    <w:rsid w:val="008F1341"/>
    <w:rsid w:val="008F1445"/>
    <w:rsid w:val="008F3522"/>
    <w:rsid w:val="008F661E"/>
    <w:rsid w:val="009004B9"/>
    <w:rsid w:val="00900951"/>
    <w:rsid w:val="00901700"/>
    <w:rsid w:val="00904A9A"/>
    <w:rsid w:val="00905A1E"/>
    <w:rsid w:val="00910CE9"/>
    <w:rsid w:val="009128F9"/>
    <w:rsid w:val="00914C75"/>
    <w:rsid w:val="00916E5B"/>
    <w:rsid w:val="009173E6"/>
    <w:rsid w:val="0091762C"/>
    <w:rsid w:val="009177C2"/>
    <w:rsid w:val="0092045A"/>
    <w:rsid w:val="00924050"/>
    <w:rsid w:val="00925C99"/>
    <w:rsid w:val="00932BBE"/>
    <w:rsid w:val="00934E00"/>
    <w:rsid w:val="00935DDC"/>
    <w:rsid w:val="0093643E"/>
    <w:rsid w:val="0093699C"/>
    <w:rsid w:val="00937795"/>
    <w:rsid w:val="00937B03"/>
    <w:rsid w:val="00940A19"/>
    <w:rsid w:val="00940E15"/>
    <w:rsid w:val="00941F24"/>
    <w:rsid w:val="0094245B"/>
    <w:rsid w:val="00945571"/>
    <w:rsid w:val="00945CB3"/>
    <w:rsid w:val="00946B9D"/>
    <w:rsid w:val="00947C86"/>
    <w:rsid w:val="009531EA"/>
    <w:rsid w:val="009547CF"/>
    <w:rsid w:val="0095490A"/>
    <w:rsid w:val="009561E4"/>
    <w:rsid w:val="0095632A"/>
    <w:rsid w:val="009564A3"/>
    <w:rsid w:val="00956747"/>
    <w:rsid w:val="00957721"/>
    <w:rsid w:val="00957D25"/>
    <w:rsid w:val="0096231A"/>
    <w:rsid w:val="00962617"/>
    <w:rsid w:val="00963770"/>
    <w:rsid w:val="0096475A"/>
    <w:rsid w:val="0096594F"/>
    <w:rsid w:val="00965AF1"/>
    <w:rsid w:val="00966074"/>
    <w:rsid w:val="009665CE"/>
    <w:rsid w:val="00966939"/>
    <w:rsid w:val="00966E73"/>
    <w:rsid w:val="009730C3"/>
    <w:rsid w:val="00974382"/>
    <w:rsid w:val="0097547C"/>
    <w:rsid w:val="0098345C"/>
    <w:rsid w:val="00984591"/>
    <w:rsid w:val="009860BC"/>
    <w:rsid w:val="009949A2"/>
    <w:rsid w:val="00994F8E"/>
    <w:rsid w:val="0099590C"/>
    <w:rsid w:val="00996577"/>
    <w:rsid w:val="009A1361"/>
    <w:rsid w:val="009A4804"/>
    <w:rsid w:val="009A59E0"/>
    <w:rsid w:val="009A62C6"/>
    <w:rsid w:val="009A6651"/>
    <w:rsid w:val="009B2675"/>
    <w:rsid w:val="009B2BEC"/>
    <w:rsid w:val="009B4682"/>
    <w:rsid w:val="009B758B"/>
    <w:rsid w:val="009C188F"/>
    <w:rsid w:val="009C2EF4"/>
    <w:rsid w:val="009C42B1"/>
    <w:rsid w:val="009C7097"/>
    <w:rsid w:val="009D0710"/>
    <w:rsid w:val="009D2375"/>
    <w:rsid w:val="009D38A4"/>
    <w:rsid w:val="009D5659"/>
    <w:rsid w:val="009D61DB"/>
    <w:rsid w:val="009D6B08"/>
    <w:rsid w:val="009E00EA"/>
    <w:rsid w:val="009E0380"/>
    <w:rsid w:val="009E07D5"/>
    <w:rsid w:val="009E1683"/>
    <w:rsid w:val="009E3D5A"/>
    <w:rsid w:val="009E4892"/>
    <w:rsid w:val="009E65DC"/>
    <w:rsid w:val="009F355C"/>
    <w:rsid w:val="009F4072"/>
    <w:rsid w:val="009F7C69"/>
    <w:rsid w:val="00A01462"/>
    <w:rsid w:val="00A0212E"/>
    <w:rsid w:val="00A03F3D"/>
    <w:rsid w:val="00A043E5"/>
    <w:rsid w:val="00A05C8F"/>
    <w:rsid w:val="00A06521"/>
    <w:rsid w:val="00A0713C"/>
    <w:rsid w:val="00A075AA"/>
    <w:rsid w:val="00A1154F"/>
    <w:rsid w:val="00A12421"/>
    <w:rsid w:val="00A12B8D"/>
    <w:rsid w:val="00A15372"/>
    <w:rsid w:val="00A1627A"/>
    <w:rsid w:val="00A16AA8"/>
    <w:rsid w:val="00A20628"/>
    <w:rsid w:val="00A235E3"/>
    <w:rsid w:val="00A23A20"/>
    <w:rsid w:val="00A24004"/>
    <w:rsid w:val="00A332DD"/>
    <w:rsid w:val="00A334FE"/>
    <w:rsid w:val="00A3454F"/>
    <w:rsid w:val="00A34870"/>
    <w:rsid w:val="00A416EF"/>
    <w:rsid w:val="00A418D4"/>
    <w:rsid w:val="00A4588C"/>
    <w:rsid w:val="00A45C17"/>
    <w:rsid w:val="00A46234"/>
    <w:rsid w:val="00A4684C"/>
    <w:rsid w:val="00A46BC0"/>
    <w:rsid w:val="00A46D9F"/>
    <w:rsid w:val="00A47661"/>
    <w:rsid w:val="00A51E13"/>
    <w:rsid w:val="00A56148"/>
    <w:rsid w:val="00A56E85"/>
    <w:rsid w:val="00A605EA"/>
    <w:rsid w:val="00A6153B"/>
    <w:rsid w:val="00A63BAB"/>
    <w:rsid w:val="00A65E42"/>
    <w:rsid w:val="00A669B4"/>
    <w:rsid w:val="00A67507"/>
    <w:rsid w:val="00A67A4E"/>
    <w:rsid w:val="00A70869"/>
    <w:rsid w:val="00A7212A"/>
    <w:rsid w:val="00A73571"/>
    <w:rsid w:val="00A7401A"/>
    <w:rsid w:val="00A83A37"/>
    <w:rsid w:val="00A85A80"/>
    <w:rsid w:val="00A867C9"/>
    <w:rsid w:val="00A91340"/>
    <w:rsid w:val="00A929E7"/>
    <w:rsid w:val="00A932F4"/>
    <w:rsid w:val="00A93AD6"/>
    <w:rsid w:val="00A95A9A"/>
    <w:rsid w:val="00A97C3E"/>
    <w:rsid w:val="00A97DB0"/>
    <w:rsid w:val="00AA0865"/>
    <w:rsid w:val="00AA0B74"/>
    <w:rsid w:val="00AA21FC"/>
    <w:rsid w:val="00AA3CCB"/>
    <w:rsid w:val="00AB246E"/>
    <w:rsid w:val="00AB3A7C"/>
    <w:rsid w:val="00AB483E"/>
    <w:rsid w:val="00AB4DFA"/>
    <w:rsid w:val="00AB6303"/>
    <w:rsid w:val="00AC16B4"/>
    <w:rsid w:val="00AC2946"/>
    <w:rsid w:val="00AC47C6"/>
    <w:rsid w:val="00AC54A1"/>
    <w:rsid w:val="00AD217B"/>
    <w:rsid w:val="00AD2379"/>
    <w:rsid w:val="00AD2BBF"/>
    <w:rsid w:val="00AD2FB2"/>
    <w:rsid w:val="00AD4017"/>
    <w:rsid w:val="00AD5CBF"/>
    <w:rsid w:val="00AD5CC7"/>
    <w:rsid w:val="00AD7444"/>
    <w:rsid w:val="00AE32D4"/>
    <w:rsid w:val="00AE5DF1"/>
    <w:rsid w:val="00AE716E"/>
    <w:rsid w:val="00AE7E58"/>
    <w:rsid w:val="00AF162E"/>
    <w:rsid w:val="00AF1676"/>
    <w:rsid w:val="00AF7243"/>
    <w:rsid w:val="00AF7B40"/>
    <w:rsid w:val="00B007BF"/>
    <w:rsid w:val="00B039F0"/>
    <w:rsid w:val="00B03A77"/>
    <w:rsid w:val="00B043CA"/>
    <w:rsid w:val="00B04DFA"/>
    <w:rsid w:val="00B05F1E"/>
    <w:rsid w:val="00B10276"/>
    <w:rsid w:val="00B10A07"/>
    <w:rsid w:val="00B10C78"/>
    <w:rsid w:val="00B140DF"/>
    <w:rsid w:val="00B14675"/>
    <w:rsid w:val="00B14C56"/>
    <w:rsid w:val="00B14E1A"/>
    <w:rsid w:val="00B16021"/>
    <w:rsid w:val="00B20C81"/>
    <w:rsid w:val="00B2279C"/>
    <w:rsid w:val="00B23E73"/>
    <w:rsid w:val="00B2758F"/>
    <w:rsid w:val="00B27787"/>
    <w:rsid w:val="00B306F0"/>
    <w:rsid w:val="00B31F97"/>
    <w:rsid w:val="00B3436D"/>
    <w:rsid w:val="00B37BD2"/>
    <w:rsid w:val="00B412AF"/>
    <w:rsid w:val="00B43081"/>
    <w:rsid w:val="00B43E52"/>
    <w:rsid w:val="00B43EE9"/>
    <w:rsid w:val="00B44A5F"/>
    <w:rsid w:val="00B44C59"/>
    <w:rsid w:val="00B5104F"/>
    <w:rsid w:val="00B5209A"/>
    <w:rsid w:val="00B62ED9"/>
    <w:rsid w:val="00B65CC8"/>
    <w:rsid w:val="00B70E41"/>
    <w:rsid w:val="00B71CF7"/>
    <w:rsid w:val="00B7297B"/>
    <w:rsid w:val="00B729CC"/>
    <w:rsid w:val="00B731D2"/>
    <w:rsid w:val="00B73A65"/>
    <w:rsid w:val="00B7477A"/>
    <w:rsid w:val="00B779F8"/>
    <w:rsid w:val="00B8337E"/>
    <w:rsid w:val="00B85E95"/>
    <w:rsid w:val="00B86765"/>
    <w:rsid w:val="00B86EC5"/>
    <w:rsid w:val="00B86F71"/>
    <w:rsid w:val="00B879AC"/>
    <w:rsid w:val="00B922FD"/>
    <w:rsid w:val="00B9233F"/>
    <w:rsid w:val="00B9283F"/>
    <w:rsid w:val="00B92D54"/>
    <w:rsid w:val="00B92EFA"/>
    <w:rsid w:val="00B931E3"/>
    <w:rsid w:val="00B95BCE"/>
    <w:rsid w:val="00B9639A"/>
    <w:rsid w:val="00B966E5"/>
    <w:rsid w:val="00BA0AD1"/>
    <w:rsid w:val="00BA5FD3"/>
    <w:rsid w:val="00BA6E82"/>
    <w:rsid w:val="00BB2D8A"/>
    <w:rsid w:val="00BB4C21"/>
    <w:rsid w:val="00BB5DD6"/>
    <w:rsid w:val="00BB6391"/>
    <w:rsid w:val="00BB6741"/>
    <w:rsid w:val="00BB69E0"/>
    <w:rsid w:val="00BB6F1D"/>
    <w:rsid w:val="00BB70B9"/>
    <w:rsid w:val="00BB767D"/>
    <w:rsid w:val="00BB7896"/>
    <w:rsid w:val="00BC2890"/>
    <w:rsid w:val="00BC305D"/>
    <w:rsid w:val="00BC79C4"/>
    <w:rsid w:val="00BD0830"/>
    <w:rsid w:val="00BD3CB4"/>
    <w:rsid w:val="00BD3E57"/>
    <w:rsid w:val="00BD4416"/>
    <w:rsid w:val="00BD729C"/>
    <w:rsid w:val="00BD7B03"/>
    <w:rsid w:val="00BE06DC"/>
    <w:rsid w:val="00BE07B1"/>
    <w:rsid w:val="00BE2501"/>
    <w:rsid w:val="00BE42BC"/>
    <w:rsid w:val="00BE517B"/>
    <w:rsid w:val="00BE5391"/>
    <w:rsid w:val="00BE6593"/>
    <w:rsid w:val="00BE687A"/>
    <w:rsid w:val="00BE7641"/>
    <w:rsid w:val="00BF3420"/>
    <w:rsid w:val="00BF4D5A"/>
    <w:rsid w:val="00BF61D2"/>
    <w:rsid w:val="00BF6697"/>
    <w:rsid w:val="00BF6C0D"/>
    <w:rsid w:val="00C01D31"/>
    <w:rsid w:val="00C02638"/>
    <w:rsid w:val="00C034AA"/>
    <w:rsid w:val="00C06447"/>
    <w:rsid w:val="00C07DDE"/>
    <w:rsid w:val="00C10B6A"/>
    <w:rsid w:val="00C21B8E"/>
    <w:rsid w:val="00C2346D"/>
    <w:rsid w:val="00C23FE5"/>
    <w:rsid w:val="00C254BC"/>
    <w:rsid w:val="00C260DD"/>
    <w:rsid w:val="00C2681C"/>
    <w:rsid w:val="00C30FD6"/>
    <w:rsid w:val="00C3602A"/>
    <w:rsid w:val="00C3642C"/>
    <w:rsid w:val="00C41F68"/>
    <w:rsid w:val="00C42549"/>
    <w:rsid w:val="00C42A2F"/>
    <w:rsid w:val="00C4764D"/>
    <w:rsid w:val="00C47C4E"/>
    <w:rsid w:val="00C513FF"/>
    <w:rsid w:val="00C52097"/>
    <w:rsid w:val="00C52656"/>
    <w:rsid w:val="00C5500A"/>
    <w:rsid w:val="00C570C9"/>
    <w:rsid w:val="00C615D0"/>
    <w:rsid w:val="00C6191C"/>
    <w:rsid w:val="00C63DEB"/>
    <w:rsid w:val="00C650A2"/>
    <w:rsid w:val="00C66664"/>
    <w:rsid w:val="00C71218"/>
    <w:rsid w:val="00C71410"/>
    <w:rsid w:val="00C729F6"/>
    <w:rsid w:val="00C73D1C"/>
    <w:rsid w:val="00C74836"/>
    <w:rsid w:val="00C749B4"/>
    <w:rsid w:val="00C7536B"/>
    <w:rsid w:val="00C763B6"/>
    <w:rsid w:val="00C814E2"/>
    <w:rsid w:val="00C82165"/>
    <w:rsid w:val="00C83255"/>
    <w:rsid w:val="00C84DE2"/>
    <w:rsid w:val="00C86096"/>
    <w:rsid w:val="00C90AE3"/>
    <w:rsid w:val="00C9303D"/>
    <w:rsid w:val="00C9469E"/>
    <w:rsid w:val="00CA1AE1"/>
    <w:rsid w:val="00CA1CF4"/>
    <w:rsid w:val="00CA1EA9"/>
    <w:rsid w:val="00CA235D"/>
    <w:rsid w:val="00CA308A"/>
    <w:rsid w:val="00CA3BBC"/>
    <w:rsid w:val="00CA4951"/>
    <w:rsid w:val="00CA5934"/>
    <w:rsid w:val="00CA5A54"/>
    <w:rsid w:val="00CB047E"/>
    <w:rsid w:val="00CB0FA2"/>
    <w:rsid w:val="00CB1B29"/>
    <w:rsid w:val="00CB34FB"/>
    <w:rsid w:val="00CB369B"/>
    <w:rsid w:val="00CB3A6C"/>
    <w:rsid w:val="00CB4882"/>
    <w:rsid w:val="00CB6141"/>
    <w:rsid w:val="00CC255A"/>
    <w:rsid w:val="00CC25DE"/>
    <w:rsid w:val="00CC4FDB"/>
    <w:rsid w:val="00CC6338"/>
    <w:rsid w:val="00CC6D7C"/>
    <w:rsid w:val="00CC76C0"/>
    <w:rsid w:val="00CC7F4E"/>
    <w:rsid w:val="00CD43C6"/>
    <w:rsid w:val="00CD7652"/>
    <w:rsid w:val="00CE57D8"/>
    <w:rsid w:val="00CE5BED"/>
    <w:rsid w:val="00CF00C3"/>
    <w:rsid w:val="00CF0999"/>
    <w:rsid w:val="00CF3D00"/>
    <w:rsid w:val="00CF7238"/>
    <w:rsid w:val="00CF7F34"/>
    <w:rsid w:val="00D02A93"/>
    <w:rsid w:val="00D05D36"/>
    <w:rsid w:val="00D13852"/>
    <w:rsid w:val="00D14D92"/>
    <w:rsid w:val="00D20ECE"/>
    <w:rsid w:val="00D2156A"/>
    <w:rsid w:val="00D2170D"/>
    <w:rsid w:val="00D27912"/>
    <w:rsid w:val="00D27A10"/>
    <w:rsid w:val="00D27AA4"/>
    <w:rsid w:val="00D30B60"/>
    <w:rsid w:val="00D32B06"/>
    <w:rsid w:val="00D358E6"/>
    <w:rsid w:val="00D3593D"/>
    <w:rsid w:val="00D3769B"/>
    <w:rsid w:val="00D408EC"/>
    <w:rsid w:val="00D41AD6"/>
    <w:rsid w:val="00D43563"/>
    <w:rsid w:val="00D43CE0"/>
    <w:rsid w:val="00D44D62"/>
    <w:rsid w:val="00D52C19"/>
    <w:rsid w:val="00D532B8"/>
    <w:rsid w:val="00D63A0C"/>
    <w:rsid w:val="00D6478A"/>
    <w:rsid w:val="00D65F4D"/>
    <w:rsid w:val="00D65F85"/>
    <w:rsid w:val="00D73CD5"/>
    <w:rsid w:val="00D7654C"/>
    <w:rsid w:val="00D7797A"/>
    <w:rsid w:val="00D81BC7"/>
    <w:rsid w:val="00D85E4F"/>
    <w:rsid w:val="00D860EC"/>
    <w:rsid w:val="00D86D52"/>
    <w:rsid w:val="00D87865"/>
    <w:rsid w:val="00D9091B"/>
    <w:rsid w:val="00D9238E"/>
    <w:rsid w:val="00D92A22"/>
    <w:rsid w:val="00D96D75"/>
    <w:rsid w:val="00D97CF7"/>
    <w:rsid w:val="00DA235E"/>
    <w:rsid w:val="00DA3000"/>
    <w:rsid w:val="00DA301D"/>
    <w:rsid w:val="00DA6131"/>
    <w:rsid w:val="00DB0E7D"/>
    <w:rsid w:val="00DB34DC"/>
    <w:rsid w:val="00DB372A"/>
    <w:rsid w:val="00DB3D79"/>
    <w:rsid w:val="00DB5DEC"/>
    <w:rsid w:val="00DB666D"/>
    <w:rsid w:val="00DC0701"/>
    <w:rsid w:val="00DC3BD1"/>
    <w:rsid w:val="00DC5C62"/>
    <w:rsid w:val="00DC5D6B"/>
    <w:rsid w:val="00DD4B65"/>
    <w:rsid w:val="00DD7E6A"/>
    <w:rsid w:val="00DE0DD9"/>
    <w:rsid w:val="00DE1B1C"/>
    <w:rsid w:val="00DE1EB0"/>
    <w:rsid w:val="00DE2444"/>
    <w:rsid w:val="00DE2A6F"/>
    <w:rsid w:val="00DE2A82"/>
    <w:rsid w:val="00DE66DA"/>
    <w:rsid w:val="00DE75A1"/>
    <w:rsid w:val="00DF05EB"/>
    <w:rsid w:val="00DF10FF"/>
    <w:rsid w:val="00DF388B"/>
    <w:rsid w:val="00DF5362"/>
    <w:rsid w:val="00DF73AB"/>
    <w:rsid w:val="00E00E67"/>
    <w:rsid w:val="00E022A5"/>
    <w:rsid w:val="00E0265B"/>
    <w:rsid w:val="00E02E8C"/>
    <w:rsid w:val="00E03B7C"/>
    <w:rsid w:val="00E03D27"/>
    <w:rsid w:val="00E052F4"/>
    <w:rsid w:val="00E06ACC"/>
    <w:rsid w:val="00E10088"/>
    <w:rsid w:val="00E128E6"/>
    <w:rsid w:val="00E14546"/>
    <w:rsid w:val="00E14F9C"/>
    <w:rsid w:val="00E17558"/>
    <w:rsid w:val="00E202A3"/>
    <w:rsid w:val="00E20445"/>
    <w:rsid w:val="00E21BE8"/>
    <w:rsid w:val="00E226A9"/>
    <w:rsid w:val="00E2281E"/>
    <w:rsid w:val="00E27C4A"/>
    <w:rsid w:val="00E341A3"/>
    <w:rsid w:val="00E35B4C"/>
    <w:rsid w:val="00E35F11"/>
    <w:rsid w:val="00E37312"/>
    <w:rsid w:val="00E37C73"/>
    <w:rsid w:val="00E418AE"/>
    <w:rsid w:val="00E41D07"/>
    <w:rsid w:val="00E41FBA"/>
    <w:rsid w:val="00E42E7D"/>
    <w:rsid w:val="00E43D2B"/>
    <w:rsid w:val="00E46178"/>
    <w:rsid w:val="00E46840"/>
    <w:rsid w:val="00E50AB8"/>
    <w:rsid w:val="00E511F3"/>
    <w:rsid w:val="00E53396"/>
    <w:rsid w:val="00E53813"/>
    <w:rsid w:val="00E539C3"/>
    <w:rsid w:val="00E56D73"/>
    <w:rsid w:val="00E57EE9"/>
    <w:rsid w:val="00E605E6"/>
    <w:rsid w:val="00E61308"/>
    <w:rsid w:val="00E659E1"/>
    <w:rsid w:val="00E720A7"/>
    <w:rsid w:val="00E75173"/>
    <w:rsid w:val="00E75A4D"/>
    <w:rsid w:val="00E76007"/>
    <w:rsid w:val="00E832D4"/>
    <w:rsid w:val="00E84AF0"/>
    <w:rsid w:val="00E85C31"/>
    <w:rsid w:val="00E87D3F"/>
    <w:rsid w:val="00E96BEA"/>
    <w:rsid w:val="00E975F8"/>
    <w:rsid w:val="00EA270B"/>
    <w:rsid w:val="00EA456E"/>
    <w:rsid w:val="00EB0D61"/>
    <w:rsid w:val="00EB2228"/>
    <w:rsid w:val="00EB25B9"/>
    <w:rsid w:val="00EB2946"/>
    <w:rsid w:val="00EB29AF"/>
    <w:rsid w:val="00EB480D"/>
    <w:rsid w:val="00EB495F"/>
    <w:rsid w:val="00EB6338"/>
    <w:rsid w:val="00EB6BC0"/>
    <w:rsid w:val="00EB70EF"/>
    <w:rsid w:val="00EC4310"/>
    <w:rsid w:val="00ED2758"/>
    <w:rsid w:val="00ED2F3E"/>
    <w:rsid w:val="00ED462A"/>
    <w:rsid w:val="00ED5DCE"/>
    <w:rsid w:val="00ED6DAA"/>
    <w:rsid w:val="00EE130A"/>
    <w:rsid w:val="00EE6653"/>
    <w:rsid w:val="00EE6F6E"/>
    <w:rsid w:val="00EE79AF"/>
    <w:rsid w:val="00EF1643"/>
    <w:rsid w:val="00EF3F69"/>
    <w:rsid w:val="00EF4E7D"/>
    <w:rsid w:val="00EF64C4"/>
    <w:rsid w:val="00F00749"/>
    <w:rsid w:val="00F008CF"/>
    <w:rsid w:val="00F00ACF"/>
    <w:rsid w:val="00F016E7"/>
    <w:rsid w:val="00F03DDB"/>
    <w:rsid w:val="00F040D0"/>
    <w:rsid w:val="00F042DC"/>
    <w:rsid w:val="00F062F8"/>
    <w:rsid w:val="00F11482"/>
    <w:rsid w:val="00F114B5"/>
    <w:rsid w:val="00F13185"/>
    <w:rsid w:val="00F17BAC"/>
    <w:rsid w:val="00F20EE4"/>
    <w:rsid w:val="00F20F70"/>
    <w:rsid w:val="00F22590"/>
    <w:rsid w:val="00F24383"/>
    <w:rsid w:val="00F27354"/>
    <w:rsid w:val="00F3002C"/>
    <w:rsid w:val="00F3228C"/>
    <w:rsid w:val="00F32762"/>
    <w:rsid w:val="00F343FC"/>
    <w:rsid w:val="00F347FA"/>
    <w:rsid w:val="00F35723"/>
    <w:rsid w:val="00F35BBA"/>
    <w:rsid w:val="00F35BFF"/>
    <w:rsid w:val="00F35FB8"/>
    <w:rsid w:val="00F36F3C"/>
    <w:rsid w:val="00F404E5"/>
    <w:rsid w:val="00F536C7"/>
    <w:rsid w:val="00F551B4"/>
    <w:rsid w:val="00F557D5"/>
    <w:rsid w:val="00F56262"/>
    <w:rsid w:val="00F562B4"/>
    <w:rsid w:val="00F6098E"/>
    <w:rsid w:val="00F618B7"/>
    <w:rsid w:val="00F61E41"/>
    <w:rsid w:val="00F63978"/>
    <w:rsid w:val="00F6546A"/>
    <w:rsid w:val="00F65E47"/>
    <w:rsid w:val="00F66022"/>
    <w:rsid w:val="00F712A2"/>
    <w:rsid w:val="00F72AD5"/>
    <w:rsid w:val="00F72C5A"/>
    <w:rsid w:val="00F72E4C"/>
    <w:rsid w:val="00F7774D"/>
    <w:rsid w:val="00F7782C"/>
    <w:rsid w:val="00F80787"/>
    <w:rsid w:val="00F85989"/>
    <w:rsid w:val="00F85C11"/>
    <w:rsid w:val="00F908A5"/>
    <w:rsid w:val="00F939EB"/>
    <w:rsid w:val="00F9733C"/>
    <w:rsid w:val="00FA1B22"/>
    <w:rsid w:val="00FA35A8"/>
    <w:rsid w:val="00FA37DA"/>
    <w:rsid w:val="00FA4479"/>
    <w:rsid w:val="00FA61F0"/>
    <w:rsid w:val="00FB17DD"/>
    <w:rsid w:val="00FB18DE"/>
    <w:rsid w:val="00FB5545"/>
    <w:rsid w:val="00FC11A6"/>
    <w:rsid w:val="00FC25A4"/>
    <w:rsid w:val="00FC2ABD"/>
    <w:rsid w:val="00FC7230"/>
    <w:rsid w:val="00FD1147"/>
    <w:rsid w:val="00FD2435"/>
    <w:rsid w:val="00FD2AC7"/>
    <w:rsid w:val="00FD3C29"/>
    <w:rsid w:val="00FD50B5"/>
    <w:rsid w:val="00FE0FF7"/>
    <w:rsid w:val="00FE1541"/>
    <w:rsid w:val="00FE30F9"/>
    <w:rsid w:val="00FE4103"/>
    <w:rsid w:val="00FF3141"/>
    <w:rsid w:val="00FF4BF3"/>
    <w:rsid w:val="00FF62CD"/>
    <w:rsid w:val="00FF6FB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3B51EF"/>
  <w15:chartTrackingRefBased/>
  <w15:docId w15:val="{DC46A762-A4A5-4F2B-A426-2DF356903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2B96"/>
    <w:rPr>
      <w:lang w:val="en-US"/>
    </w:rPr>
  </w:style>
  <w:style w:type="paragraph" w:styleId="Heading1">
    <w:name w:val="heading 1"/>
    <w:basedOn w:val="Normal"/>
    <w:next w:val="Normal"/>
    <w:link w:val="Heading1Char"/>
    <w:uiPriority w:val="9"/>
    <w:qFormat/>
    <w:rsid w:val="00F6397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1"/>
    <w:qFormat/>
    <w:rsid w:val="003B145A"/>
    <w:pPr>
      <w:widowControl w:val="0"/>
      <w:autoSpaceDE w:val="0"/>
      <w:autoSpaceDN w:val="0"/>
      <w:spacing w:after="0" w:line="240" w:lineRule="auto"/>
      <w:ind w:left="139"/>
      <w:outlineLvl w:val="1"/>
    </w:pPr>
    <w:rPr>
      <w:rFonts w:ascii="Carlito" w:eastAsia="Carlito" w:hAnsi="Carlito" w:cs="Carlito"/>
      <w:b/>
      <w:bCs/>
      <w:sz w:val="24"/>
      <w:szCs w:val="24"/>
    </w:rPr>
  </w:style>
  <w:style w:type="paragraph" w:styleId="Heading3">
    <w:name w:val="heading 3"/>
    <w:basedOn w:val="Normal"/>
    <w:next w:val="Normal"/>
    <w:link w:val="Heading3Char"/>
    <w:uiPriority w:val="9"/>
    <w:semiHidden/>
    <w:unhideWhenUsed/>
    <w:qFormat/>
    <w:rsid w:val="008C122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qFormat/>
    <w:rsid w:val="007A4DAF"/>
    <w:pPr>
      <w:spacing w:before="100" w:beforeAutospacing="1" w:after="100" w:afterAutospacing="1" w:line="240" w:lineRule="auto"/>
    </w:pPr>
    <w:rPr>
      <w:rFonts w:ascii="Times New Roman" w:eastAsiaTheme="minorEastAsia" w:hAnsi="Times New Roman" w:cs="Times New Roman"/>
      <w:sz w:val="24"/>
      <w:szCs w:val="24"/>
      <w:lang w:eastAsia="en-IN" w:bidi="hi-IN"/>
    </w:rPr>
  </w:style>
  <w:style w:type="paragraph" w:styleId="ListParagraph">
    <w:name w:val="List Paragraph"/>
    <w:basedOn w:val="Normal"/>
    <w:uiPriority w:val="34"/>
    <w:qFormat/>
    <w:rsid w:val="00916E5B"/>
    <w:pPr>
      <w:ind w:left="720"/>
      <w:contextualSpacing/>
    </w:pPr>
  </w:style>
  <w:style w:type="paragraph" w:styleId="BalloonText">
    <w:name w:val="Balloon Text"/>
    <w:basedOn w:val="Normal"/>
    <w:link w:val="BalloonTextChar"/>
    <w:uiPriority w:val="99"/>
    <w:semiHidden/>
    <w:unhideWhenUsed/>
    <w:rsid w:val="00404C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4C0B"/>
    <w:rPr>
      <w:rFonts w:ascii="Segoe UI" w:hAnsi="Segoe UI" w:cs="Segoe UI"/>
      <w:sz w:val="18"/>
      <w:szCs w:val="18"/>
    </w:rPr>
  </w:style>
  <w:style w:type="character" w:styleId="Hyperlink">
    <w:name w:val="Hyperlink"/>
    <w:basedOn w:val="DefaultParagraphFont"/>
    <w:uiPriority w:val="99"/>
    <w:unhideWhenUsed/>
    <w:rsid w:val="002C0236"/>
    <w:rPr>
      <w:rFonts w:cs="Times New Roman"/>
      <w:color w:val="0563C1" w:themeColor="hyperlink"/>
      <w:u w:val="single"/>
    </w:rPr>
  </w:style>
  <w:style w:type="character" w:customStyle="1" w:styleId="Heading2Char">
    <w:name w:val="Heading 2 Char"/>
    <w:basedOn w:val="DefaultParagraphFont"/>
    <w:link w:val="Heading2"/>
    <w:uiPriority w:val="1"/>
    <w:rsid w:val="003B145A"/>
    <w:rPr>
      <w:rFonts w:ascii="Carlito" w:eastAsia="Carlito" w:hAnsi="Carlito" w:cs="Carlito"/>
      <w:b/>
      <w:bCs/>
      <w:sz w:val="24"/>
      <w:szCs w:val="24"/>
      <w:lang w:val="en-US"/>
    </w:rPr>
  </w:style>
  <w:style w:type="paragraph" w:styleId="BodyText">
    <w:name w:val="Body Text"/>
    <w:basedOn w:val="Normal"/>
    <w:link w:val="BodyTextChar"/>
    <w:uiPriority w:val="1"/>
    <w:qFormat/>
    <w:rsid w:val="003B145A"/>
    <w:pPr>
      <w:widowControl w:val="0"/>
      <w:autoSpaceDE w:val="0"/>
      <w:autoSpaceDN w:val="0"/>
      <w:spacing w:after="0" w:line="240" w:lineRule="auto"/>
    </w:pPr>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uiPriority w:val="1"/>
    <w:rsid w:val="003B145A"/>
    <w:rPr>
      <w:rFonts w:ascii="Times New Roman" w:eastAsia="Times New Roman" w:hAnsi="Times New Roman" w:cs="Times New Roman"/>
      <w:b/>
      <w:bCs/>
      <w:sz w:val="24"/>
      <w:szCs w:val="24"/>
      <w:lang w:val="en-US"/>
    </w:rPr>
  </w:style>
  <w:style w:type="character" w:styleId="UnresolvedMention">
    <w:name w:val="Unresolved Mention"/>
    <w:basedOn w:val="DefaultParagraphFont"/>
    <w:uiPriority w:val="99"/>
    <w:semiHidden/>
    <w:unhideWhenUsed/>
    <w:rsid w:val="00B2279C"/>
    <w:rPr>
      <w:color w:val="605E5C"/>
      <w:shd w:val="clear" w:color="auto" w:fill="E1DFDD"/>
    </w:rPr>
  </w:style>
  <w:style w:type="table" w:styleId="TableGrid">
    <w:name w:val="Table Grid"/>
    <w:basedOn w:val="TableNormal"/>
    <w:uiPriority w:val="39"/>
    <w:rsid w:val="004E70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63978"/>
    <w:rPr>
      <w:rFonts w:asciiTheme="majorHAnsi" w:eastAsiaTheme="majorEastAsia" w:hAnsiTheme="majorHAnsi" w:cstheme="majorBidi"/>
      <w:color w:val="2F5496" w:themeColor="accent1" w:themeShade="BF"/>
      <w:sz w:val="32"/>
      <w:szCs w:val="32"/>
    </w:rPr>
  </w:style>
  <w:style w:type="character" w:styleId="Emphasis">
    <w:name w:val="Emphasis"/>
    <w:basedOn w:val="DefaultParagraphFont"/>
    <w:uiPriority w:val="20"/>
    <w:qFormat/>
    <w:rsid w:val="00FA61F0"/>
    <w:rPr>
      <w:i/>
      <w:iCs/>
    </w:rPr>
  </w:style>
  <w:style w:type="paragraph" w:styleId="Header">
    <w:name w:val="header"/>
    <w:basedOn w:val="Normal"/>
    <w:link w:val="HeaderChar"/>
    <w:uiPriority w:val="99"/>
    <w:unhideWhenUsed/>
    <w:rsid w:val="00A075A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75AA"/>
  </w:style>
  <w:style w:type="paragraph" w:styleId="Footer">
    <w:name w:val="footer"/>
    <w:basedOn w:val="Normal"/>
    <w:link w:val="FooterChar"/>
    <w:uiPriority w:val="99"/>
    <w:unhideWhenUsed/>
    <w:rsid w:val="00A075A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75AA"/>
  </w:style>
  <w:style w:type="paragraph" w:styleId="NoSpacing">
    <w:name w:val="No Spacing"/>
    <w:uiPriority w:val="1"/>
    <w:qFormat/>
    <w:rsid w:val="00B44C59"/>
    <w:pPr>
      <w:widowControl w:val="0"/>
      <w:wordWrap w:val="0"/>
      <w:autoSpaceDE w:val="0"/>
      <w:autoSpaceDN w:val="0"/>
      <w:spacing w:after="0" w:line="240" w:lineRule="auto"/>
      <w:jc w:val="both"/>
    </w:pPr>
    <w:rPr>
      <w:rFonts w:eastAsiaTheme="minorEastAsia"/>
      <w:kern w:val="2"/>
      <w:sz w:val="20"/>
      <w:lang w:val="en-US" w:eastAsia="ko-KR"/>
    </w:rPr>
  </w:style>
  <w:style w:type="table" w:styleId="LightList">
    <w:name w:val="Light List"/>
    <w:basedOn w:val="TableNormal"/>
    <w:uiPriority w:val="61"/>
    <w:semiHidden/>
    <w:unhideWhenUsed/>
    <w:rsid w:val="00B44C59"/>
    <w:pPr>
      <w:spacing w:after="0" w:line="240" w:lineRule="auto"/>
    </w:pPr>
    <w:rPr>
      <w:lang w:val="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Lines="0" w:before="0" w:beforeAutospacing="0" w:afterLines="0" w:after="0" w:afterAutospacing="0" w:line="240" w:lineRule="auto"/>
      </w:pPr>
      <w:rPr>
        <w:b/>
        <w:bCs/>
        <w:color w:val="FFFFFF" w:themeColor="background1"/>
      </w:rPr>
      <w:tblPr/>
      <w:tcPr>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LineNumber">
    <w:name w:val="line number"/>
    <w:basedOn w:val="DefaultParagraphFont"/>
    <w:uiPriority w:val="99"/>
    <w:semiHidden/>
    <w:unhideWhenUsed/>
    <w:rsid w:val="00110B2D"/>
  </w:style>
  <w:style w:type="character" w:styleId="Strong">
    <w:name w:val="Strong"/>
    <w:basedOn w:val="DefaultParagraphFont"/>
    <w:uiPriority w:val="22"/>
    <w:qFormat/>
    <w:rsid w:val="000956CB"/>
    <w:rPr>
      <w:b/>
      <w:bCs/>
    </w:rPr>
  </w:style>
  <w:style w:type="character" w:customStyle="1" w:styleId="Heading3Char">
    <w:name w:val="Heading 3 Char"/>
    <w:basedOn w:val="DefaultParagraphFont"/>
    <w:link w:val="Heading3"/>
    <w:uiPriority w:val="9"/>
    <w:semiHidden/>
    <w:rsid w:val="008C1227"/>
    <w:rPr>
      <w:rFonts w:asciiTheme="majorHAnsi" w:eastAsiaTheme="majorEastAsia" w:hAnsiTheme="majorHAnsi" w:cstheme="majorBidi"/>
      <w:color w:val="1F3763" w:themeColor="accent1" w:themeShade="7F"/>
      <w:sz w:val="24"/>
      <w:szCs w:val="24"/>
    </w:rPr>
  </w:style>
  <w:style w:type="paragraph" w:customStyle="1" w:styleId="ParaText">
    <w:name w:val="Para_Text"/>
    <w:link w:val="ParaTextChar"/>
    <w:rsid w:val="00E76007"/>
    <w:pPr>
      <w:spacing w:before="120" w:after="0" w:line="240" w:lineRule="auto"/>
      <w:ind w:firstLine="360"/>
    </w:pPr>
    <w:rPr>
      <w:rFonts w:ascii="Times New Roman" w:eastAsia="Times New Roman" w:hAnsi="Times New Roman" w:cs="Times New Roman"/>
      <w:sz w:val="24"/>
      <w:szCs w:val="20"/>
      <w:lang w:val="en-US"/>
    </w:rPr>
  </w:style>
  <w:style w:type="character" w:customStyle="1" w:styleId="ParaTextChar">
    <w:name w:val="Para_Text Char"/>
    <w:basedOn w:val="DefaultParagraphFont"/>
    <w:link w:val="ParaText"/>
    <w:rsid w:val="00E76007"/>
    <w:rPr>
      <w:rFonts w:ascii="Times New Roman" w:eastAsia="Times New Roman" w:hAnsi="Times New Roman" w:cs="Times New Roman"/>
      <w:sz w:val="24"/>
      <w:szCs w:val="20"/>
      <w:lang w:val="en-US"/>
    </w:rPr>
  </w:style>
  <w:style w:type="character" w:styleId="FollowedHyperlink">
    <w:name w:val="FollowedHyperlink"/>
    <w:basedOn w:val="DefaultParagraphFont"/>
    <w:uiPriority w:val="99"/>
    <w:semiHidden/>
    <w:unhideWhenUsed/>
    <w:rsid w:val="00647364"/>
    <w:rPr>
      <w:color w:val="954F72" w:themeColor="followedHyperlink"/>
      <w:u w:val="single"/>
    </w:rPr>
  </w:style>
  <w:style w:type="character" w:styleId="CommentReference">
    <w:name w:val="annotation reference"/>
    <w:basedOn w:val="DefaultParagraphFont"/>
    <w:uiPriority w:val="99"/>
    <w:rsid w:val="000F3DF7"/>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 w:type="paragraph" w:styleId="HTMLPreformatted">
    <w:name w:val="HTML Preformatted"/>
    <w:basedOn w:val="Normal"/>
    <w:link w:val="HTMLPreformattedChar"/>
    <w:uiPriority w:val="99"/>
    <w:semiHidden/>
    <w:unhideWhenUsed/>
    <w:rsid w:val="00A93AD6"/>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A93AD6"/>
    <w:rPr>
      <w:rFonts w:ascii="Consolas" w:hAnsi="Consola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64949">
      <w:bodyDiv w:val="1"/>
      <w:marLeft w:val="0"/>
      <w:marRight w:val="0"/>
      <w:marTop w:val="0"/>
      <w:marBottom w:val="0"/>
      <w:divBdr>
        <w:top w:val="none" w:sz="0" w:space="0" w:color="auto"/>
        <w:left w:val="none" w:sz="0" w:space="0" w:color="auto"/>
        <w:bottom w:val="none" w:sz="0" w:space="0" w:color="auto"/>
        <w:right w:val="none" w:sz="0" w:space="0" w:color="auto"/>
      </w:divBdr>
    </w:div>
    <w:div w:id="53894104">
      <w:bodyDiv w:val="1"/>
      <w:marLeft w:val="0"/>
      <w:marRight w:val="0"/>
      <w:marTop w:val="0"/>
      <w:marBottom w:val="0"/>
      <w:divBdr>
        <w:top w:val="none" w:sz="0" w:space="0" w:color="auto"/>
        <w:left w:val="none" w:sz="0" w:space="0" w:color="auto"/>
        <w:bottom w:val="none" w:sz="0" w:space="0" w:color="auto"/>
        <w:right w:val="none" w:sz="0" w:space="0" w:color="auto"/>
      </w:divBdr>
    </w:div>
    <w:div w:id="80566060">
      <w:bodyDiv w:val="1"/>
      <w:marLeft w:val="0"/>
      <w:marRight w:val="0"/>
      <w:marTop w:val="0"/>
      <w:marBottom w:val="0"/>
      <w:divBdr>
        <w:top w:val="none" w:sz="0" w:space="0" w:color="auto"/>
        <w:left w:val="none" w:sz="0" w:space="0" w:color="auto"/>
        <w:bottom w:val="none" w:sz="0" w:space="0" w:color="auto"/>
        <w:right w:val="none" w:sz="0" w:space="0" w:color="auto"/>
      </w:divBdr>
      <w:divsChild>
        <w:div w:id="1831367615">
          <w:marLeft w:val="0"/>
          <w:marRight w:val="0"/>
          <w:marTop w:val="0"/>
          <w:marBottom w:val="0"/>
          <w:divBdr>
            <w:top w:val="none" w:sz="0" w:space="0" w:color="auto"/>
            <w:left w:val="none" w:sz="0" w:space="0" w:color="auto"/>
            <w:bottom w:val="none" w:sz="0" w:space="0" w:color="auto"/>
            <w:right w:val="none" w:sz="0" w:space="0" w:color="auto"/>
          </w:divBdr>
        </w:div>
      </w:divsChild>
    </w:div>
    <w:div w:id="114058693">
      <w:bodyDiv w:val="1"/>
      <w:marLeft w:val="0"/>
      <w:marRight w:val="0"/>
      <w:marTop w:val="0"/>
      <w:marBottom w:val="0"/>
      <w:divBdr>
        <w:top w:val="none" w:sz="0" w:space="0" w:color="auto"/>
        <w:left w:val="none" w:sz="0" w:space="0" w:color="auto"/>
        <w:bottom w:val="none" w:sz="0" w:space="0" w:color="auto"/>
        <w:right w:val="none" w:sz="0" w:space="0" w:color="auto"/>
      </w:divBdr>
    </w:div>
    <w:div w:id="116458738">
      <w:bodyDiv w:val="1"/>
      <w:marLeft w:val="0"/>
      <w:marRight w:val="0"/>
      <w:marTop w:val="0"/>
      <w:marBottom w:val="0"/>
      <w:divBdr>
        <w:top w:val="none" w:sz="0" w:space="0" w:color="auto"/>
        <w:left w:val="none" w:sz="0" w:space="0" w:color="auto"/>
        <w:bottom w:val="none" w:sz="0" w:space="0" w:color="auto"/>
        <w:right w:val="none" w:sz="0" w:space="0" w:color="auto"/>
      </w:divBdr>
    </w:div>
    <w:div w:id="131026787">
      <w:bodyDiv w:val="1"/>
      <w:marLeft w:val="0"/>
      <w:marRight w:val="0"/>
      <w:marTop w:val="0"/>
      <w:marBottom w:val="0"/>
      <w:divBdr>
        <w:top w:val="none" w:sz="0" w:space="0" w:color="auto"/>
        <w:left w:val="none" w:sz="0" w:space="0" w:color="auto"/>
        <w:bottom w:val="none" w:sz="0" w:space="0" w:color="auto"/>
        <w:right w:val="none" w:sz="0" w:space="0" w:color="auto"/>
      </w:divBdr>
    </w:div>
    <w:div w:id="187838593">
      <w:bodyDiv w:val="1"/>
      <w:marLeft w:val="0"/>
      <w:marRight w:val="0"/>
      <w:marTop w:val="0"/>
      <w:marBottom w:val="0"/>
      <w:divBdr>
        <w:top w:val="none" w:sz="0" w:space="0" w:color="auto"/>
        <w:left w:val="none" w:sz="0" w:space="0" w:color="auto"/>
        <w:bottom w:val="none" w:sz="0" w:space="0" w:color="auto"/>
        <w:right w:val="none" w:sz="0" w:space="0" w:color="auto"/>
      </w:divBdr>
    </w:div>
    <w:div w:id="264923398">
      <w:bodyDiv w:val="1"/>
      <w:marLeft w:val="0"/>
      <w:marRight w:val="0"/>
      <w:marTop w:val="0"/>
      <w:marBottom w:val="0"/>
      <w:divBdr>
        <w:top w:val="none" w:sz="0" w:space="0" w:color="auto"/>
        <w:left w:val="none" w:sz="0" w:space="0" w:color="auto"/>
        <w:bottom w:val="none" w:sz="0" w:space="0" w:color="auto"/>
        <w:right w:val="none" w:sz="0" w:space="0" w:color="auto"/>
      </w:divBdr>
    </w:div>
    <w:div w:id="274217520">
      <w:bodyDiv w:val="1"/>
      <w:marLeft w:val="0"/>
      <w:marRight w:val="0"/>
      <w:marTop w:val="0"/>
      <w:marBottom w:val="0"/>
      <w:divBdr>
        <w:top w:val="none" w:sz="0" w:space="0" w:color="auto"/>
        <w:left w:val="none" w:sz="0" w:space="0" w:color="auto"/>
        <w:bottom w:val="none" w:sz="0" w:space="0" w:color="auto"/>
        <w:right w:val="none" w:sz="0" w:space="0" w:color="auto"/>
      </w:divBdr>
    </w:div>
    <w:div w:id="398796230">
      <w:bodyDiv w:val="1"/>
      <w:marLeft w:val="0"/>
      <w:marRight w:val="0"/>
      <w:marTop w:val="0"/>
      <w:marBottom w:val="0"/>
      <w:divBdr>
        <w:top w:val="none" w:sz="0" w:space="0" w:color="auto"/>
        <w:left w:val="none" w:sz="0" w:space="0" w:color="auto"/>
        <w:bottom w:val="none" w:sz="0" w:space="0" w:color="auto"/>
        <w:right w:val="none" w:sz="0" w:space="0" w:color="auto"/>
      </w:divBdr>
    </w:div>
    <w:div w:id="465664045">
      <w:bodyDiv w:val="1"/>
      <w:marLeft w:val="0"/>
      <w:marRight w:val="0"/>
      <w:marTop w:val="0"/>
      <w:marBottom w:val="0"/>
      <w:divBdr>
        <w:top w:val="none" w:sz="0" w:space="0" w:color="auto"/>
        <w:left w:val="none" w:sz="0" w:space="0" w:color="auto"/>
        <w:bottom w:val="none" w:sz="0" w:space="0" w:color="auto"/>
        <w:right w:val="none" w:sz="0" w:space="0" w:color="auto"/>
      </w:divBdr>
      <w:divsChild>
        <w:div w:id="59208846">
          <w:marLeft w:val="0"/>
          <w:marRight w:val="0"/>
          <w:marTop w:val="0"/>
          <w:marBottom w:val="0"/>
          <w:divBdr>
            <w:top w:val="none" w:sz="0" w:space="0" w:color="auto"/>
            <w:left w:val="none" w:sz="0" w:space="0" w:color="auto"/>
            <w:bottom w:val="none" w:sz="0" w:space="0" w:color="auto"/>
            <w:right w:val="none" w:sz="0" w:space="0" w:color="auto"/>
          </w:divBdr>
        </w:div>
      </w:divsChild>
    </w:div>
    <w:div w:id="489247806">
      <w:bodyDiv w:val="1"/>
      <w:marLeft w:val="0"/>
      <w:marRight w:val="0"/>
      <w:marTop w:val="0"/>
      <w:marBottom w:val="0"/>
      <w:divBdr>
        <w:top w:val="none" w:sz="0" w:space="0" w:color="auto"/>
        <w:left w:val="none" w:sz="0" w:space="0" w:color="auto"/>
        <w:bottom w:val="none" w:sz="0" w:space="0" w:color="auto"/>
        <w:right w:val="none" w:sz="0" w:space="0" w:color="auto"/>
      </w:divBdr>
    </w:div>
    <w:div w:id="619604751">
      <w:bodyDiv w:val="1"/>
      <w:marLeft w:val="0"/>
      <w:marRight w:val="0"/>
      <w:marTop w:val="0"/>
      <w:marBottom w:val="0"/>
      <w:divBdr>
        <w:top w:val="none" w:sz="0" w:space="0" w:color="auto"/>
        <w:left w:val="none" w:sz="0" w:space="0" w:color="auto"/>
        <w:bottom w:val="none" w:sz="0" w:space="0" w:color="auto"/>
        <w:right w:val="none" w:sz="0" w:space="0" w:color="auto"/>
      </w:divBdr>
    </w:div>
    <w:div w:id="638921777">
      <w:bodyDiv w:val="1"/>
      <w:marLeft w:val="0"/>
      <w:marRight w:val="0"/>
      <w:marTop w:val="0"/>
      <w:marBottom w:val="0"/>
      <w:divBdr>
        <w:top w:val="none" w:sz="0" w:space="0" w:color="auto"/>
        <w:left w:val="none" w:sz="0" w:space="0" w:color="auto"/>
        <w:bottom w:val="none" w:sz="0" w:space="0" w:color="auto"/>
        <w:right w:val="none" w:sz="0" w:space="0" w:color="auto"/>
      </w:divBdr>
    </w:div>
    <w:div w:id="646977910">
      <w:bodyDiv w:val="1"/>
      <w:marLeft w:val="0"/>
      <w:marRight w:val="0"/>
      <w:marTop w:val="0"/>
      <w:marBottom w:val="0"/>
      <w:divBdr>
        <w:top w:val="none" w:sz="0" w:space="0" w:color="auto"/>
        <w:left w:val="none" w:sz="0" w:space="0" w:color="auto"/>
        <w:bottom w:val="none" w:sz="0" w:space="0" w:color="auto"/>
        <w:right w:val="none" w:sz="0" w:space="0" w:color="auto"/>
      </w:divBdr>
    </w:div>
    <w:div w:id="649940806">
      <w:bodyDiv w:val="1"/>
      <w:marLeft w:val="0"/>
      <w:marRight w:val="0"/>
      <w:marTop w:val="0"/>
      <w:marBottom w:val="0"/>
      <w:divBdr>
        <w:top w:val="none" w:sz="0" w:space="0" w:color="auto"/>
        <w:left w:val="none" w:sz="0" w:space="0" w:color="auto"/>
        <w:bottom w:val="none" w:sz="0" w:space="0" w:color="auto"/>
        <w:right w:val="none" w:sz="0" w:space="0" w:color="auto"/>
      </w:divBdr>
    </w:div>
    <w:div w:id="693270954">
      <w:bodyDiv w:val="1"/>
      <w:marLeft w:val="0"/>
      <w:marRight w:val="0"/>
      <w:marTop w:val="0"/>
      <w:marBottom w:val="0"/>
      <w:divBdr>
        <w:top w:val="none" w:sz="0" w:space="0" w:color="auto"/>
        <w:left w:val="none" w:sz="0" w:space="0" w:color="auto"/>
        <w:bottom w:val="none" w:sz="0" w:space="0" w:color="auto"/>
        <w:right w:val="none" w:sz="0" w:space="0" w:color="auto"/>
      </w:divBdr>
    </w:div>
    <w:div w:id="697857497">
      <w:bodyDiv w:val="1"/>
      <w:marLeft w:val="0"/>
      <w:marRight w:val="0"/>
      <w:marTop w:val="0"/>
      <w:marBottom w:val="0"/>
      <w:divBdr>
        <w:top w:val="none" w:sz="0" w:space="0" w:color="auto"/>
        <w:left w:val="none" w:sz="0" w:space="0" w:color="auto"/>
        <w:bottom w:val="none" w:sz="0" w:space="0" w:color="auto"/>
        <w:right w:val="none" w:sz="0" w:space="0" w:color="auto"/>
      </w:divBdr>
      <w:divsChild>
        <w:div w:id="1514418943">
          <w:marLeft w:val="0"/>
          <w:marRight w:val="0"/>
          <w:marTop w:val="0"/>
          <w:marBottom w:val="0"/>
          <w:divBdr>
            <w:top w:val="none" w:sz="0" w:space="0" w:color="auto"/>
            <w:left w:val="none" w:sz="0" w:space="0" w:color="auto"/>
            <w:bottom w:val="none" w:sz="0" w:space="0" w:color="auto"/>
            <w:right w:val="none" w:sz="0" w:space="0" w:color="auto"/>
          </w:divBdr>
        </w:div>
        <w:div w:id="1513183923">
          <w:marLeft w:val="0"/>
          <w:marRight w:val="0"/>
          <w:marTop w:val="150"/>
          <w:marBottom w:val="0"/>
          <w:divBdr>
            <w:top w:val="none" w:sz="0" w:space="0" w:color="auto"/>
            <w:left w:val="none" w:sz="0" w:space="0" w:color="auto"/>
            <w:bottom w:val="none" w:sz="0" w:space="0" w:color="auto"/>
            <w:right w:val="none" w:sz="0" w:space="0" w:color="auto"/>
          </w:divBdr>
          <w:divsChild>
            <w:div w:id="192206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204634">
      <w:bodyDiv w:val="1"/>
      <w:marLeft w:val="0"/>
      <w:marRight w:val="0"/>
      <w:marTop w:val="0"/>
      <w:marBottom w:val="0"/>
      <w:divBdr>
        <w:top w:val="none" w:sz="0" w:space="0" w:color="auto"/>
        <w:left w:val="none" w:sz="0" w:space="0" w:color="auto"/>
        <w:bottom w:val="none" w:sz="0" w:space="0" w:color="auto"/>
        <w:right w:val="none" w:sz="0" w:space="0" w:color="auto"/>
      </w:divBdr>
    </w:div>
    <w:div w:id="764230421">
      <w:bodyDiv w:val="1"/>
      <w:marLeft w:val="0"/>
      <w:marRight w:val="0"/>
      <w:marTop w:val="0"/>
      <w:marBottom w:val="0"/>
      <w:divBdr>
        <w:top w:val="none" w:sz="0" w:space="0" w:color="auto"/>
        <w:left w:val="none" w:sz="0" w:space="0" w:color="auto"/>
        <w:bottom w:val="none" w:sz="0" w:space="0" w:color="auto"/>
        <w:right w:val="none" w:sz="0" w:space="0" w:color="auto"/>
      </w:divBdr>
      <w:divsChild>
        <w:div w:id="82916353">
          <w:marLeft w:val="0"/>
          <w:marRight w:val="0"/>
          <w:marTop w:val="0"/>
          <w:marBottom w:val="0"/>
          <w:divBdr>
            <w:top w:val="none" w:sz="0" w:space="0" w:color="auto"/>
            <w:left w:val="none" w:sz="0" w:space="0" w:color="auto"/>
            <w:bottom w:val="none" w:sz="0" w:space="0" w:color="auto"/>
            <w:right w:val="none" w:sz="0" w:space="0" w:color="auto"/>
          </w:divBdr>
        </w:div>
      </w:divsChild>
    </w:div>
    <w:div w:id="834419123">
      <w:bodyDiv w:val="1"/>
      <w:marLeft w:val="0"/>
      <w:marRight w:val="0"/>
      <w:marTop w:val="0"/>
      <w:marBottom w:val="0"/>
      <w:divBdr>
        <w:top w:val="none" w:sz="0" w:space="0" w:color="auto"/>
        <w:left w:val="none" w:sz="0" w:space="0" w:color="auto"/>
        <w:bottom w:val="none" w:sz="0" w:space="0" w:color="auto"/>
        <w:right w:val="none" w:sz="0" w:space="0" w:color="auto"/>
      </w:divBdr>
    </w:div>
    <w:div w:id="865873353">
      <w:bodyDiv w:val="1"/>
      <w:marLeft w:val="0"/>
      <w:marRight w:val="0"/>
      <w:marTop w:val="0"/>
      <w:marBottom w:val="0"/>
      <w:divBdr>
        <w:top w:val="none" w:sz="0" w:space="0" w:color="auto"/>
        <w:left w:val="none" w:sz="0" w:space="0" w:color="auto"/>
        <w:bottom w:val="none" w:sz="0" w:space="0" w:color="auto"/>
        <w:right w:val="none" w:sz="0" w:space="0" w:color="auto"/>
      </w:divBdr>
      <w:divsChild>
        <w:div w:id="227226392">
          <w:marLeft w:val="0"/>
          <w:marRight w:val="0"/>
          <w:marTop w:val="0"/>
          <w:marBottom w:val="0"/>
          <w:divBdr>
            <w:top w:val="none" w:sz="0" w:space="0" w:color="auto"/>
            <w:left w:val="none" w:sz="0" w:space="0" w:color="auto"/>
            <w:bottom w:val="none" w:sz="0" w:space="0" w:color="auto"/>
            <w:right w:val="none" w:sz="0" w:space="0" w:color="auto"/>
          </w:divBdr>
        </w:div>
      </w:divsChild>
    </w:div>
    <w:div w:id="1080754520">
      <w:bodyDiv w:val="1"/>
      <w:marLeft w:val="0"/>
      <w:marRight w:val="0"/>
      <w:marTop w:val="0"/>
      <w:marBottom w:val="0"/>
      <w:divBdr>
        <w:top w:val="none" w:sz="0" w:space="0" w:color="auto"/>
        <w:left w:val="none" w:sz="0" w:space="0" w:color="auto"/>
        <w:bottom w:val="none" w:sz="0" w:space="0" w:color="auto"/>
        <w:right w:val="none" w:sz="0" w:space="0" w:color="auto"/>
      </w:divBdr>
    </w:div>
    <w:div w:id="1100485535">
      <w:bodyDiv w:val="1"/>
      <w:marLeft w:val="0"/>
      <w:marRight w:val="0"/>
      <w:marTop w:val="0"/>
      <w:marBottom w:val="0"/>
      <w:divBdr>
        <w:top w:val="none" w:sz="0" w:space="0" w:color="auto"/>
        <w:left w:val="none" w:sz="0" w:space="0" w:color="auto"/>
        <w:bottom w:val="none" w:sz="0" w:space="0" w:color="auto"/>
        <w:right w:val="none" w:sz="0" w:space="0" w:color="auto"/>
      </w:divBdr>
    </w:div>
    <w:div w:id="1107507318">
      <w:bodyDiv w:val="1"/>
      <w:marLeft w:val="0"/>
      <w:marRight w:val="0"/>
      <w:marTop w:val="0"/>
      <w:marBottom w:val="0"/>
      <w:divBdr>
        <w:top w:val="none" w:sz="0" w:space="0" w:color="auto"/>
        <w:left w:val="none" w:sz="0" w:space="0" w:color="auto"/>
        <w:bottom w:val="none" w:sz="0" w:space="0" w:color="auto"/>
        <w:right w:val="none" w:sz="0" w:space="0" w:color="auto"/>
      </w:divBdr>
    </w:div>
    <w:div w:id="1108157023">
      <w:bodyDiv w:val="1"/>
      <w:marLeft w:val="0"/>
      <w:marRight w:val="0"/>
      <w:marTop w:val="0"/>
      <w:marBottom w:val="0"/>
      <w:divBdr>
        <w:top w:val="none" w:sz="0" w:space="0" w:color="auto"/>
        <w:left w:val="none" w:sz="0" w:space="0" w:color="auto"/>
        <w:bottom w:val="none" w:sz="0" w:space="0" w:color="auto"/>
        <w:right w:val="none" w:sz="0" w:space="0" w:color="auto"/>
      </w:divBdr>
    </w:div>
    <w:div w:id="1133517653">
      <w:bodyDiv w:val="1"/>
      <w:marLeft w:val="0"/>
      <w:marRight w:val="0"/>
      <w:marTop w:val="0"/>
      <w:marBottom w:val="0"/>
      <w:divBdr>
        <w:top w:val="none" w:sz="0" w:space="0" w:color="auto"/>
        <w:left w:val="none" w:sz="0" w:space="0" w:color="auto"/>
        <w:bottom w:val="none" w:sz="0" w:space="0" w:color="auto"/>
        <w:right w:val="none" w:sz="0" w:space="0" w:color="auto"/>
      </w:divBdr>
      <w:divsChild>
        <w:div w:id="180241022">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139227783">
      <w:bodyDiv w:val="1"/>
      <w:marLeft w:val="0"/>
      <w:marRight w:val="0"/>
      <w:marTop w:val="0"/>
      <w:marBottom w:val="0"/>
      <w:divBdr>
        <w:top w:val="none" w:sz="0" w:space="0" w:color="auto"/>
        <w:left w:val="none" w:sz="0" w:space="0" w:color="auto"/>
        <w:bottom w:val="none" w:sz="0" w:space="0" w:color="auto"/>
        <w:right w:val="none" w:sz="0" w:space="0" w:color="auto"/>
      </w:divBdr>
    </w:div>
    <w:div w:id="1159152987">
      <w:bodyDiv w:val="1"/>
      <w:marLeft w:val="0"/>
      <w:marRight w:val="0"/>
      <w:marTop w:val="0"/>
      <w:marBottom w:val="0"/>
      <w:divBdr>
        <w:top w:val="none" w:sz="0" w:space="0" w:color="auto"/>
        <w:left w:val="none" w:sz="0" w:space="0" w:color="auto"/>
        <w:bottom w:val="none" w:sz="0" w:space="0" w:color="auto"/>
        <w:right w:val="none" w:sz="0" w:space="0" w:color="auto"/>
      </w:divBdr>
    </w:div>
    <w:div w:id="1161119496">
      <w:bodyDiv w:val="1"/>
      <w:marLeft w:val="0"/>
      <w:marRight w:val="0"/>
      <w:marTop w:val="0"/>
      <w:marBottom w:val="0"/>
      <w:divBdr>
        <w:top w:val="none" w:sz="0" w:space="0" w:color="auto"/>
        <w:left w:val="none" w:sz="0" w:space="0" w:color="auto"/>
        <w:bottom w:val="none" w:sz="0" w:space="0" w:color="auto"/>
        <w:right w:val="none" w:sz="0" w:space="0" w:color="auto"/>
      </w:divBdr>
    </w:div>
    <w:div w:id="1220552713">
      <w:bodyDiv w:val="1"/>
      <w:marLeft w:val="0"/>
      <w:marRight w:val="0"/>
      <w:marTop w:val="0"/>
      <w:marBottom w:val="0"/>
      <w:divBdr>
        <w:top w:val="none" w:sz="0" w:space="0" w:color="auto"/>
        <w:left w:val="none" w:sz="0" w:space="0" w:color="auto"/>
        <w:bottom w:val="none" w:sz="0" w:space="0" w:color="auto"/>
        <w:right w:val="none" w:sz="0" w:space="0" w:color="auto"/>
      </w:divBdr>
    </w:div>
    <w:div w:id="1317687723">
      <w:bodyDiv w:val="1"/>
      <w:marLeft w:val="0"/>
      <w:marRight w:val="0"/>
      <w:marTop w:val="0"/>
      <w:marBottom w:val="0"/>
      <w:divBdr>
        <w:top w:val="none" w:sz="0" w:space="0" w:color="auto"/>
        <w:left w:val="none" w:sz="0" w:space="0" w:color="auto"/>
        <w:bottom w:val="none" w:sz="0" w:space="0" w:color="auto"/>
        <w:right w:val="none" w:sz="0" w:space="0" w:color="auto"/>
      </w:divBdr>
    </w:div>
    <w:div w:id="1341466397">
      <w:bodyDiv w:val="1"/>
      <w:marLeft w:val="0"/>
      <w:marRight w:val="0"/>
      <w:marTop w:val="0"/>
      <w:marBottom w:val="0"/>
      <w:divBdr>
        <w:top w:val="none" w:sz="0" w:space="0" w:color="auto"/>
        <w:left w:val="none" w:sz="0" w:space="0" w:color="auto"/>
        <w:bottom w:val="none" w:sz="0" w:space="0" w:color="auto"/>
        <w:right w:val="none" w:sz="0" w:space="0" w:color="auto"/>
      </w:divBdr>
    </w:div>
    <w:div w:id="1404403489">
      <w:bodyDiv w:val="1"/>
      <w:marLeft w:val="0"/>
      <w:marRight w:val="0"/>
      <w:marTop w:val="0"/>
      <w:marBottom w:val="0"/>
      <w:divBdr>
        <w:top w:val="none" w:sz="0" w:space="0" w:color="auto"/>
        <w:left w:val="none" w:sz="0" w:space="0" w:color="auto"/>
        <w:bottom w:val="none" w:sz="0" w:space="0" w:color="auto"/>
        <w:right w:val="none" w:sz="0" w:space="0" w:color="auto"/>
      </w:divBdr>
    </w:div>
    <w:div w:id="1480490410">
      <w:bodyDiv w:val="1"/>
      <w:marLeft w:val="0"/>
      <w:marRight w:val="0"/>
      <w:marTop w:val="0"/>
      <w:marBottom w:val="0"/>
      <w:divBdr>
        <w:top w:val="none" w:sz="0" w:space="0" w:color="auto"/>
        <w:left w:val="none" w:sz="0" w:space="0" w:color="auto"/>
        <w:bottom w:val="none" w:sz="0" w:space="0" w:color="auto"/>
        <w:right w:val="none" w:sz="0" w:space="0" w:color="auto"/>
      </w:divBdr>
    </w:div>
    <w:div w:id="1490100311">
      <w:bodyDiv w:val="1"/>
      <w:marLeft w:val="0"/>
      <w:marRight w:val="0"/>
      <w:marTop w:val="0"/>
      <w:marBottom w:val="0"/>
      <w:divBdr>
        <w:top w:val="none" w:sz="0" w:space="0" w:color="auto"/>
        <w:left w:val="none" w:sz="0" w:space="0" w:color="auto"/>
        <w:bottom w:val="none" w:sz="0" w:space="0" w:color="auto"/>
        <w:right w:val="none" w:sz="0" w:space="0" w:color="auto"/>
      </w:divBdr>
    </w:div>
    <w:div w:id="1575971913">
      <w:bodyDiv w:val="1"/>
      <w:marLeft w:val="0"/>
      <w:marRight w:val="0"/>
      <w:marTop w:val="0"/>
      <w:marBottom w:val="0"/>
      <w:divBdr>
        <w:top w:val="none" w:sz="0" w:space="0" w:color="auto"/>
        <w:left w:val="none" w:sz="0" w:space="0" w:color="auto"/>
        <w:bottom w:val="none" w:sz="0" w:space="0" w:color="auto"/>
        <w:right w:val="none" w:sz="0" w:space="0" w:color="auto"/>
      </w:divBdr>
    </w:div>
    <w:div w:id="1586763157">
      <w:bodyDiv w:val="1"/>
      <w:marLeft w:val="0"/>
      <w:marRight w:val="0"/>
      <w:marTop w:val="0"/>
      <w:marBottom w:val="0"/>
      <w:divBdr>
        <w:top w:val="none" w:sz="0" w:space="0" w:color="auto"/>
        <w:left w:val="none" w:sz="0" w:space="0" w:color="auto"/>
        <w:bottom w:val="none" w:sz="0" w:space="0" w:color="auto"/>
        <w:right w:val="none" w:sz="0" w:space="0" w:color="auto"/>
      </w:divBdr>
    </w:div>
    <w:div w:id="1682388006">
      <w:bodyDiv w:val="1"/>
      <w:marLeft w:val="0"/>
      <w:marRight w:val="0"/>
      <w:marTop w:val="0"/>
      <w:marBottom w:val="0"/>
      <w:divBdr>
        <w:top w:val="none" w:sz="0" w:space="0" w:color="auto"/>
        <w:left w:val="none" w:sz="0" w:space="0" w:color="auto"/>
        <w:bottom w:val="none" w:sz="0" w:space="0" w:color="auto"/>
        <w:right w:val="none" w:sz="0" w:space="0" w:color="auto"/>
      </w:divBdr>
    </w:div>
    <w:div w:id="1715423037">
      <w:bodyDiv w:val="1"/>
      <w:marLeft w:val="0"/>
      <w:marRight w:val="0"/>
      <w:marTop w:val="0"/>
      <w:marBottom w:val="0"/>
      <w:divBdr>
        <w:top w:val="none" w:sz="0" w:space="0" w:color="auto"/>
        <w:left w:val="none" w:sz="0" w:space="0" w:color="auto"/>
        <w:bottom w:val="none" w:sz="0" w:space="0" w:color="auto"/>
        <w:right w:val="none" w:sz="0" w:space="0" w:color="auto"/>
      </w:divBdr>
    </w:div>
    <w:div w:id="1763911399">
      <w:bodyDiv w:val="1"/>
      <w:marLeft w:val="0"/>
      <w:marRight w:val="0"/>
      <w:marTop w:val="0"/>
      <w:marBottom w:val="0"/>
      <w:divBdr>
        <w:top w:val="none" w:sz="0" w:space="0" w:color="auto"/>
        <w:left w:val="none" w:sz="0" w:space="0" w:color="auto"/>
        <w:bottom w:val="none" w:sz="0" w:space="0" w:color="auto"/>
        <w:right w:val="none" w:sz="0" w:space="0" w:color="auto"/>
      </w:divBdr>
    </w:div>
    <w:div w:id="1785419450">
      <w:bodyDiv w:val="1"/>
      <w:marLeft w:val="0"/>
      <w:marRight w:val="0"/>
      <w:marTop w:val="0"/>
      <w:marBottom w:val="0"/>
      <w:divBdr>
        <w:top w:val="none" w:sz="0" w:space="0" w:color="auto"/>
        <w:left w:val="none" w:sz="0" w:space="0" w:color="auto"/>
        <w:bottom w:val="none" w:sz="0" w:space="0" w:color="auto"/>
        <w:right w:val="none" w:sz="0" w:space="0" w:color="auto"/>
      </w:divBdr>
      <w:divsChild>
        <w:div w:id="1729182706">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803115084">
      <w:bodyDiv w:val="1"/>
      <w:marLeft w:val="0"/>
      <w:marRight w:val="0"/>
      <w:marTop w:val="0"/>
      <w:marBottom w:val="0"/>
      <w:divBdr>
        <w:top w:val="none" w:sz="0" w:space="0" w:color="auto"/>
        <w:left w:val="none" w:sz="0" w:space="0" w:color="auto"/>
        <w:bottom w:val="none" w:sz="0" w:space="0" w:color="auto"/>
        <w:right w:val="none" w:sz="0" w:space="0" w:color="auto"/>
      </w:divBdr>
    </w:div>
    <w:div w:id="1909655154">
      <w:bodyDiv w:val="1"/>
      <w:marLeft w:val="0"/>
      <w:marRight w:val="0"/>
      <w:marTop w:val="0"/>
      <w:marBottom w:val="0"/>
      <w:divBdr>
        <w:top w:val="none" w:sz="0" w:space="0" w:color="auto"/>
        <w:left w:val="none" w:sz="0" w:space="0" w:color="auto"/>
        <w:bottom w:val="none" w:sz="0" w:space="0" w:color="auto"/>
        <w:right w:val="none" w:sz="0" w:space="0" w:color="auto"/>
      </w:divBdr>
    </w:div>
    <w:div w:id="1917595231">
      <w:bodyDiv w:val="1"/>
      <w:marLeft w:val="0"/>
      <w:marRight w:val="0"/>
      <w:marTop w:val="0"/>
      <w:marBottom w:val="0"/>
      <w:divBdr>
        <w:top w:val="none" w:sz="0" w:space="0" w:color="auto"/>
        <w:left w:val="none" w:sz="0" w:space="0" w:color="auto"/>
        <w:bottom w:val="none" w:sz="0" w:space="0" w:color="auto"/>
        <w:right w:val="none" w:sz="0" w:space="0" w:color="auto"/>
      </w:divBdr>
    </w:div>
    <w:div w:id="198057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2D06A5E-527C-4B63-B05F-4FA1A2F367A6}">
  <we:reference id="wa200000368" version="1.0.0.0" store="en-US" storeType="omex"/>
  <we:alternateReferences>
    <we:reference id="WA200000368" version="1.0.0.0" store="WA20000036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ABFB4-5B9B-4682-9EDD-B5E099F131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667</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Abhinandan</dc:creator>
  <cp:lastModifiedBy>Trupti Sudge</cp:lastModifiedBy>
  <cp:revision>2</cp:revision>
  <cp:lastPrinted>2025-01-24T12:21:00Z</cp:lastPrinted>
  <dcterms:created xsi:type="dcterms:W3CDTF">2025-03-07T10:20:00Z</dcterms:created>
  <dcterms:modified xsi:type="dcterms:W3CDTF">2025-03-07T10:20:00Z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08b5ab79fa545ddeec974c526b3958e53b415a8aa350cff512ea876fb80c799d</vt:lpwstr>
  </property>
  <property fmtid="{D5CDD505-2E9C-101B-9397-08002B2CF9AE}" pid="3" name="LE1">
    <vt:filetime>2024-12-17T11:50:39Z</vt:filetime>
  </property>
</Properties>
</file>