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B8D82" w14:textId="77777777" w:rsidR="00C35DD7" w:rsidRDefault="00C35DD7" w:rsidP="00C35DD7">
      <w:pPr>
        <w:spacing w:beforeLines="100" w:before="240" w:line="480" w:lineRule="auto"/>
        <w:rPr>
          <w:rFonts w:ascii="Times New Roman" w:hAnsi="Times New Roman" w:cs="Times New Roman"/>
          <w:b/>
          <w:iCs/>
          <w:color w:val="000000"/>
          <w:szCs w:val="21"/>
          <w:shd w:val="clear" w:color="auto" w:fill="FFFFFF"/>
        </w:rPr>
      </w:pPr>
      <w:r w:rsidRPr="0080472A">
        <w:rPr>
          <w:rFonts w:ascii="Times New Roman" w:hAnsi="Times New Roman" w:cs="Times New Roman"/>
          <w:b/>
          <w:iCs/>
          <w:color w:val="000000"/>
          <w:szCs w:val="21"/>
          <w:shd w:val="clear" w:color="auto" w:fill="FFFFFF"/>
        </w:rPr>
        <w:t>Supporting information</w:t>
      </w:r>
    </w:p>
    <w:p w14:paraId="7C809E66" w14:textId="77777777" w:rsidR="00C35DD7" w:rsidRDefault="00C35DD7" w:rsidP="00C35DD7">
      <w:r>
        <w:rPr>
          <w:noProof/>
        </w:rPr>
        <w:drawing>
          <wp:inline distT="0" distB="0" distL="0" distR="0" wp14:anchorId="2D2D6806" wp14:editId="41FC8AB7">
            <wp:extent cx="4905108" cy="18478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0816" cy="185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997A7" w14:textId="77777777" w:rsidR="00C35DD7" w:rsidRPr="00CE112B" w:rsidRDefault="00C35DD7" w:rsidP="00C35DD7">
      <w:pPr>
        <w:spacing w:beforeLines="100" w:before="240" w:line="360" w:lineRule="auto"/>
        <w:rPr>
          <w:rFonts w:ascii="Times New Roman" w:hAnsi="Times New Roman" w:cs="Times New Roman"/>
        </w:rPr>
      </w:pPr>
      <w:r w:rsidRPr="00CE112B"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 xml:space="preserve">Fig. S1 Effects of deferoxamine (DFO) and dihydroartemisinin (DHA) on </w:t>
      </w:r>
      <w:r w:rsidRPr="00CE112B">
        <w:rPr>
          <w:rFonts w:ascii="Times New Roman" w:eastAsia="苹方-简" w:hAnsi="Times New Roman" w:cs="Times New Roman"/>
          <w:b/>
          <w:i/>
          <w:color w:val="141414"/>
          <w:sz w:val="23"/>
          <w:szCs w:val="23"/>
          <w:shd w:val="clear" w:color="auto" w:fill="FFFFFF"/>
        </w:rPr>
        <w:t xml:space="preserve">P. falciparum </w:t>
      </w:r>
      <w:r w:rsidRPr="00CE112B"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>3D7 in vitro.</w:t>
      </w:r>
      <w:r w:rsidRPr="00CE112B"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 xml:space="preserve"> (A) Effect</w:t>
      </w:r>
      <w:r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>s</w:t>
      </w:r>
      <w:r w:rsidRPr="00CE112B"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 xml:space="preserve"> of varying concentrations of DFO on </w:t>
      </w:r>
      <w:r w:rsidRPr="00CE112B">
        <w:rPr>
          <w:rFonts w:ascii="Times New Roman" w:eastAsia="苹方-简" w:hAnsi="Times New Roman" w:cs="Times New Roman"/>
          <w:i/>
          <w:color w:val="141414"/>
          <w:sz w:val="23"/>
          <w:szCs w:val="23"/>
          <w:shd w:val="clear" w:color="auto" w:fill="FFFFFF"/>
        </w:rPr>
        <w:t xml:space="preserve">P. falciparum </w:t>
      </w:r>
      <w:r w:rsidRPr="00CE112B"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>3D7; (B) Effect</w:t>
      </w:r>
      <w:r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>s</w:t>
      </w:r>
      <w:r w:rsidRPr="00CE112B"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 xml:space="preserve"> of varying concentrations of DHA on </w:t>
      </w:r>
      <w:r w:rsidRPr="00CE112B">
        <w:rPr>
          <w:rFonts w:ascii="Times New Roman" w:eastAsia="苹方-简" w:hAnsi="Times New Roman" w:cs="Times New Roman"/>
          <w:i/>
          <w:color w:val="141414"/>
          <w:sz w:val="23"/>
          <w:szCs w:val="23"/>
          <w:shd w:val="clear" w:color="auto" w:fill="FFFFFF"/>
        </w:rPr>
        <w:t>P. falciparum</w:t>
      </w:r>
      <w:r w:rsidRPr="00CE112B"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 xml:space="preserve"> 3D7.</w:t>
      </w:r>
      <w:r w:rsidRPr="00CE112B">
        <w:rPr>
          <w:rFonts w:ascii="Times New Roman" w:hAnsi="Times New Roman" w:cs="Times New Roman"/>
        </w:rPr>
        <w:t xml:space="preserve"> </w:t>
      </w:r>
    </w:p>
    <w:p w14:paraId="3B4BD163" w14:textId="77777777" w:rsidR="00C35DD7" w:rsidRDefault="00C35DD7" w:rsidP="00C35DD7">
      <w:pPr>
        <w:spacing w:beforeLines="100"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Method</w:t>
      </w:r>
      <w:r>
        <w:rPr>
          <w:rFonts w:ascii="Times New Roman" w:hAnsi="Times New Roman" w:cs="Times New Roman" w:hint="eastAsia"/>
        </w:rPr>
        <w:t>：</w:t>
      </w:r>
    </w:p>
    <w:p w14:paraId="66AC9635" w14:textId="77777777" w:rsidR="00C35DD7" w:rsidRPr="00FE3241" w:rsidRDefault="00C35DD7" w:rsidP="00C35DD7">
      <w:pPr>
        <w:spacing w:beforeLines="100" w:before="240" w:line="480" w:lineRule="auto"/>
        <w:rPr>
          <w:rFonts w:ascii="Times New Roman" w:eastAsia="SimSun" w:hAnsi="Times New Roman" w:cs="Times New Roman"/>
        </w:rPr>
      </w:pPr>
      <w:r w:rsidRPr="00FE3241">
        <w:rPr>
          <w:rFonts w:ascii="Times New Roman" w:eastAsia="SimSun" w:hAnsi="Times New Roman" w:cs="Times New Roman"/>
          <w:i/>
        </w:rPr>
        <w:t>P. falciparum</w:t>
      </w:r>
      <w:r w:rsidRPr="00FE3241">
        <w:rPr>
          <w:rFonts w:ascii="Times New Roman" w:eastAsia="SimSun" w:hAnsi="Times New Roman" w:cs="Times New Roman"/>
        </w:rPr>
        <w:t xml:space="preserve"> 3D7 parasitized erythrocytes were</w:t>
      </w:r>
      <w:r w:rsidRPr="00FE3241">
        <w:rPr>
          <w:rFonts w:ascii="Times New Roman" w:eastAsia="Yu Mincho" w:hAnsi="Times New Roman" w:cs="Times New Roman"/>
          <w:color w:val="000000"/>
          <w:szCs w:val="21"/>
          <w:lang w:val="en-PH"/>
        </w:rPr>
        <w:t xml:space="preserve"> synchronized to ring-stage (0</w:t>
      </w:r>
      <w:r>
        <w:rPr>
          <w:rFonts w:ascii="Times New Roman" w:eastAsia="Yu Mincho" w:hAnsi="Times New Roman" w:cs="Times New Roman"/>
          <w:color w:val="000000"/>
          <w:szCs w:val="21"/>
          <w:lang w:val="en-PH"/>
        </w:rPr>
        <w:t xml:space="preserve"> - </w:t>
      </w:r>
      <w:r w:rsidRPr="00FE3241">
        <w:rPr>
          <w:rFonts w:ascii="Times New Roman" w:eastAsia="Yu Mincho" w:hAnsi="Times New Roman" w:cs="Times New Roman"/>
          <w:color w:val="000000"/>
          <w:szCs w:val="21"/>
          <w:lang w:val="en-PH"/>
        </w:rPr>
        <w:t xml:space="preserve">6 h), then </w:t>
      </w:r>
      <w:r w:rsidRPr="00FE3241">
        <w:rPr>
          <w:rFonts w:ascii="Times New Roman" w:eastAsia="SimSun" w:hAnsi="Times New Roman" w:cs="Times New Roman"/>
        </w:rPr>
        <w:t xml:space="preserve">90 </w:t>
      </w:r>
      <w:r w:rsidRPr="00FE3241">
        <w:rPr>
          <w:rFonts w:ascii="Times New Roman" w:eastAsia="SimSun" w:hAnsi="Times New Roman" w:cs="Times New Roman"/>
        </w:rPr>
        <w:sym w:font="Symbol" w:char="F06D"/>
      </w:r>
      <w:r w:rsidRPr="00FE3241">
        <w:rPr>
          <w:rFonts w:ascii="Times New Roman" w:eastAsia="SimSun" w:hAnsi="Times New Roman" w:cs="Times New Roman"/>
        </w:rPr>
        <w:t xml:space="preserve">l of parasitized erythrocytes suspension was put into each test well in 96-well culture plates. 10 </w:t>
      </w:r>
      <w:r w:rsidRPr="00FE3241">
        <w:rPr>
          <w:rFonts w:ascii="Times New Roman" w:eastAsia="SimSun" w:hAnsi="Times New Roman" w:cs="Times New Roman"/>
        </w:rPr>
        <w:sym w:font="Symbol" w:char="F06D"/>
      </w:r>
      <w:r w:rsidRPr="00FE3241">
        <w:rPr>
          <w:rFonts w:ascii="Times New Roman" w:eastAsia="SimSun" w:hAnsi="Times New Roman" w:cs="Times New Roman"/>
        </w:rPr>
        <w:t xml:space="preserve">l of diluted DFO was dispensed into test wells to yield final concentrates ranging from 0 to 25 </w:t>
      </w:r>
      <w:r w:rsidRPr="00FE3241">
        <w:rPr>
          <w:rFonts w:ascii="Times New Roman" w:eastAsia="SimSun" w:hAnsi="Times New Roman" w:cs="Times New Roman"/>
        </w:rPr>
        <w:sym w:font="Symbol" w:char="F06D"/>
      </w:r>
      <w:r w:rsidRPr="00FE3241">
        <w:rPr>
          <w:rFonts w:ascii="Times New Roman" w:eastAsia="SimSun" w:hAnsi="Times New Roman" w:cs="Times New Roman"/>
        </w:rPr>
        <w:t xml:space="preserve">mol/L. After 18 h of incubation, cultures were washed to remove the drug and resuspended with a complete medium. When parasites developed into second-generation rings, they were transferred to a new 96-well black plate, and 100 </w:t>
      </w:r>
      <w:r w:rsidRPr="00FE3241">
        <w:rPr>
          <w:rFonts w:ascii="Times New Roman" w:eastAsia="SimSun" w:hAnsi="Times New Roman" w:cs="Times New Roman"/>
        </w:rPr>
        <w:sym w:font="Symbol" w:char="F06D"/>
      </w:r>
      <w:r w:rsidRPr="00FE3241">
        <w:rPr>
          <w:rFonts w:ascii="Times New Roman" w:eastAsia="SimSun" w:hAnsi="Times New Roman" w:cs="Times New Roman"/>
        </w:rPr>
        <w:t xml:space="preserve">l lysis buffer (0.2 </w:t>
      </w:r>
      <w:r w:rsidRPr="00FE3241">
        <w:rPr>
          <w:rFonts w:ascii="Times New Roman" w:eastAsia="SimSun" w:hAnsi="Times New Roman" w:cs="Times New Roman"/>
        </w:rPr>
        <w:sym w:font="Symbol" w:char="F06D"/>
      </w:r>
      <w:r w:rsidRPr="00FE3241">
        <w:rPr>
          <w:rFonts w:ascii="Times New Roman" w:eastAsia="SimSun" w:hAnsi="Times New Roman" w:cs="Times New Roman"/>
        </w:rPr>
        <w:t xml:space="preserve">l of SYBR Green I/ml of lysis buffer) was added to each well, and the contents were mixed. After about 1 h of incubation in the dark at room temperature, the fluorescence intensity, which can quantify parasitemia, was measured with a multi-mode microplate reader (SpectraMax iD3, Molecular Devices) with excitation and emission wavelengths of 485 nm and 535 nm, respectively. </w:t>
      </w:r>
    </w:p>
    <w:p w14:paraId="060B67E4" w14:textId="77777777" w:rsidR="00C35DD7" w:rsidRPr="008B68EB" w:rsidRDefault="00C35DD7" w:rsidP="00C35DD7">
      <w:pPr>
        <w:spacing w:line="480" w:lineRule="auto"/>
        <w:rPr>
          <w:rFonts w:ascii="Times New Roman" w:eastAsia="Yu Mincho" w:hAnsi="Times New Roman" w:cs="Times New Roman"/>
          <w:color w:val="000000"/>
          <w:szCs w:val="21"/>
          <w:lang w:val="en-PH"/>
        </w:rPr>
      </w:pPr>
      <w:r w:rsidRPr="00FE3241">
        <w:rPr>
          <w:rFonts w:ascii="Times New Roman" w:eastAsia="SimSun" w:hAnsi="Times New Roman" w:cs="Times New Roman"/>
          <w:i/>
        </w:rPr>
        <w:t>P. falciparum</w:t>
      </w:r>
      <w:r w:rsidRPr="00FE3241">
        <w:rPr>
          <w:rFonts w:ascii="Times New Roman" w:eastAsia="SimSun" w:hAnsi="Times New Roman" w:cs="Times New Roman"/>
        </w:rPr>
        <w:t xml:space="preserve"> 3D7 parasitized erythrocytes were</w:t>
      </w:r>
      <w:r w:rsidRPr="00FE3241">
        <w:rPr>
          <w:rFonts w:ascii="Times New Roman" w:eastAsia="Yu Mincho" w:hAnsi="Times New Roman" w:cs="Times New Roman"/>
          <w:color w:val="000000"/>
          <w:szCs w:val="21"/>
          <w:lang w:val="en-PH"/>
        </w:rPr>
        <w:t xml:space="preserve"> synchronized to </w:t>
      </w:r>
      <w:r>
        <w:rPr>
          <w:rFonts w:ascii="Times New Roman" w:eastAsia="Yu Mincho" w:hAnsi="Times New Roman" w:cs="Times New Roman"/>
          <w:color w:val="000000"/>
          <w:szCs w:val="21"/>
          <w:lang w:val="en-PH"/>
        </w:rPr>
        <w:t xml:space="preserve">12-18 h post-infection and </w:t>
      </w:r>
      <w:r w:rsidRPr="00FE3241">
        <w:rPr>
          <w:rFonts w:ascii="Times New Roman" w:eastAsia="SimSun" w:hAnsi="Times New Roman" w:cs="Times New Roman"/>
        </w:rPr>
        <w:t>was dispensed in 96-well culture plates</w:t>
      </w:r>
      <w:r>
        <w:rPr>
          <w:rFonts w:ascii="Times New Roman" w:eastAsia="SimSun" w:hAnsi="Times New Roman" w:cs="Times New Roman"/>
        </w:rPr>
        <w:t>.</w:t>
      </w:r>
      <w:r w:rsidRPr="00FE3241">
        <w:rPr>
          <w:rFonts w:ascii="Times New Roman" w:eastAsia="SimSun" w:hAnsi="Times New Roman" w:cs="Times New Roman"/>
        </w:rPr>
        <w:t xml:space="preserve"> DHA was added into test well in 96-well culture plates </w:t>
      </w:r>
      <w:r>
        <w:rPr>
          <w:rFonts w:ascii="Times New Roman" w:eastAsia="SimSun" w:hAnsi="Times New Roman" w:cs="Times New Roman"/>
        </w:rPr>
        <w:t xml:space="preserve">to </w:t>
      </w:r>
      <w:r w:rsidRPr="00FE3241">
        <w:rPr>
          <w:rFonts w:ascii="Times New Roman" w:eastAsia="SimSun" w:hAnsi="Times New Roman" w:cs="Times New Roman"/>
        </w:rPr>
        <w:t xml:space="preserve">make final DHA concentrate ranging from 0 to </w:t>
      </w:r>
      <w:r>
        <w:rPr>
          <w:rFonts w:ascii="Times New Roman" w:eastAsia="SimSun" w:hAnsi="Times New Roman" w:cs="Times New Roman"/>
        </w:rPr>
        <w:t>40</w:t>
      </w:r>
      <w:r w:rsidRPr="00FE3241">
        <w:rPr>
          <w:rFonts w:ascii="Times New Roman" w:eastAsia="SimSun" w:hAnsi="Times New Roman" w:cs="Times New Roman"/>
        </w:rPr>
        <w:t xml:space="preserve"> </w:t>
      </w:r>
      <w:r>
        <w:rPr>
          <w:rFonts w:ascii="Times New Roman" w:eastAsia="SimSun" w:hAnsi="Times New Roman" w:cs="Times New Roman"/>
        </w:rPr>
        <w:t>n</w:t>
      </w:r>
      <w:r w:rsidRPr="00FE3241">
        <w:rPr>
          <w:rFonts w:ascii="Times New Roman" w:eastAsia="SimSun" w:hAnsi="Times New Roman" w:cs="Times New Roman"/>
        </w:rPr>
        <w:t>mol/L. After 6 h of incubation, all cultures were washed and resuspended with the complete medium, up to a total volume of 100</w:t>
      </w:r>
      <w:r w:rsidRPr="00FE3241">
        <w:rPr>
          <w:rFonts w:ascii="Times New Roman" w:eastAsia="SimSun" w:hAnsi="Times New Roman" w:cs="Times New Roman"/>
        </w:rPr>
        <w:sym w:font="Symbol" w:char="F06D"/>
      </w:r>
      <w:r w:rsidRPr="00FE3241">
        <w:rPr>
          <w:rFonts w:ascii="Times New Roman" w:eastAsia="SimSun" w:hAnsi="Times New Roman" w:cs="Times New Roman"/>
        </w:rPr>
        <w:t xml:space="preserve">l. When parasites developed into second-generation rings, they were transferred to a new 96-well black plate. 100 </w:t>
      </w:r>
      <w:r w:rsidRPr="00FE3241">
        <w:rPr>
          <w:rFonts w:ascii="Times New Roman" w:eastAsia="SimSun" w:hAnsi="Times New Roman" w:cs="Times New Roman"/>
        </w:rPr>
        <w:sym w:font="Symbol" w:char="F06D"/>
      </w:r>
      <w:r w:rsidRPr="00FE3241">
        <w:rPr>
          <w:rFonts w:ascii="Times New Roman" w:eastAsia="SimSun" w:hAnsi="Times New Roman" w:cs="Times New Roman"/>
        </w:rPr>
        <w:t xml:space="preserve">l lysis buffer (0.2 </w:t>
      </w:r>
      <w:r w:rsidRPr="00FE3241">
        <w:rPr>
          <w:rFonts w:ascii="Times New Roman" w:eastAsia="SimSun" w:hAnsi="Times New Roman" w:cs="Times New Roman"/>
        </w:rPr>
        <w:sym w:font="Symbol" w:char="F06D"/>
      </w:r>
      <w:r w:rsidRPr="00FE3241">
        <w:rPr>
          <w:rFonts w:ascii="Times New Roman" w:eastAsia="SimSun" w:hAnsi="Times New Roman" w:cs="Times New Roman"/>
        </w:rPr>
        <w:t xml:space="preserve">l of SYBR Green I/ml of lysis buffer) was </w:t>
      </w:r>
      <w:r w:rsidRPr="00FE3241">
        <w:rPr>
          <w:rFonts w:ascii="Times New Roman" w:eastAsia="SimSun" w:hAnsi="Times New Roman" w:cs="Times New Roman"/>
        </w:rPr>
        <w:lastRenderedPageBreak/>
        <w:t>added to each well and incubated for 1 h in the dark at room temperature. The fluorescence intensity</w:t>
      </w:r>
      <w:r>
        <w:rPr>
          <w:rFonts w:ascii="Times New Roman" w:eastAsia="SimSun" w:hAnsi="Times New Roman" w:cs="Times New Roman"/>
        </w:rPr>
        <w:t xml:space="preserve"> </w:t>
      </w:r>
      <w:r w:rsidRPr="00FE3241">
        <w:rPr>
          <w:rFonts w:ascii="Times New Roman" w:eastAsia="SimSun" w:hAnsi="Times New Roman" w:cs="Times New Roman"/>
        </w:rPr>
        <w:t>was measured with a multi-mode microplate reader (SpectraMax iD3, Molecular Devices)</w:t>
      </w:r>
      <w:r>
        <w:rPr>
          <w:rFonts w:ascii="Times New Roman" w:eastAsia="SimSun" w:hAnsi="Times New Roman" w:cs="Times New Roman"/>
        </w:rPr>
        <w:t>.</w:t>
      </w:r>
    </w:p>
    <w:p w14:paraId="7E9D5A3C" w14:textId="77777777" w:rsidR="00C35DD7" w:rsidRDefault="00C35DD7" w:rsidP="00C35DD7">
      <w:pPr>
        <w:spacing w:beforeLines="100" w:before="240" w:line="360" w:lineRule="auto"/>
        <w:rPr>
          <w:rFonts w:ascii="Times New Roman" w:hAnsi="Times New Roman" w:cs="Times New Roman"/>
          <w:lang w:val="en-PH"/>
        </w:rPr>
      </w:pPr>
    </w:p>
    <w:p w14:paraId="759BA9C7" w14:textId="77777777" w:rsidR="00C35DD7" w:rsidRDefault="00C35DD7" w:rsidP="00C35DD7">
      <w:pPr>
        <w:spacing w:beforeLines="100" w:before="240" w:line="360" w:lineRule="auto"/>
        <w:rPr>
          <w:rFonts w:ascii="Times New Roman" w:hAnsi="Times New Roman" w:cs="Times New Roman"/>
          <w:lang w:val="en-PH"/>
        </w:rPr>
      </w:pPr>
      <w:r>
        <w:rPr>
          <w:rFonts w:ascii="Times New Roman" w:eastAsia="苹方-简" w:hAnsi="Times New Roman" w:cs="Times New Roman"/>
          <w:b/>
          <w:noProof/>
          <w:color w:val="141414"/>
          <w:sz w:val="23"/>
          <w:szCs w:val="23"/>
          <w:shd w:val="clear" w:color="auto" w:fill="FFFFFF"/>
        </w:rPr>
        <w:drawing>
          <wp:inline distT="0" distB="0" distL="0" distR="0" wp14:anchorId="106274D6" wp14:editId="2C28EDDD">
            <wp:extent cx="5219700" cy="332676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6149" cy="3343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D2C67" w14:textId="77777777" w:rsidR="00C35DD7" w:rsidRPr="008169A2" w:rsidRDefault="00C35DD7" w:rsidP="00C35DD7">
      <w:pPr>
        <w:spacing w:beforeLines="100" w:before="240" w:line="360" w:lineRule="auto"/>
        <w:rPr>
          <w:rFonts w:ascii="Times New Roman" w:hAnsi="Times New Roman" w:cs="Times New Roman"/>
          <w:lang w:val="en-PH"/>
        </w:rPr>
      </w:pPr>
      <w:r w:rsidRPr="00CE112B"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>Fig. S</w:t>
      </w:r>
      <w:r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>2</w:t>
      </w:r>
      <w:r w:rsidRPr="00CE112B"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 xml:space="preserve"> Effects of deferoxamine (DFO) and dihydroartemisinin (DHA) on </w:t>
      </w:r>
      <w:r w:rsidRPr="00CE112B">
        <w:rPr>
          <w:rFonts w:ascii="Times New Roman" w:eastAsia="苹方-简" w:hAnsi="Times New Roman" w:cs="Times New Roman"/>
          <w:b/>
          <w:i/>
          <w:color w:val="141414"/>
          <w:sz w:val="23"/>
          <w:szCs w:val="23"/>
          <w:shd w:val="clear" w:color="auto" w:fill="FFFFFF"/>
        </w:rPr>
        <w:t xml:space="preserve">P. falciparum </w:t>
      </w:r>
      <w:r w:rsidRPr="00CE112B"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 xml:space="preserve">3D7 </w:t>
      </w:r>
      <w:r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 xml:space="preserve">expressing </w:t>
      </w:r>
      <w:r w:rsidRPr="008169A2"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>ribonucleoside-diphosphate reductase small chain</w:t>
      </w:r>
      <w:r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 xml:space="preserve"> (</w:t>
      </w:r>
      <w:r w:rsidRPr="008169A2"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>PF3D7_1015800</w:t>
      </w:r>
      <w:r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 xml:space="preserve">) and </w:t>
      </w:r>
      <w:r w:rsidRPr="008169A2"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>ribonucleoside-diphosphate reductase large subunit</w:t>
      </w:r>
      <w:r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 xml:space="preserve"> (</w:t>
      </w:r>
      <w:r w:rsidRPr="008169A2"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>PF3D7_1437200</w:t>
      </w:r>
      <w:r>
        <w:rPr>
          <w:rFonts w:ascii="Times New Roman" w:eastAsia="苹方-简" w:hAnsi="Times New Roman" w:cs="Times New Roman"/>
          <w:b/>
          <w:color w:val="141414"/>
          <w:sz w:val="23"/>
          <w:szCs w:val="23"/>
          <w:shd w:val="clear" w:color="auto" w:fill="FFFFFF"/>
        </w:rPr>
        <w:t>).</w:t>
      </w:r>
      <w:r w:rsidRPr="008169A2"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 xml:space="preserve"> (A) UMAP plots show the distribution of parasites expressing these genes after 3 h, 9 h and 24 h of DFO treatment ; (B) </w:t>
      </w:r>
      <w:r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>t</w:t>
      </w:r>
      <w:r w:rsidRPr="008169A2"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>he distribution of parasites expressing these genes after 3 h, 9 h and 24 h of D</w:t>
      </w:r>
      <w:r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>HA</w:t>
      </w:r>
      <w:r w:rsidRPr="008169A2"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 xml:space="preserve"> treatment;</w:t>
      </w:r>
      <w:r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 xml:space="preserve"> (C) and (D) </w:t>
      </w:r>
      <w:r w:rsidRPr="00804573">
        <w:rPr>
          <w:rFonts w:ascii="Times New Roman" w:hAnsi="Times New Roman" w:cs="Times New Roman"/>
          <w:szCs w:val="21"/>
        </w:rPr>
        <w:t>Boxplots showing the expression levels of the</w:t>
      </w:r>
      <w:r>
        <w:rPr>
          <w:rFonts w:ascii="Times New Roman" w:hAnsi="Times New Roman" w:cs="Times New Roman"/>
          <w:szCs w:val="21"/>
        </w:rPr>
        <w:t>se</w:t>
      </w:r>
      <w:r w:rsidRPr="00804573">
        <w:rPr>
          <w:rFonts w:ascii="Times New Roman" w:hAnsi="Times New Roman" w:cs="Times New Roman"/>
          <w:szCs w:val="21"/>
        </w:rPr>
        <w:t xml:space="preserve"> genes</w:t>
      </w:r>
      <w:r w:rsidRPr="008169A2"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 xml:space="preserve"> after 3 h, 9 h and 24 h of D</w:t>
      </w:r>
      <w:r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>HA and DFO</w:t>
      </w:r>
      <w:r w:rsidRPr="008169A2">
        <w:rPr>
          <w:rFonts w:ascii="Times New Roman" w:eastAsia="苹方-简" w:hAnsi="Times New Roman" w:cs="Times New Roman"/>
          <w:color w:val="141414"/>
          <w:sz w:val="23"/>
          <w:szCs w:val="23"/>
          <w:shd w:val="clear" w:color="auto" w:fill="FFFFFF"/>
        </w:rPr>
        <w:t xml:space="preserve"> treatment</w:t>
      </w:r>
      <w:r w:rsidRPr="00804573">
        <w:rPr>
          <w:rFonts w:ascii="Times New Roman" w:hAnsi="Times New Roman" w:cs="Times New Roman"/>
          <w:szCs w:val="21"/>
        </w:rPr>
        <w:t>.</w:t>
      </w:r>
    </w:p>
    <w:p w14:paraId="48C1FC19" w14:textId="77777777" w:rsidR="0038214D" w:rsidRPr="00C35DD7" w:rsidRDefault="0038214D">
      <w:pPr>
        <w:rPr>
          <w:lang w:val="en-PH"/>
        </w:rPr>
      </w:pPr>
    </w:p>
    <w:sectPr w:rsidR="0038214D" w:rsidRPr="00C35D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苹方-简">
    <w:altName w:val="SimSun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DD7"/>
    <w:rsid w:val="00235F39"/>
    <w:rsid w:val="002662D4"/>
    <w:rsid w:val="0038214D"/>
    <w:rsid w:val="00AD7A41"/>
    <w:rsid w:val="00AE732B"/>
    <w:rsid w:val="00C35DD7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4861B"/>
  <w15:chartTrackingRefBased/>
  <w15:docId w15:val="{73E1054A-B213-4D11-9360-B8E2624E3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DD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5DD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5DD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5DD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5DD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5DD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5DD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5DD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5DD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5DD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D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5D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5D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5D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5D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5D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5D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5D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5D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5DD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35D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5DD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35D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5DD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35D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5DD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35D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5DD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5D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5D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371</Words>
  <Characters>2116</Characters>
  <Application>Microsoft Office Word</Application>
  <DocSecurity>0</DocSecurity>
  <Lines>17</Lines>
  <Paragraphs>4</Paragraphs>
  <ScaleCrop>false</ScaleCrop>
  <Company>Springer Nature</Company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2025-02-25T08:11:00Z</dcterms:created>
  <dcterms:modified xsi:type="dcterms:W3CDTF">2025-02-25T08:12:00Z</dcterms:modified>
</cp:coreProperties>
</file>