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83272" w14:textId="4B5AE5F6" w:rsidR="00C91E90" w:rsidRDefault="006A1889" w:rsidP="00984DC4">
      <w:pPr>
        <w:spacing w:before="120" w:after="120"/>
        <w:ind w:left="810" w:hanging="810"/>
        <w:rPr>
          <w:rFonts w:ascii="Garamond" w:eastAsia="Garamond" w:hAnsi="Garamond" w:cs="Garamond"/>
          <w:b/>
        </w:rPr>
      </w:pPr>
      <w:bookmarkStart w:id="0" w:name="bookmark=id.3rdcrjn" w:colFirst="0" w:colLast="0"/>
      <w:bookmarkStart w:id="1" w:name="_GoBack"/>
      <w:bookmarkEnd w:id="0"/>
      <w:bookmarkEnd w:id="1"/>
      <w:r>
        <w:rPr>
          <w:rFonts w:ascii="Garamond" w:eastAsia="Garamond" w:hAnsi="Garamond" w:cs="Garamond"/>
          <w:b/>
        </w:rPr>
        <w:t>Appendix: Accessibility Measure</w:t>
      </w:r>
    </w:p>
    <w:p w14:paraId="186D8B3C" w14:textId="7996F5A7" w:rsidR="00646F79" w:rsidRDefault="00646F79" w:rsidP="00984DC4">
      <w:pPr>
        <w:pBdr>
          <w:top w:val="nil"/>
          <w:left w:val="nil"/>
          <w:bottom w:val="nil"/>
          <w:right w:val="nil"/>
          <w:between w:val="nil"/>
        </w:pBdr>
        <w:spacing w:before="120" w:after="120"/>
        <w:jc w:val="both"/>
        <w:rPr>
          <w:rFonts w:ascii="Garamond" w:eastAsia="Garamond" w:hAnsi="Garamond" w:cs="Garamond"/>
          <w:color w:val="000000"/>
        </w:rPr>
      </w:pPr>
      <w:r>
        <w:rPr>
          <w:rFonts w:ascii="Garamond" w:eastAsia="Garamond" w:hAnsi="Garamond" w:cs="Garamond"/>
          <w:color w:val="000000"/>
        </w:rPr>
        <w:t xml:space="preserve">We present a measure of accessibility to </w:t>
      </w:r>
      <w:r>
        <w:rPr>
          <w:rFonts w:ascii="Garamond" w:eastAsia="Garamond" w:hAnsi="Garamond" w:cs="Garamond"/>
        </w:rPr>
        <w:t>determine</w:t>
      </w:r>
      <w:r w:rsidRPr="006A1889">
        <w:rPr>
          <w:rFonts w:ascii="Garamond" w:hAnsi="Garamond"/>
        </w:rPr>
        <w:t xml:space="preserve"> </w:t>
      </w:r>
      <w:r>
        <w:rPr>
          <w:rFonts w:ascii="Garamond" w:eastAsia="Garamond" w:hAnsi="Garamond" w:cs="Garamond"/>
          <w:color w:val="000000"/>
        </w:rPr>
        <w:t xml:space="preserve">how easy it is to move within a city using </w:t>
      </w:r>
      <w:r>
        <w:rPr>
          <w:rFonts w:ascii="Garamond" w:eastAsia="Garamond" w:hAnsi="Garamond" w:cs="Garamond"/>
        </w:rPr>
        <w:t>its</w:t>
      </w:r>
      <w:r>
        <w:rPr>
          <w:rFonts w:ascii="Garamond" w:eastAsia="Garamond" w:hAnsi="Garamond" w:cs="Garamond"/>
          <w:color w:val="000000"/>
        </w:rPr>
        <w:t xml:space="preserve"> public transport network. </w:t>
      </w:r>
      <w:bookmarkStart w:id="2" w:name="_Hlk71536665"/>
      <w:r>
        <w:rPr>
          <w:rFonts w:ascii="Garamond" w:eastAsia="Garamond" w:hAnsi="Garamond" w:cs="Garamond"/>
          <w:color w:val="000000"/>
        </w:rPr>
        <w:t xml:space="preserve">Similar metrics </w:t>
      </w:r>
      <w:r>
        <w:rPr>
          <w:rFonts w:ascii="Garamond" w:eastAsia="Garamond" w:hAnsi="Garamond" w:cs="Garamond"/>
        </w:rPr>
        <w:t>have</w:t>
      </w:r>
      <w:r>
        <w:rPr>
          <w:rFonts w:ascii="Garamond" w:eastAsia="Garamond" w:hAnsi="Garamond" w:cs="Garamond"/>
          <w:color w:val="000000"/>
        </w:rPr>
        <w:t xml:space="preserve"> been proposed before (Spiekerman and Wegener, 1996</w:t>
      </w:r>
      <w:r>
        <w:rPr>
          <w:rFonts w:ascii="Garamond" w:eastAsia="Garamond" w:hAnsi="Garamond" w:cs="Garamond"/>
        </w:rPr>
        <w:t xml:space="preserve">; </w:t>
      </w:r>
      <w:r w:rsidR="00C35A96">
        <w:rPr>
          <w:rFonts w:ascii="Garamond" w:eastAsia="Garamond" w:hAnsi="Garamond" w:cs="Garamond"/>
          <w:color w:val="000000"/>
        </w:rPr>
        <w:fldChar w:fldCharType="begin"/>
      </w:r>
      <w:r w:rsidR="00875F88">
        <w:rPr>
          <w:rFonts w:ascii="Garamond" w:eastAsia="Garamond" w:hAnsi="Garamond" w:cs="Garamond"/>
          <w:color w:val="000000"/>
        </w:rPr>
        <w:instrText xml:space="preserve"> ADDIN ZOTERO_ITEM CSL_CITATION {"citationID":"bHfFrc5p","properties":{"formattedCitation":"(O\\uc0\\u8217{}Neill et al., 1992)","plainCitation":"(O’Neill et al., 1992)","dontUpdate":true,"noteIndex":0},"citationItems":[{"id":3029,"uris":["http://zotero.org/users/797411/items/7URGNPKW"],"uri":["http://zotero.org/users/797411/items/7URGNPKW"],"itemData":{"id":3029,"type":"article-journal","container-title":"Transportation Research Record","ISSN":"0361-1981","issue":"1364","note":"ISBN: 9780309054034","source":"trid.trb.org","title":"Analysis of Transit Service Areas Using Geographic Information Systems","URL":"https://trid.trb.org/view/371490","author":[{"family":"O'Neill","given":"Wende A."},{"family":"Ramsey","given":"R. Douglas"},{"family":"Chou","given":"JaChing"}],"accessed":{"date-parts":[["2021",5,10]]},"issued":{"date-parts":[["1992"]]}}}],"schema":"https://github.com/citation-style-language/schema/raw/master/csl-citation.json"} </w:instrText>
      </w:r>
      <w:r w:rsidR="00C35A96">
        <w:rPr>
          <w:rFonts w:ascii="Garamond" w:eastAsia="Garamond" w:hAnsi="Garamond" w:cs="Garamond"/>
          <w:color w:val="000000"/>
        </w:rPr>
        <w:fldChar w:fldCharType="separate"/>
      </w:r>
      <w:r w:rsidR="00C35A96" w:rsidRPr="00C35A96">
        <w:rPr>
          <w:rFonts w:ascii="Garamond" w:hAnsi="Garamond" w:cs="Times New Roman"/>
        </w:rPr>
        <w:t>O’Neill et al., 1992</w:t>
      </w:r>
      <w:r w:rsidR="00C35A96">
        <w:rPr>
          <w:rFonts w:ascii="Garamond" w:eastAsia="Garamond" w:hAnsi="Garamond" w:cs="Garamond"/>
          <w:color w:val="000000"/>
        </w:rPr>
        <w:fldChar w:fldCharType="end"/>
      </w:r>
      <w:r>
        <w:rPr>
          <w:rFonts w:ascii="Garamond" w:eastAsia="Garamond" w:hAnsi="Garamond" w:cs="Garamond"/>
        </w:rPr>
        <w:t xml:space="preserve">; </w:t>
      </w:r>
      <w:r>
        <w:rPr>
          <w:rFonts w:ascii="Garamond" w:eastAsia="Garamond" w:hAnsi="Garamond" w:cs="Garamond"/>
          <w:color w:val="000000"/>
        </w:rPr>
        <w:fldChar w:fldCharType="begin"/>
      </w:r>
      <w:r w:rsidR="00875F88">
        <w:rPr>
          <w:rFonts w:ascii="Garamond" w:eastAsia="Garamond" w:hAnsi="Garamond" w:cs="Garamond"/>
          <w:color w:val="000000"/>
        </w:rPr>
        <w:instrText xml:space="preserve"> ADDIN ZOTERO_ITEM CSL_CITATION {"citationID":"yuwslUl1","properties":{"formattedCitation":"(Biba et al., 2014)","plainCitation":"(Biba et al., 2014)","dontUpdate":true,"noteIndex":0},"citationItems":[{"id":3027,"uris":["http://zotero.org/users/797411/items/X9CAB2PI"],"uri":["http://zotero.org/users/797411/items/X9CAB2PI"],"itemData":{"id":3027,"type":"article-journal","abstract":"This article explores the use of Geographic Information Systems in determining transit-service areas. The traditional methods of determining the population that can access transit are briefly reviewed, and a new method is proposed. The parcel-network method takes advantage of the spatial and aspatial attributes of parcels, and the ability to easily determine network distances from parcels to bus stop locations. This parcel-network method avoids the well-known and unrealistic assumptions associated with the existing methods, and reduces overestimation of the population with access to transit, resulting in improved spatial precision and superior inputs to transit-service decisionmaking processes. The way in which this new method is performed is examined in detail. The study area consists of a section of the bus network within the Dallas metropolitan area. This article summarizes the work of the authors in a research article entitled, \"A New Method for Determining the Population With Walking Access to Transit\" and published in the International Journal of Geographical Information Science (Biba, Curtin, and Manca, 2010).","container-title":"Cityscape","ISSN":"1936-007X","issue":"2","note":"publisher: US Department of Housing and Urban Development","page":"193-204","source":"JSTOR","title":"Who Can Access Transit? Reviewing Methods for Determining Population Access to Bus Transit","title-short":"Who Can Access Transit?","volume":"16","author":[{"family":"Biba","given":"Steven"},{"family":"Curtin","given":"Kevin M."},{"family":"Manca","given":"Germana"}],"issued":{"date-parts":[["2014"]]}}}],"schema":"https://github.com/citation-style-language/schema/raw/master/csl-citation.json"} </w:instrText>
      </w:r>
      <w:r>
        <w:rPr>
          <w:rFonts w:ascii="Garamond" w:eastAsia="Garamond" w:hAnsi="Garamond" w:cs="Garamond"/>
          <w:color w:val="000000"/>
        </w:rPr>
        <w:fldChar w:fldCharType="separate"/>
      </w:r>
      <w:r w:rsidRPr="00646F79">
        <w:rPr>
          <w:rFonts w:ascii="Garamond" w:hAnsi="Garamond"/>
        </w:rPr>
        <w:t>Biba et al., 2014)</w:t>
      </w:r>
      <w:r>
        <w:rPr>
          <w:rFonts w:ascii="Garamond" w:eastAsia="Garamond" w:hAnsi="Garamond" w:cs="Garamond"/>
          <w:color w:val="000000"/>
        </w:rPr>
        <w:fldChar w:fldCharType="end"/>
      </w:r>
      <w:r>
        <w:rPr>
          <w:rFonts w:ascii="Garamond" w:eastAsia="Garamond" w:hAnsi="Garamond" w:cs="Garamond"/>
        </w:rPr>
        <w:t>; h</w:t>
      </w:r>
      <w:r>
        <w:rPr>
          <w:rFonts w:ascii="Garamond" w:eastAsia="Garamond" w:hAnsi="Garamond" w:cs="Garamond"/>
          <w:color w:val="000000"/>
        </w:rPr>
        <w:t>owever,</w:t>
      </w:r>
      <w:r w:rsidRPr="006A1889">
        <w:rPr>
          <w:rFonts w:ascii="Garamond" w:hAnsi="Garamond"/>
        </w:rPr>
        <w:t xml:space="preserve"> </w:t>
      </w:r>
      <w:r>
        <w:rPr>
          <w:rFonts w:ascii="Garamond" w:eastAsia="Garamond" w:hAnsi="Garamond" w:cs="Garamond"/>
          <w:color w:val="000000"/>
        </w:rPr>
        <w:t xml:space="preserve">we </w:t>
      </w:r>
      <w:r>
        <w:rPr>
          <w:rFonts w:ascii="Garamond" w:eastAsia="Garamond" w:hAnsi="Garamond" w:cs="Garamond"/>
        </w:rPr>
        <w:t>aim to define</w:t>
      </w:r>
      <w:r>
        <w:rPr>
          <w:rFonts w:ascii="Garamond" w:eastAsia="Garamond" w:hAnsi="Garamond" w:cs="Garamond"/>
          <w:color w:val="000000"/>
        </w:rPr>
        <w:t xml:space="preserve"> a flexible and general formulation that can be applied to any network</w:t>
      </w:r>
      <w:bookmarkEnd w:id="2"/>
      <w:r>
        <w:rPr>
          <w:rFonts w:ascii="Garamond" w:eastAsia="Garamond" w:hAnsi="Garamond" w:cs="Garamond"/>
          <w:color w:val="000000"/>
        </w:rPr>
        <w:t xml:space="preserve">. This formulation allows us to understand how accessibility is spatially distributed in a city and how </w:t>
      </w:r>
      <w:r>
        <w:rPr>
          <w:rFonts w:ascii="Garamond" w:eastAsia="Garamond" w:hAnsi="Garamond" w:cs="Garamond"/>
        </w:rPr>
        <w:t>this</w:t>
      </w:r>
      <w:r>
        <w:rPr>
          <w:rFonts w:ascii="Garamond" w:eastAsia="Garamond" w:hAnsi="Garamond" w:cs="Garamond"/>
          <w:color w:val="000000"/>
        </w:rPr>
        <w:t xml:space="preserve"> </w:t>
      </w:r>
      <w:r>
        <w:rPr>
          <w:rFonts w:ascii="Garamond" w:eastAsia="Garamond" w:hAnsi="Garamond" w:cs="Garamond"/>
        </w:rPr>
        <w:t>can be</w:t>
      </w:r>
      <w:r>
        <w:rPr>
          <w:rFonts w:ascii="Garamond" w:eastAsia="Garamond" w:hAnsi="Garamond" w:cs="Garamond"/>
          <w:color w:val="000000"/>
        </w:rPr>
        <w:t xml:space="preserve"> affected </w:t>
      </w:r>
      <w:r>
        <w:rPr>
          <w:rFonts w:ascii="Garamond" w:eastAsia="Garamond" w:hAnsi="Garamond" w:cs="Garamond"/>
        </w:rPr>
        <w:t>by</w:t>
      </w:r>
      <w:r>
        <w:rPr>
          <w:rFonts w:ascii="Garamond" w:eastAsia="Garamond" w:hAnsi="Garamond" w:cs="Garamond"/>
          <w:color w:val="000000"/>
        </w:rPr>
        <w:t xml:space="preserve"> changes </w:t>
      </w:r>
      <w:r>
        <w:rPr>
          <w:rFonts w:ascii="Garamond" w:eastAsia="Garamond" w:hAnsi="Garamond" w:cs="Garamond"/>
        </w:rPr>
        <w:t>to</w:t>
      </w:r>
      <w:r w:rsidRPr="006A1889">
        <w:rPr>
          <w:rFonts w:ascii="Garamond" w:hAnsi="Garamond"/>
        </w:rPr>
        <w:t xml:space="preserve"> </w:t>
      </w:r>
      <w:r>
        <w:rPr>
          <w:rFonts w:ascii="Garamond" w:eastAsia="Garamond" w:hAnsi="Garamond" w:cs="Garamond"/>
          <w:color w:val="000000"/>
        </w:rPr>
        <w:t xml:space="preserve">the transport network. The concept of </w:t>
      </w:r>
      <w:r>
        <w:rPr>
          <w:rFonts w:ascii="Garamond" w:eastAsia="Garamond" w:hAnsi="Garamond" w:cs="Garamond"/>
          <w:i/>
          <w:color w:val="000000"/>
        </w:rPr>
        <w:t>extended network</w:t>
      </w:r>
      <w:r>
        <w:rPr>
          <w:rFonts w:ascii="Garamond" w:eastAsia="Garamond" w:hAnsi="Garamond" w:cs="Garamond"/>
          <w:color w:val="000000"/>
        </w:rPr>
        <w:t xml:space="preserve"> is introduced based on the area around each network node (i.e., a subway station) accessible to the users. This area is related to the distance people are willing to walk to make use of public transport.</w:t>
      </w:r>
    </w:p>
    <w:p w14:paraId="3A4C33D7" w14:textId="162E8273" w:rsidR="00646F79" w:rsidRDefault="00646F79" w:rsidP="00984DC4">
      <w:pPr>
        <w:spacing w:before="120" w:after="120"/>
        <w:jc w:val="both"/>
        <w:rPr>
          <w:rFonts w:ascii="Garamond" w:eastAsia="Garamond" w:hAnsi="Garamond" w:cs="Garamond"/>
        </w:rPr>
      </w:pPr>
      <w:r>
        <w:rPr>
          <w:rFonts w:ascii="Garamond" w:eastAsia="Garamond" w:hAnsi="Garamond" w:cs="Garamond"/>
          <w:color w:val="000000"/>
        </w:rPr>
        <w:t xml:space="preserve">The </w:t>
      </w:r>
      <w:r>
        <w:rPr>
          <w:rFonts w:ascii="Garamond" w:eastAsia="Garamond" w:hAnsi="Garamond" w:cs="Garamond"/>
        </w:rPr>
        <w:t>proportion</w:t>
      </w:r>
      <w:r w:rsidRPr="006A1889">
        <w:rPr>
          <w:rFonts w:ascii="Garamond" w:hAnsi="Garamond"/>
        </w:rPr>
        <w:t xml:space="preserve"> </w:t>
      </w:r>
      <w:r>
        <w:rPr>
          <w:rFonts w:ascii="Garamond" w:eastAsia="Garamond" w:hAnsi="Garamond" w:cs="Garamond"/>
          <w:color w:val="000000"/>
        </w:rPr>
        <w:t xml:space="preserve">of this extended network accessible to a user by taking only one means of transport, given the geographic position, is what we call </w:t>
      </w:r>
      <w:r>
        <w:rPr>
          <w:rFonts w:ascii="Garamond" w:eastAsia="Garamond" w:hAnsi="Garamond" w:cs="Garamond"/>
          <w:i/>
          <w:color w:val="000000"/>
        </w:rPr>
        <w:t>accessibility</w:t>
      </w:r>
      <w:r>
        <w:rPr>
          <w:rFonts w:ascii="Garamond" w:eastAsia="Garamond" w:hAnsi="Garamond" w:cs="Garamond"/>
          <w:color w:val="000000"/>
        </w:rPr>
        <w:t xml:space="preserve">. This measure is associated with the concept of potential accessibility </w:t>
      </w:r>
      <w:r>
        <w:rPr>
          <w:rFonts w:ascii="Garamond" w:eastAsia="Garamond" w:hAnsi="Garamond" w:cs="Garamond"/>
          <w:color w:val="000000"/>
        </w:rPr>
        <w:fldChar w:fldCharType="begin"/>
      </w:r>
      <w:r>
        <w:rPr>
          <w:rFonts w:ascii="Garamond" w:eastAsia="Garamond" w:hAnsi="Garamond" w:cs="Garamond"/>
          <w:color w:val="000000"/>
        </w:rPr>
        <w:instrText xml:space="preserve"> ADDIN ZOTERO_ITEM CSL_CITATION {"citationID":"AWp5I12A","properties":{"formattedCitation":"(Handy &amp; Niemeier, 1997)","plainCitation":"(Handy &amp; Niemeier, 1997)","noteIndex":0},"citationItems":[{"id":3023,"uris":["http://zotero.org/users/797411/items/AN7TT5EI"],"uri":["http://zotero.org/users/797411/items/AN7TT5EI"],"itemData":{"id":3023,"type":"article-journal","abstract":"Accessibility is an important characteristic of metropolitan areas and is often reflected in transportation and land-use planning goals. But the concept of accessibility has rarely been translated into performance measures by which policies are evaluated, despite a substantial literature on the concept. This paper is an attempt to bridge the gap between the academic literature and the practical application of such measures and provide a framework for the development of accessibility measures. Issues that planners must address in developing an accessibility measure are outlined, and two case studies suggestive of the range of possible approaches are presented.","container-title":"Environment and Planning A: Economy and Space","DOI":"10.1068/a291175","ISSN":"0308-518X","issue":"7","journalAbbreviation":"Environ Plan A","language":"en","note":"publisher: SAGE Publications Ltd","page":"1175-1194","source":"SAGE Journals","title":"Measuring Accessibility: An Exploration of Issues and Alternatives","title-short":"Measuring Accessibility","volume":"29","author":[{"family":"Handy","given":"Susan L."},{"family":"Niemeier","given":"Debbie A."}],"issued":{"date-parts":[["1997",7,1]]}}}],"schema":"https://github.com/citation-style-language/schema/raw/master/csl-citation.json"} </w:instrText>
      </w:r>
      <w:r>
        <w:rPr>
          <w:rFonts w:ascii="Garamond" w:eastAsia="Garamond" w:hAnsi="Garamond" w:cs="Garamond"/>
          <w:color w:val="000000"/>
        </w:rPr>
        <w:fldChar w:fldCharType="separate"/>
      </w:r>
      <w:r w:rsidRPr="006936B5">
        <w:rPr>
          <w:rFonts w:ascii="Garamond" w:hAnsi="Garamond"/>
        </w:rPr>
        <w:t>(Handy &amp; Niemeier, 1997)</w:t>
      </w:r>
      <w:r>
        <w:rPr>
          <w:rFonts w:ascii="Garamond" w:eastAsia="Garamond" w:hAnsi="Garamond" w:cs="Garamond"/>
          <w:color w:val="000000"/>
        </w:rPr>
        <w:fldChar w:fldCharType="end"/>
      </w:r>
      <w:r>
        <w:rPr>
          <w:rFonts w:ascii="Garamond" w:eastAsia="Garamond" w:hAnsi="Garamond" w:cs="Garamond"/>
          <w:color w:val="000000"/>
        </w:rPr>
        <w:t xml:space="preserve"> as it depends on the </w:t>
      </w:r>
      <w:r>
        <w:rPr>
          <w:rFonts w:ascii="Garamond" w:eastAsia="Garamond" w:hAnsi="Garamond" w:cs="Garamond"/>
        </w:rPr>
        <w:t>location</w:t>
      </w:r>
      <w:r>
        <w:rPr>
          <w:rFonts w:ascii="Garamond" w:eastAsia="Garamond" w:hAnsi="Garamond" w:cs="Garamond"/>
          <w:color w:val="000000"/>
        </w:rPr>
        <w:t xml:space="preserve"> of the network nodes and how they are interconnected. The result is a bi-dimensional distribution showing the accessibility inside a city.</w:t>
      </w:r>
    </w:p>
    <w:p w14:paraId="349D95D1" w14:textId="373AFEED" w:rsidR="00646F79" w:rsidRPr="00646F79" w:rsidRDefault="00646F79" w:rsidP="00984DC4">
      <w:pPr>
        <w:spacing w:before="120" w:after="120"/>
        <w:jc w:val="both"/>
        <w:rPr>
          <w:rFonts w:ascii="Garamond" w:eastAsia="Garamond" w:hAnsi="Garamond" w:cs="Garamond"/>
          <w:b/>
          <w:bCs/>
        </w:rPr>
      </w:pPr>
      <w:r w:rsidRPr="00646F79">
        <w:rPr>
          <w:rFonts w:ascii="Garamond" w:eastAsia="Garamond" w:hAnsi="Garamond" w:cs="Garamond"/>
          <w:b/>
          <w:bCs/>
        </w:rPr>
        <w:t>Mathematical description</w:t>
      </w:r>
    </w:p>
    <w:p w14:paraId="6D241BA6" w14:textId="7BB6F338" w:rsidR="00C91E90" w:rsidRDefault="006A1889" w:rsidP="00984DC4">
      <w:pPr>
        <w:spacing w:before="120" w:after="120"/>
        <w:jc w:val="both"/>
        <w:rPr>
          <w:rFonts w:ascii="Garamond" w:eastAsia="Garamond" w:hAnsi="Garamond" w:cs="Garamond"/>
        </w:rPr>
      </w:pPr>
      <w:r>
        <w:rPr>
          <w:rFonts w:ascii="Garamond" w:eastAsia="Garamond" w:hAnsi="Garamond" w:cs="Garamond"/>
        </w:rPr>
        <w:t xml:space="preserve">To implement the accessibility measure, we assumed a network composed of </w:t>
      </w:r>
      <m:oMath>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b</m:t>
            </m:r>
          </m:sub>
        </m:sSub>
      </m:oMath>
      <w:r>
        <w:rPr>
          <w:rFonts w:ascii="Garamond" w:eastAsia="Garamond" w:hAnsi="Garamond" w:cs="Garamond"/>
        </w:rPr>
        <w:t xml:space="preserve"> lines. The location of each station in the city and its expanded line will be stored on independent arrays of size </w:t>
      </w:r>
      <m:oMath>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x</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y</m:t>
            </m:r>
          </m:sub>
        </m:sSub>
      </m:oMath>
      <w:r>
        <w:rPr>
          <w:rFonts w:ascii="Garamond" w:eastAsia="Garamond" w:hAnsi="Garamond" w:cs="Garamond"/>
        </w:rPr>
        <w:t xml:space="preserve">. The array is used to store the subway and expanded networks, called </w:t>
      </w:r>
      <m:oMath>
        <m:r>
          <w:rPr>
            <w:rFonts w:ascii="Cambria Math" w:eastAsia="Cambria Math" w:hAnsi="Cambria Math" w:cs="Cambria Math"/>
          </w:rPr>
          <m:t>b</m:t>
        </m:r>
      </m:oMath>
      <w:r>
        <w:rPr>
          <w:rFonts w:ascii="Garamond" w:eastAsia="Garamond" w:hAnsi="Garamond" w:cs="Garamond"/>
        </w:rPr>
        <w:t xml:space="preserve"> and </w:t>
      </w:r>
      <m:oMath>
        <m:r>
          <w:rPr>
            <w:rFonts w:ascii="Cambria Math" w:eastAsia="Cambria Math" w:hAnsi="Cambria Math" w:cs="Cambria Math"/>
          </w:rPr>
          <m:t>e</m:t>
        </m:r>
      </m:oMath>
      <w:r>
        <w:rPr>
          <w:rFonts w:ascii="Garamond" w:eastAsia="Garamond" w:hAnsi="Garamond" w:cs="Garamond"/>
        </w:rPr>
        <w:t xml:space="preserve"> respectively. Each element belonging to those arrays will have a value of either </w:t>
      </w:r>
      <m:oMath>
        <m:r>
          <w:rPr>
            <w:rFonts w:ascii="Cambria Math" w:eastAsia="Cambria Math" w:hAnsi="Cambria Math" w:cs="Cambria Math"/>
          </w:rPr>
          <m:t>0</m:t>
        </m:r>
      </m:oMath>
      <w:r>
        <w:rPr>
          <w:rFonts w:ascii="Garamond" w:eastAsia="Garamond" w:hAnsi="Garamond" w:cs="Garamond"/>
        </w:rPr>
        <w:t xml:space="preserve"> or </w:t>
      </w:r>
      <m:oMath>
        <m:r>
          <w:rPr>
            <w:rFonts w:ascii="Cambria Math" w:eastAsia="Cambria Math" w:hAnsi="Cambria Math" w:cs="Cambria Math"/>
          </w:rPr>
          <m:t>1</m:t>
        </m:r>
      </m:oMath>
      <w:r>
        <w:rPr>
          <w:rFonts w:ascii="Garamond" w:eastAsia="Garamond" w:hAnsi="Garamond" w:cs="Garamond"/>
        </w:rPr>
        <w:t xml:space="preserve">. If the line </w:t>
      </w:r>
      <m:oMath>
        <m:r>
          <w:rPr>
            <w:rFonts w:ascii="Cambria Math" w:eastAsia="Cambria Math" w:hAnsi="Cambria Math" w:cs="Cambria Math"/>
          </w:rPr>
          <m:t>k</m:t>
        </m:r>
      </m:oMath>
      <w:r>
        <w:rPr>
          <w:rFonts w:ascii="Garamond" w:eastAsia="Garamond" w:hAnsi="Garamond" w:cs="Garamond"/>
        </w:rPr>
        <w:t xml:space="preserve"> (</w:t>
      </w:r>
      <m:oMath>
        <m:r>
          <w:rPr>
            <w:rFonts w:ascii="Cambria Math" w:eastAsia="Cambria Math" w:hAnsi="Cambria Math" w:cs="Cambria Math"/>
          </w:rPr>
          <m:t>k=1,…,</m:t>
        </m:r>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b</m:t>
            </m:r>
          </m:sub>
        </m:sSub>
      </m:oMath>
      <w:r>
        <w:rPr>
          <w:rFonts w:ascii="Garamond" w:eastAsia="Garamond" w:hAnsi="Garamond" w:cs="Garamond"/>
        </w:rPr>
        <w:t xml:space="preserve">) has a station at the position </w:t>
      </w:r>
      <m:oMath>
        <m:r>
          <w:rPr>
            <w:rFonts w:ascii="Cambria Math" w:eastAsia="Cambria Math" w:hAnsi="Cambria Math" w:cs="Cambria Math"/>
          </w:rPr>
          <m:t>(i,j)</m:t>
        </m:r>
      </m:oMath>
      <w:r>
        <w:rPr>
          <w:rFonts w:ascii="Garamond" w:eastAsia="Garamond" w:hAnsi="Garamond" w:cs="Garamond"/>
        </w:rPr>
        <w:t xml:space="preserve"> then the value of the array element belonging to the line at that position will have a value of </w:t>
      </w:r>
      <m:oMath>
        <m:r>
          <w:rPr>
            <w:rFonts w:ascii="Cambria Math" w:eastAsia="Cambria Math" w:hAnsi="Cambria Math" w:cs="Cambria Math"/>
          </w:rPr>
          <m:t>1</m:t>
        </m:r>
      </m:oMath>
      <w:r>
        <w:rPr>
          <w:rFonts w:ascii="Garamond" w:eastAsia="Garamond" w:hAnsi="Garamond" w:cs="Garamond"/>
        </w:rPr>
        <w:t xml:space="preserve"> (</w:t>
      </w:r>
      <m:oMath>
        <m:r>
          <w:rPr>
            <w:rFonts w:ascii="Cambria Math" w:eastAsia="Cambria Math" w:hAnsi="Cambria Math" w:cs="Cambria Math"/>
          </w:rPr>
          <m:t>0</m:t>
        </m:r>
      </m:oMath>
      <w:r>
        <w:rPr>
          <w:rFonts w:ascii="Garamond" w:eastAsia="Garamond" w:hAnsi="Garamond" w:cs="Garamond"/>
        </w:rPr>
        <w:t xml:space="preserve"> otherwise). This is written as </w:t>
      </w:r>
      <m:oMath>
        <m:sSubSup>
          <m:sSubSupPr>
            <m:ctrlPr>
              <w:rPr>
                <w:rFonts w:ascii="Cambria Math" w:eastAsia="Cambria Math" w:hAnsi="Cambria Math" w:cs="Cambria Math"/>
              </w:rPr>
            </m:ctrlPr>
          </m:sSubSupPr>
          <m:e>
            <m:r>
              <w:rPr>
                <w:rFonts w:ascii="Cambria Math" w:eastAsia="Cambria Math" w:hAnsi="Cambria Math" w:cs="Cambria Math"/>
              </w:rPr>
              <m:t>b</m:t>
            </m:r>
          </m:e>
          <m:sub>
            <m:r>
              <w:rPr>
                <w:rFonts w:ascii="Cambria Math" w:eastAsia="Cambria Math" w:hAnsi="Cambria Math" w:cs="Cambria Math"/>
              </w:rPr>
              <m:t>i,j</m:t>
            </m:r>
          </m:sub>
          <m:sup>
            <m:r>
              <w:rPr>
                <w:rFonts w:ascii="Cambria Math" w:eastAsia="Cambria Math" w:hAnsi="Cambria Math" w:cs="Cambria Math"/>
              </w:rPr>
              <m:t>(k)</m:t>
            </m:r>
          </m:sup>
        </m:sSubSup>
        <m:r>
          <w:rPr>
            <w:rFonts w:ascii="Cambria Math" w:eastAsia="Cambria Math" w:hAnsi="Cambria Math" w:cs="Cambria Math"/>
          </w:rPr>
          <m:t>=1</m:t>
        </m:r>
      </m:oMath>
      <w:r>
        <w:rPr>
          <w:rFonts w:ascii="Garamond" w:eastAsia="Garamond" w:hAnsi="Garamond" w:cs="Garamond"/>
        </w:rPr>
        <w:t xml:space="preserve">. Associated with this subway line, the expanded network is defined in the following way: if </w:t>
      </w:r>
      <m:oMath>
        <m:sSubSup>
          <m:sSubSupPr>
            <m:ctrlPr>
              <w:rPr>
                <w:rFonts w:ascii="Cambria Math" w:eastAsia="Cambria Math" w:hAnsi="Cambria Math" w:cs="Cambria Math"/>
              </w:rPr>
            </m:ctrlPr>
          </m:sSubSupPr>
          <m:e>
            <m:r>
              <w:rPr>
                <w:rFonts w:ascii="Cambria Math" w:eastAsia="Cambria Math" w:hAnsi="Cambria Math" w:cs="Cambria Math"/>
              </w:rPr>
              <m:t>b</m:t>
            </m:r>
          </m:e>
          <m:sub>
            <m:r>
              <w:rPr>
                <w:rFonts w:ascii="Cambria Math" w:eastAsia="Cambria Math" w:hAnsi="Cambria Math" w:cs="Cambria Math"/>
              </w:rPr>
              <m:t>i,j</m:t>
            </m:r>
          </m:sub>
          <m:sup>
            <m:r>
              <w:rPr>
                <w:rFonts w:ascii="Cambria Math" w:eastAsia="Cambria Math" w:hAnsi="Cambria Math" w:cs="Cambria Math"/>
              </w:rPr>
              <m:t>(k)</m:t>
            </m:r>
          </m:sup>
        </m:sSubSup>
        <m:r>
          <w:rPr>
            <w:rFonts w:ascii="Cambria Math" w:eastAsia="Cambria Math" w:hAnsi="Cambria Math" w:cs="Cambria Math"/>
          </w:rPr>
          <m:t>=1</m:t>
        </m:r>
      </m:oMath>
      <w:r>
        <w:rPr>
          <w:rFonts w:ascii="Garamond" w:eastAsia="Garamond" w:hAnsi="Garamond" w:cs="Garamond"/>
        </w:rPr>
        <w:t xml:space="preserve"> then the elements of the expanded network related to the </w:t>
      </w:r>
      <m:oMath>
        <m:r>
          <w:rPr>
            <w:rFonts w:ascii="Cambria Math" w:eastAsia="Cambria Math" w:hAnsi="Cambria Math" w:cs="Cambria Math"/>
          </w:rPr>
          <m:t>k</m:t>
        </m:r>
      </m:oMath>
      <w:r>
        <w:rPr>
          <w:rFonts w:ascii="Garamond" w:eastAsia="Garamond" w:hAnsi="Garamond" w:cs="Garamond"/>
        </w:rPr>
        <w:t xml:space="preserve"> line </w:t>
      </w:r>
      <m:oMath>
        <m:sSup>
          <m:sSupPr>
            <m:ctrlPr>
              <w:rPr>
                <w:rFonts w:ascii="Cambria Math" w:eastAsia="Cambria Math" w:hAnsi="Cambria Math" w:cs="Cambria Math"/>
              </w:rPr>
            </m:ctrlPr>
          </m:sSupPr>
          <m:e>
            <m:r>
              <w:rPr>
                <w:rFonts w:ascii="Cambria Math" w:eastAsia="Cambria Math" w:hAnsi="Cambria Math" w:cs="Cambria Math"/>
              </w:rPr>
              <m:t>e</m:t>
            </m:r>
          </m:e>
          <m:sup>
            <m:r>
              <w:rPr>
                <w:rFonts w:ascii="Cambria Math" w:eastAsia="Cambria Math" w:hAnsi="Cambria Math" w:cs="Cambria Math"/>
              </w:rPr>
              <m:t>(k)</m:t>
            </m:r>
          </m:sup>
        </m:sSup>
      </m:oMath>
      <w:r>
        <w:rPr>
          <w:rFonts w:ascii="Garamond" w:eastAsia="Garamond" w:hAnsi="Garamond" w:cs="Garamond"/>
        </w:rPr>
        <w:t xml:space="preserve"> will have the values of </w:t>
      </w:r>
      <m:oMath>
        <m:r>
          <w:rPr>
            <w:rFonts w:ascii="Cambria Math" w:eastAsia="Cambria Math" w:hAnsi="Cambria Math" w:cs="Cambria Math"/>
          </w:rPr>
          <m:t>1</m:t>
        </m:r>
      </m:oMath>
      <w:r>
        <w:rPr>
          <w:rFonts w:ascii="Garamond" w:eastAsia="Garamond" w:hAnsi="Garamond" w:cs="Garamond"/>
        </w:rPr>
        <w:t xml:space="preserve"> at the position </w:t>
      </w:r>
      <m:oMath>
        <m:r>
          <w:rPr>
            <w:rFonts w:ascii="Cambria Math" w:eastAsia="Cambria Math" w:hAnsi="Cambria Math" w:cs="Cambria Math"/>
          </w:rPr>
          <m:t>(i,j)</m:t>
        </m:r>
      </m:oMath>
      <w:r>
        <w:rPr>
          <w:rFonts w:ascii="Garamond" w:eastAsia="Garamond" w:hAnsi="Garamond" w:cs="Garamond"/>
        </w:rPr>
        <w:t xml:space="preserve"> and its surroundings. Therefore, it follows that for the </w:t>
      </w:r>
      <m:oMath>
        <m:r>
          <w:rPr>
            <w:rFonts w:ascii="Cambria Math" w:eastAsia="Cambria Math" w:hAnsi="Cambria Math" w:cs="Cambria Math"/>
          </w:rPr>
          <m:t>k</m:t>
        </m:r>
      </m:oMath>
      <w:r>
        <w:rPr>
          <w:rFonts w:ascii="Garamond" w:eastAsia="Garamond" w:hAnsi="Garamond" w:cs="Garamond"/>
        </w:rPr>
        <w:t xml:space="preserve"> line and </w:t>
      </w:r>
      <m:oMath>
        <m:r>
          <w:rPr>
            <w:rFonts w:ascii="Cambria Math" w:eastAsia="Cambria Math" w:hAnsi="Cambria Math" w:cs="Cambria Math"/>
          </w:rPr>
          <m:t>(i,j)</m:t>
        </m:r>
      </m:oMath>
      <w:r>
        <w:rPr>
          <w:rFonts w:ascii="Garamond" w:eastAsia="Garamond" w:hAnsi="Garamond" w:cs="Garamond"/>
        </w:rPr>
        <w:t xml:space="preserve"> position,</w:t>
      </w:r>
    </w:p>
    <w:p w14:paraId="1D45A026" w14:textId="77777777" w:rsidR="00C91E90" w:rsidRDefault="000578CF" w:rsidP="00984DC4">
      <w:pPr>
        <w:spacing w:before="120" w:after="120"/>
        <w:jc w:val="right"/>
        <w:rPr>
          <w:rFonts w:ascii="Garamond" w:eastAsia="Garamond" w:hAnsi="Garamond" w:cs="Garamond"/>
        </w:rPr>
      </w:pPr>
      <m:oMath>
        <m:sSubSup>
          <m:sSubSupPr>
            <m:ctrlPr>
              <w:rPr>
                <w:rFonts w:ascii="Cambria Math" w:eastAsia="Cambria Math" w:hAnsi="Cambria Math" w:cs="Cambria Math"/>
              </w:rPr>
            </m:ctrlPr>
          </m:sSubSupPr>
          <m:e>
            <m:r>
              <w:rPr>
                <w:rFonts w:ascii="Cambria Math" w:eastAsia="Cambria Math" w:hAnsi="Cambria Math" w:cs="Cambria Math"/>
              </w:rPr>
              <m:t>e</m:t>
            </m:r>
          </m:e>
          <m:sub>
            <m:r>
              <w:rPr>
                <w:rFonts w:ascii="Cambria Math" w:eastAsia="Cambria Math" w:hAnsi="Cambria Math" w:cs="Cambria Math"/>
              </w:rPr>
              <m:t>i,j</m:t>
            </m:r>
          </m:sub>
          <m:sup>
            <m:r>
              <w:rPr>
                <w:rFonts w:ascii="Cambria Math" w:eastAsia="Cambria Math" w:hAnsi="Cambria Math" w:cs="Cambria Math"/>
              </w:rPr>
              <m:t>(k)</m:t>
            </m:r>
          </m:sup>
        </m:sSubSup>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e</m:t>
            </m:r>
          </m:e>
          <m:sub>
            <m:r>
              <w:rPr>
                <w:rFonts w:ascii="Cambria Math" w:eastAsia="Cambria Math" w:hAnsi="Cambria Math" w:cs="Cambria Math"/>
              </w:rPr>
              <m:t>i±1,j</m:t>
            </m:r>
          </m:sub>
          <m:sup>
            <m:r>
              <w:rPr>
                <w:rFonts w:ascii="Cambria Math" w:eastAsia="Cambria Math" w:hAnsi="Cambria Math" w:cs="Cambria Math"/>
              </w:rPr>
              <m:t>(k)</m:t>
            </m:r>
          </m:sup>
        </m:sSubSup>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e</m:t>
            </m:r>
          </m:e>
          <m:sub>
            <m:r>
              <w:rPr>
                <w:rFonts w:ascii="Cambria Math" w:eastAsia="Cambria Math" w:hAnsi="Cambria Math" w:cs="Cambria Math"/>
              </w:rPr>
              <m:t>i,j±1</m:t>
            </m:r>
          </m:sub>
          <m:sup>
            <m:r>
              <w:rPr>
                <w:rFonts w:ascii="Cambria Math" w:eastAsia="Cambria Math" w:hAnsi="Cambria Math" w:cs="Cambria Math"/>
              </w:rPr>
              <m:t>(k)</m:t>
            </m:r>
          </m:sup>
        </m:sSubSup>
        <m:r>
          <w:rPr>
            <w:rFonts w:ascii="Cambria Math" w:eastAsia="Cambria Math" w:hAnsi="Cambria Math" w:cs="Cambria Math"/>
          </w:rPr>
          <m:t>=</m:t>
        </m:r>
        <m:sSubSup>
          <m:sSubSupPr>
            <m:ctrlPr>
              <w:rPr>
                <w:rFonts w:ascii="Cambria Math" w:eastAsia="Cambria Math" w:hAnsi="Cambria Math" w:cs="Cambria Math"/>
              </w:rPr>
            </m:ctrlPr>
          </m:sSubSupPr>
          <m:e>
            <m:r>
              <w:rPr>
                <w:rFonts w:ascii="Cambria Math" w:eastAsia="Cambria Math" w:hAnsi="Cambria Math" w:cs="Cambria Math"/>
              </w:rPr>
              <m:t>e</m:t>
            </m:r>
          </m:e>
          <m:sub>
            <m:r>
              <w:rPr>
                <w:rFonts w:ascii="Cambria Math" w:eastAsia="Cambria Math" w:hAnsi="Cambria Math" w:cs="Cambria Math"/>
              </w:rPr>
              <m:t>i±1,j±1</m:t>
            </m:r>
          </m:sub>
          <m:sup>
            <m:r>
              <w:rPr>
                <w:rFonts w:ascii="Cambria Math" w:eastAsia="Cambria Math" w:hAnsi="Cambria Math" w:cs="Cambria Math"/>
              </w:rPr>
              <m:t>(k)</m:t>
            </m:r>
          </m:sup>
        </m:sSubSup>
        <m:r>
          <w:rPr>
            <w:rFonts w:ascii="Cambria Math" w:eastAsia="Cambria Math" w:hAnsi="Cambria Math" w:cs="Cambria Math"/>
          </w:rPr>
          <m:t>=1</m:t>
        </m:r>
      </m:oMath>
      <w:r w:rsidR="006A1889">
        <w:rPr>
          <w:rFonts w:ascii="Garamond" w:eastAsia="Garamond" w:hAnsi="Garamond" w:cs="Garamond"/>
        </w:rPr>
        <w:t xml:space="preserve"> </w:t>
      </w:r>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t>(1)</w:t>
      </w:r>
    </w:p>
    <w:p w14:paraId="131D9A90" w14:textId="77777777" w:rsidR="00C91E90" w:rsidRDefault="006A1889" w:rsidP="00984DC4">
      <w:pPr>
        <w:spacing w:before="120" w:after="120"/>
        <w:jc w:val="both"/>
        <w:rPr>
          <w:rFonts w:ascii="Garamond" w:eastAsia="Garamond" w:hAnsi="Garamond" w:cs="Garamond"/>
        </w:rPr>
      </w:pPr>
      <w:r>
        <w:rPr>
          <w:rFonts w:ascii="Garamond" w:eastAsia="Garamond" w:hAnsi="Garamond" w:cs="Garamond"/>
        </w:rPr>
        <w:t>The square-shape pattern generated by this expanded network was used because of its simplicity and ease of implementation.</w:t>
      </w:r>
    </w:p>
    <w:p w14:paraId="71BF4819" w14:textId="77777777" w:rsidR="00C91E90" w:rsidRDefault="006A1889" w:rsidP="00984DC4">
      <w:pPr>
        <w:spacing w:before="120" w:after="120"/>
        <w:jc w:val="both"/>
        <w:rPr>
          <w:rFonts w:ascii="Garamond" w:eastAsia="Garamond" w:hAnsi="Garamond" w:cs="Garamond"/>
        </w:rPr>
      </w:pPr>
      <w:r>
        <w:rPr>
          <w:rFonts w:ascii="Garamond" w:eastAsia="Garamond" w:hAnsi="Garamond" w:cs="Garamond"/>
        </w:rPr>
        <w:t>Using the previous definitions, the total expanded network can be written as follows:</w:t>
      </w:r>
    </w:p>
    <w:p w14:paraId="523DD35A" w14:textId="76EC0318" w:rsidR="00C91E90" w:rsidRDefault="000578CF" w:rsidP="00984DC4">
      <w:pPr>
        <w:spacing w:before="120" w:after="120"/>
        <w:jc w:val="right"/>
        <w:rPr>
          <w:rFonts w:ascii="Garamond" w:eastAsia="Garamond" w:hAnsi="Garamond" w:cs="Garamond"/>
        </w:rPr>
      </w:pP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i,j</m:t>
            </m:r>
          </m:sub>
        </m:sSub>
        <m:r>
          <w:rPr>
            <w:rFonts w:ascii="Cambria Math" w:eastAsia="Cambria Math" w:hAnsi="Cambria Math" w:cs="Cambria Math"/>
          </w:rPr>
          <m:t>=</m:t>
        </m:r>
        <m:r>
          <m:rPr>
            <m:scr m:val="script"/>
          </m:rPr>
          <w:rPr>
            <w:rFonts w:ascii="Cambria Math" w:eastAsia="Garamond" w:hAnsi="Cambria Math" w:cs="Garamond"/>
          </w:rPr>
          <m:t>P</m:t>
        </m:r>
        <m:d>
          <m:dPr>
            <m:begChr m:val="["/>
            <m:endChr m:val="]"/>
            <m:ctrlPr>
              <w:rPr>
                <w:rFonts w:ascii="Cambria Math" w:eastAsia="Cambria Math" w:hAnsi="Cambria Math" w:cs="Cambria Math"/>
              </w:rPr>
            </m:ctrlPr>
          </m:dPr>
          <m:e>
            <m:r>
              <w:rPr>
                <w:rFonts w:ascii="Cambria Math" w:eastAsia="Cambria Math" w:hAnsi="Cambria Math" w:cs="Cambria Math"/>
              </w:rPr>
              <m:t> </m:t>
            </m:r>
            <m:nary>
              <m:naryPr>
                <m:chr m:val="∑"/>
                <m:ctrlPr>
                  <w:rPr>
                    <w:rFonts w:ascii="Cambria Math" w:eastAsia="Cambria Math" w:hAnsi="Cambria Math" w:cs="Cambria Math"/>
                  </w:rPr>
                </m:ctrlPr>
              </m:naryPr>
              <m:sub>
                <m:r>
                  <w:rPr>
                    <w:rFonts w:ascii="Cambria Math" w:eastAsia="Cambria Math" w:hAnsi="Cambria Math" w:cs="Cambria Math"/>
                  </w:rPr>
                  <m:t>k=1</m:t>
                </m:r>
              </m:sub>
              <m:sup>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b</m:t>
                    </m:r>
                  </m:sub>
                </m:sSub>
              </m:sup>
              <m:e>
                <m:sSubSup>
                  <m:sSubSupPr>
                    <m:ctrlPr>
                      <w:rPr>
                        <w:rFonts w:ascii="Cambria Math" w:eastAsia="Cambria Math" w:hAnsi="Cambria Math" w:cs="Cambria Math"/>
                      </w:rPr>
                    </m:ctrlPr>
                  </m:sSubSupPr>
                  <m:e>
                    <m:r>
                      <w:rPr>
                        <w:rFonts w:ascii="Cambria Math" w:eastAsia="Cambria Math" w:hAnsi="Cambria Math" w:cs="Cambria Math"/>
                      </w:rPr>
                      <m:t>e</m:t>
                    </m:r>
                  </m:e>
                  <m:sub>
                    <m:r>
                      <w:rPr>
                        <w:rFonts w:ascii="Cambria Math" w:eastAsia="Cambria Math" w:hAnsi="Cambria Math" w:cs="Cambria Math"/>
                      </w:rPr>
                      <m:t>i,j</m:t>
                    </m:r>
                  </m:sub>
                  <m:sup>
                    <m:r>
                      <w:rPr>
                        <w:rFonts w:ascii="Cambria Math" w:eastAsia="Cambria Math" w:hAnsi="Cambria Math" w:cs="Cambria Math"/>
                      </w:rPr>
                      <m:t>(k)</m:t>
                    </m:r>
                  </m:sup>
                </m:sSubSup>
              </m:e>
            </m:nary>
          </m:e>
        </m:d>
        <m:r>
          <w:rPr>
            <w:rFonts w:ascii="Cambria Math" w:eastAsia="Cambria Math" w:hAnsi="Cambria Math" w:cs="Cambria Math"/>
          </w:rPr>
          <m:t> </m:t>
        </m:r>
      </m:oMath>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t>(2)</w:t>
      </w:r>
    </w:p>
    <w:p w14:paraId="28E20FAB" w14:textId="41A8BE58" w:rsidR="00C91E90" w:rsidRDefault="006A1889" w:rsidP="00984DC4">
      <w:pPr>
        <w:spacing w:before="120" w:after="120"/>
        <w:jc w:val="both"/>
        <w:rPr>
          <w:rFonts w:ascii="Garamond" w:eastAsia="Garamond" w:hAnsi="Garamond" w:cs="Garamond"/>
        </w:rPr>
      </w:pPr>
      <w:r>
        <w:rPr>
          <w:rFonts w:ascii="Garamond" w:eastAsia="Garamond" w:hAnsi="Garamond" w:cs="Garamond"/>
        </w:rPr>
        <w:t xml:space="preserve">where </w:t>
      </w:r>
      <m:oMath>
        <m:r>
          <m:rPr>
            <m:scr m:val="script"/>
          </m:rPr>
          <w:rPr>
            <w:rFonts w:ascii="Cambria Math" w:eastAsia="Cambria Math" w:hAnsi="Cambria Math" w:cs="Cambria Math"/>
          </w:rPr>
          <m:t>P</m:t>
        </m:r>
      </m:oMath>
      <w:r>
        <w:rPr>
          <w:rFonts w:ascii="Garamond" w:eastAsia="Garamond" w:hAnsi="Garamond" w:cs="Garamond"/>
        </w:rPr>
        <w:t xml:space="preserve"> is an operator acting on each element of the array </w:t>
      </w:r>
      <m:oMath>
        <m:nary>
          <m:naryPr>
            <m:chr m:val="∑"/>
            <m:ctrlPr>
              <w:rPr>
                <w:rFonts w:ascii="Cambria Math" w:eastAsia="Cambria Math" w:hAnsi="Cambria Math" w:cs="Cambria Math"/>
              </w:rPr>
            </m:ctrlPr>
          </m:naryPr>
          <m:sub>
            <m:r>
              <w:rPr>
                <w:rFonts w:ascii="Cambria Math" w:eastAsia="Cambria Math" w:hAnsi="Cambria Math" w:cs="Cambria Math"/>
              </w:rPr>
              <m:t>k=1</m:t>
            </m:r>
          </m:sub>
          <m:sup>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b</m:t>
                </m:r>
              </m:sub>
            </m:sSub>
          </m:sup>
          <m:e>
            <m:sSubSup>
              <m:sSubSupPr>
                <m:ctrlPr>
                  <w:rPr>
                    <w:rFonts w:ascii="Cambria Math" w:eastAsia="Cambria Math" w:hAnsi="Cambria Math" w:cs="Cambria Math"/>
                  </w:rPr>
                </m:ctrlPr>
              </m:sSubSupPr>
              <m:e>
                <m:r>
                  <w:rPr>
                    <w:rFonts w:ascii="Cambria Math" w:eastAsia="Cambria Math" w:hAnsi="Cambria Math" w:cs="Cambria Math"/>
                  </w:rPr>
                  <m:t>e</m:t>
                </m:r>
              </m:e>
              <m:sub>
                <m:r>
                  <w:rPr>
                    <w:rFonts w:ascii="Cambria Math" w:eastAsia="Cambria Math" w:hAnsi="Cambria Math" w:cs="Cambria Math"/>
                  </w:rPr>
                  <m:t>i,j</m:t>
                </m:r>
              </m:sub>
              <m:sup>
                <m:r>
                  <w:rPr>
                    <w:rFonts w:ascii="Cambria Math" w:eastAsia="Cambria Math" w:hAnsi="Cambria Math" w:cs="Cambria Math"/>
                  </w:rPr>
                  <m:t>(k)</m:t>
                </m:r>
              </m:sup>
            </m:sSubSup>
          </m:e>
        </m:nary>
      </m:oMath>
      <w:r>
        <w:rPr>
          <w:rFonts w:ascii="Garamond" w:eastAsia="Garamond" w:hAnsi="Garamond" w:cs="Garamond"/>
        </w:rPr>
        <w:t>, with the following definition:</w:t>
      </w:r>
    </w:p>
    <w:p w14:paraId="037FE326" w14:textId="299848D5" w:rsidR="00C91E90" w:rsidRDefault="00656694" w:rsidP="00984DC4">
      <w:pPr>
        <w:spacing w:before="120" w:after="120"/>
        <w:jc w:val="right"/>
        <w:rPr>
          <w:rFonts w:ascii="Garamond" w:eastAsia="Garamond" w:hAnsi="Garamond" w:cs="Garamond"/>
        </w:rPr>
      </w:pPr>
      <m:oMath>
        <m:r>
          <m:rPr>
            <m:scr m:val="script"/>
          </m:rPr>
          <w:rPr>
            <w:rFonts w:ascii="Cambria Math" w:eastAsia="Cambria Math" w:hAnsi="Cambria Math" w:cs="Cambria Math"/>
          </w:rPr>
          <m:t>P</m:t>
        </m:r>
        <m:d>
          <m:dPr>
            <m:begChr m:val="["/>
            <m:endChr m:val="]"/>
            <m:ctrlPr>
              <w:rPr>
                <w:rFonts w:ascii="Cambria Math" w:eastAsia="Cambria Math" w:hAnsi="Cambria Math" w:cs="Cambria Math"/>
              </w:rPr>
            </m:ctrlPr>
          </m:dPr>
          <m:e>
            <m:r>
              <w:rPr>
                <w:rFonts w:ascii="Cambria Math" w:eastAsia="Cambria Math" w:hAnsi="Cambria Math" w:cs="Cambria Math"/>
              </w:rPr>
              <m:t>a</m:t>
            </m:r>
          </m:e>
        </m:d>
        <m:r>
          <w:rPr>
            <w:rFonts w:ascii="Cambria Math" w:eastAsia="Cambria Math" w:hAnsi="Cambria Math" w:cs="Cambria Math"/>
          </w:rPr>
          <m:t>=</m:t>
        </m:r>
        <m:d>
          <m:dPr>
            <m:begChr m:val="{"/>
            <m:endChr m:val=""/>
            <m:ctrlPr>
              <w:rPr>
                <w:rFonts w:ascii="Cambria Math" w:eastAsia="Cambria Math" w:hAnsi="Cambria Math" w:cs="Cambria Math"/>
                <w:i/>
              </w:rPr>
            </m:ctrlPr>
          </m:dPr>
          <m:e>
            <m:eqArr>
              <m:eqArrPr>
                <m:ctrlPr>
                  <w:rPr>
                    <w:rFonts w:ascii="Cambria Math" w:eastAsia="Cambria Math" w:hAnsi="Cambria Math" w:cs="Cambria Math"/>
                    <w:i/>
                  </w:rPr>
                </m:ctrlPr>
              </m:eqArrPr>
              <m:e>
                <m:r>
                  <w:rPr>
                    <w:rFonts w:ascii="Cambria Math" w:eastAsia="Cambria Math" w:hAnsi="Cambria Math" w:cs="Cambria Math"/>
                  </w:rPr>
                  <m:t xml:space="preserve">1  </m:t>
                </m:r>
                <m:r>
                  <w:rPr>
                    <w:rFonts w:ascii="Garamond" w:eastAsia="Garamond" w:hAnsi="Garamond" w:cs="Garamond"/>
                  </w:rPr>
                  <m:t xml:space="preserve">if </m:t>
                </m:r>
                <m:r>
                  <w:rPr>
                    <w:rFonts w:ascii="Cambria Math" w:eastAsia="Cambria Math" w:hAnsi="Cambria Math" w:cs="Cambria Math"/>
                  </w:rPr>
                  <m:t>a&gt;0,</m:t>
                </m:r>
              </m:e>
              <m:e>
                <m:r>
                  <w:rPr>
                    <w:rFonts w:ascii="Cambria Math" w:eastAsia="Cambria Math" w:hAnsi="Cambria Math" w:cs="Cambria Math"/>
                  </w:rPr>
                  <m:t xml:space="preserve">0  </m:t>
                </m:r>
                <m:r>
                  <w:rPr>
                    <w:rFonts w:ascii="Garamond" w:eastAsia="Garamond" w:hAnsi="Garamond" w:cs="Garamond"/>
                  </w:rPr>
                  <m:t xml:space="preserve">if </m:t>
                </m:r>
                <m:r>
                  <w:rPr>
                    <w:rFonts w:ascii="Cambria Math" w:eastAsia="Cambria Math" w:hAnsi="Cambria Math" w:cs="Cambria Math"/>
                  </w:rPr>
                  <m:t>a≤0</m:t>
                </m:r>
              </m:e>
            </m:eqArr>
          </m:e>
        </m:d>
        <m:r>
          <w:rPr>
            <w:rFonts w:ascii="Cambria Math" w:eastAsia="Cambria Math" w:hAnsi="Cambria Math" w:cs="Cambria Math"/>
          </w:rPr>
          <m:t xml:space="preserve">  </m:t>
        </m:r>
      </m:oMath>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t>(3)</w:t>
      </w:r>
    </w:p>
    <w:p w14:paraId="5C39DBFB" w14:textId="299F4554" w:rsidR="00C91E90" w:rsidRDefault="006A1889" w:rsidP="00984DC4">
      <w:pPr>
        <w:spacing w:before="120" w:after="120"/>
        <w:jc w:val="both"/>
        <w:rPr>
          <w:rFonts w:ascii="Garamond" w:eastAsia="Garamond" w:hAnsi="Garamond" w:cs="Garamond"/>
        </w:rPr>
      </w:pPr>
      <w:r>
        <w:rPr>
          <w:rFonts w:ascii="Garamond" w:eastAsia="Garamond" w:hAnsi="Garamond" w:cs="Garamond"/>
        </w:rPr>
        <w:t xml:space="preserve">This operator is used to normalize the size of each element in </w:t>
      </w:r>
      <m:oMath>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i,j</m:t>
            </m:r>
          </m:sub>
        </m:sSub>
      </m:oMath>
      <w:r>
        <w:rPr>
          <w:rFonts w:ascii="Garamond" w:eastAsia="Garamond" w:hAnsi="Garamond" w:cs="Garamond"/>
        </w:rPr>
        <w:t xml:space="preserve"> and avoid double count at places where the expanded networks overlap. With the use of Eq. </w:t>
      </w:r>
      <w:r w:rsidR="006936B5">
        <w:rPr>
          <w:rFonts w:ascii="Garamond" w:eastAsia="Garamond" w:hAnsi="Garamond" w:cs="Garamond"/>
        </w:rPr>
        <w:t xml:space="preserve">(2) </w:t>
      </w:r>
      <w:r w:rsidR="00D45220">
        <w:rPr>
          <w:rFonts w:ascii="Garamond" w:eastAsia="Garamond" w:hAnsi="Garamond" w:cs="Garamond"/>
        </w:rPr>
        <w:t xml:space="preserve">we can define </w:t>
      </w:r>
      <w:r>
        <w:rPr>
          <w:rFonts w:ascii="Garamond" w:eastAsia="Garamond" w:hAnsi="Garamond" w:cs="Garamond"/>
        </w:rPr>
        <w:t xml:space="preserve">the total expanded network size as the sum of all its elements </w:t>
      </w:r>
      <w:r w:rsidR="00D45220">
        <w:rPr>
          <w:rFonts w:ascii="Garamond" w:eastAsia="Garamond" w:hAnsi="Garamond" w:cs="Garamond"/>
        </w:rPr>
        <w:t>in the following way</w:t>
      </w:r>
      <w:r>
        <w:rPr>
          <w:rFonts w:ascii="Garamond" w:eastAsia="Garamond" w:hAnsi="Garamond" w:cs="Garamond"/>
        </w:rPr>
        <w:t>:</w:t>
      </w:r>
    </w:p>
    <w:p w14:paraId="32B90859" w14:textId="5527660D" w:rsidR="00C91E90" w:rsidRDefault="000578CF" w:rsidP="00984DC4">
      <w:pPr>
        <w:spacing w:before="120" w:after="120"/>
        <w:jc w:val="right"/>
        <w:rPr>
          <w:rFonts w:ascii="Garamond" w:eastAsia="Garamond" w:hAnsi="Garamond" w:cs="Garamond"/>
        </w:rPr>
      </w:pPr>
      <m:oMath>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t</m:t>
            </m:r>
          </m:sub>
        </m:sSub>
        <m:r>
          <w:rPr>
            <w:rFonts w:ascii="Cambria Math" w:eastAsia="Cambria Math" w:hAnsi="Cambria Math" w:cs="Cambria Math"/>
          </w:rPr>
          <m:t>=</m:t>
        </m:r>
        <m:nary>
          <m:naryPr>
            <m:chr m:val="∑"/>
            <m:ctrlPr>
              <w:rPr>
                <w:rFonts w:ascii="Cambria Math" w:eastAsia="Cambria Math" w:hAnsi="Cambria Math" w:cs="Cambria Math"/>
              </w:rPr>
            </m:ctrlPr>
          </m:naryPr>
          <m:sub>
            <m:r>
              <w:rPr>
                <w:rFonts w:ascii="Cambria Math" w:eastAsia="Cambria Math" w:hAnsi="Cambria Math" w:cs="Cambria Math"/>
              </w:rPr>
              <m:t>i=1</m:t>
            </m:r>
          </m:sub>
          <m:sup>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x</m:t>
                </m:r>
              </m:sub>
            </m:sSub>
          </m:sup>
          <m:e>
            <m:nary>
              <m:naryPr>
                <m:chr m:val="∑"/>
                <m:ctrlPr>
                  <w:rPr>
                    <w:rFonts w:ascii="Cambria Math" w:eastAsia="Cambria Math" w:hAnsi="Cambria Math" w:cs="Cambria Math"/>
                  </w:rPr>
                </m:ctrlPr>
              </m:naryPr>
              <m:sub>
                <m:r>
                  <w:rPr>
                    <w:rFonts w:ascii="Cambria Math" w:eastAsia="Cambria Math" w:hAnsi="Cambria Math" w:cs="Cambria Math"/>
                  </w:rPr>
                  <m:t>j=1</m:t>
                </m:r>
              </m:sub>
              <m:sup>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y</m:t>
                    </m:r>
                  </m:sub>
                </m:sSub>
              </m:sup>
              <m:e>
                <m:sSub>
                  <m:sSubPr>
                    <m:ctrlPr>
                      <w:rPr>
                        <w:rFonts w:ascii="Cambria Math" w:eastAsia="Cambria Math" w:hAnsi="Cambria Math" w:cs="Cambria Math"/>
                      </w:rPr>
                    </m:ctrlPr>
                  </m:sSubPr>
                  <m:e>
                    <m:r>
                      <w:rPr>
                        <w:rFonts w:ascii="Cambria Math" w:eastAsia="Cambria Math" w:hAnsi="Cambria Math" w:cs="Cambria Math"/>
                      </w:rPr>
                      <m:t>R</m:t>
                    </m:r>
                  </m:e>
                  <m:sub>
                    <m:r>
                      <w:rPr>
                        <w:rFonts w:ascii="Cambria Math" w:eastAsia="Cambria Math" w:hAnsi="Cambria Math" w:cs="Cambria Math"/>
                      </w:rPr>
                      <m:t>i,j</m:t>
                    </m:r>
                  </m:sub>
                </m:sSub>
              </m:e>
            </m:nary>
          </m:e>
        </m:nary>
      </m:oMath>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t>(4)</w:t>
      </w:r>
    </w:p>
    <w:p w14:paraId="7F8201D7" w14:textId="77777777" w:rsidR="00C91E90" w:rsidRDefault="006A1889" w:rsidP="00984DC4">
      <w:pPr>
        <w:spacing w:before="120" w:after="120"/>
        <w:jc w:val="both"/>
        <w:rPr>
          <w:rFonts w:ascii="Garamond" w:eastAsia="Garamond" w:hAnsi="Garamond" w:cs="Garamond"/>
        </w:rPr>
      </w:pPr>
      <w:r>
        <w:rPr>
          <w:rFonts w:ascii="Garamond" w:eastAsia="Garamond" w:hAnsi="Garamond" w:cs="Garamond"/>
        </w:rPr>
        <w:t xml:space="preserve">Now the accessible region of the plane for each particular position given by the pair </w:t>
      </w:r>
      <m:oMath>
        <m:r>
          <w:rPr>
            <w:rFonts w:ascii="Cambria Math" w:eastAsia="Cambria Math" w:hAnsi="Cambria Math" w:cs="Cambria Math"/>
          </w:rPr>
          <m:t>(i,j)</m:t>
        </m:r>
      </m:oMath>
      <w:r>
        <w:rPr>
          <w:rFonts w:ascii="Garamond" w:eastAsia="Garamond" w:hAnsi="Garamond" w:cs="Garamond"/>
        </w:rPr>
        <w:t xml:space="preserve"> can be defined as the array:</w:t>
      </w:r>
    </w:p>
    <w:p w14:paraId="398D8832" w14:textId="39ED6947" w:rsidR="00C91E90" w:rsidRDefault="000578CF" w:rsidP="00984DC4">
      <w:pPr>
        <w:spacing w:before="120" w:after="120"/>
        <w:jc w:val="right"/>
        <w:rPr>
          <w:rFonts w:ascii="Garamond" w:eastAsia="Garamond" w:hAnsi="Garamond" w:cs="Garamond"/>
        </w:rPr>
      </w:pPr>
      <m:oMath>
        <m:sSubSup>
          <m:sSubSupPr>
            <m:ctrlPr>
              <w:rPr>
                <w:rFonts w:ascii="Cambria Math" w:eastAsia="Cambria Math" w:hAnsi="Cambria Math" w:cs="Cambria Math"/>
              </w:rPr>
            </m:ctrlPr>
          </m:sSubSupPr>
          <m:e>
            <m:r>
              <w:rPr>
                <w:rFonts w:ascii="Cambria Math" w:eastAsia="Cambria Math" w:hAnsi="Cambria Math" w:cs="Cambria Math"/>
              </w:rPr>
              <m:t>f</m:t>
            </m:r>
          </m:e>
          <m:sub>
            <m:r>
              <w:rPr>
                <w:rFonts w:ascii="Cambria Math" w:eastAsia="Cambria Math" w:hAnsi="Cambria Math" w:cs="Cambria Math"/>
              </w:rPr>
              <m:t>l,m</m:t>
            </m:r>
          </m:sub>
          <m:sup>
            <m:r>
              <w:rPr>
                <w:rFonts w:ascii="Cambria Math" w:eastAsia="Cambria Math" w:hAnsi="Cambria Math" w:cs="Cambria Math"/>
              </w:rPr>
              <m:t>(i,j)</m:t>
            </m:r>
          </m:sup>
        </m:sSubSup>
        <m:r>
          <w:rPr>
            <w:rFonts w:ascii="Cambria Math" w:eastAsia="Cambria Math" w:hAnsi="Cambria Math" w:cs="Cambria Math"/>
          </w:rPr>
          <m:t>=</m:t>
        </m:r>
        <m:r>
          <m:rPr>
            <m:scr m:val="script"/>
          </m:rPr>
          <w:rPr>
            <w:rFonts w:ascii="Cambria Math" w:eastAsia="Garamond" w:hAnsi="Cambria Math" w:cs="Garamond"/>
          </w:rPr>
          <m:t>P</m:t>
        </m:r>
        <m:d>
          <m:dPr>
            <m:begChr m:val="["/>
            <m:endChr m:val="]"/>
            <m:ctrlPr>
              <w:rPr>
                <w:rFonts w:ascii="Cambria Math" w:eastAsia="Cambria Math" w:hAnsi="Cambria Math" w:cs="Cambria Math"/>
              </w:rPr>
            </m:ctrlPr>
          </m:dPr>
          <m:e>
            <m:r>
              <w:rPr>
                <w:rFonts w:ascii="Cambria Math" w:eastAsia="Cambria Math" w:hAnsi="Cambria Math" w:cs="Cambria Math"/>
              </w:rPr>
              <m:t> </m:t>
            </m:r>
            <m:nary>
              <m:naryPr>
                <m:chr m:val="∑"/>
                <m:ctrlPr>
                  <w:rPr>
                    <w:rFonts w:ascii="Cambria Math" w:eastAsia="Cambria Math" w:hAnsi="Cambria Math" w:cs="Cambria Math"/>
                  </w:rPr>
                </m:ctrlPr>
              </m:naryPr>
              <m:sub>
                <m:r>
                  <w:rPr>
                    <w:rFonts w:ascii="Cambria Math" w:eastAsia="Cambria Math" w:hAnsi="Cambria Math" w:cs="Cambria Math"/>
                  </w:rPr>
                  <m:t>k=1</m:t>
                </m:r>
              </m:sub>
              <m:sup>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b</m:t>
                    </m:r>
                  </m:sub>
                </m:sSub>
              </m:sup>
              <m:e>
                <m:sSubSup>
                  <m:sSubSupPr>
                    <m:ctrlPr>
                      <w:rPr>
                        <w:rFonts w:ascii="Cambria Math" w:eastAsia="Cambria Math" w:hAnsi="Cambria Math" w:cs="Cambria Math"/>
                      </w:rPr>
                    </m:ctrlPr>
                  </m:sSubSupPr>
                  <m:e>
                    <m:r>
                      <w:rPr>
                        <w:rFonts w:ascii="Cambria Math" w:eastAsia="Cambria Math" w:hAnsi="Cambria Math" w:cs="Cambria Math"/>
                      </w:rPr>
                      <m:t>e</m:t>
                    </m:r>
                  </m:e>
                  <m:sub>
                    <m:r>
                      <w:rPr>
                        <w:rFonts w:ascii="Cambria Math" w:eastAsia="Cambria Math" w:hAnsi="Cambria Math" w:cs="Cambria Math"/>
                      </w:rPr>
                      <m:t>i,j</m:t>
                    </m:r>
                  </m:sub>
                  <m:sup>
                    <m:r>
                      <w:rPr>
                        <w:rFonts w:ascii="Cambria Math" w:eastAsia="Cambria Math" w:hAnsi="Cambria Math" w:cs="Cambria Math"/>
                      </w:rPr>
                      <m:t>(k)</m:t>
                    </m:r>
                  </m:sup>
                </m:sSubSup>
                <m:sSubSup>
                  <m:sSubSupPr>
                    <m:ctrlPr>
                      <w:rPr>
                        <w:rFonts w:ascii="Cambria Math" w:eastAsia="Cambria Math" w:hAnsi="Cambria Math" w:cs="Cambria Math"/>
                      </w:rPr>
                    </m:ctrlPr>
                  </m:sSubSupPr>
                  <m:e>
                    <m:r>
                      <w:rPr>
                        <w:rFonts w:ascii="Cambria Math" w:eastAsia="Cambria Math" w:hAnsi="Cambria Math" w:cs="Cambria Math"/>
                      </w:rPr>
                      <m:t>e</m:t>
                    </m:r>
                  </m:e>
                  <m:sub>
                    <m:r>
                      <w:rPr>
                        <w:rFonts w:ascii="Cambria Math" w:eastAsia="Cambria Math" w:hAnsi="Cambria Math" w:cs="Cambria Math"/>
                      </w:rPr>
                      <m:t>l,m</m:t>
                    </m:r>
                  </m:sub>
                  <m:sup>
                    <m:r>
                      <w:rPr>
                        <w:rFonts w:ascii="Cambria Math" w:eastAsia="Cambria Math" w:hAnsi="Cambria Math" w:cs="Cambria Math"/>
                      </w:rPr>
                      <m:t>(k)</m:t>
                    </m:r>
                  </m:sup>
                </m:sSubSup>
              </m:e>
            </m:nary>
          </m:e>
        </m:d>
      </m:oMath>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t>(5)</w:t>
      </w:r>
    </w:p>
    <w:p w14:paraId="05AEC002" w14:textId="77777777" w:rsidR="00C91E90" w:rsidRDefault="006A1889" w:rsidP="00984DC4">
      <w:pPr>
        <w:spacing w:before="120" w:after="120"/>
        <w:jc w:val="both"/>
        <w:rPr>
          <w:rFonts w:ascii="Garamond" w:eastAsia="Garamond" w:hAnsi="Garamond" w:cs="Garamond"/>
        </w:rPr>
      </w:pPr>
      <w:r>
        <w:rPr>
          <w:rFonts w:ascii="Garamond" w:eastAsia="Garamond" w:hAnsi="Garamond" w:cs="Garamond"/>
        </w:rPr>
        <w:lastRenderedPageBreak/>
        <w:t xml:space="preserve">The product of the </w:t>
      </w:r>
      <m:oMath>
        <m:r>
          <w:rPr>
            <w:rFonts w:ascii="Cambria Math" w:eastAsia="Cambria Math" w:hAnsi="Cambria Math" w:cs="Cambria Math"/>
          </w:rPr>
          <m:t>e</m:t>
        </m:r>
      </m:oMath>
      <w:r>
        <w:rPr>
          <w:rFonts w:ascii="Garamond" w:eastAsia="Garamond" w:hAnsi="Garamond" w:cs="Garamond"/>
        </w:rPr>
        <w:t xml:space="preserve"> arrays implies that the expanded lines considered are those who have non–zero elements at </w:t>
      </w:r>
      <m:oMath>
        <m:r>
          <w:rPr>
            <w:rFonts w:ascii="Cambria Math" w:eastAsia="Cambria Math" w:hAnsi="Cambria Math" w:cs="Cambria Math"/>
          </w:rPr>
          <m:t>(i,j)</m:t>
        </m:r>
      </m:oMath>
      <w:r>
        <w:rPr>
          <w:rFonts w:ascii="Garamond" w:eastAsia="Garamond" w:hAnsi="Garamond" w:cs="Garamond"/>
        </w:rPr>
        <w:t xml:space="preserve">. Additionally, each value is normalized to </w:t>
      </w:r>
      <m:oMath>
        <m:r>
          <w:rPr>
            <w:rFonts w:ascii="Cambria Math" w:eastAsia="Cambria Math" w:hAnsi="Cambria Math" w:cs="Cambria Math"/>
          </w:rPr>
          <m:t>1</m:t>
        </m:r>
      </m:oMath>
      <w:r>
        <w:rPr>
          <w:rFonts w:ascii="Garamond" w:eastAsia="Garamond" w:hAnsi="Garamond" w:cs="Garamond"/>
        </w:rPr>
        <w:t xml:space="preserve"> to avoid multiple counts at the overlapping points.</w:t>
      </w:r>
    </w:p>
    <w:p w14:paraId="1C08B80A" w14:textId="703225CF" w:rsidR="00C91E90" w:rsidRDefault="006A1889" w:rsidP="00984DC4">
      <w:pPr>
        <w:spacing w:before="120" w:after="120"/>
        <w:jc w:val="both"/>
        <w:rPr>
          <w:rFonts w:ascii="Garamond" w:eastAsia="Garamond" w:hAnsi="Garamond" w:cs="Garamond"/>
        </w:rPr>
      </w:pPr>
      <w:r>
        <w:rPr>
          <w:rFonts w:ascii="Garamond" w:eastAsia="Garamond" w:hAnsi="Garamond" w:cs="Garamond"/>
        </w:rPr>
        <w:t xml:space="preserve">Finally, we can calculate the numerical value of the accessibility for the position </w:t>
      </w:r>
      <m:oMath>
        <m:r>
          <w:rPr>
            <w:rFonts w:ascii="Cambria Math" w:eastAsia="Cambria Math" w:hAnsi="Cambria Math" w:cs="Cambria Math"/>
          </w:rPr>
          <m:t>(i,j)</m:t>
        </m:r>
      </m:oMath>
      <w:r>
        <w:rPr>
          <w:rFonts w:ascii="Garamond" w:eastAsia="Garamond" w:hAnsi="Garamond" w:cs="Garamond"/>
        </w:rPr>
        <w:t xml:space="preserve"> as the fraction of the total expanded network</w:t>
      </w:r>
      <w:r w:rsidR="00873933">
        <w:rPr>
          <w:rFonts w:ascii="Garamond" w:eastAsia="Garamond" w:hAnsi="Garamond" w:cs="Garamond"/>
        </w:rPr>
        <w:t xml:space="preserve"> that</w:t>
      </w:r>
      <w:r>
        <w:rPr>
          <w:rFonts w:ascii="Garamond" w:eastAsia="Garamond" w:hAnsi="Garamond" w:cs="Garamond"/>
        </w:rPr>
        <w:t xml:space="preserve"> can be reached </w:t>
      </w:r>
      <w:r w:rsidR="00873933">
        <w:rPr>
          <w:rFonts w:ascii="Garamond" w:eastAsia="Garamond" w:hAnsi="Garamond" w:cs="Garamond"/>
        </w:rPr>
        <w:t xml:space="preserve">from </w:t>
      </w:r>
      <w:r>
        <w:rPr>
          <w:rFonts w:ascii="Garamond" w:eastAsia="Garamond" w:hAnsi="Garamond" w:cs="Garamond"/>
        </w:rPr>
        <w:t xml:space="preserve">a </w:t>
      </w:r>
      <w:r w:rsidR="00873933">
        <w:rPr>
          <w:rFonts w:ascii="Garamond" w:eastAsia="Garamond" w:hAnsi="Garamond" w:cs="Garamond"/>
        </w:rPr>
        <w:t>specific location</w:t>
      </w:r>
      <w:r>
        <w:rPr>
          <w:rFonts w:ascii="Garamond" w:eastAsia="Garamond" w:hAnsi="Garamond" w:cs="Garamond"/>
        </w:rPr>
        <w:t>:</w:t>
      </w:r>
    </w:p>
    <w:p w14:paraId="456AC39F" w14:textId="16934ED2" w:rsidR="00C91E90" w:rsidRPr="003F010C" w:rsidRDefault="000578CF" w:rsidP="00984DC4">
      <w:pPr>
        <w:spacing w:before="120" w:after="120"/>
        <w:jc w:val="right"/>
        <w:rPr>
          <w:rFonts w:ascii="Garamond" w:eastAsia="Garamond" w:hAnsi="Garamond" w:cs="Garamond"/>
        </w:rPr>
      </w:pPr>
      <m:oMath>
        <m:sSup>
          <m:sSupPr>
            <m:ctrlPr>
              <w:rPr>
                <w:rFonts w:ascii="Cambria Math" w:eastAsia="Cambria Math" w:hAnsi="Cambria Math" w:cs="Cambria Math"/>
              </w:rPr>
            </m:ctrlPr>
          </m:sSupPr>
          <m:e>
            <m:r>
              <w:rPr>
                <w:rFonts w:ascii="Cambria Math" w:eastAsia="Cambria Math" w:hAnsi="Cambria Math" w:cs="Cambria Math"/>
              </w:rPr>
              <m:t>A</m:t>
            </m:r>
          </m:e>
          <m:sup>
            <m:r>
              <w:rPr>
                <w:rFonts w:ascii="Cambria Math" w:eastAsia="Cambria Math" w:hAnsi="Cambria Math" w:cs="Cambria Math"/>
              </w:rPr>
              <m:t>(i,j)</m:t>
            </m:r>
          </m:sup>
        </m:sSup>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t</m:t>
                </m:r>
              </m:sub>
            </m:sSub>
          </m:den>
        </m:f>
        <m:nary>
          <m:naryPr>
            <m:chr m:val="∑"/>
            <m:ctrlPr>
              <w:rPr>
                <w:rFonts w:ascii="Cambria Math" w:eastAsia="Cambria Math" w:hAnsi="Cambria Math" w:cs="Cambria Math"/>
              </w:rPr>
            </m:ctrlPr>
          </m:naryPr>
          <m:sub>
            <m:r>
              <w:rPr>
                <w:rFonts w:ascii="Cambria Math" w:eastAsia="Cambria Math" w:hAnsi="Cambria Math" w:cs="Cambria Math"/>
              </w:rPr>
              <m:t>l=1</m:t>
            </m:r>
          </m:sub>
          <m:sup>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x</m:t>
                </m:r>
              </m:sub>
            </m:sSub>
          </m:sup>
          <m:e>
            <m:nary>
              <m:naryPr>
                <m:chr m:val="∑"/>
                <m:ctrlPr>
                  <w:rPr>
                    <w:rFonts w:ascii="Cambria Math" w:eastAsia="Cambria Math" w:hAnsi="Cambria Math" w:cs="Cambria Math"/>
                  </w:rPr>
                </m:ctrlPr>
              </m:naryPr>
              <m:sub>
                <m:r>
                  <w:rPr>
                    <w:rFonts w:ascii="Cambria Math" w:eastAsia="Cambria Math" w:hAnsi="Cambria Math" w:cs="Cambria Math"/>
                  </w:rPr>
                  <m:t>m=1</m:t>
                </m:r>
              </m:sub>
              <m:sup>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y</m:t>
                    </m:r>
                  </m:sub>
                </m:sSub>
              </m:sup>
              <m:e>
                <m:sSubSup>
                  <m:sSubSupPr>
                    <m:ctrlPr>
                      <w:rPr>
                        <w:rFonts w:ascii="Cambria Math" w:eastAsia="Cambria Math" w:hAnsi="Cambria Math" w:cs="Cambria Math"/>
                      </w:rPr>
                    </m:ctrlPr>
                  </m:sSubSupPr>
                  <m:e>
                    <m:r>
                      <w:rPr>
                        <w:rFonts w:ascii="Cambria Math" w:eastAsia="Cambria Math" w:hAnsi="Cambria Math" w:cs="Cambria Math"/>
                      </w:rPr>
                      <m:t>f</m:t>
                    </m:r>
                  </m:e>
                  <m:sub>
                    <m:r>
                      <w:rPr>
                        <w:rFonts w:ascii="Cambria Math" w:eastAsia="Cambria Math" w:hAnsi="Cambria Math" w:cs="Cambria Math"/>
                      </w:rPr>
                      <m:t>l,m</m:t>
                    </m:r>
                  </m:sub>
                  <m:sup>
                    <m:r>
                      <w:rPr>
                        <w:rFonts w:ascii="Cambria Math" w:eastAsia="Cambria Math" w:hAnsi="Cambria Math" w:cs="Cambria Math"/>
                      </w:rPr>
                      <m:t>(i,j)</m:t>
                    </m:r>
                  </m:sup>
                </m:sSubSup>
              </m:e>
            </m:nary>
          </m:e>
        </m:nary>
        <m:r>
          <w:rPr>
            <w:rFonts w:ascii="Cambria Math" w:eastAsia="Cambria Math" w:hAnsi="Cambria Math" w:cs="Cambria Math"/>
          </w:rPr>
          <m:t> </m:t>
        </m:r>
      </m:oMath>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r>
      <w:r w:rsidR="006A1889">
        <w:rPr>
          <w:rFonts w:ascii="Garamond" w:eastAsia="Garamond" w:hAnsi="Garamond" w:cs="Garamond"/>
        </w:rPr>
        <w:tab/>
        <w:t>(6)</w:t>
      </w:r>
    </w:p>
    <w:sectPr w:rsidR="00C91E90" w:rsidRPr="003F010C" w:rsidSect="00984DC4">
      <w:footerReference w:type="default" r:id="rId9"/>
      <w:type w:val="continuous"/>
      <w:pgSz w:w="11909" w:h="16834"/>
      <w:pgMar w:top="1440" w:right="1440" w:bottom="1440" w:left="1440" w:header="720" w:footer="720"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79AA1" w14:textId="77777777" w:rsidR="000578CF" w:rsidRDefault="000578CF" w:rsidP="009F197C">
      <w:pPr>
        <w:spacing w:after="0"/>
      </w:pPr>
      <w:r>
        <w:separator/>
      </w:r>
    </w:p>
  </w:endnote>
  <w:endnote w:type="continuationSeparator" w:id="0">
    <w:p w14:paraId="48247530" w14:textId="77777777" w:rsidR="000578CF" w:rsidRDefault="000578CF" w:rsidP="009F19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550288"/>
      <w:docPartObj>
        <w:docPartGallery w:val="Page Numbers (Bottom of Page)"/>
        <w:docPartUnique/>
      </w:docPartObj>
    </w:sdtPr>
    <w:sdtEndPr>
      <w:rPr>
        <w:rFonts w:ascii="Garamond" w:hAnsi="Garamond"/>
        <w:sz w:val="22"/>
        <w:szCs w:val="22"/>
      </w:rPr>
    </w:sdtEndPr>
    <w:sdtContent>
      <w:p w14:paraId="3D7FBEC6" w14:textId="67518314" w:rsidR="009F197C" w:rsidRPr="00B9130C" w:rsidRDefault="009F197C">
        <w:pPr>
          <w:pStyle w:val="Footer"/>
          <w:jc w:val="right"/>
          <w:rPr>
            <w:rFonts w:ascii="Garamond" w:hAnsi="Garamond"/>
            <w:sz w:val="22"/>
            <w:szCs w:val="22"/>
          </w:rPr>
        </w:pPr>
        <w:r w:rsidRPr="00B9130C">
          <w:rPr>
            <w:rFonts w:ascii="Garamond" w:hAnsi="Garamond"/>
            <w:sz w:val="22"/>
            <w:szCs w:val="22"/>
          </w:rPr>
          <w:fldChar w:fldCharType="begin"/>
        </w:r>
        <w:r w:rsidRPr="00B9130C">
          <w:rPr>
            <w:rFonts w:ascii="Garamond" w:hAnsi="Garamond"/>
            <w:sz w:val="22"/>
            <w:szCs w:val="22"/>
          </w:rPr>
          <w:instrText>PAGE   \* MERGEFORMAT</w:instrText>
        </w:r>
        <w:r w:rsidRPr="00B9130C">
          <w:rPr>
            <w:rFonts w:ascii="Garamond" w:hAnsi="Garamond"/>
            <w:sz w:val="22"/>
            <w:szCs w:val="22"/>
          </w:rPr>
          <w:fldChar w:fldCharType="separate"/>
        </w:r>
        <w:r w:rsidR="00F91DDC" w:rsidRPr="00F91DDC">
          <w:rPr>
            <w:rFonts w:ascii="Garamond" w:hAnsi="Garamond"/>
            <w:noProof/>
            <w:sz w:val="22"/>
            <w:szCs w:val="22"/>
            <w:lang w:val="es-ES"/>
          </w:rPr>
          <w:t>4</w:t>
        </w:r>
        <w:r w:rsidRPr="00B9130C">
          <w:rPr>
            <w:rFonts w:ascii="Garamond" w:hAnsi="Garamond"/>
            <w:sz w:val="22"/>
            <w:szCs w:val="22"/>
          </w:rPr>
          <w:fldChar w:fldCharType="end"/>
        </w:r>
      </w:p>
    </w:sdtContent>
  </w:sdt>
  <w:p w14:paraId="11AA78EA" w14:textId="77777777" w:rsidR="009F197C" w:rsidRDefault="009F1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77E51C" w14:textId="77777777" w:rsidR="000578CF" w:rsidRDefault="000578CF" w:rsidP="009F197C">
      <w:pPr>
        <w:spacing w:after="0"/>
      </w:pPr>
      <w:r>
        <w:separator/>
      </w:r>
    </w:p>
  </w:footnote>
  <w:footnote w:type="continuationSeparator" w:id="0">
    <w:p w14:paraId="2BFD36EE" w14:textId="77777777" w:rsidR="000578CF" w:rsidRDefault="000578CF" w:rsidP="009F197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82241"/>
    <w:multiLevelType w:val="multilevel"/>
    <w:tmpl w:val="8E0CE07C"/>
    <w:lvl w:ilvl="0">
      <w:start w:val="3"/>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338F29DC"/>
    <w:multiLevelType w:val="multilevel"/>
    <w:tmpl w:val="283A961E"/>
    <w:lvl w:ilvl="0">
      <w:start w:val="3"/>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98C48E3"/>
    <w:multiLevelType w:val="multilevel"/>
    <w:tmpl w:val="E9502D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4B7F0AE5"/>
    <w:multiLevelType w:val="multilevel"/>
    <w:tmpl w:val="4A48FDE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54A03A65"/>
    <w:multiLevelType w:val="multilevel"/>
    <w:tmpl w:val="F230CF34"/>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E0F36D2"/>
    <w:multiLevelType w:val="multilevel"/>
    <w:tmpl w:val="D01C4B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EE66D63"/>
    <w:multiLevelType w:val="multilevel"/>
    <w:tmpl w:val="59466AD6"/>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D6A1612"/>
    <w:multiLevelType w:val="multilevel"/>
    <w:tmpl w:val="D65040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5"/>
  </w:num>
  <w:num w:numId="8">
    <w:abstractNumId w:val="7"/>
  </w:num>
  <w:num w:numId="9">
    <w:abstractNumId w:val="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U0NrC0NDAzsTQGAiUdpeDU4uLM/DyQAotaAH/v/xUsAAAA"/>
  </w:docVars>
  <w:rsids>
    <w:rsidRoot w:val="00C91E90"/>
    <w:rsid w:val="000578CF"/>
    <w:rsid w:val="0006249F"/>
    <w:rsid w:val="0007378C"/>
    <w:rsid w:val="000D2C84"/>
    <w:rsid w:val="00113181"/>
    <w:rsid w:val="00117D34"/>
    <w:rsid w:val="0013221A"/>
    <w:rsid w:val="00153B72"/>
    <w:rsid w:val="001664CF"/>
    <w:rsid w:val="00185F63"/>
    <w:rsid w:val="00202915"/>
    <w:rsid w:val="002033EC"/>
    <w:rsid w:val="002212C6"/>
    <w:rsid w:val="0022281B"/>
    <w:rsid w:val="002C1097"/>
    <w:rsid w:val="003E614A"/>
    <w:rsid w:val="003F010C"/>
    <w:rsid w:val="003F7BA6"/>
    <w:rsid w:val="00417B92"/>
    <w:rsid w:val="00471940"/>
    <w:rsid w:val="004C477B"/>
    <w:rsid w:val="004D46A2"/>
    <w:rsid w:val="004E29B7"/>
    <w:rsid w:val="005315BA"/>
    <w:rsid w:val="005B4BE0"/>
    <w:rsid w:val="005D3AC4"/>
    <w:rsid w:val="00646F79"/>
    <w:rsid w:val="00656694"/>
    <w:rsid w:val="006936B5"/>
    <w:rsid w:val="006A1889"/>
    <w:rsid w:val="006BC83D"/>
    <w:rsid w:val="007238CB"/>
    <w:rsid w:val="00752A13"/>
    <w:rsid w:val="007553C0"/>
    <w:rsid w:val="007A0202"/>
    <w:rsid w:val="007B7DC8"/>
    <w:rsid w:val="00804106"/>
    <w:rsid w:val="00873933"/>
    <w:rsid w:val="00875F88"/>
    <w:rsid w:val="008A589D"/>
    <w:rsid w:val="008A5FBC"/>
    <w:rsid w:val="008E0ACA"/>
    <w:rsid w:val="008E522D"/>
    <w:rsid w:val="008F0971"/>
    <w:rsid w:val="00917313"/>
    <w:rsid w:val="009655FC"/>
    <w:rsid w:val="00984DC4"/>
    <w:rsid w:val="009F197C"/>
    <w:rsid w:val="00A501B4"/>
    <w:rsid w:val="00A71DFD"/>
    <w:rsid w:val="00AD343A"/>
    <w:rsid w:val="00B01C11"/>
    <w:rsid w:val="00B06039"/>
    <w:rsid w:val="00B20539"/>
    <w:rsid w:val="00B257DA"/>
    <w:rsid w:val="00B504A2"/>
    <w:rsid w:val="00B606C7"/>
    <w:rsid w:val="00B63F89"/>
    <w:rsid w:val="00B9130C"/>
    <w:rsid w:val="00BE5CD1"/>
    <w:rsid w:val="00C11766"/>
    <w:rsid w:val="00C34AD8"/>
    <w:rsid w:val="00C35A96"/>
    <w:rsid w:val="00C91E90"/>
    <w:rsid w:val="00CF3C44"/>
    <w:rsid w:val="00D0268C"/>
    <w:rsid w:val="00D14C09"/>
    <w:rsid w:val="00D40CFF"/>
    <w:rsid w:val="00D45220"/>
    <w:rsid w:val="00D61220"/>
    <w:rsid w:val="00DE2935"/>
    <w:rsid w:val="00E0725B"/>
    <w:rsid w:val="00E34FD1"/>
    <w:rsid w:val="00E840F9"/>
    <w:rsid w:val="00E95B92"/>
    <w:rsid w:val="00EC4DC4"/>
    <w:rsid w:val="00F25A50"/>
    <w:rsid w:val="00F61E2C"/>
    <w:rsid w:val="00F91DDC"/>
    <w:rsid w:val="00FA6783"/>
    <w:rsid w:val="00FB5248"/>
    <w:rsid w:val="017D7CC0"/>
    <w:rsid w:val="03194D21"/>
    <w:rsid w:val="0B016B75"/>
    <w:rsid w:val="0D2217F1"/>
    <w:rsid w:val="1120B38D"/>
    <w:rsid w:val="1137F723"/>
    <w:rsid w:val="151610DD"/>
    <w:rsid w:val="1712077D"/>
    <w:rsid w:val="1778F52B"/>
    <w:rsid w:val="184E9793"/>
    <w:rsid w:val="186D5ABA"/>
    <w:rsid w:val="1A5BF382"/>
    <w:rsid w:val="1DD4CADD"/>
    <w:rsid w:val="21323CBC"/>
    <w:rsid w:val="2348F49B"/>
    <w:rsid w:val="26D2F5A0"/>
    <w:rsid w:val="2A0C336E"/>
    <w:rsid w:val="2A3E1FA9"/>
    <w:rsid w:val="2BD9F00A"/>
    <w:rsid w:val="32324BC3"/>
    <w:rsid w:val="338153F8"/>
    <w:rsid w:val="38988D1A"/>
    <w:rsid w:val="3C5F1C62"/>
    <w:rsid w:val="423DA69E"/>
    <w:rsid w:val="46CACF5C"/>
    <w:rsid w:val="46F9C19B"/>
    <w:rsid w:val="4B7E748D"/>
    <w:rsid w:val="4EF401CC"/>
    <w:rsid w:val="518E0CE5"/>
    <w:rsid w:val="5667D7F7"/>
    <w:rsid w:val="65CBD592"/>
    <w:rsid w:val="6AB18A77"/>
    <w:rsid w:val="6DAB024F"/>
    <w:rsid w:val="715432B8"/>
    <w:rsid w:val="7874FC9A"/>
    <w:rsid w:val="79AE661A"/>
    <w:rsid w:val="7CB70B98"/>
    <w:rsid w:val="7E45DBFD"/>
    <w:rsid w:val="7FB20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15A7E"/>
  <w15:docId w15:val="{23832DFD-811B-4A72-8E32-A97AAE2B4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link w:val="Heading1Char"/>
    <w:uiPriority w:val="9"/>
    <w:qFormat/>
    <w:rsid w:val="00621DCB"/>
    <w:pPr>
      <w:keepNext/>
      <w:keepLines/>
      <w:spacing w:before="480" w:after="0"/>
      <w:outlineLvl w:val="0"/>
    </w:pPr>
    <w:rPr>
      <w:rFonts w:ascii="Garamond" w:eastAsiaTheme="majorEastAsia" w:hAnsi="Garamond" w:cstheme="majorBidi"/>
      <w:b/>
      <w:bCs/>
    </w:rPr>
  </w:style>
  <w:style w:type="paragraph" w:styleId="Heading2">
    <w:name w:val="heading 2"/>
    <w:basedOn w:val="Normal"/>
    <w:next w:val="BodyText"/>
    <w:uiPriority w:val="9"/>
    <w:unhideWhenUsed/>
    <w:qFormat/>
    <w:rsid w:val="000D2C84"/>
    <w:pPr>
      <w:keepNext/>
      <w:keepLines/>
      <w:numPr>
        <w:ilvl w:val="1"/>
        <w:numId w:val="3"/>
      </w:numPr>
      <w:spacing w:before="200" w:after="0"/>
      <w:outlineLvl w:val="1"/>
    </w:pPr>
    <w:rPr>
      <w:rFonts w:ascii="Garamond" w:eastAsiaTheme="majorEastAsia" w:hAnsi="Garamond" w:cstheme="majorBidi"/>
      <w:b/>
      <w:bCs/>
    </w:rPr>
  </w:style>
  <w:style w:type="paragraph" w:styleId="Heading3">
    <w:name w:val="heading 3"/>
    <w:basedOn w:val="Heading2"/>
    <w:next w:val="BodyText"/>
    <w:uiPriority w:val="9"/>
    <w:unhideWhenUsed/>
    <w:qFormat/>
    <w:rsid w:val="000D2C84"/>
    <w:pPr>
      <w:numPr>
        <w:ilvl w:val="2"/>
        <w:numId w:val="4"/>
      </w:numPr>
      <w:jc w:val="both"/>
      <w:outlineLvl w:val="2"/>
    </w:pPr>
    <w:rPr>
      <w:rFonts w:ascii="Times New Roman" w:hAnsi="Times New Roman" w:cs="Times New Roman"/>
      <w:b w:val="0"/>
      <w:bCs w:val="0"/>
      <w:i/>
      <w:iCs/>
    </w:rPr>
  </w:style>
  <w:style w:type="paragraph" w:styleId="Heading4">
    <w:name w:val="heading 4"/>
    <w:basedOn w:val="Normal"/>
    <w:next w:val="BodyText"/>
    <w:uiPriority w:val="9"/>
    <w:semiHidden/>
    <w:unhideWhenUsed/>
    <w:qFormat/>
    <w:rsid w:val="000D2C84"/>
    <w:pPr>
      <w:keepNext/>
      <w:keepLines/>
      <w:numPr>
        <w:ilvl w:val="3"/>
        <w:numId w:val="3"/>
      </w:numPr>
      <w:tabs>
        <w:tab w:val="clear" w:pos="2880"/>
      </w:tabs>
      <w:spacing w:before="200" w:after="0"/>
      <w:ind w:left="864" w:hanging="864"/>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semiHidden/>
    <w:unhideWhenUsed/>
    <w:qFormat/>
    <w:rsid w:val="000D2C84"/>
    <w:pPr>
      <w:keepNext/>
      <w:keepLines/>
      <w:numPr>
        <w:ilvl w:val="4"/>
        <w:numId w:val="3"/>
      </w:numPr>
      <w:tabs>
        <w:tab w:val="clear" w:pos="3600"/>
      </w:tabs>
      <w:spacing w:before="200" w:after="0"/>
      <w:ind w:left="1008" w:hanging="1008"/>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semiHidden/>
    <w:unhideWhenUsed/>
    <w:qFormat/>
    <w:rsid w:val="000D2C84"/>
    <w:pPr>
      <w:keepNext/>
      <w:keepLines/>
      <w:numPr>
        <w:ilvl w:val="5"/>
        <w:numId w:val="3"/>
      </w:numPr>
      <w:tabs>
        <w:tab w:val="clear" w:pos="4320"/>
      </w:tabs>
      <w:spacing w:before="200" w:after="0"/>
      <w:ind w:left="1152" w:hanging="1152"/>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rsid w:val="000D2C84"/>
    <w:pPr>
      <w:keepNext/>
      <w:keepLines/>
      <w:numPr>
        <w:ilvl w:val="6"/>
        <w:numId w:val="3"/>
      </w:numPr>
      <w:tabs>
        <w:tab w:val="clear" w:pos="5040"/>
      </w:tabs>
      <w:spacing w:before="200" w:after="0"/>
      <w:ind w:left="1296" w:hanging="1296"/>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rsid w:val="000D2C84"/>
    <w:pPr>
      <w:keepNext/>
      <w:keepLines/>
      <w:numPr>
        <w:ilvl w:val="7"/>
        <w:numId w:val="3"/>
      </w:numPr>
      <w:tabs>
        <w:tab w:val="clear" w:pos="5760"/>
      </w:tabs>
      <w:spacing w:before="200" w:after="0"/>
      <w:ind w:left="1440" w:hanging="144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rsid w:val="000D2C84"/>
    <w:pPr>
      <w:keepNext/>
      <w:keepLines/>
      <w:numPr>
        <w:ilvl w:val="8"/>
        <w:numId w:val="3"/>
      </w:numPr>
      <w:tabs>
        <w:tab w:val="clear" w:pos="6480"/>
      </w:tabs>
      <w:spacing w:before="200" w:after="0"/>
      <w:ind w:left="1584" w:hanging="1584"/>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BodyText"/>
    <w:uiPriority w:val="1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table" w:customStyle="1" w:styleId="TableNormal1">
    <w:name w:val="Table Normal1"/>
    <w:tblPr>
      <w:tblCellMar>
        <w:top w:w="0" w:type="dxa"/>
        <w:left w:w="0" w:type="dxa"/>
        <w:bottom w:w="0" w:type="dxa"/>
        <w:right w:w="0" w:type="dxa"/>
      </w:tblCellMar>
    </w:tblPr>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Subtitle">
    <w:name w:val="Subtitle"/>
    <w:basedOn w:val="Normal"/>
    <w:next w:val="Normal"/>
    <w:uiPriority w:val="11"/>
    <w:qFormat/>
    <w:pPr>
      <w:keepNext/>
      <w:keepLines/>
      <w:spacing w:before="240" w:after="240"/>
      <w:jc w:val="center"/>
    </w:pPr>
    <w:rPr>
      <w:rFonts w:ascii="Calibri" w:eastAsia="Calibri" w:hAnsi="Calibri" w:cs="Calibri"/>
      <w:b/>
      <w:color w:val="335B8A"/>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pPr>
      <w:spacing w:after="0" w:line="480" w:lineRule="auto"/>
      <w:ind w:left="720" w:hanging="720"/>
    </w:p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CommentReference">
    <w:name w:val="annotation reference"/>
    <w:basedOn w:val="DefaultParagraphFont"/>
    <w:semiHidden/>
    <w:unhideWhenUsed/>
    <w:rsid w:val="00350CB4"/>
    <w:rPr>
      <w:sz w:val="16"/>
      <w:szCs w:val="16"/>
    </w:rPr>
  </w:style>
  <w:style w:type="paragraph" w:styleId="CommentText">
    <w:name w:val="annotation text"/>
    <w:basedOn w:val="Normal"/>
    <w:link w:val="CommentTextChar"/>
    <w:semiHidden/>
    <w:unhideWhenUsed/>
    <w:rsid w:val="00350CB4"/>
    <w:rPr>
      <w:sz w:val="20"/>
      <w:szCs w:val="20"/>
    </w:rPr>
  </w:style>
  <w:style w:type="character" w:customStyle="1" w:styleId="CommentTextChar">
    <w:name w:val="Comment Text Char"/>
    <w:basedOn w:val="DefaultParagraphFont"/>
    <w:link w:val="CommentText"/>
    <w:semiHidden/>
    <w:rsid w:val="00350CB4"/>
    <w:rPr>
      <w:sz w:val="20"/>
      <w:szCs w:val="20"/>
    </w:rPr>
  </w:style>
  <w:style w:type="paragraph" w:styleId="CommentSubject">
    <w:name w:val="annotation subject"/>
    <w:basedOn w:val="CommentText"/>
    <w:next w:val="CommentText"/>
    <w:link w:val="CommentSubjectChar"/>
    <w:semiHidden/>
    <w:unhideWhenUsed/>
    <w:rsid w:val="00350CB4"/>
    <w:rPr>
      <w:b/>
      <w:bCs/>
    </w:rPr>
  </w:style>
  <w:style w:type="character" w:customStyle="1" w:styleId="CommentSubjectChar">
    <w:name w:val="Comment Subject Char"/>
    <w:basedOn w:val="CommentTextChar"/>
    <w:link w:val="CommentSubject"/>
    <w:semiHidden/>
    <w:rsid w:val="00350CB4"/>
    <w:rPr>
      <w:b/>
      <w:bCs/>
      <w:sz w:val="20"/>
      <w:szCs w:val="20"/>
    </w:rPr>
  </w:style>
  <w:style w:type="paragraph" w:styleId="Header">
    <w:name w:val="header"/>
    <w:basedOn w:val="Normal"/>
    <w:link w:val="HeaderChar"/>
    <w:unhideWhenUsed/>
    <w:rsid w:val="00FA3B12"/>
    <w:pPr>
      <w:tabs>
        <w:tab w:val="center" w:pos="4680"/>
        <w:tab w:val="right" w:pos="9360"/>
      </w:tabs>
      <w:spacing w:after="0"/>
    </w:pPr>
  </w:style>
  <w:style w:type="character" w:customStyle="1" w:styleId="HeaderChar">
    <w:name w:val="Header Char"/>
    <w:basedOn w:val="DefaultParagraphFont"/>
    <w:link w:val="Header"/>
    <w:rsid w:val="00FA3B12"/>
  </w:style>
  <w:style w:type="paragraph" w:styleId="Footer">
    <w:name w:val="footer"/>
    <w:basedOn w:val="Normal"/>
    <w:link w:val="FooterChar"/>
    <w:uiPriority w:val="99"/>
    <w:unhideWhenUsed/>
    <w:rsid w:val="00FA3B12"/>
    <w:pPr>
      <w:tabs>
        <w:tab w:val="center" w:pos="4680"/>
        <w:tab w:val="right" w:pos="9360"/>
      </w:tabs>
      <w:spacing w:after="0"/>
    </w:pPr>
  </w:style>
  <w:style w:type="character" w:customStyle="1" w:styleId="FooterChar">
    <w:name w:val="Footer Char"/>
    <w:basedOn w:val="DefaultParagraphFont"/>
    <w:link w:val="Footer"/>
    <w:uiPriority w:val="99"/>
    <w:rsid w:val="00FA3B12"/>
  </w:style>
  <w:style w:type="character" w:styleId="PlaceholderText">
    <w:name w:val="Placeholder Text"/>
    <w:basedOn w:val="DefaultParagraphFont"/>
    <w:semiHidden/>
    <w:rsid w:val="00361039"/>
    <w:rPr>
      <w:color w:val="808080"/>
    </w:rPr>
  </w:style>
  <w:style w:type="character" w:customStyle="1" w:styleId="Heading1Char">
    <w:name w:val="Heading 1 Char"/>
    <w:basedOn w:val="DefaultParagraphFont"/>
    <w:link w:val="Heading1"/>
    <w:uiPriority w:val="9"/>
    <w:rsid w:val="007D658C"/>
    <w:rPr>
      <w:rFonts w:ascii="Garamond" w:eastAsiaTheme="majorEastAsia" w:hAnsi="Garamond" w:cstheme="majorBidi"/>
      <w:b/>
      <w:bCs/>
    </w:rPr>
  </w:style>
  <w:style w:type="character" w:customStyle="1" w:styleId="UnresolvedMention">
    <w:name w:val="Unresolved Mention"/>
    <w:basedOn w:val="DefaultParagraphFont"/>
    <w:uiPriority w:val="99"/>
    <w:semiHidden/>
    <w:unhideWhenUsed/>
    <w:rsid w:val="0045174D"/>
    <w:rPr>
      <w:color w:val="605E5C"/>
      <w:shd w:val="clear" w:color="auto" w:fill="E1DFDD"/>
    </w:rPr>
  </w:style>
  <w:style w:type="paragraph" w:styleId="ListParagraph">
    <w:name w:val="List Paragraph"/>
    <w:basedOn w:val="Normal"/>
    <w:rsid w:val="00543B37"/>
    <w:pPr>
      <w:ind w:left="720"/>
      <w:contextualSpacing/>
    </w:p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AD343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43A"/>
    <w:rPr>
      <w:rFonts w:ascii="Segoe UI" w:hAnsi="Segoe UI" w:cs="Segoe UI"/>
      <w:sz w:val="18"/>
      <w:szCs w:val="18"/>
    </w:rPr>
  </w:style>
  <w:style w:type="table" w:customStyle="1" w:styleId="a0">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64995">
      <w:bodyDiv w:val="1"/>
      <w:marLeft w:val="0"/>
      <w:marRight w:val="0"/>
      <w:marTop w:val="0"/>
      <w:marBottom w:val="0"/>
      <w:divBdr>
        <w:top w:val="none" w:sz="0" w:space="0" w:color="auto"/>
        <w:left w:val="none" w:sz="0" w:space="0" w:color="auto"/>
        <w:bottom w:val="none" w:sz="0" w:space="0" w:color="auto"/>
        <w:right w:val="none" w:sz="0" w:space="0" w:color="auto"/>
      </w:divBdr>
      <w:divsChild>
        <w:div w:id="493187695">
          <w:marLeft w:val="0"/>
          <w:marRight w:val="0"/>
          <w:marTop w:val="0"/>
          <w:marBottom w:val="0"/>
          <w:divBdr>
            <w:top w:val="none" w:sz="0" w:space="0" w:color="auto"/>
            <w:left w:val="none" w:sz="0" w:space="0" w:color="auto"/>
            <w:bottom w:val="none" w:sz="0" w:space="0" w:color="auto"/>
            <w:right w:val="none" w:sz="0" w:space="0" w:color="auto"/>
          </w:divBdr>
        </w:div>
        <w:div w:id="8596605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3C363B"/>
    <w:rsid w:val="003C363B"/>
    <w:rsid w:val="00B04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0dl2HDcB5+dbKuCv6MVrIEdRog==">AMUW2mUCXqXHBemXurtA63+nA04znMnHmu9zDmui31WjCzK4Dtg3XuJps8KBkSeP/6MgCfT6QC+V356QvOzZEp9AJ5j6XY6NDTpfkHldXmXU96HUwBkEodEAEJB8g/l+I5OWTEPtasW2l3aRCwXvsGp+uxis1SD0IoyvY4sQzUrb1xa4peutWX2rNHYqb5RJjbWgr0pR1Ap18hQHZKJhyFev3WHOokE2zCLDgnZUflrSNjeUE2xsrkvzC9MHkiq2KnfuzXI/bNDs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A400E4-C918-4F86-956D-CE0C5B3E8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1249</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Cartes, Kenzo Asahi and Rodrigo Fernández</dc:creator>
  <cp:lastModifiedBy>Bhushan Tandale</cp:lastModifiedBy>
  <cp:revision>6</cp:revision>
  <cp:lastPrinted>2021-05-13T01:31:00Z</cp:lastPrinted>
  <dcterms:created xsi:type="dcterms:W3CDTF">2021-05-13T16:39:00Z</dcterms:created>
  <dcterms:modified xsi:type="dcterms:W3CDTF">2021-06-09T09:55:00Z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y fmtid="{D5CDD505-2E9C-101B-9397-08002B2CF9AE}" pid="3" name="date">
    <vt:lpwstr/>
  </property>
  <property fmtid="{D5CDD505-2E9C-101B-9397-08002B2CF9AE}" pid="4" name="ZOTERO_PREF_1">
    <vt:lpwstr>&lt;data data-version="3" zotero-version="5.0.96.2"&gt;&lt;session id="eGJXKT4E"/&gt;&lt;style id="http://www.zotero.org/styles/apa" locale="en-US" hasBibliography="1" bibliographyStyleHasBeenSet="1"/&gt;&lt;prefs&gt;&lt;pref name="fieldType" value="Field"/&gt;&lt;pref name="automaticJou</vt:lpwstr>
  </property>
  <property fmtid="{D5CDD505-2E9C-101B-9397-08002B2CF9AE}" pid="5" name="ZOTERO_PREF_2">
    <vt:lpwstr>rnalAbbreviations" value="true"/&gt;&lt;/prefs&gt;&lt;/data&gt;</vt:lpwstr>
  </property>
</Properties>
</file>